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0"/>
        <w:rPr>
          <w:rFonts w:ascii="仿宋_GB2312" w:hAnsi="仿宋_GB2312" w:eastAsia="仿宋_GB2312" w:cs="仿宋_GB2312"/>
          <w:sz w:val="30"/>
          <w:szCs w:val="30"/>
        </w:rPr>
      </w:pPr>
      <w:bookmarkStart w:id="0" w:name="_Hlk57883707"/>
      <w:bookmarkStart w:id="1" w:name="_Hlk108509655"/>
    </w:p>
    <w:p>
      <w:pPr>
        <w:spacing w:line="360" w:lineRule="auto"/>
        <w:ind w:firstLine="600"/>
        <w:rPr>
          <w:rFonts w:ascii="仿宋_GB2312" w:hAnsi="仿宋_GB2312" w:eastAsia="仿宋_GB2312" w:cs="仿宋_GB2312"/>
          <w:sz w:val="30"/>
          <w:szCs w:val="30"/>
        </w:rPr>
      </w:pPr>
    </w:p>
    <w:p>
      <w:pPr>
        <w:spacing w:line="360" w:lineRule="auto"/>
        <w:ind w:firstLine="600"/>
        <w:rPr>
          <w:rFonts w:ascii="仿宋_GB2312" w:hAnsi="仿宋_GB2312" w:eastAsia="仿宋_GB2312" w:cs="仿宋_GB2312"/>
          <w:sz w:val="30"/>
          <w:szCs w:val="30"/>
        </w:rPr>
      </w:pPr>
    </w:p>
    <w:p>
      <w:pPr>
        <w:spacing w:line="360" w:lineRule="auto"/>
        <w:ind w:firstLine="600"/>
        <w:rPr>
          <w:rFonts w:ascii="仿宋_GB2312" w:hAnsi="仿宋_GB2312" w:eastAsia="仿宋_GB2312" w:cs="仿宋_GB2312"/>
          <w:sz w:val="30"/>
          <w:szCs w:val="30"/>
        </w:rPr>
      </w:pPr>
    </w:p>
    <w:bookmarkEnd w:id="0"/>
    <w:p>
      <w:pPr>
        <w:adjustRightInd w:val="0"/>
        <w:snapToGrid w:val="0"/>
        <w:spacing w:line="360" w:lineRule="auto"/>
        <w:ind w:firstLine="0" w:firstLineChars="0"/>
        <w:jc w:val="center"/>
        <w:outlineLvl w:val="0"/>
        <w:rPr>
          <w:rFonts w:ascii="楷体" w:hAnsi="楷体" w:eastAsia="楷体"/>
          <w:bCs/>
          <w:sz w:val="72"/>
          <w:szCs w:val="72"/>
        </w:rPr>
      </w:pPr>
      <w:bookmarkStart w:id="2" w:name="_Toc104218613"/>
      <w:r>
        <w:rPr>
          <w:rFonts w:hint="eastAsia" w:ascii="楷体" w:hAnsi="楷体" w:eastAsia="楷体"/>
          <w:bCs/>
          <w:sz w:val="72"/>
          <w:szCs w:val="72"/>
        </w:rPr>
        <w:t>建设项目环境影响报告表</w:t>
      </w:r>
      <w:bookmarkEnd w:id="2"/>
    </w:p>
    <w:p>
      <w:pPr>
        <w:adjustRightInd w:val="0"/>
        <w:snapToGrid w:val="0"/>
        <w:spacing w:before="192" w:beforeLines="80"/>
        <w:ind w:firstLine="0" w:firstLineChars="0"/>
        <w:jc w:val="center"/>
        <w:rPr>
          <w:rFonts w:ascii="楷体" w:hAnsi="楷体" w:eastAsia="楷体"/>
          <w:bCs/>
          <w:sz w:val="48"/>
          <w:szCs w:val="48"/>
        </w:rPr>
      </w:pPr>
      <w:r>
        <w:rPr>
          <w:rFonts w:hint="eastAsia" w:ascii="楷体" w:hAnsi="楷体" w:eastAsia="楷体"/>
          <w:bCs/>
          <w:sz w:val="48"/>
          <w:szCs w:val="48"/>
        </w:rPr>
        <w:t>（生态影响类）</w:t>
      </w:r>
    </w:p>
    <w:p>
      <w:pPr>
        <w:ind w:firstLine="1040"/>
        <w:rPr>
          <w:sz w:val="52"/>
          <w:szCs w:val="52"/>
        </w:rPr>
      </w:pPr>
      <w:bookmarkStart w:id="3" w:name="_Hlk57883728"/>
    </w:p>
    <w:p>
      <w:pPr>
        <w:ind w:firstLine="1040"/>
        <w:rPr>
          <w:rFonts w:eastAsia="仿宋"/>
          <w:sz w:val="52"/>
          <w:szCs w:val="52"/>
        </w:rPr>
      </w:pPr>
    </w:p>
    <w:p>
      <w:pPr>
        <w:ind w:firstLine="1040"/>
        <w:rPr>
          <w:rFonts w:eastAsia="仿宋"/>
          <w:sz w:val="52"/>
          <w:szCs w:val="52"/>
        </w:rPr>
      </w:pPr>
    </w:p>
    <w:p>
      <w:pPr>
        <w:ind w:firstLine="1040"/>
        <w:rPr>
          <w:rFonts w:eastAsia="仿宋"/>
          <w:sz w:val="52"/>
          <w:szCs w:val="52"/>
        </w:rPr>
      </w:pPr>
    </w:p>
    <w:bookmarkEnd w:id="3"/>
    <w:p>
      <w:pPr>
        <w:adjustRightInd w:val="0"/>
        <w:snapToGrid w:val="0"/>
        <w:spacing w:line="700" w:lineRule="exact"/>
        <w:ind w:firstLine="320" w:firstLineChars="100"/>
        <w:rPr>
          <w:sz w:val="32"/>
          <w:szCs w:val="32"/>
          <w:u w:val="single"/>
        </w:rPr>
      </w:pPr>
      <w:r>
        <w:rPr>
          <w:sz w:val="32"/>
          <w:szCs w:val="32"/>
        </w:rPr>
        <w:t>项  目  名  称 ：</w:t>
      </w:r>
      <w:bookmarkStart w:id="4" w:name="_Hlk128660567"/>
      <w:r>
        <w:rPr>
          <w:rFonts w:hint="eastAsia"/>
          <w:sz w:val="32"/>
          <w:szCs w:val="32"/>
          <w:u w:val="single"/>
        </w:rPr>
        <w:t>湘阴县静河镇共荣矿区建筑用砂矿开采及</w:t>
      </w:r>
    </w:p>
    <w:p>
      <w:pPr>
        <w:adjustRightInd w:val="0"/>
        <w:snapToGrid w:val="0"/>
        <w:spacing w:line="700" w:lineRule="exact"/>
        <w:ind w:firstLine="3040" w:firstLineChars="950"/>
        <w:rPr>
          <w:sz w:val="32"/>
          <w:szCs w:val="32"/>
          <w:u w:val="single"/>
        </w:rPr>
      </w:pPr>
      <w:r>
        <w:rPr>
          <w:rFonts w:hint="eastAsia"/>
          <w:sz w:val="32"/>
          <w:szCs w:val="32"/>
          <w:u w:val="single"/>
        </w:rPr>
        <w:t>加工（90万t/a）建设</w:t>
      </w:r>
      <w:bookmarkEnd w:id="4"/>
      <w:r>
        <w:rPr>
          <w:rFonts w:hint="eastAsia"/>
          <w:sz w:val="32"/>
          <w:szCs w:val="32"/>
          <w:u w:val="single"/>
        </w:rPr>
        <w:t xml:space="preserve">项目 </w:t>
      </w:r>
      <w:r>
        <w:rPr>
          <w:sz w:val="32"/>
          <w:szCs w:val="32"/>
          <w:u w:val="single"/>
        </w:rPr>
        <w:t xml:space="preserve">            </w:t>
      </w:r>
    </w:p>
    <w:p>
      <w:pPr>
        <w:adjustRightInd w:val="0"/>
        <w:snapToGrid w:val="0"/>
        <w:spacing w:line="700" w:lineRule="exact"/>
        <w:ind w:firstLine="300" w:firstLineChars="100"/>
        <w:rPr>
          <w:sz w:val="32"/>
          <w:szCs w:val="32"/>
          <w:u w:val="single"/>
        </w:rPr>
      </w:pPr>
      <w:r>
        <w:rPr>
          <w:spacing w:val="-10"/>
          <w:sz w:val="32"/>
          <w:szCs w:val="32"/>
        </w:rPr>
        <w:t>建设单位（盖章）：</w:t>
      </w:r>
      <w:r>
        <w:rPr>
          <w:rFonts w:hint="eastAsia"/>
          <w:sz w:val="32"/>
          <w:szCs w:val="32"/>
          <w:u w:val="single"/>
        </w:rPr>
        <w:t xml:space="preserve"> </w:t>
      </w:r>
      <w:r>
        <w:rPr>
          <w:sz w:val="32"/>
          <w:szCs w:val="32"/>
          <w:u w:val="single"/>
        </w:rPr>
        <w:t xml:space="preserve">    </w:t>
      </w:r>
      <w:r>
        <w:rPr>
          <w:rFonts w:hint="eastAsia"/>
          <w:sz w:val="32"/>
          <w:szCs w:val="32"/>
          <w:u w:val="single"/>
        </w:rPr>
        <w:t xml:space="preserve">湖南洋石新材料科技有限公司 </w:t>
      </w:r>
      <w:r>
        <w:rPr>
          <w:sz w:val="32"/>
          <w:szCs w:val="32"/>
          <w:u w:val="single"/>
        </w:rPr>
        <w:t xml:space="preserve">    </w:t>
      </w:r>
    </w:p>
    <w:p>
      <w:pPr>
        <w:adjustRightInd w:val="0"/>
        <w:snapToGrid w:val="0"/>
        <w:spacing w:line="700" w:lineRule="exact"/>
        <w:ind w:firstLine="320" w:firstLineChars="100"/>
        <w:rPr>
          <w:rFonts w:ascii="仿宋_GB2312" w:eastAsia="仿宋_GB2312"/>
          <w:sz w:val="40"/>
          <w:szCs w:val="32"/>
          <w:u w:val="single"/>
        </w:rPr>
      </w:pPr>
      <w:r>
        <w:rPr>
          <w:sz w:val="32"/>
          <w:szCs w:val="32"/>
        </w:rPr>
        <w:t>编  制  日  期 ：</w:t>
      </w:r>
      <w:r>
        <w:rPr>
          <w:sz w:val="32"/>
          <w:szCs w:val="32"/>
          <w:u w:val="single"/>
        </w:rPr>
        <w:t xml:space="preserve">           2023年03月              </w:t>
      </w:r>
    </w:p>
    <w:p>
      <w:pPr>
        <w:adjustRightInd w:val="0"/>
        <w:snapToGrid w:val="0"/>
        <w:spacing w:line="288" w:lineRule="auto"/>
        <w:ind w:firstLine="720"/>
        <w:rPr>
          <w:rFonts w:ascii="仿宋_GB2312" w:eastAsia="仿宋_GB2312"/>
          <w:sz w:val="36"/>
          <w:szCs w:val="36"/>
          <w:u w:val="single"/>
        </w:rPr>
      </w:pPr>
    </w:p>
    <w:p>
      <w:pPr>
        <w:adjustRightInd w:val="0"/>
        <w:snapToGrid w:val="0"/>
        <w:spacing w:line="288" w:lineRule="auto"/>
        <w:ind w:firstLine="720"/>
        <w:rPr>
          <w:rFonts w:ascii="仿宋_GB2312" w:eastAsia="仿宋_GB2312"/>
          <w:sz w:val="36"/>
          <w:szCs w:val="36"/>
        </w:rPr>
      </w:pPr>
    </w:p>
    <w:p>
      <w:pPr>
        <w:adjustRightInd w:val="0"/>
        <w:snapToGrid w:val="0"/>
        <w:spacing w:line="288" w:lineRule="auto"/>
        <w:ind w:firstLine="720"/>
        <w:rPr>
          <w:rFonts w:ascii="仿宋_GB2312" w:eastAsia="仿宋_GB2312"/>
          <w:sz w:val="36"/>
          <w:szCs w:val="36"/>
        </w:rPr>
      </w:pPr>
    </w:p>
    <w:p>
      <w:pPr>
        <w:adjustRightInd w:val="0"/>
        <w:snapToGrid w:val="0"/>
        <w:spacing w:line="288" w:lineRule="auto"/>
        <w:ind w:firstLine="720"/>
        <w:rPr>
          <w:rFonts w:ascii="仿宋_GB2312" w:eastAsia="仿宋_GB2312"/>
          <w:sz w:val="36"/>
          <w:szCs w:val="36"/>
        </w:rPr>
      </w:pPr>
    </w:p>
    <w:p>
      <w:pPr>
        <w:adjustRightInd w:val="0"/>
        <w:snapToGrid w:val="0"/>
        <w:spacing w:line="288" w:lineRule="auto"/>
        <w:ind w:firstLine="720"/>
        <w:jc w:val="center"/>
        <w:rPr>
          <w:rFonts w:ascii="楷体" w:hAnsi="楷体" w:eastAsia="楷体"/>
          <w:sz w:val="36"/>
          <w:szCs w:val="36"/>
        </w:rPr>
      </w:pPr>
      <w:r>
        <w:rPr>
          <w:rFonts w:hint="eastAsia" w:ascii="楷体" w:hAnsi="楷体" w:eastAsia="楷体"/>
          <w:sz w:val="36"/>
          <w:szCs w:val="36"/>
        </w:rPr>
        <w:t>中华人民共和国生态环境部制</w:t>
      </w:r>
      <w:bookmarkEnd w:id="1"/>
    </w:p>
    <w:p>
      <w:pPr>
        <w:adjustRightInd w:val="0"/>
        <w:snapToGrid w:val="0"/>
        <w:spacing w:line="288" w:lineRule="auto"/>
        <w:ind w:firstLine="0" w:firstLineChars="0"/>
        <w:rPr>
          <w:rFonts w:ascii="仿宋_GB2312" w:eastAsia="仿宋_GB2312"/>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378" w:right="1531" w:bottom="1378" w:left="1559" w:header="851" w:footer="1077" w:gutter="0"/>
          <w:pgNumType w:start="21"/>
          <w:cols w:space="720" w:num="1"/>
          <w:docGrid w:linePitch="312" w:charSpace="0"/>
        </w:sectPr>
      </w:pPr>
    </w:p>
    <w:p>
      <w:pPr>
        <w:adjustRightInd w:val="0"/>
        <w:snapToGrid w:val="0"/>
        <w:spacing w:line="288" w:lineRule="auto"/>
        <w:ind w:firstLine="0" w:firstLineChars="0"/>
        <w:jc w:val="center"/>
        <w:rPr>
          <w:rFonts w:ascii="仿宋_GB2312" w:eastAsia="仿宋_GB2312"/>
          <w:sz w:val="36"/>
          <w:szCs w:val="36"/>
        </w:rPr>
        <w:sectPr>
          <w:pgSz w:w="11906" w:h="16838"/>
          <w:pgMar w:top="1378" w:right="1542" w:bottom="1378" w:left="1559" w:header="0" w:footer="1077" w:gutter="0"/>
          <w:pgNumType w:start="21"/>
          <w:cols w:space="720" w:num="1"/>
          <w:docGrid w:linePitch="326" w:charSpace="0"/>
        </w:sectPr>
      </w:pPr>
    </w:p>
    <w:p>
      <w:pPr>
        <w:adjustRightInd w:val="0"/>
        <w:snapToGrid w:val="0"/>
        <w:spacing w:line="288" w:lineRule="auto"/>
        <w:ind w:firstLine="0" w:firstLineChars="0"/>
        <w:rPr>
          <w:rFonts w:ascii="仿宋_GB2312" w:eastAsia="仿宋_GB2312"/>
          <w:sz w:val="36"/>
          <w:szCs w:val="36"/>
        </w:rPr>
        <w:sectPr>
          <w:pgSz w:w="11906" w:h="16838"/>
          <w:pgMar w:top="1378" w:right="1531" w:bottom="1378" w:left="1559" w:header="851" w:footer="1077" w:gutter="0"/>
          <w:pgNumType w:start="21"/>
          <w:cols w:space="720" w:num="1"/>
          <w:docGrid w:linePitch="312" w:charSpace="0"/>
        </w:sectPr>
      </w:pPr>
    </w:p>
    <w:p>
      <w:pPr>
        <w:adjustRightInd w:val="0"/>
        <w:snapToGrid w:val="0"/>
        <w:spacing w:line="288" w:lineRule="auto"/>
        <w:ind w:firstLine="0" w:firstLineChars="0"/>
        <w:rPr>
          <w:rFonts w:ascii="仿宋_GB2312" w:eastAsia="仿宋_GB2312"/>
          <w:sz w:val="36"/>
          <w:szCs w:val="36"/>
        </w:rPr>
        <w:sectPr>
          <w:pgSz w:w="11906" w:h="16838"/>
          <w:pgMar w:top="1378" w:right="1531" w:bottom="1378" w:left="1559" w:header="851" w:footer="1077" w:gutter="0"/>
          <w:pgNumType w:start="21"/>
          <w:cols w:space="720" w:num="1"/>
          <w:docGrid w:linePitch="312" w:charSpace="0"/>
        </w:sectPr>
      </w:pPr>
      <w:r>
        <w:rPr>
          <w:rFonts w:hint="eastAsia" w:ascii="仿宋_GB2312" w:eastAsia="仿宋_GB2312"/>
          <w:snapToGrid/>
          <w:sz w:val="36"/>
          <w:szCs w:val="36"/>
        </w:rPr>
        <w:drawing>
          <wp:inline distT="0" distB="0" distL="0" distR="0">
            <wp:extent cx="5598160" cy="8850630"/>
            <wp:effectExtent l="0" t="0" r="254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603652" cy="8859385"/>
                    </a:xfrm>
                    <a:prstGeom prst="rect">
                      <a:avLst/>
                    </a:prstGeom>
                  </pic:spPr>
                </pic:pic>
              </a:graphicData>
            </a:graphic>
          </wp:inline>
        </w:drawing>
      </w:r>
    </w:p>
    <w:p>
      <w:pPr>
        <w:spacing w:line="360" w:lineRule="auto"/>
        <w:ind w:firstLine="0" w:firstLineChars="0"/>
        <w:jc w:val="center"/>
        <w:outlineLvl w:val="0"/>
        <w:rPr>
          <w:b/>
          <w:sz w:val="36"/>
        </w:rPr>
      </w:pPr>
      <w:bookmarkStart w:id="5" w:name="_Toc120544632"/>
      <w:r>
        <w:rPr>
          <w:b/>
          <w:sz w:val="36"/>
        </w:rPr>
        <w:t>目</w:t>
      </w:r>
      <w:r>
        <w:rPr>
          <w:rFonts w:hint="eastAsia"/>
          <w:b/>
          <w:sz w:val="36"/>
        </w:rPr>
        <w:t xml:space="preserve"> </w:t>
      </w:r>
      <w:r>
        <w:rPr>
          <w:b/>
          <w:sz w:val="36"/>
        </w:rPr>
        <w:t>录</w:t>
      </w:r>
      <w:bookmarkEnd w:id="5"/>
    </w:p>
    <w:p>
      <w:pPr>
        <w:pStyle w:val="11"/>
        <w:tabs>
          <w:tab w:val="right" w:leader="dot" w:pos="8834"/>
        </w:tabs>
        <w:spacing w:line="360" w:lineRule="auto"/>
        <w:ind w:firstLine="0" w:firstLineChars="0"/>
        <w:rPr>
          <w:b/>
        </w:rPr>
      </w:pPr>
      <w:r>
        <w:rPr>
          <w:b/>
        </w:rPr>
        <w:fldChar w:fldCharType="begin"/>
      </w:r>
      <w:r>
        <w:rPr>
          <w:b/>
        </w:rPr>
        <w:instrText xml:space="preserve"> TOC \o "1-3" \h \z \u </w:instrText>
      </w:r>
      <w:r>
        <w:rPr>
          <w:b/>
        </w:rPr>
        <w:fldChar w:fldCharType="separate"/>
      </w:r>
    </w:p>
    <w:p>
      <w:pPr>
        <w:pStyle w:val="11"/>
        <w:tabs>
          <w:tab w:val="right" w:leader="dot" w:pos="8834"/>
        </w:tabs>
        <w:spacing w:line="360" w:lineRule="auto"/>
        <w:ind w:firstLine="0" w:firstLineChars="0"/>
        <w:rPr>
          <w:b/>
          <w:sz w:val="28"/>
          <w:szCs w:val="28"/>
        </w:rPr>
      </w:pPr>
      <w:r>
        <w:fldChar w:fldCharType="begin"/>
      </w:r>
      <w:r>
        <w:instrText xml:space="preserve"> HYPERLINK \l "_Toc120544633" </w:instrText>
      </w:r>
      <w:r>
        <w:fldChar w:fldCharType="separate"/>
      </w:r>
      <w:r>
        <w:rPr>
          <w:rStyle w:val="20"/>
          <w:b/>
          <w:sz w:val="28"/>
          <w:szCs w:val="28"/>
          <w:u w:val="none"/>
        </w:rPr>
        <w:t>一、建设项目基本情况</w:t>
      </w:r>
      <w:r>
        <w:rPr>
          <w:b/>
          <w:sz w:val="28"/>
          <w:szCs w:val="28"/>
        </w:rPr>
        <w:tab/>
      </w:r>
      <w:r>
        <w:rPr>
          <w:b/>
          <w:sz w:val="28"/>
          <w:szCs w:val="28"/>
        </w:rPr>
        <w:fldChar w:fldCharType="begin"/>
      </w:r>
      <w:r>
        <w:rPr>
          <w:b/>
          <w:sz w:val="28"/>
          <w:szCs w:val="28"/>
        </w:rPr>
        <w:instrText xml:space="preserve"> PAGEREF _Toc120544633 \h </w:instrText>
      </w:r>
      <w:r>
        <w:rPr>
          <w:b/>
          <w:sz w:val="28"/>
          <w:szCs w:val="28"/>
        </w:rPr>
        <w:fldChar w:fldCharType="separate"/>
      </w:r>
      <w:r>
        <w:rPr>
          <w:b/>
          <w:sz w:val="28"/>
          <w:szCs w:val="28"/>
        </w:rPr>
        <w:t>- 1 -</w:t>
      </w:r>
      <w:r>
        <w:rPr>
          <w:b/>
          <w:sz w:val="28"/>
          <w:szCs w:val="28"/>
        </w:rPr>
        <w:fldChar w:fldCharType="end"/>
      </w:r>
      <w:r>
        <w:rPr>
          <w:b/>
          <w:sz w:val="28"/>
          <w:szCs w:val="28"/>
        </w:rPr>
        <w:fldChar w:fldCharType="end"/>
      </w:r>
    </w:p>
    <w:p>
      <w:pPr>
        <w:pStyle w:val="11"/>
        <w:tabs>
          <w:tab w:val="right" w:leader="dot" w:pos="8834"/>
        </w:tabs>
        <w:spacing w:line="360" w:lineRule="auto"/>
        <w:ind w:firstLine="0" w:firstLineChars="0"/>
        <w:rPr>
          <w:b/>
          <w:sz w:val="28"/>
          <w:szCs w:val="28"/>
        </w:rPr>
      </w:pPr>
      <w:r>
        <w:fldChar w:fldCharType="begin"/>
      </w:r>
      <w:r>
        <w:instrText xml:space="preserve"> HYPERLINK \l "_Toc120544634" </w:instrText>
      </w:r>
      <w:r>
        <w:fldChar w:fldCharType="separate"/>
      </w:r>
      <w:r>
        <w:rPr>
          <w:rStyle w:val="20"/>
          <w:b/>
          <w:sz w:val="28"/>
          <w:szCs w:val="28"/>
          <w:u w:val="none"/>
        </w:rPr>
        <w:t>二、建设内容</w:t>
      </w:r>
      <w:r>
        <w:rPr>
          <w:b/>
          <w:sz w:val="28"/>
          <w:szCs w:val="28"/>
        </w:rPr>
        <w:tab/>
      </w:r>
      <w:r>
        <w:rPr>
          <w:b/>
          <w:sz w:val="28"/>
          <w:szCs w:val="28"/>
        </w:rPr>
        <w:fldChar w:fldCharType="begin"/>
      </w:r>
      <w:r>
        <w:rPr>
          <w:b/>
          <w:sz w:val="28"/>
          <w:szCs w:val="28"/>
        </w:rPr>
        <w:instrText xml:space="preserve"> PAGEREF _Toc120544634 \h </w:instrText>
      </w:r>
      <w:r>
        <w:rPr>
          <w:b/>
          <w:sz w:val="28"/>
          <w:szCs w:val="28"/>
        </w:rPr>
        <w:fldChar w:fldCharType="separate"/>
      </w:r>
      <w:r>
        <w:rPr>
          <w:b/>
          <w:sz w:val="28"/>
          <w:szCs w:val="28"/>
        </w:rPr>
        <w:t>- 24 -</w:t>
      </w:r>
      <w:r>
        <w:rPr>
          <w:b/>
          <w:sz w:val="28"/>
          <w:szCs w:val="28"/>
        </w:rPr>
        <w:fldChar w:fldCharType="end"/>
      </w:r>
      <w:r>
        <w:rPr>
          <w:b/>
          <w:sz w:val="28"/>
          <w:szCs w:val="28"/>
        </w:rPr>
        <w:fldChar w:fldCharType="end"/>
      </w:r>
    </w:p>
    <w:p>
      <w:pPr>
        <w:pStyle w:val="11"/>
        <w:tabs>
          <w:tab w:val="right" w:leader="dot" w:pos="8834"/>
        </w:tabs>
        <w:spacing w:line="360" w:lineRule="auto"/>
        <w:ind w:firstLine="0" w:firstLineChars="0"/>
        <w:rPr>
          <w:b/>
          <w:sz w:val="28"/>
          <w:szCs w:val="28"/>
        </w:rPr>
      </w:pPr>
      <w:r>
        <w:fldChar w:fldCharType="begin"/>
      </w:r>
      <w:r>
        <w:instrText xml:space="preserve"> HYPERLINK \l "_Toc120544635" </w:instrText>
      </w:r>
      <w:r>
        <w:fldChar w:fldCharType="separate"/>
      </w:r>
      <w:r>
        <w:rPr>
          <w:rStyle w:val="20"/>
          <w:b/>
          <w:sz w:val="28"/>
          <w:szCs w:val="28"/>
          <w:u w:val="none"/>
        </w:rPr>
        <w:t>三、生态环境现状、保护目标及评价标准</w:t>
      </w:r>
      <w:r>
        <w:rPr>
          <w:b/>
          <w:sz w:val="28"/>
          <w:szCs w:val="28"/>
        </w:rPr>
        <w:tab/>
      </w:r>
      <w:r>
        <w:rPr>
          <w:b/>
          <w:sz w:val="28"/>
          <w:szCs w:val="28"/>
        </w:rPr>
        <w:fldChar w:fldCharType="begin"/>
      </w:r>
      <w:r>
        <w:rPr>
          <w:b/>
          <w:sz w:val="28"/>
          <w:szCs w:val="28"/>
        </w:rPr>
        <w:instrText xml:space="preserve"> PAGEREF _Toc120544635 \h </w:instrText>
      </w:r>
      <w:r>
        <w:rPr>
          <w:b/>
          <w:sz w:val="28"/>
          <w:szCs w:val="28"/>
        </w:rPr>
        <w:fldChar w:fldCharType="separate"/>
      </w:r>
      <w:r>
        <w:rPr>
          <w:b/>
          <w:sz w:val="28"/>
          <w:szCs w:val="28"/>
        </w:rPr>
        <w:t>- 45 -</w:t>
      </w:r>
      <w:r>
        <w:rPr>
          <w:b/>
          <w:sz w:val="28"/>
          <w:szCs w:val="28"/>
        </w:rPr>
        <w:fldChar w:fldCharType="end"/>
      </w:r>
      <w:r>
        <w:rPr>
          <w:b/>
          <w:sz w:val="28"/>
          <w:szCs w:val="28"/>
        </w:rPr>
        <w:fldChar w:fldCharType="end"/>
      </w:r>
    </w:p>
    <w:p>
      <w:pPr>
        <w:pStyle w:val="11"/>
        <w:tabs>
          <w:tab w:val="right" w:leader="dot" w:pos="8834"/>
        </w:tabs>
        <w:spacing w:line="360" w:lineRule="auto"/>
        <w:ind w:firstLine="0" w:firstLineChars="0"/>
        <w:rPr>
          <w:b/>
          <w:sz w:val="28"/>
          <w:szCs w:val="28"/>
        </w:rPr>
      </w:pPr>
      <w:r>
        <w:fldChar w:fldCharType="begin"/>
      </w:r>
      <w:r>
        <w:instrText xml:space="preserve"> HYPERLINK \l "_Toc120544636" </w:instrText>
      </w:r>
      <w:r>
        <w:fldChar w:fldCharType="separate"/>
      </w:r>
      <w:r>
        <w:rPr>
          <w:rStyle w:val="20"/>
          <w:b/>
          <w:sz w:val="28"/>
          <w:szCs w:val="28"/>
          <w:u w:val="none"/>
        </w:rPr>
        <w:t>四、生态环境影响分析</w:t>
      </w:r>
      <w:r>
        <w:rPr>
          <w:b/>
          <w:sz w:val="28"/>
          <w:szCs w:val="28"/>
        </w:rPr>
        <w:tab/>
      </w:r>
      <w:r>
        <w:rPr>
          <w:b/>
          <w:sz w:val="28"/>
          <w:szCs w:val="28"/>
        </w:rPr>
        <w:fldChar w:fldCharType="begin"/>
      </w:r>
      <w:r>
        <w:rPr>
          <w:b/>
          <w:sz w:val="28"/>
          <w:szCs w:val="28"/>
        </w:rPr>
        <w:instrText xml:space="preserve"> PAGEREF _Toc120544636 \h </w:instrText>
      </w:r>
      <w:r>
        <w:rPr>
          <w:b/>
          <w:sz w:val="28"/>
          <w:szCs w:val="28"/>
        </w:rPr>
        <w:fldChar w:fldCharType="separate"/>
      </w:r>
      <w:r>
        <w:rPr>
          <w:b/>
          <w:sz w:val="28"/>
          <w:szCs w:val="28"/>
        </w:rPr>
        <w:t>- 70 -</w:t>
      </w:r>
      <w:r>
        <w:rPr>
          <w:b/>
          <w:sz w:val="28"/>
          <w:szCs w:val="28"/>
        </w:rPr>
        <w:fldChar w:fldCharType="end"/>
      </w:r>
      <w:r>
        <w:rPr>
          <w:b/>
          <w:sz w:val="28"/>
          <w:szCs w:val="28"/>
        </w:rPr>
        <w:fldChar w:fldCharType="end"/>
      </w:r>
    </w:p>
    <w:p>
      <w:pPr>
        <w:pStyle w:val="11"/>
        <w:tabs>
          <w:tab w:val="right" w:leader="dot" w:pos="8834"/>
        </w:tabs>
        <w:spacing w:line="360" w:lineRule="auto"/>
        <w:ind w:firstLine="0" w:firstLineChars="0"/>
        <w:rPr>
          <w:b/>
          <w:sz w:val="28"/>
          <w:szCs w:val="28"/>
        </w:rPr>
      </w:pPr>
      <w:r>
        <w:fldChar w:fldCharType="begin"/>
      </w:r>
      <w:r>
        <w:instrText xml:space="preserve"> HYPERLINK \l "_Toc120544637" </w:instrText>
      </w:r>
      <w:r>
        <w:fldChar w:fldCharType="separate"/>
      </w:r>
      <w:r>
        <w:rPr>
          <w:rStyle w:val="20"/>
          <w:b/>
          <w:sz w:val="28"/>
          <w:szCs w:val="28"/>
          <w:u w:val="none"/>
        </w:rPr>
        <w:t>五、主要生态环境保护措施</w:t>
      </w:r>
      <w:r>
        <w:rPr>
          <w:b/>
          <w:sz w:val="28"/>
          <w:szCs w:val="28"/>
        </w:rPr>
        <w:tab/>
      </w:r>
      <w:r>
        <w:rPr>
          <w:b/>
          <w:sz w:val="28"/>
          <w:szCs w:val="28"/>
        </w:rPr>
        <w:fldChar w:fldCharType="begin"/>
      </w:r>
      <w:r>
        <w:rPr>
          <w:b/>
          <w:sz w:val="28"/>
          <w:szCs w:val="28"/>
        </w:rPr>
        <w:instrText xml:space="preserve"> PAGEREF _Toc120544637 \h </w:instrText>
      </w:r>
      <w:r>
        <w:rPr>
          <w:b/>
          <w:sz w:val="28"/>
          <w:szCs w:val="28"/>
        </w:rPr>
        <w:fldChar w:fldCharType="separate"/>
      </w:r>
      <w:r>
        <w:rPr>
          <w:b/>
          <w:sz w:val="28"/>
          <w:szCs w:val="28"/>
        </w:rPr>
        <w:t>- 99 -</w:t>
      </w:r>
      <w:r>
        <w:rPr>
          <w:b/>
          <w:sz w:val="28"/>
          <w:szCs w:val="28"/>
        </w:rPr>
        <w:fldChar w:fldCharType="end"/>
      </w:r>
      <w:r>
        <w:rPr>
          <w:b/>
          <w:sz w:val="28"/>
          <w:szCs w:val="28"/>
        </w:rPr>
        <w:fldChar w:fldCharType="end"/>
      </w:r>
    </w:p>
    <w:p>
      <w:pPr>
        <w:pStyle w:val="11"/>
        <w:tabs>
          <w:tab w:val="right" w:leader="dot" w:pos="8834"/>
        </w:tabs>
        <w:spacing w:line="360" w:lineRule="auto"/>
        <w:ind w:firstLine="0" w:firstLineChars="0"/>
        <w:rPr>
          <w:b/>
          <w:sz w:val="28"/>
          <w:szCs w:val="28"/>
        </w:rPr>
      </w:pPr>
      <w:r>
        <w:fldChar w:fldCharType="begin"/>
      </w:r>
      <w:r>
        <w:instrText xml:space="preserve"> HYPERLINK \l "_Toc120544638" </w:instrText>
      </w:r>
      <w:r>
        <w:fldChar w:fldCharType="separate"/>
      </w:r>
      <w:r>
        <w:rPr>
          <w:rStyle w:val="20"/>
          <w:b/>
          <w:sz w:val="28"/>
          <w:szCs w:val="28"/>
          <w:u w:val="none"/>
        </w:rPr>
        <w:t>六、生态环境保护措施监督检查清单</w:t>
      </w:r>
      <w:r>
        <w:rPr>
          <w:b/>
          <w:sz w:val="28"/>
          <w:szCs w:val="28"/>
        </w:rPr>
        <w:tab/>
      </w:r>
      <w:r>
        <w:rPr>
          <w:b/>
          <w:sz w:val="28"/>
          <w:szCs w:val="28"/>
        </w:rPr>
        <w:fldChar w:fldCharType="begin"/>
      </w:r>
      <w:r>
        <w:rPr>
          <w:b/>
          <w:sz w:val="28"/>
          <w:szCs w:val="28"/>
        </w:rPr>
        <w:instrText xml:space="preserve"> PAGEREF _Toc120544638 \h </w:instrText>
      </w:r>
      <w:r>
        <w:rPr>
          <w:b/>
          <w:sz w:val="28"/>
          <w:szCs w:val="28"/>
        </w:rPr>
        <w:fldChar w:fldCharType="separate"/>
      </w:r>
      <w:r>
        <w:rPr>
          <w:b/>
          <w:sz w:val="28"/>
          <w:szCs w:val="28"/>
        </w:rPr>
        <w:t>- 121 -</w:t>
      </w:r>
      <w:r>
        <w:rPr>
          <w:b/>
          <w:sz w:val="28"/>
          <w:szCs w:val="28"/>
        </w:rPr>
        <w:fldChar w:fldCharType="end"/>
      </w:r>
      <w:r>
        <w:rPr>
          <w:b/>
          <w:sz w:val="28"/>
          <w:szCs w:val="28"/>
        </w:rPr>
        <w:fldChar w:fldCharType="end"/>
      </w:r>
    </w:p>
    <w:p>
      <w:pPr>
        <w:pStyle w:val="11"/>
        <w:tabs>
          <w:tab w:val="right" w:leader="dot" w:pos="8834"/>
        </w:tabs>
        <w:spacing w:line="360" w:lineRule="auto"/>
        <w:ind w:firstLine="0" w:firstLineChars="0"/>
        <w:rPr>
          <w:b/>
          <w:sz w:val="28"/>
          <w:szCs w:val="28"/>
        </w:rPr>
      </w:pPr>
      <w:r>
        <w:fldChar w:fldCharType="begin"/>
      </w:r>
      <w:r>
        <w:instrText xml:space="preserve"> HYPERLINK \l "_Toc120544647" </w:instrText>
      </w:r>
      <w:r>
        <w:fldChar w:fldCharType="separate"/>
      </w:r>
      <w:r>
        <w:rPr>
          <w:rStyle w:val="20"/>
          <w:b/>
          <w:sz w:val="28"/>
          <w:szCs w:val="28"/>
          <w:u w:val="none"/>
        </w:rPr>
        <w:t>七、结论</w:t>
      </w:r>
      <w:r>
        <w:rPr>
          <w:b/>
          <w:sz w:val="28"/>
          <w:szCs w:val="28"/>
        </w:rPr>
        <w:tab/>
      </w:r>
      <w:r>
        <w:rPr>
          <w:b/>
          <w:sz w:val="28"/>
          <w:szCs w:val="28"/>
        </w:rPr>
        <w:fldChar w:fldCharType="begin"/>
      </w:r>
      <w:r>
        <w:rPr>
          <w:b/>
          <w:sz w:val="28"/>
          <w:szCs w:val="28"/>
        </w:rPr>
        <w:instrText xml:space="preserve"> PAGEREF _Toc120544647 \h </w:instrText>
      </w:r>
      <w:r>
        <w:rPr>
          <w:b/>
          <w:sz w:val="28"/>
          <w:szCs w:val="28"/>
        </w:rPr>
        <w:fldChar w:fldCharType="separate"/>
      </w:r>
      <w:r>
        <w:rPr>
          <w:b/>
          <w:sz w:val="28"/>
          <w:szCs w:val="28"/>
        </w:rPr>
        <w:t>- 123 -</w:t>
      </w:r>
      <w:r>
        <w:rPr>
          <w:b/>
          <w:sz w:val="28"/>
          <w:szCs w:val="28"/>
        </w:rPr>
        <w:fldChar w:fldCharType="end"/>
      </w:r>
      <w:r>
        <w:rPr>
          <w:b/>
          <w:sz w:val="28"/>
          <w:szCs w:val="28"/>
        </w:rPr>
        <w:fldChar w:fldCharType="end"/>
      </w:r>
    </w:p>
    <w:p>
      <w:pPr>
        <w:spacing w:line="360" w:lineRule="auto"/>
        <w:ind w:firstLine="0" w:firstLineChars="0"/>
        <w:rPr>
          <w:b/>
          <w:bCs/>
          <w:lang w:val="zh-CN"/>
        </w:rPr>
      </w:pPr>
      <w:r>
        <w:rPr>
          <w:b/>
          <w:bCs/>
          <w:lang w:val="zh-CN"/>
        </w:rPr>
        <w:fldChar w:fldCharType="end"/>
      </w:r>
    </w:p>
    <w:p>
      <w:pPr>
        <w:ind w:firstLine="0" w:firstLineChars="0"/>
        <w:rPr>
          <w:b/>
          <w:sz w:val="28"/>
          <w:szCs w:val="28"/>
        </w:rPr>
      </w:pPr>
      <w:r>
        <w:rPr>
          <w:rFonts w:hint="eastAsia"/>
          <w:b/>
          <w:sz w:val="28"/>
          <w:szCs w:val="28"/>
        </w:rPr>
        <w:t>附件</w:t>
      </w:r>
    </w:p>
    <w:p>
      <w:pPr>
        <w:ind w:firstLine="0" w:firstLineChars="0"/>
      </w:pPr>
      <w:r>
        <w:rPr>
          <w:rFonts w:hint="eastAsia"/>
        </w:rPr>
        <w:t>附件1</w:t>
      </w:r>
      <w:r>
        <w:t xml:space="preserve"> </w:t>
      </w:r>
      <w:r>
        <w:rPr>
          <w:rFonts w:hint="eastAsia"/>
        </w:rPr>
        <w:t>环评委托书</w:t>
      </w:r>
    </w:p>
    <w:p>
      <w:pPr>
        <w:ind w:firstLine="0" w:firstLineChars="0"/>
      </w:pPr>
      <w:r>
        <w:rPr>
          <w:rFonts w:hint="eastAsia"/>
        </w:rPr>
        <w:t>附件2</w:t>
      </w:r>
      <w:r>
        <w:t xml:space="preserve"> </w:t>
      </w:r>
      <w:r>
        <w:rPr>
          <w:rFonts w:hint="eastAsia"/>
        </w:rPr>
        <w:t>建设单位营业执照</w:t>
      </w:r>
    </w:p>
    <w:p>
      <w:pPr>
        <w:ind w:firstLine="0" w:firstLineChars="0"/>
      </w:pPr>
      <w:r>
        <w:rPr>
          <w:rFonts w:hint="eastAsia"/>
        </w:rPr>
        <w:t>附件3</w:t>
      </w:r>
      <w:bookmarkStart w:id="6" w:name="_Hlk129373634"/>
      <w:r>
        <w:t xml:space="preserve"> </w:t>
      </w:r>
      <w:r>
        <w:rPr>
          <w:rFonts w:hint="eastAsia"/>
        </w:rPr>
        <w:t>岳阳市公共资源交易中心国土资源挂牌出让网上竞得证明</w:t>
      </w:r>
      <w:bookmarkEnd w:id="6"/>
    </w:p>
    <w:p>
      <w:pPr>
        <w:ind w:firstLine="0" w:firstLineChars="0"/>
      </w:pPr>
      <w:r>
        <w:rPr>
          <w:rFonts w:hint="eastAsia"/>
        </w:rPr>
        <w:t>附件4</w:t>
      </w:r>
      <w:bookmarkStart w:id="7" w:name="_Hlk129373679"/>
      <w:r>
        <w:t xml:space="preserve"> </w:t>
      </w:r>
      <w:r>
        <w:rPr>
          <w:rFonts w:hint="eastAsia"/>
        </w:rPr>
        <w:t>岳阳市公共资源进场交易确认书</w:t>
      </w:r>
      <w:bookmarkEnd w:id="7"/>
    </w:p>
    <w:p>
      <w:pPr>
        <w:ind w:firstLine="0" w:firstLineChars="0"/>
        <w:rPr>
          <w:color w:val="FF0000"/>
        </w:rPr>
      </w:pPr>
      <w:r>
        <w:rPr>
          <w:rFonts w:hint="eastAsia"/>
        </w:rPr>
        <w:t>附件5</w:t>
      </w:r>
      <w:bookmarkStart w:id="8" w:name="_Hlk129373719"/>
      <w:r>
        <w:t xml:space="preserve"> </w:t>
      </w:r>
      <w:r>
        <w:rPr>
          <w:rFonts w:hint="eastAsia"/>
        </w:rPr>
        <w:t>《湘阴县人民政府关于&lt;湖南省湘阴县静河镇共荣建筑用砂矿矿区土地使用方案&gt;的批复》（湘阴政函〔2022〕2</w:t>
      </w:r>
      <w:r>
        <w:t>42</w:t>
      </w:r>
      <w:r>
        <w:rPr>
          <w:rFonts w:hint="eastAsia"/>
        </w:rPr>
        <w:t>号）</w:t>
      </w:r>
      <w:bookmarkEnd w:id="8"/>
    </w:p>
    <w:p>
      <w:pPr>
        <w:ind w:firstLine="0" w:firstLineChars="0"/>
      </w:pPr>
      <w:bookmarkStart w:id="9" w:name="_Hlk129373817"/>
      <w:r>
        <w:rPr>
          <w:rFonts w:hint="eastAsia"/>
        </w:rPr>
        <w:t>附件6</w:t>
      </w:r>
      <w:r>
        <w:t xml:space="preserve"> </w:t>
      </w:r>
      <w:r>
        <w:rPr>
          <w:rFonts w:hint="eastAsia"/>
        </w:rPr>
        <w:t>《湖南省湘阴县共荣矿区建筑用砂矿开发利用方案》评审意见书</w:t>
      </w:r>
    </w:p>
    <w:bookmarkEnd w:id="9"/>
    <w:p>
      <w:pPr>
        <w:ind w:firstLine="0" w:firstLineChars="0"/>
      </w:pPr>
      <w:r>
        <w:rPr>
          <w:rFonts w:hint="eastAsia"/>
        </w:rPr>
        <w:t>附件7</w:t>
      </w:r>
      <w:r>
        <w:t xml:space="preserve"> </w:t>
      </w:r>
      <w:r>
        <w:rPr>
          <w:rFonts w:hint="eastAsia"/>
        </w:rPr>
        <w:t>环境质量现状检测报告及质保单</w:t>
      </w:r>
    </w:p>
    <w:p>
      <w:pPr>
        <w:ind w:firstLine="0" w:firstLineChars="0"/>
      </w:pPr>
      <w:r>
        <w:rPr>
          <w:rFonts w:hint="eastAsia"/>
        </w:rPr>
        <w:t>附件8</w:t>
      </w:r>
      <w:r>
        <w:t xml:space="preserve"> </w:t>
      </w:r>
      <w:r>
        <w:rPr>
          <w:rFonts w:hint="eastAsia"/>
        </w:rPr>
        <w:t>项目编制情况承诺书及平台截图</w:t>
      </w:r>
    </w:p>
    <w:p>
      <w:pPr>
        <w:ind w:firstLine="0" w:firstLineChars="0"/>
      </w:pPr>
      <w:r>
        <w:rPr>
          <w:rFonts w:hint="eastAsia"/>
        </w:rPr>
        <w:t>附件9 关于湘阴高新区建设项目平场需大量土方量的情况说明</w:t>
      </w:r>
    </w:p>
    <w:p>
      <w:pPr>
        <w:ind w:firstLine="0" w:firstLineChars="0"/>
        <w:rPr>
          <w:u w:val="single"/>
        </w:rPr>
      </w:pPr>
      <w:r>
        <w:rPr>
          <w:rFonts w:hint="eastAsia"/>
          <w:u w:val="single"/>
        </w:rPr>
        <w:t>附件10</w:t>
      </w:r>
      <w:r>
        <w:rPr>
          <w:u w:val="single"/>
        </w:rPr>
        <w:t xml:space="preserve"> </w:t>
      </w:r>
      <w:r>
        <w:rPr>
          <w:rFonts w:hint="eastAsia"/>
          <w:u w:val="single"/>
        </w:rPr>
        <w:t>《湘阴县静河镇共荣建筑用砂矿采矿权申请范围核查报告》评审意见书</w:t>
      </w:r>
    </w:p>
    <w:p>
      <w:pPr>
        <w:ind w:firstLine="0" w:firstLineChars="0"/>
        <w:rPr>
          <w:u w:val="single"/>
        </w:rPr>
      </w:pPr>
      <w:r>
        <w:rPr>
          <w:rFonts w:hint="eastAsia"/>
          <w:u w:val="single"/>
        </w:rPr>
        <w:t>附件11</w:t>
      </w:r>
      <w:r>
        <w:rPr>
          <w:u w:val="single"/>
        </w:rPr>
        <w:t xml:space="preserve"> </w:t>
      </w:r>
      <w:r>
        <w:rPr>
          <w:rFonts w:hint="eastAsia"/>
          <w:u w:val="single"/>
        </w:rPr>
        <w:t>《岳阳市自然资源和规划局关于对湘阴县静河镇共荣建筑用砂矿采矿权申请范围的审查意见》</w:t>
      </w:r>
    </w:p>
    <w:p>
      <w:pPr>
        <w:ind w:firstLine="0" w:firstLineChars="0"/>
        <w:rPr>
          <w:u w:val="single"/>
        </w:rPr>
      </w:pPr>
      <w:r>
        <w:rPr>
          <w:rFonts w:hint="eastAsia"/>
          <w:u w:val="single"/>
        </w:rPr>
        <w:t>附件12</w:t>
      </w:r>
      <w:r>
        <w:rPr>
          <w:u w:val="single"/>
        </w:rPr>
        <w:t xml:space="preserve"> </w:t>
      </w:r>
      <w:r>
        <w:rPr>
          <w:rFonts w:hint="eastAsia"/>
          <w:u w:val="single"/>
        </w:rPr>
        <w:t>《湘阴县自然资源局关于湘阴县静河镇共荣矿区建筑用砂矿项目不涉及调整前后生态保护红线的情况说明》</w:t>
      </w:r>
    </w:p>
    <w:p>
      <w:pPr>
        <w:ind w:firstLine="0" w:firstLineChars="0"/>
        <w:rPr>
          <w:u w:val="single"/>
        </w:rPr>
      </w:pPr>
      <w:r>
        <w:rPr>
          <w:rFonts w:hint="eastAsia"/>
          <w:u w:val="single"/>
        </w:rPr>
        <w:t>附件13</w:t>
      </w:r>
      <w:r>
        <w:rPr>
          <w:u w:val="single"/>
        </w:rPr>
        <w:t xml:space="preserve"> </w:t>
      </w:r>
      <w:r>
        <w:rPr>
          <w:rFonts w:hint="eastAsia"/>
          <w:u w:val="single"/>
        </w:rPr>
        <w:t>《湘阴县林业局关于湘阴县静河镇共荣矿区建筑用砂矿建设项目选址意见》</w:t>
      </w:r>
    </w:p>
    <w:p>
      <w:pPr>
        <w:ind w:firstLine="0" w:firstLineChars="0"/>
        <w:rPr>
          <w:u w:val="single"/>
        </w:rPr>
      </w:pPr>
      <w:r>
        <w:rPr>
          <w:rFonts w:hint="eastAsia"/>
          <w:u w:val="single"/>
        </w:rPr>
        <w:t>附件14</w:t>
      </w:r>
      <w:r>
        <w:rPr>
          <w:u w:val="single"/>
        </w:rPr>
        <w:t xml:space="preserve"> </w:t>
      </w:r>
      <w:r>
        <w:rPr>
          <w:rFonts w:hint="eastAsia"/>
          <w:u w:val="single"/>
        </w:rPr>
        <w:t>《湖南省自然资源厅关于&lt;湘阴县普通建筑材料用砂石土矿专项规划（2019-2025 年）&gt;审查意见的函》</w:t>
      </w:r>
    </w:p>
    <w:p>
      <w:pPr>
        <w:ind w:firstLine="0" w:firstLineChars="0"/>
        <w:rPr>
          <w:u w:val="single"/>
        </w:rPr>
      </w:pPr>
      <w:r>
        <w:rPr>
          <w:rFonts w:hint="eastAsia"/>
          <w:u w:val="single"/>
        </w:rPr>
        <w:t>附件15</w:t>
      </w:r>
      <w:r>
        <w:rPr>
          <w:u w:val="single"/>
        </w:rPr>
        <w:t xml:space="preserve"> </w:t>
      </w:r>
      <w:r>
        <w:rPr>
          <w:rFonts w:hint="eastAsia"/>
          <w:u w:val="single"/>
        </w:rPr>
        <w:t>专家评审意见及签到表</w:t>
      </w:r>
    </w:p>
    <w:p>
      <w:pPr>
        <w:ind w:firstLine="0" w:firstLineChars="0"/>
        <w:rPr>
          <w:u w:val="single"/>
        </w:rPr>
      </w:pPr>
    </w:p>
    <w:p>
      <w:pPr>
        <w:ind w:firstLine="0" w:firstLineChars="0"/>
        <w:rPr>
          <w:b/>
          <w:sz w:val="28"/>
          <w:szCs w:val="28"/>
        </w:rPr>
      </w:pPr>
      <w:r>
        <w:rPr>
          <w:rFonts w:hint="eastAsia"/>
          <w:b/>
          <w:sz w:val="28"/>
          <w:szCs w:val="28"/>
        </w:rPr>
        <w:t>附图</w:t>
      </w:r>
    </w:p>
    <w:p>
      <w:pPr>
        <w:ind w:firstLine="0" w:firstLineChars="0"/>
      </w:pPr>
      <w:r>
        <w:rPr>
          <w:rFonts w:hint="eastAsia"/>
        </w:rPr>
        <w:t>附图1</w:t>
      </w:r>
      <w:r>
        <w:t xml:space="preserve"> </w:t>
      </w:r>
      <w:r>
        <w:rPr>
          <w:rFonts w:hint="eastAsia"/>
        </w:rPr>
        <w:t>地理位置图</w:t>
      </w:r>
    </w:p>
    <w:p>
      <w:pPr>
        <w:ind w:firstLine="0" w:firstLineChars="0"/>
      </w:pPr>
      <w:r>
        <w:rPr>
          <w:rFonts w:hint="eastAsia"/>
        </w:rPr>
        <w:t>附图2</w:t>
      </w:r>
      <w:r>
        <w:t xml:space="preserve"> </w:t>
      </w:r>
      <w:r>
        <w:rPr>
          <w:rFonts w:hint="eastAsia"/>
        </w:rPr>
        <w:t>平面布置图（附图2-</w:t>
      </w:r>
      <w:r>
        <w:t>1</w:t>
      </w:r>
      <w:r>
        <w:rPr>
          <w:rFonts w:hint="eastAsia"/>
        </w:rPr>
        <w:t>~附图2-</w:t>
      </w:r>
      <w:r>
        <w:t>2</w:t>
      </w:r>
      <w:r>
        <w:rPr>
          <w:rFonts w:hint="eastAsia"/>
        </w:rPr>
        <w:t>）</w:t>
      </w:r>
    </w:p>
    <w:p>
      <w:pPr>
        <w:ind w:firstLine="0" w:firstLineChars="0"/>
      </w:pPr>
      <w:bookmarkStart w:id="10" w:name="_Hlk129376383"/>
      <w:r>
        <w:rPr>
          <w:rFonts w:hint="eastAsia"/>
        </w:rPr>
        <w:t>附图</w:t>
      </w:r>
      <w:r>
        <w:t xml:space="preserve">3 </w:t>
      </w:r>
      <w:r>
        <w:rPr>
          <w:rFonts w:hint="eastAsia"/>
        </w:rPr>
        <w:t>环境质量现状监测点位示意图</w:t>
      </w:r>
    </w:p>
    <w:bookmarkEnd w:id="10"/>
    <w:p>
      <w:pPr>
        <w:ind w:firstLine="0" w:firstLineChars="0"/>
      </w:pPr>
      <w:r>
        <w:rPr>
          <w:rFonts w:hint="eastAsia"/>
        </w:rPr>
        <w:t>附图</w:t>
      </w:r>
      <w:r>
        <w:t xml:space="preserve">4 </w:t>
      </w:r>
      <w:r>
        <w:rPr>
          <w:rFonts w:hint="eastAsia"/>
        </w:rPr>
        <w:t>环境保护目标图（附图</w:t>
      </w:r>
      <w:r>
        <w:t>4-1~</w:t>
      </w:r>
      <w:r>
        <w:rPr>
          <w:rFonts w:hint="eastAsia"/>
        </w:rPr>
        <w:t>附图4</w:t>
      </w:r>
      <w:r>
        <w:t>-2</w:t>
      </w:r>
      <w:r>
        <w:rPr>
          <w:rFonts w:hint="eastAsia"/>
        </w:rPr>
        <w:t>）</w:t>
      </w:r>
    </w:p>
    <w:p>
      <w:pPr>
        <w:ind w:firstLine="0" w:firstLineChars="0"/>
      </w:pPr>
      <w:bookmarkStart w:id="11" w:name="_Hlk129376724"/>
      <w:r>
        <w:rPr>
          <w:rFonts w:hint="eastAsia"/>
        </w:rPr>
        <w:t>附图</w:t>
      </w:r>
      <w:r>
        <w:t xml:space="preserve">5 </w:t>
      </w:r>
      <w:r>
        <w:rPr>
          <w:rFonts w:hint="eastAsia"/>
        </w:rPr>
        <w:t>岳阳市生态环境管控单元图</w:t>
      </w:r>
    </w:p>
    <w:bookmarkEnd w:id="11"/>
    <w:p>
      <w:pPr>
        <w:ind w:firstLine="0" w:firstLineChars="0"/>
      </w:pPr>
      <w:r>
        <w:rPr>
          <w:rFonts w:hint="eastAsia"/>
        </w:rPr>
        <w:t>附图</w:t>
      </w:r>
      <w:r>
        <w:t xml:space="preserve">6 </w:t>
      </w:r>
      <w:bookmarkStart w:id="12" w:name="_Hlk129377187"/>
      <w:r>
        <w:rPr>
          <w:rFonts w:hint="eastAsia"/>
        </w:rPr>
        <w:t>项目与岳阳市生态保护红线位置关系示意图</w:t>
      </w:r>
      <w:bookmarkEnd w:id="12"/>
    </w:p>
    <w:p>
      <w:pPr>
        <w:ind w:firstLine="0" w:firstLineChars="0"/>
      </w:pPr>
      <w:r>
        <w:rPr>
          <w:rFonts w:hint="eastAsia"/>
        </w:rPr>
        <w:t>附图7</w:t>
      </w:r>
      <w:r>
        <w:t xml:space="preserve"> </w:t>
      </w:r>
      <w:r>
        <w:rPr>
          <w:rFonts w:hint="eastAsia"/>
        </w:rPr>
        <w:t>项目与周边水系位置关系图</w:t>
      </w:r>
    </w:p>
    <w:p>
      <w:pPr>
        <w:ind w:firstLine="0" w:firstLineChars="0"/>
      </w:pPr>
      <w:r>
        <w:rPr>
          <w:rFonts w:hint="eastAsia"/>
        </w:rPr>
        <w:t>附图</w:t>
      </w:r>
      <w:r>
        <w:t xml:space="preserve">8 </w:t>
      </w:r>
      <w:r>
        <w:rPr>
          <w:rFonts w:hint="eastAsia"/>
        </w:rPr>
        <w:t>项目现场照片</w:t>
      </w:r>
    </w:p>
    <w:p>
      <w:pPr>
        <w:ind w:firstLine="0" w:firstLineChars="0"/>
      </w:pPr>
      <w:r>
        <w:rPr>
          <w:rFonts w:hint="eastAsia"/>
        </w:rPr>
        <w:t>附图9</w:t>
      </w:r>
      <w:r>
        <w:t xml:space="preserve"> </w:t>
      </w:r>
      <w:r>
        <w:rPr>
          <w:rFonts w:hint="eastAsia"/>
        </w:rPr>
        <w:t>生态环境评价范围图</w:t>
      </w:r>
    </w:p>
    <w:p>
      <w:pPr>
        <w:ind w:firstLine="0" w:firstLineChars="0"/>
      </w:pPr>
      <w:r>
        <w:rPr>
          <w:rFonts w:hint="eastAsia"/>
        </w:rPr>
        <w:t>附图1</w:t>
      </w:r>
      <w:r>
        <w:t xml:space="preserve">0 </w:t>
      </w:r>
      <w:r>
        <w:rPr>
          <w:rFonts w:hint="eastAsia"/>
        </w:rPr>
        <w:t>生态环境评价范围土地利用现状图</w:t>
      </w:r>
    </w:p>
    <w:p>
      <w:pPr>
        <w:ind w:firstLine="0" w:firstLineChars="0"/>
      </w:pPr>
      <w:r>
        <w:rPr>
          <w:rFonts w:hint="eastAsia"/>
        </w:rPr>
        <w:t>附图11 生态环境评价范围植被类型图</w:t>
      </w:r>
    </w:p>
    <w:p>
      <w:pPr>
        <w:ind w:firstLine="0" w:firstLineChars="0"/>
      </w:pPr>
      <w:r>
        <w:rPr>
          <w:rFonts w:hint="eastAsia"/>
        </w:rPr>
        <w:t>附图12 生态环境评价范围重点保护动物分布图</w:t>
      </w:r>
    </w:p>
    <w:p>
      <w:pPr>
        <w:ind w:firstLine="0" w:firstLineChars="0"/>
      </w:pPr>
      <w:r>
        <w:rPr>
          <w:rFonts w:hint="eastAsia"/>
        </w:rPr>
        <w:t>附图13 生态环境评价范围生态系统分布图</w:t>
      </w:r>
    </w:p>
    <w:p>
      <w:pPr>
        <w:ind w:firstLine="0" w:firstLineChars="0"/>
      </w:pPr>
      <w:r>
        <w:rPr>
          <w:rFonts w:hint="eastAsia"/>
        </w:rPr>
        <w:t>附图14 运营期监测点位图</w:t>
      </w:r>
    </w:p>
    <w:p>
      <w:pPr>
        <w:ind w:firstLine="0" w:firstLineChars="0"/>
      </w:pPr>
      <w:r>
        <w:rPr>
          <w:rFonts w:hint="eastAsia"/>
        </w:rPr>
        <w:t>附图15</w:t>
      </w:r>
      <w:r>
        <w:t xml:space="preserve"> </w:t>
      </w:r>
      <w:r>
        <w:rPr>
          <w:rFonts w:hint="eastAsia"/>
        </w:rPr>
        <w:t>生态保护措施布置图</w:t>
      </w:r>
    </w:p>
    <w:p>
      <w:pPr>
        <w:ind w:firstLine="0" w:firstLineChars="0"/>
        <w:rPr>
          <w:u w:val="single"/>
        </w:rPr>
      </w:pPr>
      <w:r>
        <w:rPr>
          <w:rFonts w:hint="eastAsia"/>
          <w:u w:val="single"/>
        </w:rPr>
        <w:t>附图16</w:t>
      </w:r>
      <w:r>
        <w:rPr>
          <w:u w:val="single"/>
        </w:rPr>
        <w:t xml:space="preserve"> </w:t>
      </w:r>
      <w:r>
        <w:rPr>
          <w:rFonts w:hint="eastAsia"/>
          <w:u w:val="single"/>
        </w:rPr>
        <w:t>土石方平衡图</w:t>
      </w:r>
    </w:p>
    <w:p>
      <w:pPr>
        <w:ind w:firstLine="0" w:firstLineChars="0"/>
        <w:sectPr>
          <w:headerReference r:id="rId9" w:type="default"/>
          <w:footerReference r:id="rId10" w:type="default"/>
          <w:pgSz w:w="11906" w:h="16838"/>
          <w:pgMar w:top="1378" w:right="1531" w:bottom="1378" w:left="1559" w:header="851" w:footer="1077" w:gutter="0"/>
          <w:pgNumType w:start="1"/>
          <w:cols w:space="720" w:num="1"/>
          <w:docGrid w:linePitch="312" w:charSpace="0"/>
        </w:sectPr>
      </w:pPr>
    </w:p>
    <w:p>
      <w:pPr>
        <w:ind w:firstLine="0" w:firstLineChars="0"/>
      </w:pPr>
    </w:p>
    <w:p>
      <w:pPr>
        <w:pStyle w:val="12"/>
        <w:adjustRightInd w:val="0"/>
        <w:snapToGrid w:val="0"/>
        <w:spacing w:before="0" w:beforeAutospacing="0" w:after="0" w:afterAutospacing="0" w:line="360" w:lineRule="auto"/>
        <w:ind w:firstLine="198" w:firstLineChars="0"/>
        <w:jc w:val="center"/>
        <w:outlineLvl w:val="0"/>
        <w:rPr>
          <w:rFonts w:ascii="黑体" w:hAnsi="黑体" w:eastAsia="黑体"/>
          <w:sz w:val="30"/>
          <w:szCs w:val="30"/>
        </w:rPr>
      </w:pPr>
      <w:bookmarkStart w:id="13" w:name="_Toc120544633"/>
      <w:r>
        <w:rPr>
          <w:rFonts w:hint="eastAsia" w:ascii="黑体" w:hAnsi="黑体" w:eastAsia="黑体"/>
          <w:sz w:val="30"/>
          <w:szCs w:val="30"/>
        </w:rPr>
        <w:t>一、建设项目基本情况</w:t>
      </w:r>
      <w:bookmarkEnd w:id="13"/>
    </w:p>
    <w:tbl>
      <w:tblPr>
        <w:tblStyle w:val="16"/>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08"/>
        <w:gridCol w:w="2608"/>
        <w:gridCol w:w="1503"/>
        <w:gridCol w:w="2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建设项目名称</w:t>
            </w:r>
          </w:p>
        </w:tc>
        <w:tc>
          <w:tcPr>
            <w:tcW w:w="7096" w:type="dxa"/>
            <w:gridSpan w:val="3"/>
            <w:vAlign w:val="center"/>
          </w:tcPr>
          <w:p>
            <w:pPr>
              <w:pStyle w:val="13"/>
              <w:rPr>
                <w:sz w:val="24"/>
                <w:szCs w:val="24"/>
              </w:rPr>
            </w:pPr>
            <w:bookmarkStart w:id="14" w:name="_Hlk129597118"/>
            <w:r>
              <w:rPr>
                <w:rFonts w:hint="eastAsia"/>
                <w:sz w:val="24"/>
                <w:szCs w:val="24"/>
              </w:rPr>
              <w:t>湘阴县静河镇共荣矿区建筑用砂矿开采及加工（90万t/a）建设项目</w:t>
            </w:r>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项目代码</w:t>
            </w:r>
          </w:p>
        </w:tc>
        <w:tc>
          <w:tcPr>
            <w:tcW w:w="7096" w:type="dxa"/>
            <w:gridSpan w:val="3"/>
            <w:vAlign w:val="center"/>
          </w:tcPr>
          <w:p>
            <w:pPr>
              <w:pStyle w:val="13"/>
              <w:rPr>
                <w:sz w:val="24"/>
                <w:szCs w:val="24"/>
              </w:rPr>
            </w:pPr>
            <w:r>
              <w:rPr>
                <w:rFonts w:hint="eastAsia"/>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建设单位联系人</w:t>
            </w:r>
          </w:p>
        </w:tc>
        <w:tc>
          <w:tcPr>
            <w:tcW w:w="2608" w:type="dxa"/>
            <w:vAlign w:val="center"/>
          </w:tcPr>
          <w:p>
            <w:pPr>
              <w:pStyle w:val="13"/>
              <w:rPr>
                <w:rFonts w:hint="eastAsia" w:eastAsia="宋体"/>
                <w:sz w:val="24"/>
                <w:szCs w:val="24"/>
                <w:lang w:eastAsia="zh-CN"/>
              </w:rPr>
            </w:pPr>
            <w:r>
              <w:rPr>
                <w:rFonts w:hint="eastAsia"/>
                <w:sz w:val="24"/>
                <w:szCs w:val="24"/>
                <w:lang w:val="en-US" w:eastAsia="zh-CN"/>
              </w:rPr>
              <w:t xml:space="preserve"> </w:t>
            </w:r>
            <w:bookmarkStart w:id="41" w:name="_GoBack"/>
            <w:bookmarkEnd w:id="41"/>
          </w:p>
        </w:tc>
        <w:tc>
          <w:tcPr>
            <w:tcW w:w="1503" w:type="dxa"/>
            <w:vAlign w:val="center"/>
          </w:tcPr>
          <w:p>
            <w:pPr>
              <w:pStyle w:val="13"/>
              <w:rPr>
                <w:sz w:val="24"/>
                <w:szCs w:val="24"/>
              </w:rPr>
            </w:pPr>
            <w:r>
              <w:rPr>
                <w:rFonts w:hint="eastAsia"/>
                <w:sz w:val="24"/>
                <w:szCs w:val="24"/>
              </w:rPr>
              <w:t>联系方式</w:t>
            </w:r>
          </w:p>
        </w:tc>
        <w:tc>
          <w:tcPr>
            <w:tcW w:w="2985" w:type="dxa"/>
            <w:vAlign w:val="center"/>
          </w:tcPr>
          <w:p>
            <w:pPr>
              <w:pStyle w:val="13"/>
              <w:rPr>
                <w:rFonts w:hint="eastAsia" w:eastAsia="宋体"/>
                <w:sz w:val="24"/>
                <w:szCs w:val="24"/>
                <w:lang w:eastAsia="zh-CN"/>
              </w:rPr>
            </w:pPr>
            <w:r>
              <w:rPr>
                <w:rFonts w:hint="eastAsia"/>
                <w:sz w:val="24"/>
                <w:szCs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建设地点</w:t>
            </w:r>
          </w:p>
        </w:tc>
        <w:tc>
          <w:tcPr>
            <w:tcW w:w="7096" w:type="dxa"/>
            <w:gridSpan w:val="3"/>
            <w:vAlign w:val="center"/>
          </w:tcPr>
          <w:p>
            <w:pPr>
              <w:pStyle w:val="13"/>
              <w:rPr>
                <w:sz w:val="24"/>
                <w:szCs w:val="24"/>
              </w:rPr>
            </w:pPr>
            <w:r>
              <w:rPr>
                <w:rFonts w:hint="eastAsia"/>
                <w:sz w:val="24"/>
                <w:szCs w:val="24"/>
              </w:rPr>
              <w:t>湖南省岳阳市湘阴县静河镇共荣村、龙潭寺村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地理坐标</w:t>
            </w:r>
          </w:p>
        </w:tc>
        <w:tc>
          <w:tcPr>
            <w:tcW w:w="7096" w:type="dxa"/>
            <w:gridSpan w:val="3"/>
            <w:vAlign w:val="center"/>
          </w:tcPr>
          <w:p>
            <w:pPr>
              <w:pStyle w:val="13"/>
              <w:spacing w:line="312" w:lineRule="auto"/>
              <w:rPr>
                <w:sz w:val="24"/>
                <w:szCs w:val="24"/>
              </w:rPr>
            </w:pPr>
            <w:r>
              <w:rPr>
                <w:sz w:val="24"/>
                <w:szCs w:val="24"/>
              </w:rPr>
              <w:t>矿区中心坐标：东经112°52′48.598″，北纬28°35′8.959″</w:t>
            </w:r>
          </w:p>
          <w:p>
            <w:pPr>
              <w:spacing w:line="312" w:lineRule="auto"/>
              <w:ind w:firstLine="0" w:firstLineChars="0"/>
              <w:jc w:val="center"/>
            </w:pPr>
            <w:r>
              <w:rPr>
                <w:rFonts w:hint="eastAsia"/>
              </w:rPr>
              <w:t>加工区中心坐标：东经</w:t>
            </w:r>
            <w:r>
              <w:t>112°52′58.638″，北纬28°35′6.583″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建设项目行业类别</w:t>
            </w:r>
          </w:p>
        </w:tc>
        <w:tc>
          <w:tcPr>
            <w:tcW w:w="2608" w:type="dxa"/>
            <w:vAlign w:val="center"/>
          </w:tcPr>
          <w:p>
            <w:pPr>
              <w:pStyle w:val="13"/>
              <w:jc w:val="both"/>
              <w:rPr>
                <w:sz w:val="24"/>
                <w:szCs w:val="24"/>
              </w:rPr>
            </w:pPr>
            <w:r>
              <w:rPr>
                <w:rFonts w:hint="eastAsia"/>
                <w:sz w:val="24"/>
                <w:szCs w:val="24"/>
              </w:rPr>
              <w:t>八、非金属矿采选业—1</w:t>
            </w:r>
            <w:r>
              <w:rPr>
                <w:sz w:val="24"/>
                <w:szCs w:val="24"/>
              </w:rPr>
              <w:t>1</w:t>
            </w:r>
            <w:r>
              <w:rPr>
                <w:rFonts w:hint="eastAsia"/>
                <w:sz w:val="24"/>
                <w:szCs w:val="24"/>
              </w:rPr>
              <w:t>、土砂石开采1</w:t>
            </w:r>
            <w:r>
              <w:rPr>
                <w:sz w:val="24"/>
                <w:szCs w:val="24"/>
              </w:rPr>
              <w:t>01</w:t>
            </w:r>
            <w:r>
              <w:rPr>
                <w:rFonts w:hint="eastAsia"/>
                <w:sz w:val="24"/>
                <w:szCs w:val="24"/>
              </w:rPr>
              <w:t>（不含河道采砂项目）；</w:t>
            </w:r>
          </w:p>
          <w:p>
            <w:pPr>
              <w:spacing w:line="240" w:lineRule="auto"/>
              <w:ind w:firstLine="0" w:firstLineChars="0"/>
            </w:pPr>
            <w:r>
              <w:rPr>
                <w:rFonts w:hint="eastAsia"/>
              </w:rPr>
              <w:t>二十七、非金属矿物制品业 30—</w:t>
            </w:r>
            <w:r>
              <w:t>60</w:t>
            </w:r>
            <w:r>
              <w:rPr>
                <w:rFonts w:hint="eastAsia"/>
              </w:rPr>
              <w:t>石墨及其他非金属矿物制品制造 309</w:t>
            </w:r>
          </w:p>
        </w:tc>
        <w:tc>
          <w:tcPr>
            <w:tcW w:w="1503" w:type="dxa"/>
            <w:vAlign w:val="center"/>
          </w:tcPr>
          <w:p>
            <w:pPr>
              <w:pStyle w:val="13"/>
              <w:rPr>
                <w:sz w:val="24"/>
                <w:szCs w:val="24"/>
              </w:rPr>
            </w:pPr>
            <w:r>
              <w:rPr>
                <w:rFonts w:hint="eastAsia"/>
                <w:sz w:val="24"/>
                <w:szCs w:val="24"/>
              </w:rPr>
              <w:t>用地（用海）面积（</w:t>
            </w:r>
            <w:r>
              <w:rPr>
                <w:sz w:val="24"/>
                <w:szCs w:val="24"/>
              </w:rPr>
              <w:t>m</w:t>
            </w:r>
            <w:r>
              <w:rPr>
                <w:sz w:val="24"/>
                <w:szCs w:val="24"/>
                <w:vertAlign w:val="superscript"/>
              </w:rPr>
              <w:t>2</w:t>
            </w:r>
            <w:r>
              <w:rPr>
                <w:rFonts w:hint="eastAsia"/>
                <w:sz w:val="24"/>
                <w:szCs w:val="24"/>
              </w:rPr>
              <w:t>）</w:t>
            </w:r>
            <w:r>
              <w:rPr>
                <w:sz w:val="24"/>
                <w:szCs w:val="24"/>
              </w:rPr>
              <w:t>/</w:t>
            </w:r>
            <w:r>
              <w:rPr>
                <w:rFonts w:hint="eastAsia"/>
                <w:sz w:val="24"/>
                <w:szCs w:val="24"/>
              </w:rPr>
              <w:t>长度（</w:t>
            </w:r>
            <w:r>
              <w:rPr>
                <w:sz w:val="24"/>
                <w:szCs w:val="24"/>
              </w:rPr>
              <w:t>km</w:t>
            </w:r>
            <w:r>
              <w:rPr>
                <w:rFonts w:hint="eastAsia"/>
                <w:sz w:val="24"/>
                <w:szCs w:val="24"/>
              </w:rPr>
              <w:t>）</w:t>
            </w:r>
          </w:p>
        </w:tc>
        <w:tc>
          <w:tcPr>
            <w:tcW w:w="2985" w:type="dxa"/>
            <w:vAlign w:val="center"/>
          </w:tcPr>
          <w:p>
            <w:pPr>
              <w:pStyle w:val="13"/>
              <w:rPr>
                <w:sz w:val="24"/>
                <w:szCs w:val="24"/>
              </w:rPr>
            </w:pPr>
            <w:r>
              <w:rPr>
                <w:sz w:val="24"/>
                <w:szCs w:val="24"/>
              </w:rPr>
              <w:t>466094m</w:t>
            </w:r>
            <w:r>
              <w:rPr>
                <w:sz w:val="24"/>
                <w:szCs w:val="24"/>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建设性质（右侧，如实打√）</w:t>
            </w:r>
          </w:p>
        </w:tc>
        <w:tc>
          <w:tcPr>
            <w:tcW w:w="2608" w:type="dxa"/>
            <w:vAlign w:val="center"/>
          </w:tcPr>
          <w:p>
            <w:pPr>
              <w:pStyle w:val="13"/>
              <w:jc w:val="left"/>
              <w:rPr>
                <w:sz w:val="24"/>
                <w:szCs w:val="24"/>
              </w:rPr>
            </w:pPr>
            <w:r>
              <w:rPr>
                <w:rFonts w:ascii="Wingdings 2" w:hAnsi="Wingdings 2"/>
                <w:sz w:val="24"/>
                <w:szCs w:val="24"/>
              </w:rPr>
              <w:t></w:t>
            </w:r>
            <w:r>
              <w:rPr>
                <w:rFonts w:hint="eastAsia"/>
                <w:sz w:val="24"/>
                <w:szCs w:val="24"/>
              </w:rPr>
              <w:t>新建（迁建）</w:t>
            </w:r>
          </w:p>
          <w:p>
            <w:pPr>
              <w:pStyle w:val="13"/>
              <w:jc w:val="left"/>
              <w:rPr>
                <w:sz w:val="24"/>
                <w:szCs w:val="24"/>
              </w:rPr>
            </w:pPr>
            <w:r>
              <w:rPr>
                <w:rFonts w:hint="eastAsia"/>
                <w:sz w:val="24"/>
                <w:szCs w:val="24"/>
              </w:rPr>
              <w:t>□改建</w:t>
            </w:r>
          </w:p>
          <w:p>
            <w:pPr>
              <w:pStyle w:val="13"/>
              <w:jc w:val="left"/>
              <w:rPr>
                <w:sz w:val="24"/>
                <w:szCs w:val="24"/>
              </w:rPr>
            </w:pPr>
            <w:r>
              <w:rPr>
                <w:rFonts w:hint="eastAsia"/>
                <w:sz w:val="24"/>
                <w:szCs w:val="24"/>
              </w:rPr>
              <w:t>□扩建</w:t>
            </w:r>
          </w:p>
          <w:p>
            <w:pPr>
              <w:pStyle w:val="13"/>
              <w:jc w:val="left"/>
              <w:rPr>
                <w:sz w:val="24"/>
                <w:szCs w:val="24"/>
              </w:rPr>
            </w:pPr>
            <w:r>
              <w:rPr>
                <w:rFonts w:hint="eastAsia"/>
                <w:sz w:val="24"/>
                <w:szCs w:val="24"/>
              </w:rPr>
              <w:t>□技术改造</w:t>
            </w:r>
          </w:p>
        </w:tc>
        <w:tc>
          <w:tcPr>
            <w:tcW w:w="1503" w:type="dxa"/>
            <w:vAlign w:val="center"/>
          </w:tcPr>
          <w:p>
            <w:pPr>
              <w:pStyle w:val="13"/>
              <w:rPr>
                <w:sz w:val="24"/>
                <w:szCs w:val="24"/>
              </w:rPr>
            </w:pPr>
            <w:r>
              <w:rPr>
                <w:rFonts w:hint="eastAsia"/>
                <w:sz w:val="24"/>
                <w:szCs w:val="24"/>
              </w:rPr>
              <w:t>建设项目申报情形（右侧，如实打√）</w:t>
            </w:r>
          </w:p>
        </w:tc>
        <w:tc>
          <w:tcPr>
            <w:tcW w:w="2985" w:type="dxa"/>
            <w:vAlign w:val="center"/>
          </w:tcPr>
          <w:p>
            <w:pPr>
              <w:pStyle w:val="13"/>
              <w:jc w:val="left"/>
              <w:rPr>
                <w:sz w:val="24"/>
                <w:szCs w:val="24"/>
              </w:rPr>
            </w:pPr>
            <w:r>
              <w:rPr>
                <w:rFonts w:ascii="Wingdings 2" w:hAnsi="Wingdings 2"/>
                <w:sz w:val="24"/>
                <w:szCs w:val="24"/>
              </w:rPr>
              <w:t></w:t>
            </w:r>
            <w:r>
              <w:rPr>
                <w:rFonts w:hint="eastAsia"/>
                <w:sz w:val="24"/>
                <w:szCs w:val="24"/>
              </w:rPr>
              <w:t>首次申报项目</w:t>
            </w:r>
          </w:p>
          <w:p>
            <w:pPr>
              <w:pStyle w:val="13"/>
              <w:jc w:val="left"/>
              <w:rPr>
                <w:sz w:val="24"/>
                <w:szCs w:val="24"/>
              </w:rPr>
            </w:pPr>
            <w:r>
              <w:rPr>
                <w:rFonts w:hint="eastAsia"/>
                <w:sz w:val="24"/>
                <w:szCs w:val="24"/>
              </w:rPr>
              <w:t>□不予批准后再次申报项目</w:t>
            </w:r>
          </w:p>
          <w:p>
            <w:pPr>
              <w:pStyle w:val="13"/>
              <w:jc w:val="left"/>
              <w:rPr>
                <w:sz w:val="24"/>
                <w:szCs w:val="24"/>
              </w:rPr>
            </w:pPr>
            <w:r>
              <w:rPr>
                <w:rFonts w:hint="eastAsia"/>
                <w:sz w:val="24"/>
                <w:szCs w:val="24"/>
              </w:rPr>
              <w:t>□超五年重新审核项目</w:t>
            </w:r>
          </w:p>
          <w:p>
            <w:pPr>
              <w:pStyle w:val="13"/>
              <w:jc w:val="left"/>
              <w:rPr>
                <w:sz w:val="24"/>
                <w:szCs w:val="24"/>
              </w:rPr>
            </w:pPr>
            <w:r>
              <w:rPr>
                <w:rFonts w:hint="eastAsia"/>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项目审批（核准</w:t>
            </w:r>
            <w:r>
              <w:rPr>
                <w:sz w:val="24"/>
                <w:szCs w:val="24"/>
              </w:rPr>
              <w:t>/</w:t>
            </w:r>
            <w:r>
              <w:rPr>
                <w:rFonts w:hint="eastAsia"/>
                <w:sz w:val="24"/>
                <w:szCs w:val="24"/>
              </w:rPr>
              <w:t>备案）部门（选填）</w:t>
            </w:r>
          </w:p>
        </w:tc>
        <w:tc>
          <w:tcPr>
            <w:tcW w:w="2608" w:type="dxa"/>
            <w:vAlign w:val="center"/>
          </w:tcPr>
          <w:p>
            <w:pPr>
              <w:pStyle w:val="13"/>
              <w:rPr>
                <w:sz w:val="24"/>
                <w:szCs w:val="24"/>
              </w:rPr>
            </w:pPr>
            <w:r>
              <w:rPr>
                <w:rFonts w:hint="eastAsia"/>
                <w:sz w:val="24"/>
                <w:szCs w:val="24"/>
              </w:rPr>
              <w:t>/</w:t>
            </w:r>
          </w:p>
        </w:tc>
        <w:tc>
          <w:tcPr>
            <w:tcW w:w="1503" w:type="dxa"/>
            <w:vAlign w:val="center"/>
          </w:tcPr>
          <w:p>
            <w:pPr>
              <w:pStyle w:val="13"/>
              <w:rPr>
                <w:sz w:val="24"/>
                <w:szCs w:val="24"/>
              </w:rPr>
            </w:pPr>
            <w:r>
              <w:rPr>
                <w:rFonts w:hint="eastAsia"/>
                <w:sz w:val="24"/>
                <w:szCs w:val="24"/>
              </w:rPr>
              <w:t>项目审批（核准</w:t>
            </w:r>
            <w:r>
              <w:rPr>
                <w:sz w:val="24"/>
                <w:szCs w:val="24"/>
              </w:rPr>
              <w:t>/</w:t>
            </w:r>
            <w:r>
              <w:rPr>
                <w:rFonts w:hint="eastAsia"/>
                <w:sz w:val="24"/>
                <w:szCs w:val="24"/>
              </w:rPr>
              <w:t>备案）文号（选填）</w:t>
            </w:r>
          </w:p>
        </w:tc>
        <w:tc>
          <w:tcPr>
            <w:tcW w:w="2985" w:type="dxa"/>
            <w:vAlign w:val="center"/>
          </w:tcPr>
          <w:p>
            <w:pPr>
              <w:pStyle w:val="13"/>
              <w:rPr>
                <w:sz w:val="24"/>
                <w:szCs w:val="24"/>
              </w:rPr>
            </w:pPr>
            <w:r>
              <w:rPr>
                <w:rFonts w:hint="eastAsia"/>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总投资（万元）</w:t>
            </w:r>
          </w:p>
        </w:tc>
        <w:tc>
          <w:tcPr>
            <w:tcW w:w="2608" w:type="dxa"/>
            <w:vAlign w:val="center"/>
          </w:tcPr>
          <w:p>
            <w:pPr>
              <w:pStyle w:val="13"/>
              <w:rPr>
                <w:sz w:val="24"/>
                <w:szCs w:val="24"/>
              </w:rPr>
            </w:pPr>
            <w:r>
              <w:rPr>
                <w:sz w:val="24"/>
                <w:szCs w:val="24"/>
              </w:rPr>
              <w:t>11669.26</w:t>
            </w:r>
          </w:p>
        </w:tc>
        <w:tc>
          <w:tcPr>
            <w:tcW w:w="1503" w:type="dxa"/>
            <w:tcMar>
              <w:top w:w="16" w:type="dxa"/>
              <w:left w:w="16" w:type="dxa"/>
              <w:right w:w="16" w:type="dxa"/>
            </w:tcMar>
            <w:vAlign w:val="center"/>
          </w:tcPr>
          <w:p>
            <w:pPr>
              <w:pStyle w:val="13"/>
              <w:rPr>
                <w:sz w:val="24"/>
                <w:szCs w:val="24"/>
              </w:rPr>
            </w:pPr>
            <w:r>
              <w:rPr>
                <w:rFonts w:hint="eastAsia"/>
                <w:sz w:val="24"/>
                <w:szCs w:val="24"/>
              </w:rPr>
              <w:t>环保投资（万元）</w:t>
            </w:r>
          </w:p>
        </w:tc>
        <w:tc>
          <w:tcPr>
            <w:tcW w:w="2985" w:type="dxa"/>
            <w:vAlign w:val="center"/>
          </w:tcPr>
          <w:p>
            <w:pPr>
              <w:pStyle w:val="13"/>
              <w:rPr>
                <w:sz w:val="24"/>
                <w:szCs w:val="24"/>
              </w:rPr>
            </w:pPr>
            <w:r>
              <w:rPr>
                <w:rFonts w:hint="eastAsia"/>
                <w:sz w:val="24"/>
                <w:szCs w:val="24"/>
              </w:rPr>
              <w:t>641.0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环保投资占比（</w:t>
            </w:r>
            <w:r>
              <w:rPr>
                <w:sz w:val="24"/>
                <w:szCs w:val="24"/>
              </w:rPr>
              <w:t>%</w:t>
            </w:r>
            <w:r>
              <w:rPr>
                <w:rFonts w:hint="eastAsia"/>
                <w:sz w:val="24"/>
                <w:szCs w:val="24"/>
              </w:rPr>
              <w:t>）</w:t>
            </w:r>
          </w:p>
        </w:tc>
        <w:tc>
          <w:tcPr>
            <w:tcW w:w="2608" w:type="dxa"/>
            <w:vAlign w:val="center"/>
          </w:tcPr>
          <w:p>
            <w:pPr>
              <w:pStyle w:val="13"/>
              <w:rPr>
                <w:sz w:val="24"/>
                <w:szCs w:val="24"/>
              </w:rPr>
            </w:pPr>
            <w:r>
              <w:rPr>
                <w:rFonts w:hint="eastAsia"/>
                <w:sz w:val="24"/>
                <w:szCs w:val="24"/>
              </w:rPr>
              <w:t>5.49</w:t>
            </w:r>
          </w:p>
        </w:tc>
        <w:tc>
          <w:tcPr>
            <w:tcW w:w="1503" w:type="dxa"/>
            <w:tcMar>
              <w:top w:w="16" w:type="dxa"/>
              <w:left w:w="16" w:type="dxa"/>
              <w:right w:w="16" w:type="dxa"/>
            </w:tcMar>
            <w:vAlign w:val="center"/>
          </w:tcPr>
          <w:p>
            <w:pPr>
              <w:pStyle w:val="13"/>
              <w:rPr>
                <w:sz w:val="24"/>
                <w:szCs w:val="24"/>
              </w:rPr>
            </w:pPr>
            <w:r>
              <w:rPr>
                <w:rFonts w:hint="eastAsia"/>
                <w:sz w:val="24"/>
                <w:szCs w:val="24"/>
              </w:rPr>
              <w:t>施工工期</w:t>
            </w:r>
          </w:p>
        </w:tc>
        <w:tc>
          <w:tcPr>
            <w:tcW w:w="2985" w:type="dxa"/>
            <w:vAlign w:val="center"/>
          </w:tcPr>
          <w:p>
            <w:pPr>
              <w:pStyle w:val="13"/>
              <w:rPr>
                <w:sz w:val="24"/>
                <w:szCs w:val="24"/>
              </w:rPr>
            </w:pPr>
            <w:r>
              <w:rPr>
                <w:sz w:val="24"/>
                <w:szCs w:val="24"/>
              </w:rPr>
              <w:t>6</w:t>
            </w:r>
            <w:r>
              <w:rPr>
                <w:rFonts w:hint="eastAsia"/>
                <w:sz w:val="24"/>
                <w:szCs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是否开工建设</w:t>
            </w:r>
          </w:p>
        </w:tc>
        <w:tc>
          <w:tcPr>
            <w:tcW w:w="7096" w:type="dxa"/>
            <w:gridSpan w:val="3"/>
            <w:vAlign w:val="center"/>
          </w:tcPr>
          <w:p>
            <w:pPr>
              <w:pStyle w:val="13"/>
              <w:jc w:val="left"/>
              <w:rPr>
                <w:sz w:val="24"/>
                <w:szCs w:val="24"/>
              </w:rPr>
            </w:pPr>
            <w:r>
              <w:rPr>
                <w:rFonts w:ascii="Wingdings 2" w:hAnsi="Wingdings 2"/>
                <w:sz w:val="24"/>
                <w:szCs w:val="24"/>
              </w:rPr>
              <w:t></w:t>
            </w:r>
            <w:r>
              <w:rPr>
                <w:rFonts w:hint="eastAsia"/>
                <w:sz w:val="24"/>
                <w:szCs w:val="24"/>
              </w:rPr>
              <w:t>否</w:t>
            </w:r>
          </w:p>
          <w:p>
            <w:pPr>
              <w:pStyle w:val="13"/>
              <w:jc w:val="left"/>
              <w:rPr>
                <w:sz w:val="24"/>
                <w:szCs w:val="24"/>
              </w:rPr>
            </w:pPr>
            <w:r>
              <w:rPr>
                <w:rFonts w:hint="eastAsia"/>
                <w:sz w:val="24"/>
                <w:szCs w:val="24"/>
              </w:rPr>
              <w:t>□是：</w:t>
            </w:r>
            <w:r>
              <w:rPr>
                <w:sz w:val="24"/>
                <w:szCs w:val="24"/>
              </w:rPr>
              <w:t xml:space="preserve"> </w:t>
            </w:r>
            <w:r>
              <w:rPr>
                <w:rFonts w:hint="eastAsia"/>
                <w:sz w:val="24"/>
                <w:szCs w:val="24"/>
              </w:rPr>
              <w:t xml:space="preserve">                     </w:t>
            </w:r>
            <w:r>
              <w:rPr>
                <w:sz w:val="24"/>
                <w:szCs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szCs w:val="24"/>
              </w:rPr>
            </w:pPr>
            <w:r>
              <w:rPr>
                <w:rFonts w:hint="eastAsia"/>
                <w:sz w:val="24"/>
                <w:szCs w:val="24"/>
              </w:rPr>
              <w:t>专项评价设置情况</w:t>
            </w:r>
          </w:p>
        </w:tc>
        <w:tc>
          <w:tcPr>
            <w:tcW w:w="7096" w:type="dxa"/>
            <w:gridSpan w:val="3"/>
            <w:tcMar>
              <w:top w:w="16" w:type="dxa"/>
              <w:left w:w="16" w:type="dxa"/>
              <w:right w:w="16" w:type="dxa"/>
            </w:tcMar>
            <w:vAlign w:val="center"/>
          </w:tcPr>
          <w:p>
            <w:pPr>
              <w:pStyle w:val="13"/>
              <w:rPr>
                <w:sz w:val="24"/>
                <w:szCs w:val="24"/>
              </w:rPr>
            </w:pPr>
            <w:r>
              <w:rPr>
                <w:rFonts w:hint="eastAsia"/>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1408" w:type="dxa"/>
            <w:tcMar>
              <w:top w:w="16" w:type="dxa"/>
              <w:left w:w="16" w:type="dxa"/>
              <w:right w:w="16" w:type="dxa"/>
            </w:tcMar>
            <w:vAlign w:val="center"/>
          </w:tcPr>
          <w:p>
            <w:pPr>
              <w:pStyle w:val="13"/>
              <w:rPr>
                <w:sz w:val="24"/>
              </w:rPr>
            </w:pPr>
            <w:r>
              <w:rPr>
                <w:rFonts w:hint="eastAsia"/>
                <w:sz w:val="24"/>
              </w:rPr>
              <w:t>规划情况</w:t>
            </w:r>
          </w:p>
        </w:tc>
        <w:tc>
          <w:tcPr>
            <w:tcW w:w="7096" w:type="dxa"/>
            <w:gridSpan w:val="3"/>
            <w:tcMar>
              <w:top w:w="16" w:type="dxa"/>
              <w:left w:w="16" w:type="dxa"/>
              <w:right w:w="16" w:type="dxa"/>
            </w:tcMar>
            <w:vAlign w:val="center"/>
          </w:tcPr>
          <w:p>
            <w:pPr>
              <w:pStyle w:val="13"/>
              <w:adjustRightInd/>
              <w:snapToGrid/>
              <w:spacing w:line="336" w:lineRule="auto"/>
              <w:jc w:val="both"/>
              <w:rPr>
                <w:sz w:val="24"/>
              </w:rPr>
            </w:pPr>
            <w:r>
              <w:rPr>
                <w:rFonts w:hint="eastAsia"/>
                <w:b/>
                <w:sz w:val="24"/>
              </w:rPr>
              <w:t>1、 规划名称：</w:t>
            </w:r>
            <w:r>
              <w:rPr>
                <w:rFonts w:hint="eastAsia"/>
                <w:sz w:val="24"/>
              </w:rPr>
              <w:t>《湖南省矿产资源总体规划（2021-2025年）》</w:t>
            </w:r>
          </w:p>
          <w:p>
            <w:pPr>
              <w:pStyle w:val="13"/>
              <w:adjustRightInd/>
              <w:snapToGrid/>
              <w:spacing w:line="336" w:lineRule="auto"/>
              <w:ind w:firstLine="482" w:firstLineChars="200"/>
              <w:jc w:val="both"/>
              <w:rPr>
                <w:sz w:val="24"/>
              </w:rPr>
            </w:pPr>
            <w:r>
              <w:rPr>
                <w:rFonts w:hint="eastAsia"/>
                <w:b/>
                <w:sz w:val="24"/>
              </w:rPr>
              <w:t>审批机关：</w:t>
            </w:r>
            <w:r>
              <w:rPr>
                <w:rFonts w:hint="eastAsia"/>
                <w:sz w:val="24"/>
              </w:rPr>
              <w:t>湖南省自然资源厅</w:t>
            </w:r>
          </w:p>
          <w:p>
            <w:pPr>
              <w:pStyle w:val="13"/>
              <w:adjustRightInd/>
              <w:snapToGrid/>
              <w:spacing w:line="336" w:lineRule="auto"/>
              <w:ind w:firstLine="482" w:firstLineChars="200"/>
              <w:jc w:val="both"/>
              <w:rPr>
                <w:sz w:val="24"/>
              </w:rPr>
            </w:pPr>
            <w:r>
              <w:rPr>
                <w:rFonts w:hint="eastAsia"/>
                <w:b/>
                <w:sz w:val="24"/>
              </w:rPr>
              <w:t>审批文件名称及文号：</w:t>
            </w:r>
            <w:r>
              <w:rPr>
                <w:rFonts w:hint="eastAsia"/>
                <w:sz w:val="24"/>
              </w:rPr>
              <w:t>湖南省自然资源厅关于印发《湖南省矿产资源总体规划（2021-2025年）》的通知（湘自资发〔2022〕47号）</w:t>
            </w:r>
          </w:p>
          <w:p>
            <w:pPr>
              <w:spacing w:line="336" w:lineRule="auto"/>
              <w:ind w:firstLine="0" w:firstLineChars="0"/>
            </w:pPr>
            <w:r>
              <w:rPr>
                <w:rFonts w:hint="eastAsia"/>
                <w:b/>
              </w:rPr>
              <w:t>2、 规划名称：</w:t>
            </w:r>
            <w:r>
              <w:rPr>
                <w:rFonts w:hint="eastAsia"/>
              </w:rPr>
              <w:t>《岳阳市矿产资源总体规划（2021-2025年）》</w:t>
            </w:r>
          </w:p>
          <w:p>
            <w:pPr>
              <w:pStyle w:val="13"/>
              <w:adjustRightInd/>
              <w:snapToGrid/>
              <w:spacing w:line="336" w:lineRule="auto"/>
              <w:ind w:firstLine="482" w:firstLineChars="200"/>
              <w:jc w:val="both"/>
              <w:rPr>
                <w:sz w:val="24"/>
              </w:rPr>
            </w:pPr>
            <w:r>
              <w:rPr>
                <w:rFonts w:hint="eastAsia"/>
                <w:b/>
                <w:sz w:val="24"/>
              </w:rPr>
              <w:t>审批机关：</w:t>
            </w:r>
            <w:r>
              <w:rPr>
                <w:rFonts w:hint="eastAsia"/>
                <w:sz w:val="24"/>
              </w:rPr>
              <w:t>湖南省自然资源厅</w:t>
            </w:r>
          </w:p>
          <w:p>
            <w:pPr>
              <w:spacing w:line="336" w:lineRule="auto"/>
              <w:ind w:firstLine="0" w:firstLineChars="0"/>
            </w:pPr>
            <w:r>
              <w:rPr>
                <w:b/>
              </w:rPr>
              <w:t>3</w:t>
            </w:r>
            <w:r>
              <w:rPr>
                <w:rFonts w:hint="eastAsia"/>
                <w:b/>
              </w:rPr>
              <w:t>、 规划名称：</w:t>
            </w:r>
            <w:r>
              <w:rPr>
                <w:rFonts w:hint="eastAsia"/>
              </w:rPr>
              <w:t>《湘阴县普通建筑材料用砂石土矿专项规划（2019-2025年）》</w:t>
            </w:r>
          </w:p>
          <w:p>
            <w:pPr>
              <w:spacing w:line="336" w:lineRule="auto"/>
              <w:ind w:firstLine="482"/>
            </w:pPr>
            <w:r>
              <w:rPr>
                <w:rFonts w:hint="eastAsia"/>
                <w:b/>
              </w:rPr>
              <w:t>审批机关：</w:t>
            </w:r>
            <w:r>
              <w:rPr>
                <w:rFonts w:hint="eastAsia"/>
              </w:rPr>
              <w:t>湖南省自然资源厅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8" w:type="dxa"/>
            <w:tcMar>
              <w:top w:w="16" w:type="dxa"/>
              <w:left w:w="16" w:type="dxa"/>
              <w:right w:w="16" w:type="dxa"/>
            </w:tcMar>
            <w:vAlign w:val="center"/>
          </w:tcPr>
          <w:p>
            <w:pPr>
              <w:pStyle w:val="13"/>
              <w:rPr>
                <w:sz w:val="24"/>
              </w:rPr>
            </w:pPr>
            <w:r>
              <w:rPr>
                <w:rFonts w:hint="eastAsia"/>
                <w:sz w:val="24"/>
              </w:rPr>
              <w:t>规划环境影响评价情况</w:t>
            </w:r>
          </w:p>
        </w:tc>
        <w:tc>
          <w:tcPr>
            <w:tcW w:w="7096" w:type="dxa"/>
            <w:gridSpan w:val="3"/>
            <w:tcMar>
              <w:top w:w="16" w:type="dxa"/>
              <w:left w:w="16" w:type="dxa"/>
              <w:right w:w="16" w:type="dxa"/>
            </w:tcMar>
            <w:vAlign w:val="center"/>
          </w:tcPr>
          <w:p>
            <w:pPr>
              <w:spacing w:line="360" w:lineRule="auto"/>
              <w:ind w:firstLine="0" w:firstLineChars="0"/>
              <w:jc w:val="center"/>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6" w:hRule="atLeast"/>
          <w:jc w:val="center"/>
        </w:trPr>
        <w:tc>
          <w:tcPr>
            <w:tcW w:w="1408" w:type="dxa"/>
            <w:tcMar>
              <w:top w:w="16" w:type="dxa"/>
              <w:left w:w="16" w:type="dxa"/>
              <w:right w:w="16" w:type="dxa"/>
            </w:tcMar>
            <w:vAlign w:val="center"/>
          </w:tcPr>
          <w:p>
            <w:pPr>
              <w:pStyle w:val="13"/>
              <w:rPr>
                <w:sz w:val="24"/>
              </w:rPr>
            </w:pPr>
            <w:r>
              <w:rPr>
                <w:rFonts w:hint="eastAsia"/>
                <w:sz w:val="24"/>
              </w:rPr>
              <w:t>规划及规划环境影响评价符合性分析</w:t>
            </w:r>
          </w:p>
        </w:tc>
        <w:tc>
          <w:tcPr>
            <w:tcW w:w="7096" w:type="dxa"/>
            <w:gridSpan w:val="3"/>
            <w:tcMar>
              <w:top w:w="16" w:type="dxa"/>
              <w:left w:w="16" w:type="dxa"/>
              <w:right w:w="16" w:type="dxa"/>
            </w:tcMar>
            <w:vAlign w:val="center"/>
          </w:tcPr>
          <w:p>
            <w:pPr>
              <w:spacing w:line="360" w:lineRule="auto"/>
              <w:ind w:firstLine="0" w:firstLineChars="0"/>
              <w:rPr>
                <w:b/>
                <w:sz w:val="28"/>
              </w:rPr>
            </w:pPr>
            <w:r>
              <w:rPr>
                <w:rFonts w:hint="eastAsia"/>
                <w:b/>
                <w:sz w:val="28"/>
              </w:rPr>
              <w:t>1、与《湖南省矿产资源总体规划（2021-2025年）》符合性分析</w:t>
            </w:r>
          </w:p>
          <w:p>
            <w:pPr>
              <w:pStyle w:val="2"/>
              <w:spacing w:line="360" w:lineRule="auto"/>
              <w:rPr>
                <w:b w:val="0"/>
              </w:rPr>
            </w:pPr>
            <w:r>
              <w:rPr>
                <w:b w:val="0"/>
              </w:rPr>
              <w:t>表1-1 与</w:t>
            </w:r>
            <w:r>
              <w:rPr>
                <w:rFonts w:hint="eastAsia"/>
                <w:b w:val="0"/>
              </w:rPr>
              <w:t>《湖南省矿产资源总体规划（2021-2025年）》</w:t>
            </w:r>
            <w:r>
              <w:rPr>
                <w:b w:val="0"/>
              </w:rPr>
              <w:t>相符性</w:t>
            </w:r>
          </w:p>
          <w:tbl>
            <w:tblPr>
              <w:tblStyle w:val="16"/>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7"/>
              <w:gridCol w:w="4253"/>
              <w:gridCol w:w="1379"/>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524" w:type="pct"/>
                  <w:gridSpan w:val="2"/>
                  <w:shd w:val="clear" w:color="auto" w:fill="auto"/>
                  <w:vAlign w:val="center"/>
                </w:tcPr>
                <w:p>
                  <w:pPr>
                    <w:pStyle w:val="13"/>
                  </w:pPr>
                  <w:r>
                    <w:rPr>
                      <w:rFonts w:hint="eastAsia"/>
                    </w:rPr>
                    <w:t>《湖南省矿产资源总体规划（2021-2025年）》</w:t>
                  </w:r>
                  <w:r>
                    <w:t>要求</w:t>
                  </w:r>
                </w:p>
              </w:tc>
              <w:tc>
                <w:tcPr>
                  <w:tcW w:w="996" w:type="pct"/>
                  <w:shd w:val="clear" w:color="auto" w:fill="auto"/>
                  <w:vAlign w:val="center"/>
                </w:tcPr>
                <w:p>
                  <w:pPr>
                    <w:pStyle w:val="13"/>
                  </w:pPr>
                  <w:r>
                    <w:t>本项目情况</w:t>
                  </w:r>
                </w:p>
              </w:tc>
              <w:tc>
                <w:tcPr>
                  <w:tcW w:w="480" w:type="pct"/>
                  <w:shd w:val="clear" w:color="auto" w:fill="auto"/>
                  <w:vAlign w:val="center"/>
                </w:tcPr>
                <w:p>
                  <w:pPr>
                    <w:pStyle w:val="13"/>
                  </w:pPr>
                  <w: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3" w:type="pct"/>
                  <w:vMerge w:val="restart"/>
                  <w:shd w:val="clear" w:color="auto" w:fill="auto"/>
                  <w:vAlign w:val="center"/>
                </w:tcPr>
                <w:p>
                  <w:pPr>
                    <w:pStyle w:val="13"/>
                  </w:pPr>
                  <w:r>
                    <w:rPr>
                      <w:rFonts w:hint="eastAsia"/>
                    </w:rPr>
                    <w:t>总体布局</w:t>
                  </w:r>
                </w:p>
              </w:tc>
              <w:tc>
                <w:tcPr>
                  <w:tcW w:w="3071" w:type="pct"/>
                  <w:shd w:val="clear" w:color="auto" w:fill="auto"/>
                </w:tcPr>
                <w:p>
                  <w:pPr>
                    <w:pStyle w:val="13"/>
                    <w:jc w:val="both"/>
                    <w:rPr>
                      <w:b/>
                    </w:rPr>
                  </w:pPr>
                  <w:r>
                    <w:rPr>
                      <w:rFonts w:hint="eastAsia"/>
                      <w:b/>
                    </w:rPr>
                    <w:t>强化国土空间规划和用途管控。</w:t>
                  </w:r>
                  <w:r>
                    <w:t>…</w:t>
                  </w:r>
                  <w:r>
                    <w:rPr>
                      <w:rFonts w:hint="eastAsia"/>
                    </w:rPr>
                    <w:t>加强空间约束管控，严格矿产资源勘查开发环境准入要求，生态保护红线范围内原则上禁止不符合管控要求的矿产资源勘查开采，严格落实湘江流域露天开采非金属矿禁采要求，深入推进湘江保护和治理。</w:t>
                  </w:r>
                  <w:r>
                    <w:t>…</w:t>
                  </w:r>
                </w:p>
              </w:tc>
              <w:tc>
                <w:tcPr>
                  <w:tcW w:w="996" w:type="pct"/>
                  <w:shd w:val="clear" w:color="auto" w:fill="auto"/>
                  <w:vAlign w:val="center"/>
                </w:tcPr>
                <w:p>
                  <w:pPr>
                    <w:pStyle w:val="13"/>
                  </w:pPr>
                  <w:r>
                    <w:t>本</w:t>
                  </w:r>
                  <w:r>
                    <w:rPr>
                      <w:rFonts w:hint="eastAsia"/>
                    </w:rPr>
                    <w:t>项目不涉及生态保护红线，严格落实湘江流域露天开采非金属矿禁采要求。</w:t>
                  </w:r>
                </w:p>
              </w:tc>
              <w:tc>
                <w:tcPr>
                  <w:tcW w:w="480" w:type="pct"/>
                  <w:shd w:val="clear" w:color="auto" w:fill="auto"/>
                  <w:vAlign w:val="center"/>
                </w:tcPr>
                <w:p>
                  <w:pPr>
                    <w:pStyle w:val="13"/>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3" w:type="pct"/>
                  <w:vMerge w:val="continue"/>
                  <w:shd w:val="clear" w:color="auto" w:fill="auto"/>
                  <w:vAlign w:val="center"/>
                </w:tcPr>
                <w:p>
                  <w:pPr>
                    <w:pStyle w:val="13"/>
                  </w:pPr>
                </w:p>
              </w:tc>
              <w:tc>
                <w:tcPr>
                  <w:tcW w:w="3071" w:type="pct"/>
                  <w:shd w:val="clear" w:color="auto" w:fill="auto"/>
                </w:tcPr>
                <w:p>
                  <w:pPr>
                    <w:pStyle w:val="13"/>
                    <w:jc w:val="both"/>
                  </w:pPr>
                  <w:r>
                    <w:rPr>
                      <w:rFonts w:hint="eastAsia"/>
                      <w:b/>
                    </w:rPr>
                    <w:t>重点勘查开发战略性及优势矿产。</w:t>
                  </w:r>
                  <w:r>
                    <w:t>…</w:t>
                  </w:r>
                  <w:r>
                    <w:rPr>
                      <w:rFonts w:hint="eastAsia"/>
                    </w:rPr>
                    <w:t>重点勘查开发金、锑、钨、锡、铅、锌、锰、铌、钽、稀土、重晶石、石墨、普通萤石、高纯石英、长石、高岭土、陶瓷土、海泡石、方解石（碳酸钙）、滑石、饰面石材、地热、矿泉水、</w:t>
                  </w:r>
                  <w:r>
                    <w:rPr>
                      <w:rFonts w:hint="eastAsia"/>
                      <w:b/>
                    </w:rPr>
                    <w:t>普通建筑石料用砂石矿</w:t>
                  </w:r>
                  <w:r>
                    <w:rPr>
                      <w:rFonts w:hint="eastAsia"/>
                    </w:rPr>
                    <w:t>等矿产，巩固湖南有色金属传统优势地位，保障新兴产业和先进制造业发展，满足民生矿产资源需求。</w:t>
                  </w:r>
                </w:p>
              </w:tc>
              <w:tc>
                <w:tcPr>
                  <w:tcW w:w="996" w:type="pct"/>
                  <w:shd w:val="clear" w:color="auto" w:fill="auto"/>
                  <w:vAlign w:val="center"/>
                </w:tcPr>
                <w:p>
                  <w:pPr>
                    <w:pStyle w:val="13"/>
                  </w:pPr>
                  <w:r>
                    <w:rPr>
                      <w:rFonts w:hint="eastAsia"/>
                    </w:rPr>
                    <w:t>本</w:t>
                  </w:r>
                  <w:r>
                    <w:t>项目</w:t>
                  </w:r>
                  <w:r>
                    <w:rPr>
                      <w:rFonts w:hint="eastAsia"/>
                    </w:rPr>
                    <w:t>为建筑用砂石开采及加工项目，属重点勘查的普通建筑石料用砂石矿矿产。</w:t>
                  </w:r>
                </w:p>
              </w:tc>
              <w:tc>
                <w:tcPr>
                  <w:tcW w:w="480" w:type="pct"/>
                  <w:shd w:val="clear" w:color="auto" w:fill="auto"/>
                  <w:vAlign w:val="center"/>
                </w:tcPr>
                <w:p>
                  <w:pPr>
                    <w:pStyle w:val="13"/>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3" w:type="pct"/>
                  <w:shd w:val="clear" w:color="auto" w:fill="auto"/>
                  <w:vAlign w:val="center"/>
                </w:tcPr>
                <w:p>
                  <w:pPr>
                    <w:pStyle w:val="13"/>
                  </w:pPr>
                  <w:r>
                    <w:rPr>
                      <w:rFonts w:hint="eastAsia"/>
                    </w:rPr>
                    <w:t>矿产资源开发利用与保护</w:t>
                  </w:r>
                </w:p>
              </w:tc>
              <w:tc>
                <w:tcPr>
                  <w:tcW w:w="3071" w:type="pct"/>
                  <w:shd w:val="clear" w:color="auto" w:fill="auto"/>
                </w:tcPr>
                <w:p>
                  <w:pPr>
                    <w:pStyle w:val="13"/>
                    <w:jc w:val="both"/>
                  </w:pPr>
                  <w:r>
                    <w:rPr>
                      <w:rFonts w:hint="eastAsia"/>
                      <w:b/>
                    </w:rPr>
                    <w:t>优化砂石矿开发布局。</w:t>
                  </w:r>
                  <w:r>
                    <w:rPr>
                      <w:rFonts w:hint="eastAsia"/>
                    </w:rPr>
                    <w:t>按照全面推进普通建筑材料用砂石土矿专项整治要求，吸纳县级普通建筑材料用砂石土矿专项规划成果，在市级矿产资源规划中确定砂石土矿集中开采区，明确区内矿业权投放总量、开采总量、最低开采规模等要求。以市州为单元，布局一批大中型砂石矿和骨料、墙体材料生产示范基地，引导砂石矿资源集中开采、规模开发、绿色利用。</w:t>
                  </w:r>
                </w:p>
              </w:tc>
              <w:tc>
                <w:tcPr>
                  <w:tcW w:w="996" w:type="pct"/>
                  <w:shd w:val="clear" w:color="auto" w:fill="auto"/>
                  <w:vAlign w:val="center"/>
                </w:tcPr>
                <w:p>
                  <w:pPr>
                    <w:pStyle w:val="13"/>
                  </w:pPr>
                  <w:r>
                    <w:rPr>
                      <w:rFonts w:hint="eastAsia"/>
                    </w:rPr>
                    <w:t>本项目为建筑用砂石开采加工项目，严格按照《专项规划》要求执行。</w:t>
                  </w:r>
                </w:p>
              </w:tc>
              <w:tc>
                <w:tcPr>
                  <w:tcW w:w="480" w:type="pct"/>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1" w:hRule="atLeast"/>
                <w:jc w:val="center"/>
              </w:trPr>
              <w:tc>
                <w:tcPr>
                  <w:tcW w:w="453" w:type="pct"/>
                  <w:shd w:val="clear" w:color="auto" w:fill="auto"/>
                  <w:vAlign w:val="center"/>
                </w:tcPr>
                <w:p>
                  <w:pPr>
                    <w:pStyle w:val="13"/>
                  </w:pPr>
                  <w:r>
                    <w:rPr>
                      <w:rFonts w:hint="eastAsia"/>
                    </w:rPr>
                    <w:t>矿业绿色转型</w:t>
                  </w:r>
                </w:p>
              </w:tc>
              <w:tc>
                <w:tcPr>
                  <w:tcW w:w="3071" w:type="pct"/>
                  <w:shd w:val="clear" w:color="auto" w:fill="auto"/>
                </w:tcPr>
                <w:p>
                  <w:pPr>
                    <w:pStyle w:val="13"/>
                    <w:jc w:val="both"/>
                  </w:pPr>
                  <w:r>
                    <w:rPr>
                      <w:rFonts w:hint="eastAsia"/>
                      <w:b/>
                    </w:rPr>
                    <w:t>提高矿山规模开发利用水平。</w:t>
                  </w:r>
                  <w:r>
                    <w:rPr>
                      <w:rFonts w:hint="eastAsia"/>
                    </w:rPr>
                    <w:t>落实国家、湖南省矿山最低开采规模要求，新设矿山严格执行最低开采规模设计标准，普通建筑石料矿山生产规模原则上不低于30万吨/年（偏远地区保障性砂石资源需求和优质建筑用辉绿岩、建筑用玄武岩除外），已设矿山在采矿权换证或延续登记时达到最低开采规模要求。</w:t>
                  </w:r>
                  <w:r>
                    <w:t>…</w:t>
                  </w:r>
                </w:p>
              </w:tc>
              <w:tc>
                <w:tcPr>
                  <w:tcW w:w="996" w:type="pct"/>
                  <w:shd w:val="clear" w:color="auto" w:fill="auto"/>
                  <w:vAlign w:val="center"/>
                </w:tcPr>
                <w:p>
                  <w:pPr>
                    <w:pStyle w:val="13"/>
                    <w:rPr>
                      <w:szCs w:val="21"/>
                    </w:rPr>
                  </w:pPr>
                  <w:r>
                    <w:rPr>
                      <w:rFonts w:hint="eastAsia"/>
                      <w:szCs w:val="21"/>
                    </w:rPr>
                    <w:t>本项目</w:t>
                  </w:r>
                  <w:r>
                    <w:rPr>
                      <w:rFonts w:hint="eastAsia"/>
                    </w:rPr>
                    <w:t>为建筑用砂石开采加工项目，年开采砂卵石</w:t>
                  </w:r>
                  <w:r>
                    <w:t>90</w:t>
                  </w:r>
                  <w:r>
                    <w:rPr>
                      <w:rFonts w:hint="eastAsia"/>
                    </w:rPr>
                    <w:t>万t/年。</w:t>
                  </w:r>
                </w:p>
              </w:tc>
              <w:tc>
                <w:tcPr>
                  <w:tcW w:w="480" w:type="pct"/>
                  <w:shd w:val="clear" w:color="auto" w:fill="auto"/>
                  <w:vAlign w:val="center"/>
                </w:tcPr>
                <w:p>
                  <w:pPr>
                    <w:pStyle w:val="13"/>
                  </w:pPr>
                  <w:r>
                    <w:rPr>
                      <w:rFonts w:hint="eastAsia"/>
                    </w:rPr>
                    <w:t>符合</w:t>
                  </w:r>
                </w:p>
              </w:tc>
            </w:tr>
          </w:tbl>
          <w:p>
            <w:pPr>
              <w:spacing w:line="360" w:lineRule="auto"/>
              <w:ind w:firstLine="480"/>
            </w:pPr>
            <w:r>
              <w:t>综上所述，本项目符合《</w:t>
            </w:r>
            <w:r>
              <w:rPr>
                <w:rFonts w:hint="eastAsia"/>
              </w:rPr>
              <w:t>湖南省省</w:t>
            </w:r>
            <w:r>
              <w:t>矿产资源总体规划（2021-2025 年）》</w:t>
            </w:r>
            <w:r>
              <w:rPr>
                <w:rFonts w:hint="eastAsia"/>
              </w:rPr>
              <w:t>要求</w:t>
            </w:r>
            <w:r>
              <w:t>。</w:t>
            </w:r>
          </w:p>
          <w:p>
            <w:pPr>
              <w:spacing w:line="360" w:lineRule="auto"/>
              <w:ind w:firstLine="480"/>
            </w:pPr>
          </w:p>
          <w:p>
            <w:pPr>
              <w:spacing w:line="360" w:lineRule="auto"/>
              <w:ind w:firstLine="0" w:firstLineChars="0"/>
              <w:rPr>
                <w:b/>
                <w:sz w:val="28"/>
              </w:rPr>
            </w:pPr>
            <w:r>
              <w:rPr>
                <w:rFonts w:hint="eastAsia"/>
                <w:b/>
                <w:sz w:val="28"/>
              </w:rPr>
              <w:t>2、与《岳阳市矿产资源总体规划（2021-2025年）》相符性分析</w:t>
            </w:r>
          </w:p>
          <w:p>
            <w:pPr>
              <w:pStyle w:val="2"/>
              <w:spacing w:line="360" w:lineRule="auto"/>
              <w:rPr>
                <w:b w:val="0"/>
              </w:rPr>
            </w:pPr>
            <w:r>
              <w:rPr>
                <w:rFonts w:hint="eastAsia"/>
                <w:b w:val="0"/>
              </w:rPr>
              <w:t>表1</w:t>
            </w:r>
            <w:r>
              <w:rPr>
                <w:b w:val="0"/>
              </w:rPr>
              <w:t xml:space="preserve">-2 </w:t>
            </w:r>
            <w:r>
              <w:rPr>
                <w:rFonts w:hint="eastAsia"/>
                <w:b w:val="0"/>
              </w:rPr>
              <w:t>与《岳阳市矿产资源总体规划（2021-2025年）》相符性</w:t>
            </w:r>
          </w:p>
          <w:tbl>
            <w:tblPr>
              <w:tblStyle w:val="16"/>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3"/>
              <w:gridCol w:w="2243"/>
              <w:gridCol w:w="3365"/>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2091" w:type="pct"/>
                  <w:gridSpan w:val="2"/>
                  <w:shd w:val="clear" w:color="auto" w:fill="auto"/>
                  <w:vAlign w:val="center"/>
                </w:tcPr>
                <w:p>
                  <w:pPr>
                    <w:pStyle w:val="13"/>
                  </w:pPr>
                  <w:r>
                    <w:rPr>
                      <w:rFonts w:hint="eastAsia"/>
                    </w:rPr>
                    <w:t>《岳阳市矿产资源总体规划（2021-2025年）》</w:t>
                  </w:r>
                  <w:r>
                    <w:t>要求</w:t>
                  </w:r>
                </w:p>
              </w:tc>
              <w:tc>
                <w:tcPr>
                  <w:tcW w:w="2430" w:type="pct"/>
                  <w:shd w:val="clear" w:color="auto" w:fill="auto"/>
                  <w:vAlign w:val="center"/>
                </w:tcPr>
                <w:p>
                  <w:pPr>
                    <w:pStyle w:val="13"/>
                  </w:pPr>
                  <w:r>
                    <w:t>本项目情况</w:t>
                  </w:r>
                </w:p>
              </w:tc>
              <w:tc>
                <w:tcPr>
                  <w:tcW w:w="479" w:type="pct"/>
                  <w:shd w:val="clear" w:color="auto" w:fill="auto"/>
                  <w:vAlign w:val="center"/>
                </w:tcPr>
                <w:p>
                  <w:pPr>
                    <w:pStyle w:val="13"/>
                  </w:pPr>
                  <w: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471" w:type="pct"/>
                  <w:shd w:val="clear" w:color="auto" w:fill="auto"/>
                  <w:vAlign w:val="center"/>
                </w:tcPr>
                <w:p>
                  <w:pPr>
                    <w:pStyle w:val="13"/>
                  </w:pPr>
                  <w:r>
                    <w:rPr>
                      <w:rFonts w:hint="eastAsia"/>
                    </w:rPr>
                    <w:t>矿山最低开采规模</w:t>
                  </w:r>
                </w:p>
              </w:tc>
              <w:tc>
                <w:tcPr>
                  <w:tcW w:w="1620" w:type="pct"/>
                  <w:shd w:val="clear" w:color="auto" w:fill="auto"/>
                  <w:vAlign w:val="center"/>
                </w:tcPr>
                <w:p>
                  <w:pPr>
                    <w:pStyle w:val="13"/>
                    <w:jc w:val="both"/>
                  </w:pPr>
                  <w:r>
                    <w:rPr>
                      <w:rFonts w:hint="eastAsia"/>
                    </w:rPr>
                    <w:t>建筑石料的大、中、小型矿山所对应的最低开采规模分别为100万吨/年、50万吨/年、20万吨/年。</w:t>
                  </w:r>
                </w:p>
              </w:tc>
              <w:tc>
                <w:tcPr>
                  <w:tcW w:w="2430" w:type="pct"/>
                  <w:shd w:val="clear" w:color="auto" w:fill="auto"/>
                </w:tcPr>
                <w:p>
                  <w:pPr>
                    <w:pStyle w:val="13"/>
                    <w:jc w:val="both"/>
                  </w:pPr>
                  <w:r>
                    <w:rPr>
                      <w:rFonts w:hint="eastAsia"/>
                    </w:rPr>
                    <w:t>根据《湖南省湘阴县共荣矿区建筑用砂矿开发利用方案》，并于2022年8月23日取得《湖南省湘阴县共荣矿区建筑用砂矿开发利用方案》评审意见书，该方案明确：本项目矿区矿种为建筑用砂矿，设计规模为</w:t>
                  </w:r>
                  <w:r>
                    <w:t>90</w:t>
                  </w:r>
                  <w:r>
                    <w:rPr>
                      <w:rFonts w:hint="eastAsia"/>
                    </w:rPr>
                    <w:t>万吨/年，属于中型矿山。</w:t>
                  </w:r>
                </w:p>
              </w:tc>
              <w:tc>
                <w:tcPr>
                  <w:tcW w:w="479" w:type="pct"/>
                  <w:shd w:val="clear" w:color="auto" w:fill="auto"/>
                  <w:vAlign w:val="center"/>
                </w:tcPr>
                <w:p>
                  <w:pPr>
                    <w:pStyle w:val="13"/>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vMerge w:val="restart"/>
                  <w:shd w:val="clear" w:color="auto" w:fill="auto"/>
                  <w:vAlign w:val="center"/>
                </w:tcPr>
                <w:p>
                  <w:pPr>
                    <w:pStyle w:val="13"/>
                  </w:pPr>
                  <w:r>
                    <w:t>规划布局</w:t>
                  </w:r>
                </w:p>
              </w:tc>
              <w:tc>
                <w:tcPr>
                  <w:tcW w:w="1620" w:type="pct"/>
                  <w:shd w:val="clear" w:color="auto" w:fill="auto"/>
                  <w:vAlign w:val="center"/>
                </w:tcPr>
                <w:p>
                  <w:pPr>
                    <w:pStyle w:val="13"/>
                    <w:jc w:val="both"/>
                  </w:pPr>
                  <w:r>
                    <w:rPr>
                      <w:rFonts w:hint="eastAsia"/>
                    </w:rPr>
                    <w:t>严禁在禁止开发区域采矿；符合开采规划区块设置要求。</w:t>
                  </w:r>
                </w:p>
              </w:tc>
              <w:tc>
                <w:tcPr>
                  <w:tcW w:w="2430" w:type="pct"/>
                  <w:shd w:val="clear" w:color="auto" w:fill="auto"/>
                </w:tcPr>
                <w:p>
                  <w:pPr>
                    <w:pStyle w:val="13"/>
                    <w:jc w:val="both"/>
                  </w:pPr>
                  <w:r>
                    <w:rPr>
                      <w:rFonts w:hint="eastAsia"/>
                    </w:rPr>
                    <w:t>根据《湘阴县普通建筑材料用砂石土矿专项规划（2019-2025年）》及其审查意见明确：本项目采矿区已纳入湘阴县普通建筑材料用砂石土矿专项规划中允许开采区。</w:t>
                  </w:r>
                </w:p>
              </w:tc>
              <w:tc>
                <w:tcPr>
                  <w:tcW w:w="479" w:type="pct"/>
                  <w:shd w:val="clear" w:color="auto" w:fill="auto"/>
                  <w:vAlign w:val="center"/>
                </w:tcPr>
                <w:p>
                  <w:pPr>
                    <w:pStyle w:val="13"/>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vMerge w:val="continue"/>
                  <w:shd w:val="clear" w:color="auto" w:fill="auto"/>
                  <w:vAlign w:val="center"/>
                </w:tcPr>
                <w:p>
                  <w:pPr>
                    <w:pStyle w:val="13"/>
                  </w:pPr>
                </w:p>
              </w:tc>
              <w:tc>
                <w:tcPr>
                  <w:tcW w:w="1620" w:type="pct"/>
                  <w:shd w:val="clear" w:color="auto" w:fill="auto"/>
                  <w:vAlign w:val="center"/>
                </w:tcPr>
                <w:p>
                  <w:pPr>
                    <w:pStyle w:val="13"/>
                    <w:jc w:val="both"/>
                  </w:pPr>
                  <w:r>
                    <w:t>符合绿色矿山标准要求。</w:t>
                  </w:r>
                </w:p>
              </w:tc>
              <w:tc>
                <w:tcPr>
                  <w:tcW w:w="2430" w:type="pct"/>
                  <w:shd w:val="clear" w:color="auto" w:fill="auto"/>
                </w:tcPr>
                <w:p>
                  <w:pPr>
                    <w:pStyle w:val="13"/>
                    <w:jc w:val="both"/>
                  </w:pPr>
                  <w:r>
                    <w:rPr>
                      <w:rFonts w:hint="eastAsia"/>
                    </w:rPr>
                    <w:t>根据《湖南省湘阴县共荣矿区建筑用砂矿开发利用方案》及2022年8月23日取得的《湖南省湘阴县共荣矿区建筑用砂矿开发利用方案》评审意见书，项目按高标准开展绿色矿山建设，打造示范绿色矿山。</w:t>
                  </w:r>
                </w:p>
              </w:tc>
              <w:tc>
                <w:tcPr>
                  <w:tcW w:w="479" w:type="pct"/>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shd w:val="clear" w:color="auto" w:fill="auto"/>
                  <w:vAlign w:val="center"/>
                </w:tcPr>
                <w:p>
                  <w:pPr>
                    <w:pStyle w:val="13"/>
                  </w:pPr>
                  <w:r>
                    <w:t>技术工艺</w:t>
                  </w:r>
                </w:p>
              </w:tc>
              <w:tc>
                <w:tcPr>
                  <w:tcW w:w="1620" w:type="pct"/>
                  <w:shd w:val="clear" w:color="auto" w:fill="auto"/>
                  <w:vAlign w:val="center"/>
                </w:tcPr>
                <w:p>
                  <w:pPr>
                    <w:pStyle w:val="13"/>
                    <w:jc w:val="both"/>
                  </w:pPr>
                  <w:r>
                    <w:t>禁止采用国家淘汰采选技术方法；露天开采矿山采用自上向下的台阶式采矿。</w:t>
                  </w:r>
                </w:p>
              </w:tc>
              <w:tc>
                <w:tcPr>
                  <w:tcW w:w="2430" w:type="pct"/>
                  <w:shd w:val="clear" w:color="auto" w:fill="auto"/>
                </w:tcPr>
                <w:p>
                  <w:pPr>
                    <w:pStyle w:val="13"/>
                    <w:jc w:val="both"/>
                  </w:pPr>
                  <w:r>
                    <w:rPr>
                      <w:rFonts w:hint="eastAsia"/>
                    </w:rPr>
                    <w:t>根据《湖南省湘阴县共荣矿区建筑用砂矿开发利用方案》，并于2022年8月23日取得《湖南省湘阴县共荣矿区建筑用砂矿开发利用方案》评审意见书。该方案及其意见书明确：方案采用露天自上向下的台阶式开采工艺；方案选用的采矿方法和工艺基本合理，符合矿产资源合理有效利用的基本要求。</w:t>
                  </w:r>
                </w:p>
              </w:tc>
              <w:tc>
                <w:tcPr>
                  <w:tcW w:w="479" w:type="pct"/>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shd w:val="clear" w:color="auto" w:fill="auto"/>
                  <w:vAlign w:val="center"/>
                </w:tcPr>
                <w:p>
                  <w:pPr>
                    <w:pStyle w:val="13"/>
                  </w:pPr>
                  <w:r>
                    <w:t>安全生产</w:t>
                  </w:r>
                </w:p>
              </w:tc>
              <w:tc>
                <w:tcPr>
                  <w:tcW w:w="1620" w:type="pct"/>
                  <w:shd w:val="clear" w:color="auto" w:fill="auto"/>
                  <w:vAlign w:val="center"/>
                </w:tcPr>
                <w:p>
                  <w:pPr>
                    <w:pStyle w:val="13"/>
                    <w:jc w:val="both"/>
                  </w:pPr>
                  <w:r>
                    <w:t>符合爆破安全规程等标准、规范要求。</w:t>
                  </w:r>
                </w:p>
              </w:tc>
              <w:tc>
                <w:tcPr>
                  <w:tcW w:w="2430" w:type="pct"/>
                  <w:shd w:val="clear" w:color="auto" w:fill="auto"/>
                  <w:vAlign w:val="center"/>
                </w:tcPr>
                <w:p>
                  <w:pPr>
                    <w:pStyle w:val="13"/>
                    <w:jc w:val="both"/>
                  </w:pPr>
                  <w:r>
                    <w:rPr>
                      <w:rFonts w:hint="eastAsia"/>
                    </w:rPr>
                    <w:t>本项目不涉及爆破。</w:t>
                  </w:r>
                </w:p>
              </w:tc>
              <w:tc>
                <w:tcPr>
                  <w:tcW w:w="479" w:type="pct"/>
                  <w:shd w:val="clear" w:color="auto" w:fill="auto"/>
                  <w:vAlign w:val="center"/>
                </w:tcPr>
                <w:p>
                  <w:pPr>
                    <w:pStyle w:val="13"/>
                  </w:pPr>
                  <w:r>
                    <w:rPr>
                      <w:rFonts w:hint="eastAsia"/>
                    </w:rPr>
                    <w:t>符合</w:t>
                  </w:r>
                </w:p>
              </w:tc>
            </w:tr>
          </w:tbl>
          <w:p>
            <w:pPr>
              <w:spacing w:line="360" w:lineRule="auto"/>
              <w:ind w:firstLine="480"/>
            </w:pPr>
            <w:r>
              <w:rPr>
                <w:rFonts w:hint="eastAsia"/>
              </w:rPr>
              <w:t>综上所述，本项目符合《岳阳市矿产资源总体规划（2021-2025年）》相关要求。</w:t>
            </w:r>
          </w:p>
          <w:p>
            <w:pPr>
              <w:spacing w:line="360" w:lineRule="auto"/>
              <w:ind w:firstLine="0" w:firstLineChars="0"/>
              <w:rPr>
                <w:b/>
                <w:sz w:val="28"/>
              </w:rPr>
            </w:pPr>
            <w:r>
              <w:rPr>
                <w:b/>
                <w:sz w:val="28"/>
              </w:rPr>
              <w:t>3</w:t>
            </w:r>
            <w:r>
              <w:rPr>
                <w:rFonts w:hint="eastAsia"/>
                <w:b/>
                <w:sz w:val="28"/>
              </w:rPr>
              <w:t>、与《湘阴县普通建筑材料用砂石土矿专项规划（2019-2025年）》相符性分析</w:t>
            </w:r>
          </w:p>
          <w:p>
            <w:pPr>
              <w:pStyle w:val="2"/>
              <w:spacing w:line="360" w:lineRule="auto"/>
              <w:ind w:firstLine="480" w:firstLineChars="200"/>
              <w:jc w:val="both"/>
              <w:rPr>
                <w:b w:val="0"/>
                <w:color w:val="FF0000"/>
                <w:szCs w:val="24"/>
              </w:rPr>
            </w:pPr>
            <w:r>
              <w:rPr>
                <w:rFonts w:hint="eastAsia"/>
                <w:b w:val="0"/>
                <w:color w:val="auto"/>
                <w:szCs w:val="24"/>
              </w:rPr>
              <w:t>2020年</w:t>
            </w:r>
            <w:r>
              <w:rPr>
                <w:b w:val="0"/>
                <w:color w:val="auto"/>
                <w:szCs w:val="24"/>
              </w:rPr>
              <w:t>8</w:t>
            </w:r>
            <w:r>
              <w:rPr>
                <w:rFonts w:hint="eastAsia"/>
                <w:b w:val="0"/>
                <w:color w:val="auto"/>
                <w:szCs w:val="24"/>
              </w:rPr>
              <w:t>月湘阴县人民政府组织编制《湘阴县普通建筑材料用砂石土矿专项规划（2019-2025年）》，根据该专项规划：湘阴县静河镇共荣建筑用砂石（天然石英砂）矿（编号SC430</w:t>
            </w:r>
            <w:r>
              <w:rPr>
                <w:b w:val="0"/>
                <w:color w:val="auto"/>
                <w:szCs w:val="24"/>
              </w:rPr>
              <w:t>624003</w:t>
            </w:r>
            <w:r>
              <w:rPr>
                <w:rFonts w:hint="eastAsia"/>
                <w:b w:val="0"/>
                <w:color w:val="auto"/>
                <w:szCs w:val="24"/>
              </w:rPr>
              <w:t>）已纳入湘阴县普通建筑材料用砂石土矿允许开采区；同时根据《湖南省自然资源厅关于&lt;湘阴县普通建筑材料用砂石土矿专项规划（2019-2025 年）&gt;审查意见的函》，本项目矿山项目属其中新设区划。本项目与《湘阴县普通建筑材料用砂石土矿专项规划（2019-2025年）》符合性分析详见下表：</w:t>
            </w:r>
          </w:p>
          <w:p>
            <w:pPr>
              <w:pStyle w:val="2"/>
              <w:spacing w:line="360" w:lineRule="auto"/>
              <w:rPr>
                <w:b w:val="0"/>
                <w:spacing w:val="-20"/>
                <w:szCs w:val="24"/>
              </w:rPr>
            </w:pPr>
            <w:r>
              <w:rPr>
                <w:rFonts w:hint="eastAsia"/>
                <w:b w:val="0"/>
                <w:spacing w:val="-20"/>
                <w:szCs w:val="24"/>
              </w:rPr>
              <w:t>表1</w:t>
            </w:r>
            <w:r>
              <w:rPr>
                <w:b w:val="0"/>
                <w:spacing w:val="-20"/>
                <w:szCs w:val="24"/>
              </w:rPr>
              <w:t>-3</w:t>
            </w:r>
            <w:r>
              <w:rPr>
                <w:rFonts w:hint="eastAsia"/>
                <w:b w:val="0"/>
                <w:spacing w:val="-20"/>
                <w:szCs w:val="24"/>
              </w:rPr>
              <w:t>与《湘阴县普通建筑材料用砂石土矿专项规划（2019-2025年）》相符性</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693"/>
              <w:gridCol w:w="297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75" w:type="dxa"/>
                  <w:gridSpan w:val="2"/>
                  <w:vAlign w:val="center"/>
                </w:tcPr>
                <w:p>
                  <w:pPr>
                    <w:spacing w:line="240" w:lineRule="auto"/>
                    <w:ind w:firstLine="0" w:firstLineChars="0"/>
                    <w:jc w:val="center"/>
                    <w:rPr>
                      <w:sz w:val="21"/>
                      <w:szCs w:val="21"/>
                    </w:rPr>
                  </w:pPr>
                  <w:r>
                    <w:rPr>
                      <w:rFonts w:hint="eastAsia"/>
                      <w:sz w:val="21"/>
                      <w:szCs w:val="21"/>
                    </w:rPr>
                    <w:t>《湘阴县普通建筑材料用砂石土矿专项规划（2019-2025年）》要求</w:t>
                  </w:r>
                </w:p>
              </w:tc>
              <w:tc>
                <w:tcPr>
                  <w:tcW w:w="2977" w:type="dxa"/>
                  <w:vAlign w:val="center"/>
                </w:tcPr>
                <w:p>
                  <w:pPr>
                    <w:spacing w:line="240" w:lineRule="auto"/>
                    <w:ind w:firstLine="0" w:firstLineChars="0"/>
                    <w:jc w:val="center"/>
                    <w:rPr>
                      <w:sz w:val="21"/>
                      <w:szCs w:val="21"/>
                    </w:rPr>
                  </w:pPr>
                  <w:r>
                    <w:rPr>
                      <w:rFonts w:hint="eastAsia"/>
                      <w:sz w:val="21"/>
                      <w:szCs w:val="21"/>
                    </w:rPr>
                    <w:t>本项目情况</w:t>
                  </w:r>
                </w:p>
              </w:tc>
              <w:tc>
                <w:tcPr>
                  <w:tcW w:w="702" w:type="dxa"/>
                  <w:vAlign w:val="center"/>
                </w:tcPr>
                <w:p>
                  <w:pPr>
                    <w:spacing w:line="240" w:lineRule="auto"/>
                    <w:ind w:firstLine="0" w:firstLineChars="0"/>
                    <w:jc w:val="center"/>
                    <w:rPr>
                      <w:sz w:val="21"/>
                      <w:szCs w:val="21"/>
                    </w:rPr>
                  </w:pPr>
                  <w:r>
                    <w:rPr>
                      <w:rFonts w:hint="eastAsia"/>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spacing w:line="240" w:lineRule="auto"/>
                    <w:ind w:firstLine="0" w:firstLineChars="0"/>
                    <w:jc w:val="center"/>
                    <w:rPr>
                      <w:sz w:val="21"/>
                      <w:szCs w:val="21"/>
                    </w:rPr>
                  </w:pPr>
                  <w:r>
                    <w:rPr>
                      <w:rFonts w:hint="eastAsia"/>
                      <w:sz w:val="21"/>
                      <w:szCs w:val="21"/>
                    </w:rPr>
                    <w:t>开采规划准入条件</w:t>
                  </w:r>
                </w:p>
              </w:tc>
              <w:tc>
                <w:tcPr>
                  <w:tcW w:w="2693" w:type="dxa"/>
                  <w:vAlign w:val="center"/>
                </w:tcPr>
                <w:p>
                  <w:pPr>
                    <w:spacing w:line="240" w:lineRule="auto"/>
                    <w:ind w:firstLine="0" w:firstLineChars="0"/>
                    <w:rPr>
                      <w:sz w:val="21"/>
                      <w:szCs w:val="21"/>
                    </w:rPr>
                  </w:pPr>
                  <w:r>
                    <w:rPr>
                      <w:rFonts w:hint="eastAsia"/>
                      <w:sz w:val="21"/>
                      <w:szCs w:val="21"/>
                    </w:rPr>
                    <w:t>拟设采矿权应符合国家和省产业政策，符合本《规划》和相关行业规划相关要求，与矿床规模、勘查程度相匹配；</w:t>
                  </w:r>
                </w:p>
              </w:tc>
              <w:tc>
                <w:tcPr>
                  <w:tcW w:w="2977" w:type="dxa"/>
                </w:tcPr>
                <w:p>
                  <w:pPr>
                    <w:spacing w:line="240" w:lineRule="auto"/>
                    <w:ind w:firstLine="0" w:firstLineChars="0"/>
                    <w:rPr>
                      <w:sz w:val="21"/>
                      <w:szCs w:val="21"/>
                    </w:rPr>
                  </w:pPr>
                  <w:r>
                    <w:rPr>
                      <w:rFonts w:hint="eastAsia"/>
                      <w:sz w:val="21"/>
                      <w:szCs w:val="21"/>
                    </w:rPr>
                    <w:t>本项目2022年3月《湖南省湘阴县共荣矿区建筑用砂矿勘查报告》已由湖南省自然资源事务中心进行了评审（湘评审〔2022〕103号）；于2022年9月7日取得湘阴县人民政府下发的《湘阴县人民政府关于&lt;湖南省湘阴县静河镇共荣建筑用砂矿矿区土地使用方案&gt;的批复》（湘阴政函〔2022〕242号）。</w:t>
                  </w:r>
                </w:p>
              </w:tc>
              <w:tc>
                <w:tcPr>
                  <w:tcW w:w="702" w:type="dxa"/>
                  <w:vAlign w:val="center"/>
                </w:tcPr>
                <w:p>
                  <w:pPr>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2" w:type="dxa"/>
                  <w:vMerge w:val="continue"/>
                  <w:vAlign w:val="center"/>
                </w:tcPr>
                <w:p>
                  <w:pPr>
                    <w:spacing w:line="240" w:lineRule="auto"/>
                    <w:ind w:firstLine="0" w:firstLineChars="0"/>
                    <w:jc w:val="center"/>
                    <w:rPr>
                      <w:sz w:val="21"/>
                      <w:szCs w:val="21"/>
                    </w:rPr>
                  </w:pPr>
                </w:p>
              </w:tc>
              <w:tc>
                <w:tcPr>
                  <w:tcW w:w="2693" w:type="dxa"/>
                  <w:vAlign w:val="center"/>
                </w:tcPr>
                <w:p>
                  <w:pPr>
                    <w:spacing w:line="240" w:lineRule="auto"/>
                    <w:ind w:firstLine="0" w:firstLineChars="0"/>
                    <w:rPr>
                      <w:sz w:val="21"/>
                      <w:szCs w:val="21"/>
                    </w:rPr>
                  </w:pPr>
                  <w:r>
                    <w:rPr>
                      <w:rFonts w:hint="eastAsia"/>
                      <w:sz w:val="21"/>
                      <w:szCs w:val="21"/>
                    </w:rPr>
                    <w:t>不得位于禁止开采区内，一个采矿权设置区块范围内原则上只设一个采矿权，采矿权面积原则上不小于0.1km</w:t>
                  </w:r>
                  <w:r>
                    <w:rPr>
                      <w:rFonts w:hint="eastAsia"/>
                      <w:sz w:val="21"/>
                      <w:szCs w:val="21"/>
                      <w:vertAlign w:val="superscript"/>
                    </w:rPr>
                    <w:t>2</w:t>
                  </w:r>
                  <w:r>
                    <w:rPr>
                      <w:rFonts w:hint="eastAsia"/>
                      <w:sz w:val="21"/>
                      <w:szCs w:val="21"/>
                    </w:rPr>
                    <w:t>，拟设采矿权范围与开采规划区块范围符合相关要求；</w:t>
                  </w:r>
                </w:p>
              </w:tc>
              <w:tc>
                <w:tcPr>
                  <w:tcW w:w="2977" w:type="dxa"/>
                </w:tcPr>
                <w:p>
                  <w:pPr>
                    <w:spacing w:line="240" w:lineRule="auto"/>
                    <w:ind w:firstLine="0" w:firstLineChars="0"/>
                    <w:rPr>
                      <w:sz w:val="21"/>
                      <w:szCs w:val="21"/>
                    </w:rPr>
                  </w:pPr>
                  <w:r>
                    <w:rPr>
                      <w:rFonts w:hint="eastAsia"/>
                      <w:sz w:val="21"/>
                      <w:szCs w:val="21"/>
                    </w:rPr>
                    <w:t>本项目矿区已纳入湘阴县划定的允许开采区；</w:t>
                  </w:r>
                </w:p>
                <w:p>
                  <w:pPr>
                    <w:spacing w:line="240" w:lineRule="auto"/>
                    <w:ind w:firstLine="0" w:firstLineChars="0"/>
                    <w:rPr>
                      <w:sz w:val="21"/>
                      <w:szCs w:val="21"/>
                    </w:rPr>
                  </w:pPr>
                  <w:r>
                    <w:rPr>
                      <w:rFonts w:hint="eastAsia"/>
                      <w:sz w:val="21"/>
                      <w:szCs w:val="21"/>
                    </w:rPr>
                    <w:t>本项目采矿权设置区块范围内只设1个采矿权，矿区开采面积为0.</w:t>
                  </w:r>
                  <w:r>
                    <w:rPr>
                      <w:sz w:val="21"/>
                      <w:szCs w:val="21"/>
                    </w:rPr>
                    <w:t>4301</w:t>
                  </w:r>
                  <w:r>
                    <w:rPr>
                      <w:rFonts w:hint="eastAsia"/>
                      <w:sz w:val="21"/>
                      <w:szCs w:val="21"/>
                    </w:rPr>
                    <w:t>，大于0.1km</w:t>
                  </w:r>
                  <w:r>
                    <w:rPr>
                      <w:rFonts w:hint="eastAsia"/>
                      <w:sz w:val="21"/>
                      <w:szCs w:val="21"/>
                      <w:vertAlign w:val="superscript"/>
                    </w:rPr>
                    <w:t>2</w:t>
                  </w:r>
                  <w:r>
                    <w:rPr>
                      <w:rFonts w:hint="eastAsia"/>
                      <w:sz w:val="21"/>
                      <w:szCs w:val="21"/>
                    </w:rPr>
                    <w:t>，与（湘阴政函〔2022〕242号）文件相符。</w:t>
                  </w:r>
                </w:p>
              </w:tc>
              <w:tc>
                <w:tcPr>
                  <w:tcW w:w="702" w:type="dxa"/>
                  <w:vAlign w:val="center"/>
                </w:tcPr>
                <w:p>
                  <w:pPr>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2" w:type="dxa"/>
                  <w:vMerge w:val="continue"/>
                  <w:vAlign w:val="center"/>
                </w:tcPr>
                <w:p>
                  <w:pPr>
                    <w:spacing w:line="240" w:lineRule="auto"/>
                    <w:ind w:firstLine="0" w:firstLineChars="0"/>
                    <w:jc w:val="center"/>
                    <w:rPr>
                      <w:sz w:val="21"/>
                      <w:szCs w:val="21"/>
                    </w:rPr>
                  </w:pPr>
                </w:p>
              </w:tc>
              <w:tc>
                <w:tcPr>
                  <w:tcW w:w="2693" w:type="dxa"/>
                  <w:vAlign w:val="center"/>
                </w:tcPr>
                <w:p>
                  <w:pPr>
                    <w:spacing w:line="240" w:lineRule="auto"/>
                    <w:ind w:firstLine="0" w:firstLineChars="0"/>
                    <w:rPr>
                      <w:sz w:val="21"/>
                      <w:szCs w:val="21"/>
                    </w:rPr>
                  </w:pPr>
                  <w:r>
                    <w:rPr>
                      <w:rFonts w:hint="eastAsia"/>
                      <w:sz w:val="21"/>
                      <w:szCs w:val="21"/>
                    </w:rPr>
                    <w:t>不得占用基本农田、生态红线、各类保护区等；矿权与铁路、高速公路、国道、省道、电力线路、天然气管道的一定范围之内；与居民点、重要构筑物、其他采矿权等保留300米以上的安全距离。</w:t>
                  </w:r>
                </w:p>
              </w:tc>
              <w:tc>
                <w:tcPr>
                  <w:tcW w:w="2977" w:type="dxa"/>
                </w:tcPr>
                <w:p>
                  <w:pPr>
                    <w:spacing w:line="240" w:lineRule="auto"/>
                    <w:ind w:firstLine="0" w:firstLineChars="0"/>
                    <w:rPr>
                      <w:sz w:val="21"/>
                      <w:szCs w:val="21"/>
                    </w:rPr>
                  </w:pPr>
                  <w:r>
                    <w:rPr>
                      <w:rFonts w:hint="eastAsia"/>
                      <w:sz w:val="21"/>
                      <w:szCs w:val="21"/>
                    </w:rPr>
                    <w:t>矿区范围用地类型主要为林地，无公益林、基本农田，无已探明的矿产地，无已经查询的建设用地项目，采矿权不在省生态环境厅自然保护区、自然资源部下发自然保护区、风景区、国家级自然保护区、生态保护红线范围、禁止开发区边界、自然保护地内（详见附件10、12、13）。与重要构筑物、其他采矿权等保留300米以上的安全距离。根据《湖南省湘阴县静河镇共荣建筑用砂矿土地使用方案（最终稿）》：其外矿区周边存在居民房，湘阴县人民政府负责长期租赁或者拆迁。</w:t>
                  </w:r>
                </w:p>
              </w:tc>
              <w:tc>
                <w:tcPr>
                  <w:tcW w:w="702" w:type="dxa"/>
                  <w:vAlign w:val="center"/>
                </w:tcPr>
                <w:p>
                  <w:pPr>
                    <w:spacing w:line="240" w:lineRule="auto"/>
                    <w:ind w:firstLine="0" w:firstLineChars="0"/>
                    <w:jc w:val="center"/>
                    <w:rPr>
                      <w:sz w:val="21"/>
                      <w:szCs w:val="21"/>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spacing w:line="240" w:lineRule="auto"/>
                    <w:ind w:firstLine="0" w:firstLineChars="0"/>
                    <w:jc w:val="center"/>
                    <w:rPr>
                      <w:sz w:val="21"/>
                      <w:szCs w:val="21"/>
                    </w:rPr>
                  </w:pPr>
                  <w:r>
                    <w:rPr>
                      <w:rFonts w:hint="eastAsia"/>
                      <w:sz w:val="21"/>
                      <w:szCs w:val="21"/>
                    </w:rPr>
                    <w:t>资源准入条件</w:t>
                  </w:r>
                </w:p>
              </w:tc>
              <w:tc>
                <w:tcPr>
                  <w:tcW w:w="2693" w:type="dxa"/>
                  <w:vAlign w:val="center"/>
                </w:tcPr>
                <w:p>
                  <w:pPr>
                    <w:spacing w:line="240" w:lineRule="auto"/>
                    <w:ind w:firstLine="0" w:firstLineChars="0"/>
                    <w:rPr>
                      <w:sz w:val="21"/>
                      <w:szCs w:val="21"/>
                    </w:rPr>
                  </w:pPr>
                  <w:r>
                    <w:rPr>
                      <w:rFonts w:hint="eastAsia"/>
                      <w:sz w:val="21"/>
                      <w:szCs w:val="21"/>
                    </w:rPr>
                    <w:t>矿山资源储量必须达到100万吨及以上，最低服务年限不得小于3年。</w:t>
                  </w:r>
                </w:p>
              </w:tc>
              <w:tc>
                <w:tcPr>
                  <w:tcW w:w="2977" w:type="dxa"/>
                </w:tcPr>
                <w:p>
                  <w:pPr>
                    <w:spacing w:line="240" w:lineRule="auto"/>
                    <w:ind w:firstLine="0" w:firstLineChars="0"/>
                    <w:rPr>
                      <w:sz w:val="21"/>
                      <w:szCs w:val="21"/>
                    </w:rPr>
                  </w:pPr>
                  <w:r>
                    <w:rPr>
                      <w:rFonts w:hint="eastAsia"/>
                      <w:sz w:val="21"/>
                      <w:szCs w:val="21"/>
                    </w:rPr>
                    <w:t>根据《湖南省湘阴县共荣矿区建筑用砂矿勘查报告》经湖南省自然资源事务中心评审（评审文号：湘评审〔2</w:t>
                  </w:r>
                  <w:r>
                    <w:rPr>
                      <w:sz w:val="21"/>
                      <w:szCs w:val="21"/>
                    </w:rPr>
                    <w:t>022</w:t>
                  </w:r>
                  <w:r>
                    <w:rPr>
                      <w:rFonts w:hint="eastAsia"/>
                      <w:sz w:val="21"/>
                      <w:szCs w:val="21"/>
                    </w:rPr>
                    <w:t>〕103号），本项目砂卵石矿可采储量867.0万t，矿山服务年限为</w:t>
                  </w:r>
                  <w:r>
                    <w:rPr>
                      <w:sz w:val="21"/>
                      <w:szCs w:val="21"/>
                    </w:rPr>
                    <w:t>10.6</w:t>
                  </w:r>
                  <w:r>
                    <w:rPr>
                      <w:rFonts w:hint="eastAsia"/>
                      <w:sz w:val="21"/>
                      <w:szCs w:val="21"/>
                    </w:rPr>
                    <w:t>年（含基建期1年）。</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2" w:type="dxa"/>
                  <w:vAlign w:val="center"/>
                </w:tcPr>
                <w:p>
                  <w:pPr>
                    <w:spacing w:line="240" w:lineRule="auto"/>
                    <w:ind w:firstLine="0" w:firstLineChars="0"/>
                    <w:jc w:val="center"/>
                    <w:rPr>
                      <w:sz w:val="21"/>
                      <w:szCs w:val="21"/>
                    </w:rPr>
                  </w:pPr>
                  <w:r>
                    <w:rPr>
                      <w:rFonts w:hint="eastAsia"/>
                      <w:sz w:val="21"/>
                      <w:szCs w:val="21"/>
                    </w:rPr>
                    <w:t>开发利用准入条件</w:t>
                  </w:r>
                </w:p>
              </w:tc>
              <w:tc>
                <w:tcPr>
                  <w:tcW w:w="2693" w:type="dxa"/>
                </w:tcPr>
                <w:p>
                  <w:pPr>
                    <w:spacing w:line="240" w:lineRule="auto"/>
                    <w:ind w:firstLine="0" w:firstLineChars="0"/>
                    <w:rPr>
                      <w:sz w:val="21"/>
                      <w:szCs w:val="21"/>
                    </w:rPr>
                  </w:pPr>
                  <w:r>
                    <w:rPr>
                      <w:rFonts w:hint="eastAsia"/>
                      <w:sz w:val="21"/>
                      <w:szCs w:val="21"/>
                    </w:rPr>
                    <w:t>矿产开发利用方案合理、矿山设计规范，严禁使用地下开采，不得凹陷式开采，露天开采应采用台阶式开采方式，禁止使用落后的、破坏和浪费资源的开采方式，开采方法、选矿工艺先进；设计的“三率”指标符合本《规划》提出的指标。</w:t>
                  </w:r>
                </w:p>
              </w:tc>
              <w:tc>
                <w:tcPr>
                  <w:tcW w:w="2977" w:type="dxa"/>
                  <w:vAlign w:val="center"/>
                </w:tcPr>
                <w:p>
                  <w:pPr>
                    <w:spacing w:line="240" w:lineRule="auto"/>
                    <w:ind w:firstLine="0" w:firstLineChars="0"/>
                    <w:rPr>
                      <w:sz w:val="21"/>
                      <w:szCs w:val="21"/>
                    </w:rPr>
                  </w:pPr>
                  <w:r>
                    <w:rPr>
                      <w:rFonts w:hint="eastAsia"/>
                      <w:sz w:val="21"/>
                      <w:szCs w:val="21"/>
                    </w:rPr>
                    <w:t>根据《湖南省湘阴县共荣矿区建筑用砂矿开发利用方案》及评审意见书：本项目采用露天台阶式开采工艺，采用液压挖掘机自上而下分层开采，同时利用挖掘机/装载机卸料，公路汽车开拓及移动式皮带运输；设计采矿回收率为97%。</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spacing w:line="240" w:lineRule="auto"/>
                    <w:ind w:firstLine="0" w:firstLineChars="0"/>
                    <w:jc w:val="center"/>
                    <w:rPr>
                      <w:sz w:val="21"/>
                      <w:szCs w:val="21"/>
                    </w:rPr>
                  </w:pPr>
                  <w:r>
                    <w:rPr>
                      <w:rFonts w:hint="eastAsia"/>
                      <w:sz w:val="21"/>
                      <w:szCs w:val="21"/>
                    </w:rPr>
                    <w:t>矿山生产规模准入条件</w:t>
                  </w:r>
                </w:p>
              </w:tc>
              <w:tc>
                <w:tcPr>
                  <w:tcW w:w="2693" w:type="dxa"/>
                </w:tcPr>
                <w:p>
                  <w:pPr>
                    <w:spacing w:line="240" w:lineRule="auto"/>
                    <w:ind w:firstLine="0" w:firstLineChars="0"/>
                    <w:rPr>
                      <w:sz w:val="21"/>
                      <w:szCs w:val="21"/>
                    </w:rPr>
                  </w:pPr>
                  <w:r>
                    <w:rPr>
                      <w:rFonts w:hint="eastAsia"/>
                      <w:sz w:val="21"/>
                      <w:szCs w:val="21"/>
                    </w:rPr>
                    <w:t>矿山开采规模与核定的开采储量相适应，不低于本《规划》确定的最低开采规模30万吨/年，禁止大矿小开，鼓励矿山规模化生产。对于大、中型矿山企业的建设，政府各部门应给予政策优惠，鼓励和吸引有实力的大公司进行矿产资源开发利用投资。</w:t>
                  </w:r>
                </w:p>
              </w:tc>
              <w:tc>
                <w:tcPr>
                  <w:tcW w:w="2977" w:type="dxa"/>
                  <w:vAlign w:val="center"/>
                </w:tcPr>
                <w:p>
                  <w:pPr>
                    <w:spacing w:line="240" w:lineRule="auto"/>
                    <w:ind w:firstLine="0" w:firstLineChars="0"/>
                    <w:rPr>
                      <w:sz w:val="21"/>
                      <w:szCs w:val="21"/>
                    </w:rPr>
                  </w:pPr>
                  <w:r>
                    <w:rPr>
                      <w:rFonts w:hint="eastAsia"/>
                      <w:sz w:val="21"/>
                      <w:szCs w:val="21"/>
                    </w:rPr>
                    <w:t>根据《湖南省湘阴县共荣矿区建筑用砂矿开发利用方案》及评审意见书：本项目矿山开采加工规模为9</w:t>
                  </w:r>
                  <w:r>
                    <w:rPr>
                      <w:sz w:val="21"/>
                      <w:szCs w:val="21"/>
                    </w:rPr>
                    <w:t>0</w:t>
                  </w:r>
                  <w:r>
                    <w:rPr>
                      <w:rFonts w:hint="eastAsia"/>
                      <w:sz w:val="21"/>
                      <w:szCs w:val="21"/>
                    </w:rPr>
                    <w:t>万吨/年，大于3</w:t>
                  </w:r>
                  <w:r>
                    <w:rPr>
                      <w:sz w:val="21"/>
                      <w:szCs w:val="21"/>
                    </w:rPr>
                    <w:t>0</w:t>
                  </w:r>
                  <w:r>
                    <w:rPr>
                      <w:rFonts w:hint="eastAsia"/>
                      <w:sz w:val="21"/>
                      <w:szCs w:val="21"/>
                    </w:rPr>
                    <w:t>万吨/年。</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2" w:type="dxa"/>
                  <w:vAlign w:val="center"/>
                </w:tcPr>
                <w:p>
                  <w:pPr>
                    <w:spacing w:line="240" w:lineRule="auto"/>
                    <w:ind w:firstLine="0" w:firstLineChars="0"/>
                    <w:jc w:val="center"/>
                    <w:rPr>
                      <w:sz w:val="21"/>
                      <w:szCs w:val="21"/>
                    </w:rPr>
                  </w:pPr>
                  <w:r>
                    <w:rPr>
                      <w:rFonts w:hint="eastAsia"/>
                      <w:sz w:val="21"/>
                      <w:szCs w:val="21"/>
                    </w:rPr>
                    <w:t>环境保护准入条件</w:t>
                  </w:r>
                </w:p>
              </w:tc>
              <w:tc>
                <w:tcPr>
                  <w:tcW w:w="2693" w:type="dxa"/>
                  <w:vAlign w:val="center"/>
                </w:tcPr>
                <w:p>
                  <w:pPr>
                    <w:spacing w:line="240" w:lineRule="auto"/>
                    <w:ind w:firstLine="0" w:firstLineChars="0"/>
                    <w:rPr>
                      <w:sz w:val="21"/>
                      <w:szCs w:val="21"/>
                    </w:rPr>
                  </w:pPr>
                  <w:r>
                    <w:rPr>
                      <w:rFonts w:hint="eastAsia"/>
                      <w:sz w:val="21"/>
                      <w:szCs w:val="21"/>
                    </w:rPr>
                    <w:t>矿山企业必须具有经批准的环境影响评价报告、地质灾害危险性评估报告、矿山地质环境综合治理方案、水土保持和土地复垦方案等；具有安全生产设施、措施完善，并经相关部门批准。新建矿山必须达到绿色矿山要求，延续矿山限期达到绿色矿山要求。</w:t>
                  </w:r>
                </w:p>
              </w:tc>
              <w:tc>
                <w:tcPr>
                  <w:tcW w:w="2977" w:type="dxa"/>
                  <w:vAlign w:val="center"/>
                </w:tcPr>
                <w:p>
                  <w:pPr>
                    <w:spacing w:line="240" w:lineRule="auto"/>
                    <w:ind w:firstLine="0" w:firstLineChars="0"/>
                    <w:rPr>
                      <w:sz w:val="21"/>
                      <w:szCs w:val="21"/>
                    </w:rPr>
                  </w:pPr>
                  <w:r>
                    <w:rPr>
                      <w:rFonts w:hint="eastAsia"/>
                      <w:sz w:val="21"/>
                      <w:szCs w:val="21"/>
                    </w:rPr>
                    <w:t>本次为办理环境影响评价手续，地质灾害危险性评估报告、矿山地质环境综合治理方案、水土保持和土地复垦方案、安全预评价等均在办理中。</w:t>
                  </w:r>
                </w:p>
                <w:p>
                  <w:pPr>
                    <w:spacing w:line="240" w:lineRule="auto"/>
                    <w:ind w:firstLine="0" w:firstLineChars="0"/>
                    <w:rPr>
                      <w:sz w:val="21"/>
                      <w:szCs w:val="21"/>
                    </w:rPr>
                  </w:pPr>
                  <w:r>
                    <w:rPr>
                      <w:rFonts w:hint="eastAsia"/>
                      <w:sz w:val="21"/>
                      <w:szCs w:val="21"/>
                    </w:rPr>
                    <w:t>根据《湖南省湘阴县共荣矿区建筑用砂矿开发利用方案》及2022年8月23日取得的《湖南省湘阴县共荣矿区建筑用砂矿开发利用方案》评审意见书，项目按高标准开展绿色矿山建设，打造示范绿色矿山。</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spacing w:line="240" w:lineRule="auto"/>
                    <w:ind w:firstLine="0" w:firstLineChars="0"/>
                    <w:jc w:val="center"/>
                    <w:rPr>
                      <w:sz w:val="21"/>
                      <w:szCs w:val="21"/>
                    </w:rPr>
                  </w:pPr>
                  <w:r>
                    <w:rPr>
                      <w:rFonts w:hint="eastAsia"/>
                      <w:sz w:val="21"/>
                      <w:szCs w:val="21"/>
                    </w:rPr>
                    <w:t>安全生产准入条件</w:t>
                  </w:r>
                </w:p>
              </w:tc>
              <w:tc>
                <w:tcPr>
                  <w:tcW w:w="2693" w:type="dxa"/>
                  <w:vAlign w:val="center"/>
                </w:tcPr>
                <w:p>
                  <w:pPr>
                    <w:spacing w:line="240" w:lineRule="auto"/>
                    <w:ind w:firstLine="0" w:firstLineChars="0"/>
                    <w:rPr>
                      <w:sz w:val="21"/>
                      <w:szCs w:val="21"/>
                    </w:rPr>
                  </w:pPr>
                  <w:r>
                    <w:rPr>
                      <w:rFonts w:hint="eastAsia"/>
                      <w:sz w:val="21"/>
                      <w:szCs w:val="21"/>
                    </w:rPr>
                    <w:t>新建、扩建和延续矿山必须符合矿山安全生产规定，进行安全预评价，并具有相应的安全设施。安全生产设施、措施完善，符合国家劳动安全卫生规定，具备保障安全生产的必要条件。</w:t>
                  </w:r>
                </w:p>
              </w:tc>
              <w:tc>
                <w:tcPr>
                  <w:tcW w:w="2977" w:type="dxa"/>
                  <w:vAlign w:val="center"/>
                </w:tcPr>
                <w:p>
                  <w:pPr>
                    <w:spacing w:line="240" w:lineRule="auto"/>
                    <w:ind w:firstLine="0" w:firstLineChars="0"/>
                    <w:rPr>
                      <w:sz w:val="21"/>
                      <w:szCs w:val="21"/>
                    </w:rPr>
                  </w:pPr>
                  <w:r>
                    <w:rPr>
                      <w:rFonts w:hint="eastAsia"/>
                      <w:sz w:val="21"/>
                      <w:szCs w:val="21"/>
                    </w:rPr>
                    <w:t>本项目安全预评价正在办理中，将严格落实各项安全生产措施，保障安全生产。</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bl>
          <w:p>
            <w:pPr>
              <w:spacing w:line="360" w:lineRule="auto"/>
              <w:ind w:firstLine="480"/>
            </w:pPr>
            <w:r>
              <w:rPr>
                <w:rFonts w:hint="eastAsia"/>
              </w:rPr>
              <w:t>综上所述，本项目符合《湘阴县普通建筑材料用砂石土矿专项规划（2019-2025年）》相关要求。</w:t>
            </w:r>
          </w:p>
          <w:p>
            <w:pPr>
              <w:spacing w:line="360" w:lineRule="auto"/>
              <w:ind w:firstLine="480"/>
            </w:pPr>
          </w:p>
          <w:p>
            <w:pPr>
              <w:spacing w:line="360" w:lineRule="auto"/>
              <w:ind w:firstLine="480"/>
            </w:pPr>
          </w:p>
          <w:p>
            <w:pPr>
              <w:spacing w:line="360" w:lineRule="auto"/>
              <w:ind w:firstLine="4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1408" w:type="dxa"/>
            <w:tcMar>
              <w:top w:w="16" w:type="dxa"/>
              <w:left w:w="16" w:type="dxa"/>
              <w:right w:w="16" w:type="dxa"/>
            </w:tcMar>
            <w:vAlign w:val="center"/>
          </w:tcPr>
          <w:p>
            <w:pPr>
              <w:pStyle w:val="13"/>
              <w:rPr>
                <w:sz w:val="24"/>
              </w:rPr>
            </w:pPr>
            <w:bookmarkStart w:id="15" w:name="_Hlk56690880"/>
            <w:r>
              <w:rPr>
                <w:rFonts w:hint="eastAsia"/>
                <w:sz w:val="24"/>
              </w:rPr>
              <w:t>其他符合性分析</w:t>
            </w:r>
            <w:bookmarkEnd w:id="15"/>
          </w:p>
        </w:tc>
        <w:tc>
          <w:tcPr>
            <w:tcW w:w="7096" w:type="dxa"/>
            <w:gridSpan w:val="3"/>
            <w:tcMar>
              <w:top w:w="16" w:type="dxa"/>
              <w:left w:w="16" w:type="dxa"/>
              <w:right w:w="16" w:type="dxa"/>
            </w:tcMar>
            <w:vAlign w:val="center"/>
          </w:tcPr>
          <w:p>
            <w:pPr>
              <w:spacing w:line="360" w:lineRule="auto"/>
              <w:ind w:firstLine="0" w:firstLineChars="0"/>
              <w:rPr>
                <w:b/>
                <w:sz w:val="28"/>
              </w:rPr>
            </w:pPr>
            <w:r>
              <w:rPr>
                <w:rFonts w:hint="eastAsia"/>
                <w:b/>
                <w:sz w:val="28"/>
              </w:rPr>
              <w:t>1、产业政策符合性分析</w:t>
            </w:r>
          </w:p>
          <w:p>
            <w:pPr>
              <w:spacing w:line="360" w:lineRule="auto"/>
              <w:ind w:firstLine="480"/>
            </w:pPr>
            <w:r>
              <w:rPr>
                <w:rFonts w:hint="eastAsia"/>
              </w:rPr>
              <w:t>项目属于建筑用砂石（天然石英砂）矿开采，不属于《产业结构调整指导目录（2019年）》中的限制类、淘汰类产业类别，属于允许类，符合《产业结构调整指导目录（2019年）》。</w:t>
            </w:r>
          </w:p>
          <w:p>
            <w:pPr>
              <w:spacing w:line="360" w:lineRule="auto"/>
              <w:ind w:firstLine="480"/>
            </w:pPr>
            <w:r>
              <w:rPr>
                <w:rFonts w:hint="eastAsia"/>
              </w:rPr>
              <w:t>因此，本项目建设符合国家产业政策。</w:t>
            </w:r>
          </w:p>
          <w:p>
            <w:pPr>
              <w:spacing w:line="360" w:lineRule="auto"/>
              <w:ind w:firstLine="0" w:firstLineChars="0"/>
              <w:rPr>
                <w:b/>
                <w:sz w:val="28"/>
              </w:rPr>
            </w:pPr>
            <w:r>
              <w:rPr>
                <w:b/>
                <w:sz w:val="28"/>
              </w:rPr>
              <w:t>2</w:t>
            </w:r>
            <w:r>
              <w:rPr>
                <w:rFonts w:hint="eastAsia"/>
                <w:b/>
                <w:sz w:val="28"/>
              </w:rPr>
              <w:t>、与《岳阳市人民政府关于实施岳阳市“三线一单”生态环境分区管控的意见（岳政发〔2021〕2号）》符合性分析</w:t>
            </w:r>
          </w:p>
          <w:p>
            <w:pPr>
              <w:spacing w:line="360" w:lineRule="auto"/>
              <w:ind w:firstLine="480"/>
            </w:pPr>
            <w:r>
              <w:rPr>
                <w:rFonts w:hint="eastAsia"/>
              </w:rPr>
              <w:t>根据《岳阳市人民政府关于实施岳阳市“三线一单”生态环境分区管控的意见（岳政发〔2021〕2号）》，本项目位于岳阳市湘阴县静河镇，属一般管控单元Z</w:t>
            </w:r>
            <w:r>
              <w:t>H43062430002</w:t>
            </w:r>
            <w:r>
              <w:rPr>
                <w:rFonts w:hint="eastAsia"/>
              </w:rPr>
              <w:t>（详见附图5），其管控要求符合性分析见下表。</w:t>
            </w:r>
          </w:p>
          <w:p>
            <w:pPr>
              <w:pStyle w:val="2"/>
              <w:spacing w:line="360" w:lineRule="auto"/>
              <w:rPr>
                <w:b w:val="0"/>
              </w:rPr>
            </w:pPr>
            <w:r>
              <w:rPr>
                <w:rFonts w:hint="eastAsia"/>
                <w:b w:val="0"/>
              </w:rPr>
              <w:t>表1</w:t>
            </w:r>
            <w:r>
              <w:rPr>
                <w:b w:val="0"/>
              </w:rPr>
              <w:t xml:space="preserve">-4 </w:t>
            </w:r>
            <w:r>
              <w:rPr>
                <w:rFonts w:hint="eastAsia"/>
                <w:b w:val="0"/>
              </w:rPr>
              <w:t>与静河镇一般管控单元管控要求符合性分析</w:t>
            </w:r>
          </w:p>
          <w:tbl>
            <w:tblPr>
              <w:tblStyle w:val="16"/>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5"/>
              <w:gridCol w:w="3720"/>
              <w:gridCol w:w="19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5" w:type="dxa"/>
                  <w:shd w:val="clear" w:color="auto" w:fill="auto"/>
                  <w:vAlign w:val="center"/>
                </w:tcPr>
                <w:p>
                  <w:pPr>
                    <w:pStyle w:val="13"/>
                  </w:pPr>
                  <w:r>
                    <w:rPr>
                      <w:rFonts w:hint="eastAsia"/>
                    </w:rPr>
                    <w:t>管控维度</w:t>
                  </w:r>
                </w:p>
              </w:tc>
              <w:tc>
                <w:tcPr>
                  <w:tcW w:w="3720" w:type="dxa"/>
                  <w:shd w:val="clear" w:color="auto" w:fill="auto"/>
                  <w:vAlign w:val="center"/>
                </w:tcPr>
                <w:p>
                  <w:pPr>
                    <w:pStyle w:val="13"/>
                  </w:pPr>
                  <w:r>
                    <w:rPr>
                      <w:rFonts w:hint="eastAsia"/>
                    </w:rPr>
                    <w:t>管控要求</w:t>
                  </w:r>
                </w:p>
              </w:tc>
              <w:tc>
                <w:tcPr>
                  <w:tcW w:w="1998" w:type="dxa"/>
                  <w:shd w:val="clear" w:color="auto" w:fill="auto"/>
                  <w:vAlign w:val="center"/>
                </w:tcPr>
                <w:p>
                  <w:pPr>
                    <w:pStyle w:val="13"/>
                  </w:pPr>
                  <w:r>
                    <w:rPr>
                      <w:rFonts w:hint="eastAsia"/>
                    </w:rPr>
                    <w:t>本项目情况</w:t>
                  </w:r>
                </w:p>
              </w:tc>
              <w:tc>
                <w:tcPr>
                  <w:tcW w:w="610" w:type="dxa"/>
                  <w:shd w:val="clear" w:color="auto" w:fill="auto"/>
                  <w:vAlign w:val="center"/>
                </w:tcPr>
                <w:p>
                  <w:pPr>
                    <w:pStyle w:val="13"/>
                  </w:pPr>
                  <w:r>
                    <w:rPr>
                      <w:rFonts w:hint="eastAsi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5" w:type="dxa"/>
                  <w:shd w:val="clear" w:color="auto" w:fill="auto"/>
                  <w:vAlign w:val="center"/>
                </w:tcPr>
                <w:p>
                  <w:pPr>
                    <w:pStyle w:val="13"/>
                  </w:pPr>
                  <w:r>
                    <w:rPr>
                      <w:rFonts w:hint="eastAsia"/>
                    </w:rPr>
                    <w:t>主要属性</w:t>
                  </w:r>
                </w:p>
              </w:tc>
              <w:tc>
                <w:tcPr>
                  <w:tcW w:w="6328" w:type="dxa"/>
                  <w:gridSpan w:val="3"/>
                  <w:shd w:val="clear" w:color="auto" w:fill="auto"/>
                </w:tcPr>
                <w:p>
                  <w:pPr>
                    <w:pStyle w:val="13"/>
                    <w:jc w:val="both"/>
                  </w:pPr>
                  <w:r>
                    <w:rPr>
                      <w:rFonts w:hint="eastAsia"/>
                      <w:b/>
                    </w:rPr>
                    <w:t>静河镇：</w:t>
                  </w:r>
                  <w:r>
                    <w:rPr>
                      <w:rFonts w:hint="eastAsia"/>
                    </w:rPr>
                    <w:t>一般生态空间/岳阳市湘阴县湘江洋沙湖段饮用水水源保护区/湘阴洋沙湖国家湿地公园/大气环境布局敏感重点管控区/土壤一般管控区/农用地污染风险重点管控区/农用地优先保护区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5" w:type="dxa"/>
                  <w:shd w:val="clear" w:color="auto" w:fill="auto"/>
                  <w:vAlign w:val="center"/>
                </w:tcPr>
                <w:p>
                  <w:pPr>
                    <w:pStyle w:val="13"/>
                  </w:pPr>
                  <w:r>
                    <w:rPr>
                      <w:rFonts w:hint="eastAsia"/>
                    </w:rPr>
                    <w:t>空间布局约束</w:t>
                  </w:r>
                </w:p>
              </w:tc>
              <w:tc>
                <w:tcPr>
                  <w:tcW w:w="3720" w:type="dxa"/>
                  <w:shd w:val="clear" w:color="auto" w:fill="auto"/>
                </w:tcPr>
                <w:p>
                  <w:pPr>
                    <w:pStyle w:val="13"/>
                    <w:jc w:val="both"/>
                  </w:pPr>
                  <w:r>
                    <w:rPr>
                      <w:rFonts w:hint="eastAsia"/>
                    </w:rPr>
                    <w:t>1.1 严格执行养殖业禁养区、限养区、适养区的划分规定，严格把关养殖项目审批，不得在禁养区、限养区新批任何畜禽养殖项目</w:t>
                  </w:r>
                </w:p>
                <w:p>
                  <w:pPr>
                    <w:pStyle w:val="13"/>
                    <w:jc w:val="both"/>
                  </w:pPr>
                  <w:r>
                    <w:rPr>
                      <w:rFonts w:hint="eastAsia"/>
                    </w:rPr>
                    <w:t>1.2 禁止露天焚烧垃圾和垃圾填埋，全面推行农村垃圾分类收集处理，逐步实现农村生活垃圾处理减量化、处置无害化、废物资源化</w:t>
                  </w:r>
                </w:p>
                <w:p>
                  <w:pPr>
                    <w:pStyle w:val="13"/>
                    <w:jc w:val="both"/>
                  </w:pPr>
                  <w:r>
                    <w:rPr>
                      <w:rFonts w:hint="eastAsia"/>
                    </w:rPr>
                    <w:t>1.3 禁止造成饮用水源保护区污染的活动，包括投肥养鱼、珍珠养殖、游泳、破坏植被等</w:t>
                  </w:r>
                </w:p>
              </w:tc>
              <w:tc>
                <w:tcPr>
                  <w:tcW w:w="1998" w:type="dxa"/>
                  <w:shd w:val="clear" w:color="auto" w:fill="auto"/>
                  <w:vAlign w:val="center"/>
                </w:tcPr>
                <w:p>
                  <w:pPr>
                    <w:pStyle w:val="13"/>
                    <w:jc w:val="both"/>
                  </w:pPr>
                  <w:r>
                    <w:rPr>
                      <w:rFonts w:hint="eastAsia"/>
                    </w:rPr>
                    <w:t>1</w:t>
                  </w:r>
                  <w:r>
                    <w:t>.1</w:t>
                  </w:r>
                  <w:r>
                    <w:rPr>
                      <w:rFonts w:hint="eastAsia"/>
                    </w:rPr>
                    <w:t>本项目不属于养殖项目；</w:t>
                  </w:r>
                </w:p>
                <w:p>
                  <w:pPr>
                    <w:pStyle w:val="13"/>
                    <w:jc w:val="both"/>
                  </w:pPr>
                  <w:r>
                    <w:t>1.2</w:t>
                  </w:r>
                  <w:r>
                    <w:rPr>
                      <w:rFonts w:hint="eastAsia"/>
                    </w:rPr>
                    <w:t>项目生活垃圾均分类收集后由环卫部门处理；</w:t>
                  </w:r>
                </w:p>
                <w:p>
                  <w:pPr>
                    <w:pStyle w:val="13"/>
                    <w:jc w:val="both"/>
                  </w:pPr>
                  <w:r>
                    <w:t>1.3</w:t>
                  </w:r>
                  <w:r>
                    <w:rPr>
                      <w:rFonts w:hint="eastAsia"/>
                    </w:rPr>
                    <w:t>本项目不涉及上述活动。</w:t>
                  </w:r>
                </w:p>
              </w:tc>
              <w:tc>
                <w:tcPr>
                  <w:tcW w:w="61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5" w:type="dxa"/>
                  <w:shd w:val="clear" w:color="auto" w:fill="auto"/>
                  <w:vAlign w:val="center"/>
                </w:tcPr>
                <w:p>
                  <w:pPr>
                    <w:pStyle w:val="13"/>
                  </w:pPr>
                  <w:r>
                    <w:rPr>
                      <w:rFonts w:hint="eastAsia"/>
                    </w:rPr>
                    <w:t>污染物排放管控</w:t>
                  </w:r>
                </w:p>
              </w:tc>
              <w:tc>
                <w:tcPr>
                  <w:tcW w:w="3720" w:type="dxa"/>
                  <w:shd w:val="clear" w:color="auto" w:fill="auto"/>
                </w:tcPr>
                <w:p>
                  <w:pPr>
                    <w:pStyle w:val="13"/>
                    <w:jc w:val="both"/>
                  </w:pPr>
                  <w:r>
                    <w:rPr>
                      <w:rFonts w:hint="eastAsia"/>
                    </w:rPr>
                    <w:t>2.1 城市建成区内的施工工地（重点是市政工程、建筑工地和园林绿化工程等工地）按照绿色建筑施工要求，做到“六个 100%”。加大执法力度，对工地扬尘污染和渣土运输撒漏污染等行为“零容忍”，严查严管建筑工地、建筑垃圾处置工地、建筑垃圾消纳场扬尘污染问题，对车轮带泥、车身不洁、沿途撒漏、乱倾乱倒等造成路面及扬尘污染的违规行为依法严肃查处</w:t>
                  </w:r>
                </w:p>
                <w:p>
                  <w:pPr>
                    <w:pStyle w:val="13"/>
                    <w:jc w:val="both"/>
                  </w:pPr>
                  <w:r>
                    <w:rPr>
                      <w:rFonts w:hint="eastAsia"/>
                    </w:rPr>
                    <w:t>2.2 加强化肥、农药、农膜污染防治，引导农民减少化肥、农药使用量，积极推广有机肥使用、生物农药、振频杀虫、诱蛾灯杀虫等生态农业技术，控制农业面源污染</w:t>
                  </w:r>
                </w:p>
                <w:p>
                  <w:pPr>
                    <w:pStyle w:val="13"/>
                    <w:jc w:val="both"/>
                  </w:pPr>
                  <w:r>
                    <w:rPr>
                      <w:rFonts w:hint="eastAsia"/>
                    </w:rPr>
                    <w:t>2.3 强化配套，加快完善乡村两级垃圾处理基础设施，建设村（社区）垃圾定点收集池、垃圾堆积池、垃圾危险废物专用房屋（池）等基础设施，配备好垃圾车、保洁车等垃圾运输工具，农户配齐垃圾分类桶</w:t>
                  </w:r>
                </w:p>
                <w:p>
                  <w:pPr>
                    <w:pStyle w:val="13"/>
                    <w:jc w:val="both"/>
                  </w:pPr>
                  <w:r>
                    <w:rPr>
                      <w:rFonts w:hint="eastAsia"/>
                    </w:rPr>
                    <w:t>2.4 分批次建好集镇污水处理设施，逐步解决集中生活区污水污染问题；加快建设三格、四格化粪池，解决分散户生活污水问题</w:t>
                  </w:r>
                </w:p>
                <w:p>
                  <w:pPr>
                    <w:pStyle w:val="13"/>
                    <w:jc w:val="both"/>
                  </w:pPr>
                  <w:r>
                    <w:rPr>
                      <w:rFonts w:hint="eastAsia"/>
                    </w:rPr>
                    <w:t>2.5 严格规范兽药、饲料及饲料添加剂的生产和使用，从源头防止兽药、饲料添加剂中的有害成分通过畜禽养殖废弃物还田对土壤造成的污染</w:t>
                  </w:r>
                </w:p>
                <w:p>
                  <w:pPr>
                    <w:pStyle w:val="13"/>
                    <w:jc w:val="both"/>
                  </w:pPr>
                  <w:r>
                    <w:rPr>
                      <w:rFonts w:hint="eastAsia"/>
                    </w:rPr>
                    <w:t>2.6 畜禽粪污污染整治应按照“干湿分离+雨污分流”的要求，采用干清粪工艺和粪污生物发酵处理利用模式处理粪污，须配套建设堆粪场、粪污水贮存池和铺设排污管道。干粪运至堆粪场好氧发酵，粪渣、尿、污水通过排污管道排入粪污水贮存池（或沼气池）厌氧发酵，贮存池内的粪污水不得向外排放，应就地或转运至其他农用地消纳，并签订粪污消纳协议</w:t>
                  </w:r>
                </w:p>
                <w:p>
                  <w:pPr>
                    <w:pStyle w:val="13"/>
                    <w:jc w:val="both"/>
                  </w:pPr>
                  <w:r>
                    <w:rPr>
                      <w:rFonts w:hint="eastAsia"/>
                    </w:rPr>
                    <w:t>2.7 加强房屋建筑与市政工程施工现场扬尘环境监管，积极推进绿色施工，建设工程施工现场必须全封闭设置围挡墙，严禁敞开式作业，施工现场道路、作业区、生活区必须进行地面硬化。将施工扬尘污染控制情况纳入建筑企业信用管理系统，作为招投标的重要依据。渣土运输车辆全部采取密闭措施，对重点建筑施工现场安装视频，实施在线监管。推行道路机械化清扫等低尘作业方式。各种煤堆、料堆应实现封闭储存或建设防风抑尘设施</w:t>
                  </w:r>
                </w:p>
              </w:tc>
              <w:tc>
                <w:tcPr>
                  <w:tcW w:w="1998" w:type="dxa"/>
                  <w:shd w:val="clear" w:color="auto" w:fill="auto"/>
                  <w:vAlign w:val="center"/>
                </w:tcPr>
                <w:p>
                  <w:pPr>
                    <w:pStyle w:val="13"/>
                    <w:jc w:val="both"/>
                  </w:pPr>
                  <w:r>
                    <w:rPr>
                      <w:rFonts w:hint="eastAsia"/>
                    </w:rPr>
                    <w:t>2</w:t>
                  </w:r>
                  <w:r>
                    <w:t>.1</w:t>
                  </w:r>
                  <w:r>
                    <w:rPr>
                      <w:rFonts w:hint="eastAsia"/>
                    </w:rPr>
                    <w:t>本项目严格按照绿色建筑施工要求，做到“六个100%”；</w:t>
                  </w:r>
                </w:p>
                <w:p>
                  <w:pPr>
                    <w:pStyle w:val="13"/>
                    <w:jc w:val="both"/>
                  </w:pPr>
                  <w:r>
                    <w:t>2.2</w:t>
                  </w:r>
                  <w:r>
                    <w:rPr>
                      <w:rFonts w:hint="eastAsia"/>
                    </w:rPr>
                    <w:t>本项目不涉及上述农业活动；</w:t>
                  </w:r>
                </w:p>
                <w:p>
                  <w:pPr>
                    <w:pStyle w:val="13"/>
                    <w:jc w:val="both"/>
                  </w:pPr>
                  <w:r>
                    <w:t>2.3</w:t>
                  </w:r>
                  <w:r>
                    <w:rPr>
                      <w:rFonts w:hint="eastAsia"/>
                    </w:rPr>
                    <w:t>本项目厂内生活垃圾均经垃圾桶分类收集再由环卫部门处理；</w:t>
                  </w:r>
                </w:p>
                <w:p>
                  <w:pPr>
                    <w:pStyle w:val="13"/>
                    <w:jc w:val="both"/>
                  </w:pPr>
                  <w:r>
                    <w:t>2.4</w:t>
                  </w:r>
                  <w:r>
                    <w:rPr>
                      <w:rFonts w:hint="eastAsia"/>
                    </w:rPr>
                    <w:t>本项目设化粪池处理生活污水，生产废水均处理后回用；</w:t>
                  </w:r>
                </w:p>
                <w:p>
                  <w:pPr>
                    <w:spacing w:line="240" w:lineRule="auto"/>
                    <w:ind w:firstLine="0" w:firstLineChars="0"/>
                    <w:rPr>
                      <w:sz w:val="21"/>
                      <w:szCs w:val="21"/>
                    </w:rPr>
                  </w:pPr>
                  <w:r>
                    <w:rPr>
                      <w:rFonts w:hint="eastAsia"/>
                      <w:sz w:val="21"/>
                      <w:szCs w:val="21"/>
                    </w:rPr>
                    <w:t>2</w:t>
                  </w:r>
                  <w:r>
                    <w:rPr>
                      <w:sz w:val="21"/>
                      <w:szCs w:val="21"/>
                    </w:rPr>
                    <w:t>.5</w:t>
                  </w:r>
                  <w:r>
                    <w:rPr>
                      <w:rFonts w:hint="eastAsia"/>
                      <w:sz w:val="21"/>
                      <w:szCs w:val="21"/>
                    </w:rPr>
                    <w:t>本项目不涉及上述饲料的使用；</w:t>
                  </w:r>
                </w:p>
                <w:p>
                  <w:pPr>
                    <w:spacing w:line="240" w:lineRule="auto"/>
                    <w:ind w:firstLine="0" w:firstLineChars="0"/>
                    <w:rPr>
                      <w:sz w:val="21"/>
                      <w:szCs w:val="21"/>
                    </w:rPr>
                  </w:pPr>
                  <w:r>
                    <w:rPr>
                      <w:rFonts w:hint="eastAsia"/>
                      <w:sz w:val="21"/>
                      <w:szCs w:val="21"/>
                    </w:rPr>
                    <w:t>2</w:t>
                  </w:r>
                  <w:r>
                    <w:rPr>
                      <w:sz w:val="21"/>
                      <w:szCs w:val="21"/>
                    </w:rPr>
                    <w:t>.6</w:t>
                  </w:r>
                  <w:r>
                    <w:rPr>
                      <w:rFonts w:hint="eastAsia"/>
                      <w:sz w:val="21"/>
                      <w:szCs w:val="21"/>
                    </w:rPr>
                    <w:t>本项目不涉及畜禽养殖；</w:t>
                  </w:r>
                </w:p>
                <w:p>
                  <w:pPr>
                    <w:spacing w:line="240" w:lineRule="auto"/>
                    <w:ind w:firstLine="0" w:firstLineChars="0"/>
                    <w:rPr>
                      <w:sz w:val="21"/>
                      <w:szCs w:val="21"/>
                    </w:rPr>
                  </w:pPr>
                  <w:r>
                    <w:rPr>
                      <w:rFonts w:hint="eastAsia"/>
                      <w:sz w:val="21"/>
                      <w:szCs w:val="21"/>
                    </w:rPr>
                    <w:t>2</w:t>
                  </w:r>
                  <w:r>
                    <w:rPr>
                      <w:sz w:val="21"/>
                      <w:szCs w:val="21"/>
                    </w:rPr>
                    <w:t>.7</w:t>
                  </w:r>
                  <w:r>
                    <w:rPr>
                      <w:rFonts w:hint="eastAsia"/>
                      <w:sz w:val="21"/>
                      <w:szCs w:val="21"/>
                    </w:rPr>
                    <w:t>本项目严格执行上述要求。</w:t>
                  </w:r>
                </w:p>
              </w:tc>
              <w:tc>
                <w:tcPr>
                  <w:tcW w:w="61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655" w:type="dxa"/>
                  <w:shd w:val="clear" w:color="auto" w:fill="auto"/>
                  <w:vAlign w:val="center"/>
                </w:tcPr>
                <w:p>
                  <w:pPr>
                    <w:pStyle w:val="13"/>
                  </w:pPr>
                  <w:r>
                    <w:rPr>
                      <w:rFonts w:hint="eastAsia"/>
                    </w:rPr>
                    <w:t>环境风险防控</w:t>
                  </w:r>
                </w:p>
              </w:tc>
              <w:tc>
                <w:tcPr>
                  <w:tcW w:w="3720" w:type="dxa"/>
                  <w:shd w:val="clear" w:color="auto" w:fill="auto"/>
                </w:tcPr>
                <w:p>
                  <w:pPr>
                    <w:pStyle w:val="13"/>
                    <w:jc w:val="both"/>
                  </w:pPr>
                  <w:r>
                    <w:rPr>
                      <w:rFonts w:hint="eastAsia"/>
                    </w:rPr>
                    <w:t>3.1 探索采用PPP等市场化模式，引入第三方参与运行管理，鼓励社会投资建设污水处理厂，将管护权、收益权划归社会投资者，解决农村污水治理问题</w:t>
                  </w:r>
                </w:p>
                <w:p>
                  <w:pPr>
                    <w:pStyle w:val="13"/>
                    <w:jc w:val="both"/>
                  </w:pPr>
                  <w:r>
                    <w:rPr>
                      <w:rFonts w:hint="eastAsia"/>
                    </w:rPr>
                    <w:t>3.2 开展饮用水源地周边土壤环境质量调查，掌握饮用水源地周边土壤环境质量状况及其潜在环境风险情况</w:t>
                  </w:r>
                </w:p>
                <w:p>
                  <w:pPr>
                    <w:pStyle w:val="13"/>
                    <w:jc w:val="both"/>
                  </w:pPr>
                  <w:r>
                    <w:rPr>
                      <w:rFonts w:hint="eastAsia"/>
                    </w:rPr>
                    <w:t>3.3 对生活饮用水集中式供水单位供水水质按国家相关要求进行行业自检和监督监测，所有市政供水安全状况按国家要求每季度进行公开</w:t>
                  </w:r>
                </w:p>
              </w:tc>
              <w:tc>
                <w:tcPr>
                  <w:tcW w:w="1998" w:type="dxa"/>
                  <w:shd w:val="clear" w:color="auto" w:fill="auto"/>
                  <w:vAlign w:val="center"/>
                </w:tcPr>
                <w:p>
                  <w:pPr>
                    <w:pStyle w:val="13"/>
                    <w:jc w:val="both"/>
                    <w:rPr>
                      <w:szCs w:val="21"/>
                    </w:rPr>
                  </w:pPr>
                  <w:r>
                    <w:rPr>
                      <w:rFonts w:hint="eastAsia"/>
                      <w:szCs w:val="21"/>
                    </w:rPr>
                    <w:t>3</w:t>
                  </w:r>
                  <w:r>
                    <w:rPr>
                      <w:szCs w:val="21"/>
                    </w:rPr>
                    <w:t>.1-3.3</w:t>
                  </w:r>
                  <w:r>
                    <w:rPr>
                      <w:rFonts w:hint="eastAsia"/>
                      <w:szCs w:val="21"/>
                    </w:rPr>
                    <w:t>本项目不涉及</w:t>
                  </w:r>
                </w:p>
              </w:tc>
              <w:tc>
                <w:tcPr>
                  <w:tcW w:w="61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2" w:hRule="atLeast"/>
                <w:jc w:val="center"/>
              </w:trPr>
              <w:tc>
                <w:tcPr>
                  <w:tcW w:w="655" w:type="dxa"/>
                  <w:shd w:val="clear" w:color="auto" w:fill="auto"/>
                  <w:vAlign w:val="center"/>
                </w:tcPr>
                <w:p>
                  <w:pPr>
                    <w:pStyle w:val="13"/>
                  </w:pPr>
                  <w:r>
                    <w:rPr>
                      <w:rFonts w:hint="eastAsia"/>
                    </w:rPr>
                    <w:t>资源开发利用要求</w:t>
                  </w:r>
                </w:p>
              </w:tc>
              <w:tc>
                <w:tcPr>
                  <w:tcW w:w="3720" w:type="dxa"/>
                  <w:shd w:val="clear" w:color="auto" w:fill="auto"/>
                </w:tcPr>
                <w:p>
                  <w:pPr>
                    <w:pStyle w:val="13"/>
                    <w:jc w:val="both"/>
                  </w:pPr>
                  <w:r>
                    <w:rPr>
                      <w:rFonts w:hint="eastAsia"/>
                    </w:rPr>
                    <w:t>4.1 水资源：2020年，湘阴县万元国内生产总值用水量75m</w:t>
                  </w:r>
                  <w:r>
                    <w:rPr>
                      <w:vertAlign w:val="superscript"/>
                    </w:rPr>
                    <w:t>3</w:t>
                  </w:r>
                  <w:r>
                    <w:rPr>
                      <w:rFonts w:hint="eastAsia"/>
                    </w:rPr>
                    <w:t>/万元，万元工业增加值用水量28m</w:t>
                  </w:r>
                  <w:r>
                    <w:rPr>
                      <w:vertAlign w:val="superscript"/>
                    </w:rPr>
                    <w:t>3</w:t>
                  </w:r>
                  <w:r>
                    <w:rPr>
                      <w:rFonts w:hint="eastAsia"/>
                    </w:rPr>
                    <w:t>/万元，农田灌溉水有效利用系数0.53</w:t>
                  </w:r>
                </w:p>
                <w:p>
                  <w:pPr>
                    <w:pStyle w:val="13"/>
                    <w:jc w:val="both"/>
                  </w:pPr>
                  <w:r>
                    <w:rPr>
                      <w:rFonts w:hint="eastAsia"/>
                    </w:rPr>
                    <w:t>4.2 能源：积极引导生活用燃煤的居民改用天然气、液化石油气等清洁能源，鼓励秸秆资源化、能源化利用。湘阴县“十三五”能耗强度降低目标18.5%，“十三五”能耗控制目标20万吨标准煤</w:t>
                  </w:r>
                  <w:r>
                    <w:t>…</w:t>
                  </w:r>
                </w:p>
              </w:tc>
              <w:tc>
                <w:tcPr>
                  <w:tcW w:w="1998" w:type="dxa"/>
                  <w:shd w:val="clear" w:color="auto" w:fill="auto"/>
                  <w:vAlign w:val="center"/>
                </w:tcPr>
                <w:p>
                  <w:pPr>
                    <w:pStyle w:val="13"/>
                    <w:jc w:val="both"/>
                    <w:rPr>
                      <w:szCs w:val="21"/>
                    </w:rPr>
                  </w:pPr>
                  <w:r>
                    <w:rPr>
                      <w:rFonts w:hint="eastAsia"/>
                      <w:szCs w:val="21"/>
                    </w:rPr>
                    <w:t>4</w:t>
                  </w:r>
                  <w:r>
                    <w:rPr>
                      <w:szCs w:val="21"/>
                    </w:rPr>
                    <w:t>.1</w:t>
                  </w:r>
                  <w:r>
                    <w:rPr>
                      <w:rFonts w:hint="eastAsia"/>
                      <w:szCs w:val="21"/>
                    </w:rPr>
                    <w:t>本项目生活污水经化粪池处理后用于周边施肥，生产废水经沉淀后回用，可实现水资源循环利用，提高水资源利用率，降低薪水消耗；</w:t>
                  </w:r>
                </w:p>
                <w:p>
                  <w:pPr>
                    <w:spacing w:line="240" w:lineRule="auto"/>
                    <w:ind w:firstLine="0" w:firstLineChars="0"/>
                    <w:rPr>
                      <w:sz w:val="21"/>
                      <w:szCs w:val="21"/>
                    </w:rPr>
                  </w:pPr>
                  <w:r>
                    <w:rPr>
                      <w:rFonts w:hint="eastAsia"/>
                      <w:sz w:val="21"/>
                      <w:szCs w:val="21"/>
                    </w:rPr>
                    <w:t>4</w:t>
                  </w:r>
                  <w:r>
                    <w:rPr>
                      <w:sz w:val="21"/>
                      <w:szCs w:val="21"/>
                    </w:rPr>
                    <w:t>.2</w:t>
                  </w:r>
                  <w:r>
                    <w:rPr>
                      <w:rFonts w:hint="eastAsia"/>
                      <w:sz w:val="21"/>
                      <w:szCs w:val="21"/>
                    </w:rPr>
                    <w:t>本项目涉及能源主要为电能；</w:t>
                  </w:r>
                </w:p>
              </w:tc>
              <w:tc>
                <w:tcPr>
                  <w:tcW w:w="610" w:type="dxa"/>
                  <w:shd w:val="clear" w:color="auto" w:fill="auto"/>
                  <w:vAlign w:val="center"/>
                </w:tcPr>
                <w:p>
                  <w:pPr>
                    <w:pStyle w:val="13"/>
                  </w:pPr>
                  <w:r>
                    <w:rPr>
                      <w:rFonts w:hint="eastAsia"/>
                    </w:rPr>
                    <w:t>符合</w:t>
                  </w:r>
                </w:p>
              </w:tc>
            </w:tr>
          </w:tbl>
          <w:p>
            <w:pPr>
              <w:spacing w:line="360" w:lineRule="auto"/>
              <w:ind w:firstLine="480"/>
            </w:pPr>
            <w:r>
              <w:rPr>
                <w:rFonts w:hint="eastAsia"/>
              </w:rPr>
              <w:t>综上所述，本项目建设符合《岳阳市人民政府关于实施岳阳市“三线一单”生态环境分区管控的意见（岳政发〔2021〕2号）》中静河镇相关要求。</w:t>
            </w:r>
          </w:p>
          <w:p>
            <w:pPr>
              <w:spacing w:line="360" w:lineRule="auto"/>
              <w:ind w:firstLine="0" w:firstLineChars="0"/>
              <w:rPr>
                <w:b/>
                <w:sz w:val="28"/>
              </w:rPr>
            </w:pPr>
            <w:r>
              <w:rPr>
                <w:b/>
                <w:sz w:val="28"/>
              </w:rPr>
              <w:t>3</w:t>
            </w:r>
            <w:r>
              <w:rPr>
                <w:rFonts w:hint="eastAsia"/>
                <w:b/>
                <w:sz w:val="28"/>
              </w:rPr>
              <w:t>、与《湖南省砂石骨料行业规范条件》符合性分析</w:t>
            </w:r>
          </w:p>
          <w:p>
            <w:pPr>
              <w:spacing w:line="360" w:lineRule="auto"/>
              <w:ind w:firstLine="480"/>
            </w:pPr>
            <w:r>
              <w:rPr>
                <w:rFonts w:hint="eastAsia"/>
              </w:rPr>
              <w:t>本项目与《湖南省经济和信息化委员会关于印发&lt;湖南省砂石骨料行业规范条件&gt;的通知》（湘经信原材料〔20</w:t>
            </w:r>
            <w:r>
              <w:t>18</w:t>
            </w:r>
            <w:r>
              <w:rPr>
                <w:rFonts w:hint="eastAsia"/>
              </w:rPr>
              <w:t>〕10号）相关要求的符合性分析详见下表。</w:t>
            </w:r>
          </w:p>
          <w:p>
            <w:pPr>
              <w:spacing w:line="360" w:lineRule="auto"/>
              <w:ind w:firstLine="0" w:firstLineChars="0"/>
              <w:jc w:val="center"/>
            </w:pPr>
            <w:r>
              <w:rPr>
                <w:rFonts w:hint="eastAsia"/>
              </w:rPr>
              <w:t>表1</w:t>
            </w:r>
            <w:r>
              <w:t xml:space="preserve">-5 </w:t>
            </w:r>
            <w:r>
              <w:rPr>
                <w:rFonts w:hint="eastAsia"/>
              </w:rPr>
              <w:t>本项目与《湖南省砂石骨料行业规范条件》符合性分析</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3827"/>
              <w:gridCol w:w="2127"/>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5" w:type="dxa"/>
                  <w:gridSpan w:val="2"/>
                  <w:vAlign w:val="center"/>
                </w:tcPr>
                <w:p>
                  <w:pPr>
                    <w:spacing w:line="240" w:lineRule="auto"/>
                    <w:ind w:firstLine="0" w:firstLineChars="0"/>
                    <w:jc w:val="center"/>
                    <w:rPr>
                      <w:sz w:val="21"/>
                      <w:szCs w:val="21"/>
                    </w:rPr>
                  </w:pPr>
                  <w:r>
                    <w:rPr>
                      <w:rFonts w:hint="eastAsia"/>
                      <w:sz w:val="21"/>
                      <w:szCs w:val="21"/>
                    </w:rPr>
                    <w:t>《湖南省砂石骨料行业规范条件》相关要求</w:t>
                  </w:r>
                </w:p>
              </w:tc>
              <w:tc>
                <w:tcPr>
                  <w:tcW w:w="2127" w:type="dxa"/>
                  <w:vAlign w:val="center"/>
                </w:tcPr>
                <w:p>
                  <w:pPr>
                    <w:spacing w:line="240" w:lineRule="auto"/>
                    <w:ind w:firstLine="0" w:firstLineChars="0"/>
                    <w:jc w:val="center"/>
                    <w:rPr>
                      <w:sz w:val="21"/>
                      <w:szCs w:val="21"/>
                    </w:rPr>
                  </w:pPr>
                  <w:r>
                    <w:rPr>
                      <w:rFonts w:hint="eastAsia"/>
                      <w:sz w:val="21"/>
                      <w:szCs w:val="21"/>
                    </w:rPr>
                    <w:t>本项目情况</w:t>
                  </w:r>
                </w:p>
              </w:tc>
              <w:tc>
                <w:tcPr>
                  <w:tcW w:w="702" w:type="dxa"/>
                  <w:vAlign w:val="center"/>
                </w:tcPr>
                <w:p>
                  <w:pPr>
                    <w:spacing w:line="240" w:lineRule="auto"/>
                    <w:ind w:firstLine="0" w:firstLineChars="0"/>
                    <w:jc w:val="center"/>
                    <w:rPr>
                      <w:sz w:val="21"/>
                      <w:szCs w:val="21"/>
                    </w:rPr>
                  </w:pPr>
                  <w:r>
                    <w:rPr>
                      <w:rFonts w:hint="eastAsia"/>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8" w:type="dxa"/>
                  <w:vMerge w:val="restart"/>
                  <w:vAlign w:val="center"/>
                </w:tcPr>
                <w:p>
                  <w:pPr>
                    <w:spacing w:line="240" w:lineRule="auto"/>
                    <w:ind w:firstLine="0" w:firstLineChars="0"/>
                    <w:rPr>
                      <w:sz w:val="21"/>
                      <w:szCs w:val="21"/>
                    </w:rPr>
                  </w:pPr>
                  <w:r>
                    <w:rPr>
                      <w:rFonts w:hint="eastAsia"/>
                      <w:sz w:val="21"/>
                      <w:szCs w:val="21"/>
                    </w:rPr>
                    <w:t>规划布局和建设要求</w:t>
                  </w:r>
                </w:p>
              </w:tc>
              <w:tc>
                <w:tcPr>
                  <w:tcW w:w="3827" w:type="dxa"/>
                  <w:vAlign w:val="center"/>
                </w:tcPr>
                <w:p>
                  <w:pPr>
                    <w:spacing w:line="240" w:lineRule="auto"/>
                    <w:ind w:firstLine="0" w:firstLineChars="0"/>
                    <w:rPr>
                      <w:sz w:val="21"/>
                      <w:szCs w:val="21"/>
                      <w:u w:val="single"/>
                    </w:rPr>
                  </w:pPr>
                  <w:r>
                    <w:rPr>
                      <w:rFonts w:hint="eastAsia"/>
                      <w:sz w:val="21"/>
                      <w:szCs w:val="21"/>
                      <w:u w:val="single"/>
                    </w:rPr>
                    <w:t>新建、改建机制砂石骨料项目应符合国家产业政策和当地产业、矿产资源及土地利用总体规划等要求，统筹资源、环境、物流和市场等因素合理布局，推动产业规模化、集约化、基地化发展。</w:t>
                  </w:r>
                </w:p>
                <w:p>
                  <w:pPr>
                    <w:spacing w:line="240" w:lineRule="auto"/>
                    <w:ind w:firstLine="0" w:firstLineChars="0"/>
                    <w:rPr>
                      <w:sz w:val="21"/>
                      <w:szCs w:val="21"/>
                      <w:u w:val="single"/>
                    </w:rPr>
                  </w:pPr>
                  <w:r>
                    <w:rPr>
                      <w:rFonts w:hint="eastAsia"/>
                      <w:sz w:val="21"/>
                      <w:szCs w:val="21"/>
                      <w:u w:val="single"/>
                    </w:rPr>
                    <w:t>天然砂石骨料项目应符合河道、航道整治和湘江流域露天开采非金属矿开发利用与保护规划等相关要求。</w:t>
                  </w:r>
                </w:p>
              </w:tc>
              <w:tc>
                <w:tcPr>
                  <w:tcW w:w="2127" w:type="dxa"/>
                  <w:vAlign w:val="center"/>
                </w:tcPr>
                <w:p>
                  <w:pPr>
                    <w:spacing w:line="240" w:lineRule="auto"/>
                    <w:ind w:firstLine="0" w:firstLineChars="0"/>
                    <w:rPr>
                      <w:sz w:val="21"/>
                      <w:szCs w:val="21"/>
                      <w:u w:val="single"/>
                    </w:rPr>
                  </w:pPr>
                  <w:r>
                    <w:rPr>
                      <w:rFonts w:hint="eastAsia"/>
                      <w:sz w:val="21"/>
                      <w:szCs w:val="21"/>
                      <w:u w:val="single"/>
                    </w:rPr>
                    <w:t>本项目为新建项目，主要为建筑用砂石矿的开采及加工，符合相关政策及规划要求。</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8" w:type="dxa"/>
                  <w:vMerge w:val="continue"/>
                  <w:vAlign w:val="center"/>
                </w:tcPr>
                <w:p>
                  <w:pPr>
                    <w:spacing w:line="240" w:lineRule="auto"/>
                    <w:ind w:firstLine="0" w:firstLineChars="0"/>
                    <w:rPr>
                      <w:sz w:val="21"/>
                      <w:szCs w:val="21"/>
                    </w:rPr>
                  </w:pPr>
                </w:p>
              </w:tc>
              <w:tc>
                <w:tcPr>
                  <w:tcW w:w="3827" w:type="dxa"/>
                  <w:vAlign w:val="center"/>
                </w:tcPr>
                <w:p>
                  <w:pPr>
                    <w:spacing w:line="240" w:lineRule="auto"/>
                    <w:ind w:firstLine="0" w:firstLineChars="0"/>
                    <w:rPr>
                      <w:sz w:val="21"/>
                      <w:szCs w:val="21"/>
                    </w:rPr>
                  </w:pPr>
                  <w:r>
                    <w:rPr>
                      <w:rFonts w:hint="eastAsia"/>
                      <w:sz w:val="21"/>
                      <w:szCs w:val="21"/>
                    </w:rPr>
                    <w:t>机制砂石骨料矿山企业须取得矿山资源储量报告、矿产开发利用方案、采矿许可证、水土保持方案、环境影响评价报告、安全生产许可证和安全预评价报告等相关证照或审批文件。</w:t>
                  </w:r>
                </w:p>
              </w:tc>
              <w:tc>
                <w:tcPr>
                  <w:tcW w:w="2127" w:type="dxa"/>
                  <w:vAlign w:val="center"/>
                </w:tcPr>
                <w:p>
                  <w:pPr>
                    <w:spacing w:line="240" w:lineRule="auto"/>
                    <w:ind w:firstLine="0" w:firstLineChars="0"/>
                    <w:rPr>
                      <w:sz w:val="21"/>
                      <w:szCs w:val="21"/>
                    </w:rPr>
                  </w:pPr>
                  <w:r>
                    <w:rPr>
                      <w:rFonts w:hint="eastAsia"/>
                      <w:sz w:val="21"/>
                      <w:szCs w:val="21"/>
                    </w:rPr>
                    <w:t>本项目已取得矿山资源储量报告、矿产开发利用方案等文件审批材料，采矿许可证、水土保持方案、安全生产许可证和安全预评价报告等相关文件正在办理中，本次即为办理环境影响评价手续。</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8" w:type="dxa"/>
                  <w:vMerge w:val="continue"/>
                  <w:vAlign w:val="center"/>
                </w:tcPr>
                <w:p>
                  <w:pPr>
                    <w:spacing w:line="240" w:lineRule="auto"/>
                    <w:ind w:firstLine="0" w:firstLineChars="0"/>
                    <w:rPr>
                      <w:sz w:val="21"/>
                      <w:szCs w:val="21"/>
                    </w:rPr>
                  </w:pPr>
                </w:p>
              </w:tc>
              <w:tc>
                <w:tcPr>
                  <w:tcW w:w="3827" w:type="dxa"/>
                  <w:vAlign w:val="center"/>
                </w:tcPr>
                <w:p>
                  <w:pPr>
                    <w:spacing w:line="240" w:lineRule="auto"/>
                    <w:ind w:firstLine="0" w:firstLineChars="0"/>
                    <w:rPr>
                      <w:sz w:val="21"/>
                      <w:szCs w:val="21"/>
                    </w:rPr>
                  </w:pPr>
                  <w:r>
                    <w:rPr>
                      <w:rFonts w:hint="eastAsia"/>
                      <w:sz w:val="21"/>
                      <w:szCs w:val="21"/>
                    </w:rP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2127" w:type="dxa"/>
                  <w:vAlign w:val="center"/>
                </w:tcPr>
                <w:p>
                  <w:pPr>
                    <w:spacing w:line="240" w:lineRule="auto"/>
                    <w:ind w:firstLine="0" w:firstLineChars="0"/>
                    <w:rPr>
                      <w:sz w:val="21"/>
                      <w:szCs w:val="21"/>
                    </w:rPr>
                  </w:pPr>
                  <w:r>
                    <w:rPr>
                      <w:rFonts w:hint="eastAsia"/>
                      <w:sz w:val="21"/>
                      <w:szCs w:val="21"/>
                    </w:rPr>
                    <w:t>本项目加工区位于矿山资源附近，加工区与矿山均不属于上述禁止建设区域；本项目矿山不涉及爆破。</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8" w:type="dxa"/>
                  <w:vMerge w:val="restart"/>
                  <w:vAlign w:val="center"/>
                </w:tcPr>
                <w:p>
                  <w:pPr>
                    <w:spacing w:line="240" w:lineRule="auto"/>
                    <w:ind w:firstLine="0" w:firstLineChars="0"/>
                    <w:rPr>
                      <w:sz w:val="21"/>
                      <w:szCs w:val="21"/>
                    </w:rPr>
                  </w:pPr>
                  <w:r>
                    <w:rPr>
                      <w:rFonts w:hint="eastAsia"/>
                      <w:sz w:val="21"/>
                      <w:szCs w:val="21"/>
                    </w:rPr>
                    <w:t>工艺与装备</w:t>
                  </w:r>
                </w:p>
              </w:tc>
              <w:tc>
                <w:tcPr>
                  <w:tcW w:w="3827" w:type="dxa"/>
                  <w:vAlign w:val="center"/>
                </w:tcPr>
                <w:p>
                  <w:pPr>
                    <w:spacing w:line="240" w:lineRule="auto"/>
                    <w:ind w:firstLine="0" w:firstLineChars="0"/>
                    <w:rPr>
                      <w:sz w:val="21"/>
                      <w:szCs w:val="21"/>
                    </w:rPr>
                  </w:pPr>
                  <w:r>
                    <w:rPr>
                      <w:rFonts w:hint="eastAsia"/>
                      <w:sz w:val="21"/>
                      <w:szCs w:val="21"/>
                    </w:rPr>
                    <w:t>新建、改建机制砂石骨料项目生产规模不低于60万t/年；对综合利用尾砂、废石、工业和建筑等废弃物生产砂石骨料，其生产规模可适当放宽。新建项目其矿山资源储量服务年限应不低于10年。</w:t>
                  </w:r>
                </w:p>
              </w:tc>
              <w:tc>
                <w:tcPr>
                  <w:tcW w:w="2127" w:type="dxa"/>
                  <w:vAlign w:val="center"/>
                </w:tcPr>
                <w:p>
                  <w:pPr>
                    <w:spacing w:line="240" w:lineRule="auto"/>
                    <w:ind w:firstLine="0" w:firstLineChars="0"/>
                    <w:rPr>
                      <w:sz w:val="21"/>
                      <w:szCs w:val="21"/>
                    </w:rPr>
                  </w:pPr>
                  <w:r>
                    <w:rPr>
                      <w:rFonts w:hint="eastAsia"/>
                      <w:sz w:val="21"/>
                      <w:szCs w:val="21"/>
                    </w:rPr>
                    <w:t>根据后文产品方案，本项目机制砂石骨料生产规模约为63万t</w:t>
                  </w:r>
                  <w:r>
                    <w:rPr>
                      <w:sz w:val="21"/>
                      <w:szCs w:val="21"/>
                    </w:rPr>
                    <w:t>/</w:t>
                  </w:r>
                  <w:r>
                    <w:rPr>
                      <w:rFonts w:hint="eastAsia"/>
                      <w:sz w:val="21"/>
                      <w:szCs w:val="21"/>
                    </w:rPr>
                    <w:t>年，满足不低于60万t/年要求；项目矿山服务年限为</w:t>
                  </w:r>
                  <w:r>
                    <w:rPr>
                      <w:sz w:val="21"/>
                      <w:szCs w:val="21"/>
                    </w:rPr>
                    <w:t>10.6</w:t>
                  </w:r>
                  <w:r>
                    <w:rPr>
                      <w:rFonts w:hint="eastAsia"/>
                      <w:sz w:val="21"/>
                      <w:szCs w:val="21"/>
                    </w:rPr>
                    <w:t>年（含基建期1年）。</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8" w:type="dxa"/>
                  <w:vMerge w:val="continue"/>
                  <w:vAlign w:val="center"/>
                </w:tcPr>
                <w:p>
                  <w:pPr>
                    <w:spacing w:line="240" w:lineRule="auto"/>
                    <w:ind w:firstLine="0" w:firstLineChars="0"/>
                    <w:rPr>
                      <w:sz w:val="21"/>
                      <w:szCs w:val="21"/>
                    </w:rPr>
                  </w:pPr>
                </w:p>
              </w:tc>
              <w:tc>
                <w:tcPr>
                  <w:tcW w:w="3827" w:type="dxa"/>
                  <w:vAlign w:val="center"/>
                </w:tcPr>
                <w:p>
                  <w:pPr>
                    <w:spacing w:line="240" w:lineRule="auto"/>
                    <w:ind w:firstLine="0" w:firstLineChars="0"/>
                    <w:rPr>
                      <w:sz w:val="21"/>
                      <w:szCs w:val="21"/>
                      <w:u w:val="single"/>
                    </w:rPr>
                  </w:pPr>
                  <w:r>
                    <w:rPr>
                      <w:rFonts w:hint="eastAsia"/>
                      <w:sz w:val="21"/>
                      <w:szCs w:val="21"/>
                      <w:u w:val="single"/>
                    </w:rPr>
                    <w:t>优先采用干法生产工艺，其次半干法砂石工艺，当不能满足要求时，可采用湿法砂石生产工艺。砂石骨料生产线及产品技术指标应符合GB51186《机制砂石骨料工厂设计规范》等相关标准要求。新建项目不得使用限制和淘汰技术设备，已建项目不得使用淘汰设备。</w:t>
                  </w:r>
                </w:p>
                <w:p>
                  <w:pPr>
                    <w:spacing w:line="240" w:lineRule="auto"/>
                    <w:ind w:firstLine="0" w:firstLineChars="0"/>
                    <w:rPr>
                      <w:sz w:val="21"/>
                      <w:szCs w:val="21"/>
                      <w:u w:val="single"/>
                    </w:rPr>
                  </w:pPr>
                  <w:r>
                    <w:rPr>
                      <w:rFonts w:hint="eastAsia"/>
                      <w:sz w:val="21"/>
                      <w:szCs w:val="21"/>
                      <w:u w:val="single"/>
                    </w:rPr>
                    <w:t>生产工艺及设备配置应能灵活调整砂石成品级配和石粉含量，并能有效控制砂石成品针片状含量。采用先进高效破碎、制砂、筛分和散料连续输送设备推广应用自动化、智能化制造技术。</w:t>
                  </w:r>
                </w:p>
                <w:p>
                  <w:pPr>
                    <w:spacing w:line="240" w:lineRule="auto"/>
                    <w:ind w:firstLine="0" w:firstLineChars="0"/>
                    <w:rPr>
                      <w:sz w:val="21"/>
                      <w:szCs w:val="21"/>
                      <w:u w:val="single"/>
                    </w:rPr>
                  </w:pPr>
                  <w:r>
                    <w:rPr>
                      <w:rFonts w:hint="eastAsia"/>
                      <w:sz w:val="21"/>
                      <w:szCs w:val="21"/>
                      <w:u w:val="single"/>
                    </w:rPr>
                    <w:t>矿山开采符合GB6</w:t>
                  </w:r>
                  <w:r>
                    <w:rPr>
                      <w:sz w:val="21"/>
                      <w:szCs w:val="21"/>
                      <w:u w:val="single"/>
                    </w:rPr>
                    <w:t>7</w:t>
                  </w:r>
                  <w:r>
                    <w:rPr>
                      <w:rFonts w:hint="eastAsia"/>
                      <w:sz w:val="21"/>
                      <w:szCs w:val="21"/>
                      <w:u w:val="single"/>
                    </w:rPr>
                    <w:t>22《爆破安全规程》、GB18152《选矿安全规程》等有关标准、规范要求，并执行矿产资源开发利用方案，露天开采应实行自上而下分水平台阶式开采。</w:t>
                  </w:r>
                </w:p>
              </w:tc>
              <w:tc>
                <w:tcPr>
                  <w:tcW w:w="2127" w:type="dxa"/>
                  <w:vAlign w:val="center"/>
                </w:tcPr>
                <w:p>
                  <w:pPr>
                    <w:spacing w:line="240" w:lineRule="auto"/>
                    <w:ind w:firstLine="0" w:firstLineChars="0"/>
                    <w:rPr>
                      <w:sz w:val="21"/>
                      <w:szCs w:val="21"/>
                      <w:u w:val="single"/>
                    </w:rPr>
                  </w:pPr>
                  <w:r>
                    <w:rPr>
                      <w:rFonts w:hint="eastAsia"/>
                      <w:sz w:val="21"/>
                      <w:szCs w:val="21"/>
                      <w:u w:val="single"/>
                    </w:rPr>
                    <w:t>本项目采用湿法砂石生产工艺；项目生产线及产品严格按照规范要求设置；经查阅，本项目未使用限制及淘汰类技术、设备。项目拟采用先进高效破碎、制砂、筛分和散料连续输送设备湿法制砂。本矿山开采不涉及爆破，为露天开采，实行自上而下分水平台阶式开采。</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8" w:type="dxa"/>
                  <w:vMerge w:val="continue"/>
                  <w:vAlign w:val="center"/>
                </w:tcPr>
                <w:p>
                  <w:pPr>
                    <w:spacing w:line="240" w:lineRule="auto"/>
                    <w:ind w:firstLine="0" w:firstLineChars="0"/>
                    <w:rPr>
                      <w:sz w:val="21"/>
                      <w:szCs w:val="21"/>
                    </w:rPr>
                  </w:pPr>
                </w:p>
              </w:tc>
              <w:tc>
                <w:tcPr>
                  <w:tcW w:w="3827" w:type="dxa"/>
                  <w:vAlign w:val="center"/>
                </w:tcPr>
                <w:p>
                  <w:pPr>
                    <w:spacing w:line="240" w:lineRule="auto"/>
                    <w:ind w:firstLine="0" w:firstLineChars="0"/>
                    <w:rPr>
                      <w:sz w:val="21"/>
                      <w:szCs w:val="21"/>
                      <w:u w:val="single"/>
                    </w:rPr>
                  </w:pPr>
                  <w:r>
                    <w:rPr>
                      <w:rFonts w:hint="eastAsia"/>
                      <w:sz w:val="21"/>
                      <w:szCs w:val="21"/>
                      <w:u w:val="single"/>
                    </w:rPr>
                    <w:t>机制砂石骨料工厂的节能设计应根据建设项目的能源使用、设备技术水平和经济性等因素，制定节能措施。</w:t>
                  </w:r>
                </w:p>
                <w:p>
                  <w:pPr>
                    <w:spacing w:line="240" w:lineRule="auto"/>
                    <w:ind w:firstLine="0" w:firstLineChars="0"/>
                    <w:rPr>
                      <w:sz w:val="21"/>
                      <w:szCs w:val="21"/>
                      <w:u w:val="single"/>
                    </w:rPr>
                  </w:pPr>
                  <w:r>
                    <w:rPr>
                      <w:rFonts w:hint="eastAsia"/>
                      <w:sz w:val="21"/>
                      <w:szCs w:val="21"/>
                      <w:u w:val="single"/>
                    </w:rPr>
                    <w:t>生产设备的配置与砂石骨料工厂的生产规模相适应，满足砂石骨料生产工艺要求，优选大型设备，减少设备台数，降低总装机功率。物料运输应采用带式输送机。</w:t>
                  </w:r>
                </w:p>
              </w:tc>
              <w:tc>
                <w:tcPr>
                  <w:tcW w:w="2127" w:type="dxa"/>
                  <w:vAlign w:val="center"/>
                </w:tcPr>
                <w:p>
                  <w:pPr>
                    <w:spacing w:line="240" w:lineRule="auto"/>
                    <w:ind w:firstLine="0" w:firstLineChars="0"/>
                    <w:rPr>
                      <w:sz w:val="21"/>
                      <w:szCs w:val="21"/>
                      <w:u w:val="single"/>
                    </w:rPr>
                  </w:pPr>
                  <w:r>
                    <w:rPr>
                      <w:rFonts w:hint="eastAsia"/>
                      <w:sz w:val="21"/>
                      <w:szCs w:val="21"/>
                      <w:u w:val="single"/>
                    </w:rPr>
                    <w:t>本项目使用电、水、柴油等资源，设备及工艺按节能要求进行设计；且项目设备均与生产规模相适应，物料采用带式输送系统。</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398" w:type="dxa"/>
                  <w:vAlign w:val="center"/>
                </w:tcPr>
                <w:p>
                  <w:pPr>
                    <w:spacing w:line="240" w:lineRule="auto"/>
                    <w:ind w:firstLine="0" w:firstLineChars="0"/>
                    <w:rPr>
                      <w:sz w:val="21"/>
                      <w:szCs w:val="21"/>
                    </w:rPr>
                  </w:pPr>
                  <w:r>
                    <w:rPr>
                      <w:rFonts w:hint="eastAsia"/>
                      <w:sz w:val="21"/>
                      <w:szCs w:val="21"/>
                    </w:rPr>
                    <w:t>质量管理</w:t>
                  </w:r>
                </w:p>
              </w:tc>
              <w:tc>
                <w:tcPr>
                  <w:tcW w:w="3827" w:type="dxa"/>
                  <w:vAlign w:val="center"/>
                </w:tcPr>
                <w:p>
                  <w:pPr>
                    <w:spacing w:line="240" w:lineRule="auto"/>
                    <w:ind w:firstLine="0" w:firstLineChars="0"/>
                    <w:rPr>
                      <w:sz w:val="21"/>
                      <w:szCs w:val="21"/>
                      <w:u w:val="single"/>
                    </w:rPr>
                  </w:pPr>
                  <w:r>
                    <w:rPr>
                      <w:rFonts w:hint="eastAsia"/>
                      <w:sz w:val="21"/>
                      <w:szCs w:val="21"/>
                      <w:u w:val="single"/>
                    </w:rPr>
                    <w:t>机制、天然砂石骨料质量应符合GB/T14685《建设用卵石、碎石》、GB/T146</w:t>
                  </w:r>
                  <w:r>
                    <w:rPr>
                      <w:sz w:val="21"/>
                      <w:szCs w:val="21"/>
                      <w:u w:val="single"/>
                    </w:rPr>
                    <w:t>84</w:t>
                  </w:r>
                  <w:r>
                    <w:rPr>
                      <w:rFonts w:hint="eastAsia"/>
                      <w:sz w:val="21"/>
                      <w:szCs w:val="21"/>
                      <w:u w:val="single"/>
                    </w:rPr>
                    <w:t>4《建设用砂》等标准要求。</w:t>
                  </w:r>
                </w:p>
                <w:p>
                  <w:pPr>
                    <w:spacing w:line="240" w:lineRule="auto"/>
                    <w:ind w:firstLine="0" w:firstLineChars="0"/>
                    <w:rPr>
                      <w:sz w:val="21"/>
                      <w:szCs w:val="21"/>
                      <w:u w:val="single"/>
                    </w:rPr>
                  </w:pPr>
                  <w:r>
                    <w:rPr>
                      <w:rFonts w:hint="eastAsia"/>
                      <w:sz w:val="21"/>
                      <w:szCs w:val="21"/>
                      <w:u w:val="single"/>
                    </w:rPr>
                    <w:t>机制、天然砂石骨料工厂应建立试验室，具备砂石骨料质量检测检验条件，配备相关检测仪器设备及专职试验人员。试验仪器设备须经检定或校准，确认其满足检验检测要求；建立可追溯的砂石产品质量检测原始记录、报表、台账。</w:t>
                  </w:r>
                </w:p>
                <w:p>
                  <w:pPr>
                    <w:spacing w:line="240" w:lineRule="auto"/>
                    <w:ind w:firstLine="0" w:firstLineChars="0"/>
                    <w:rPr>
                      <w:sz w:val="21"/>
                      <w:szCs w:val="21"/>
                      <w:u w:val="single"/>
                    </w:rPr>
                  </w:pPr>
                  <w:r>
                    <w:rPr>
                      <w:rFonts w:hint="eastAsia"/>
                      <w:sz w:val="21"/>
                      <w:szCs w:val="21"/>
                      <w:u w:val="single"/>
                    </w:rPr>
                    <w:t>机制、天然砂石应按GB/T14685和GB/T14684要求进行出厂检测，依据供需双方协商要求可增加相应出厂检验项目，每批产品出厂应随货签发出厂检验报告单。机制、天然砂石出厂检验、型式检验项目和组批应符合有关标准要求，砂按分类、规格、类别及日产量分别编号和取样，石按分类、类别、公称粒径及日产量分别编号和取样。</w:t>
                  </w:r>
                </w:p>
                <w:p>
                  <w:pPr>
                    <w:spacing w:line="240" w:lineRule="auto"/>
                    <w:ind w:firstLine="0" w:firstLineChars="0"/>
                    <w:rPr>
                      <w:sz w:val="21"/>
                      <w:szCs w:val="21"/>
                      <w:u w:val="single"/>
                    </w:rPr>
                  </w:pPr>
                  <w:r>
                    <w:rPr>
                      <w:rFonts w:hint="eastAsia"/>
                      <w:sz w:val="21"/>
                      <w:szCs w:val="21"/>
                      <w:u w:val="single"/>
                    </w:rPr>
                    <w:t>砂、石产品分级分仓储存，各类产品应按分类、规格、类别分别运输、堆放和销售，防止人为碾压、混料及污染。</w:t>
                  </w:r>
                </w:p>
              </w:tc>
              <w:tc>
                <w:tcPr>
                  <w:tcW w:w="2127" w:type="dxa"/>
                  <w:vAlign w:val="center"/>
                </w:tcPr>
                <w:p>
                  <w:pPr>
                    <w:spacing w:line="240" w:lineRule="auto"/>
                    <w:ind w:firstLine="0" w:firstLineChars="0"/>
                    <w:rPr>
                      <w:sz w:val="21"/>
                      <w:szCs w:val="21"/>
                      <w:u w:val="single"/>
                    </w:rPr>
                  </w:pPr>
                  <w:r>
                    <w:rPr>
                      <w:rFonts w:hint="eastAsia"/>
                      <w:sz w:val="21"/>
                      <w:szCs w:val="21"/>
                      <w:u w:val="single"/>
                    </w:rPr>
                    <w:t>本项目加工产品按上述标准要求生产及储存，厂区不涉及试验室，但在生产加工过程中会对产品进行检测，按照GB/T14685和GB/T14684要求进行生产，做好各项记录。项目砂、石产品均分类储存、运输。</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Merge w:val="restart"/>
                  <w:vAlign w:val="center"/>
                </w:tcPr>
                <w:p>
                  <w:pPr>
                    <w:spacing w:line="240" w:lineRule="auto"/>
                    <w:ind w:firstLine="0" w:firstLineChars="0"/>
                    <w:rPr>
                      <w:sz w:val="21"/>
                      <w:szCs w:val="21"/>
                    </w:rPr>
                  </w:pPr>
                  <w:r>
                    <w:rPr>
                      <w:rFonts w:hint="eastAsia"/>
                      <w:sz w:val="21"/>
                      <w:szCs w:val="21"/>
                    </w:rPr>
                    <w:t>环境保护与资源综合利用</w:t>
                  </w:r>
                </w:p>
              </w:tc>
              <w:tc>
                <w:tcPr>
                  <w:tcW w:w="3827" w:type="dxa"/>
                  <w:vAlign w:val="center"/>
                </w:tcPr>
                <w:p>
                  <w:pPr>
                    <w:spacing w:line="240" w:lineRule="auto"/>
                    <w:ind w:firstLine="420"/>
                    <w:rPr>
                      <w:sz w:val="21"/>
                      <w:szCs w:val="21"/>
                      <w:u w:val="single"/>
                    </w:rPr>
                  </w:pPr>
                  <w:r>
                    <w:rPr>
                      <w:rFonts w:hint="eastAsia"/>
                      <w:sz w:val="21"/>
                      <w:szCs w:val="21"/>
                      <w:u w:val="single"/>
                    </w:rPr>
                    <w:t>砂石骨料企业应制订相关环境保护管理体系文件和环境突发事件应急预案等。</w:t>
                  </w:r>
                </w:p>
                <w:p>
                  <w:pPr>
                    <w:spacing w:line="240" w:lineRule="auto"/>
                    <w:ind w:firstLine="420"/>
                    <w:rPr>
                      <w:sz w:val="21"/>
                      <w:szCs w:val="21"/>
                      <w:u w:val="single"/>
                    </w:rPr>
                  </w:pPr>
                  <w:r>
                    <w:rPr>
                      <w:rFonts w:hint="eastAsia"/>
                      <w:sz w:val="21"/>
                      <w:szCs w:val="21"/>
                      <w:u w:val="single"/>
                    </w:rPr>
                    <w:t>机制砂石骨料生产线须配套收尘装置，采用喷雾、洒水、全封闭皮带运输等措施。破碎加工区、中间料库、成品库等区域实现厂房全封闭，污染物排放符合GB16297《大气污染物综合排放标准》要求。矿山开采鼓励选用湿式凿岩工艺，若采用干法凿岩工艺，须加设除尘装置，作业场所应采用喷雾、洒水等措施。</w:t>
                  </w:r>
                </w:p>
                <w:p>
                  <w:pPr>
                    <w:spacing w:line="240" w:lineRule="auto"/>
                    <w:ind w:firstLine="420"/>
                    <w:rPr>
                      <w:sz w:val="21"/>
                      <w:szCs w:val="21"/>
                      <w:u w:val="single"/>
                    </w:rPr>
                  </w:pPr>
                  <w:r>
                    <w:rPr>
                      <w:rFonts w:hint="eastAsia"/>
                      <w:sz w:val="21"/>
                      <w:szCs w:val="21"/>
                      <w:u w:val="single"/>
                    </w:rPr>
                    <w:t>机制砂石骨料生产线须配置消声、减振、隔振等设施，工厂噪声应符合GB1</w:t>
                  </w:r>
                  <w:r>
                    <w:rPr>
                      <w:sz w:val="21"/>
                      <w:szCs w:val="21"/>
                      <w:u w:val="single"/>
                    </w:rPr>
                    <w:t>2</w:t>
                  </w:r>
                  <w:r>
                    <w:rPr>
                      <w:rFonts w:hint="eastAsia"/>
                      <w:sz w:val="21"/>
                      <w:szCs w:val="21"/>
                      <w:u w:val="single"/>
                    </w:rPr>
                    <w:t>348《工业企业厂界环境噪声排放标准》要求。厂区污水排放符合GB</w:t>
                  </w:r>
                  <w:r>
                    <w:rPr>
                      <w:sz w:val="21"/>
                      <w:szCs w:val="21"/>
                      <w:u w:val="single"/>
                    </w:rPr>
                    <w:t>8</w:t>
                  </w:r>
                  <w:r>
                    <w:rPr>
                      <w:rFonts w:hint="eastAsia"/>
                      <w:sz w:val="21"/>
                      <w:szCs w:val="21"/>
                      <w:u w:val="single"/>
                    </w:rPr>
                    <w:t>978《污水综合排放标准》二级及以上要求，湿法生产线必须设置水处理循环系统。</w:t>
                  </w:r>
                </w:p>
                <w:p>
                  <w:pPr>
                    <w:spacing w:line="240" w:lineRule="auto"/>
                    <w:ind w:firstLine="420"/>
                    <w:rPr>
                      <w:sz w:val="21"/>
                      <w:szCs w:val="21"/>
                      <w:u w:val="single"/>
                    </w:rPr>
                  </w:pPr>
                  <w:r>
                    <w:rPr>
                      <w:rFonts w:hint="eastAsia"/>
                      <w:sz w:val="21"/>
                      <w:szCs w:val="21"/>
                      <w:u w:val="single"/>
                    </w:rPr>
                    <w:t>公用工程、环境保护设计应符合GB51186《机制砂石骨料工厂设计规范》等有关标准规定，配套建设的环境保护设施应与主体工程同时设计、同时施工、同时投入使用。</w:t>
                  </w:r>
                </w:p>
              </w:tc>
              <w:tc>
                <w:tcPr>
                  <w:tcW w:w="2127" w:type="dxa"/>
                </w:tcPr>
                <w:p>
                  <w:pPr>
                    <w:spacing w:line="240" w:lineRule="auto"/>
                    <w:ind w:firstLine="420"/>
                    <w:rPr>
                      <w:sz w:val="21"/>
                      <w:szCs w:val="21"/>
                      <w:u w:val="single"/>
                    </w:rPr>
                  </w:pPr>
                  <w:r>
                    <w:rPr>
                      <w:rFonts w:hint="eastAsia"/>
                      <w:sz w:val="21"/>
                      <w:szCs w:val="21"/>
                      <w:u w:val="single"/>
                    </w:rPr>
                    <w:t>本项目严格按照环评提出的环境保护相关措施，编制突发环境事件应急预案。</w:t>
                  </w:r>
                </w:p>
                <w:p>
                  <w:pPr>
                    <w:spacing w:line="240" w:lineRule="auto"/>
                    <w:ind w:firstLine="420"/>
                    <w:rPr>
                      <w:sz w:val="21"/>
                      <w:szCs w:val="21"/>
                      <w:u w:val="single"/>
                    </w:rPr>
                  </w:pPr>
                  <w:r>
                    <w:rPr>
                      <w:rFonts w:hint="eastAsia"/>
                      <w:sz w:val="21"/>
                      <w:szCs w:val="21"/>
                      <w:u w:val="single"/>
                    </w:rPr>
                    <w:t>本项目砂石加工区采用湿法作业，运输均密闭设置，输送转接处及卸料处设置喷淋，加工厂房封闭，加工过程中喷淋抑尘，经后文分析能够满足GB</w:t>
                  </w:r>
                  <w:r>
                    <w:rPr>
                      <w:sz w:val="21"/>
                      <w:szCs w:val="21"/>
                      <w:u w:val="single"/>
                    </w:rPr>
                    <w:t>16297</w:t>
                  </w:r>
                  <w:r>
                    <w:rPr>
                      <w:rFonts w:hint="eastAsia"/>
                      <w:sz w:val="21"/>
                      <w:szCs w:val="21"/>
                      <w:u w:val="single"/>
                    </w:rPr>
                    <w:t>标准限值要求；本项目矿山开采采用挖掘机开采，在作业场所采用喷雾、洒水等除尘措施。</w:t>
                  </w:r>
                </w:p>
                <w:p>
                  <w:pPr>
                    <w:spacing w:line="240" w:lineRule="auto"/>
                    <w:ind w:firstLine="420"/>
                    <w:rPr>
                      <w:sz w:val="21"/>
                      <w:szCs w:val="21"/>
                      <w:u w:val="single"/>
                    </w:rPr>
                  </w:pPr>
                  <w:r>
                    <w:rPr>
                      <w:rFonts w:hint="eastAsia"/>
                      <w:sz w:val="21"/>
                      <w:szCs w:val="21"/>
                      <w:u w:val="single"/>
                    </w:rPr>
                    <w:t>本项目砂石加工区设备配置消声、减振、隔振等设施，经后文预测分析，厂区噪声能够满足GB</w:t>
                  </w:r>
                  <w:r>
                    <w:rPr>
                      <w:sz w:val="21"/>
                      <w:szCs w:val="21"/>
                      <w:u w:val="single"/>
                    </w:rPr>
                    <w:t>12348</w:t>
                  </w:r>
                  <w:r>
                    <w:rPr>
                      <w:rFonts w:hint="eastAsia"/>
                      <w:sz w:val="21"/>
                      <w:szCs w:val="21"/>
                      <w:u w:val="single"/>
                    </w:rPr>
                    <w:t>中2类限值要求；厂区生活污水经隔油池、化粪池处理后用于周边施肥，生产废水经处理后回用，不外排，满足要求。</w:t>
                  </w:r>
                </w:p>
                <w:p>
                  <w:pPr>
                    <w:spacing w:line="240" w:lineRule="auto"/>
                    <w:ind w:firstLine="420"/>
                    <w:rPr>
                      <w:sz w:val="21"/>
                      <w:szCs w:val="21"/>
                      <w:u w:val="single"/>
                    </w:rPr>
                  </w:pPr>
                  <w:r>
                    <w:rPr>
                      <w:rFonts w:hint="eastAsia"/>
                      <w:sz w:val="21"/>
                      <w:szCs w:val="21"/>
                      <w:u w:val="single"/>
                    </w:rPr>
                    <w:t>项目公用工程及环境保护设计满足GB</w:t>
                  </w:r>
                  <w:r>
                    <w:rPr>
                      <w:sz w:val="21"/>
                      <w:szCs w:val="21"/>
                      <w:u w:val="single"/>
                    </w:rPr>
                    <w:t>51186</w:t>
                  </w:r>
                  <w:r>
                    <w:rPr>
                      <w:rFonts w:hint="eastAsia"/>
                      <w:sz w:val="21"/>
                      <w:szCs w:val="21"/>
                      <w:u w:val="single"/>
                    </w:rPr>
                    <w:t>标准要求，配套环保设施与主体工程同时设计、同时施工、同时投入使用。</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Merge w:val="continue"/>
                  <w:vAlign w:val="center"/>
                </w:tcPr>
                <w:p>
                  <w:pPr>
                    <w:spacing w:line="240" w:lineRule="auto"/>
                    <w:ind w:firstLine="0" w:firstLineChars="0"/>
                    <w:rPr>
                      <w:sz w:val="21"/>
                      <w:szCs w:val="21"/>
                    </w:rPr>
                  </w:pPr>
                </w:p>
              </w:tc>
              <w:tc>
                <w:tcPr>
                  <w:tcW w:w="3827" w:type="dxa"/>
                  <w:vAlign w:val="center"/>
                </w:tcPr>
                <w:p>
                  <w:pPr>
                    <w:spacing w:line="240" w:lineRule="auto"/>
                    <w:ind w:firstLine="0" w:firstLineChars="0"/>
                    <w:rPr>
                      <w:sz w:val="21"/>
                      <w:szCs w:val="21"/>
                    </w:rPr>
                  </w:pPr>
                  <w:r>
                    <w:rPr>
                      <w:rFonts w:hint="eastAsia"/>
                      <w:sz w:val="21"/>
                      <w:szCs w:val="21"/>
                    </w:rPr>
                    <w:t>砂石骨料生产线须配置废弃物综合利用及处置设施，矿山开采应选择资源节约型、环境友好型开发方式，最大限度减少对自然环境的破坏，符合区域生态建设要求。实现资源分级利用、优质优用和综合利用，对矿石的顶板、夹层等进行综合利用。鼓励企业利用尾矿、废石、工业和建筑垃圾开发生产满足相关要求的砂石骨料。</w:t>
                  </w:r>
                </w:p>
              </w:tc>
              <w:tc>
                <w:tcPr>
                  <w:tcW w:w="2127" w:type="dxa"/>
                  <w:vAlign w:val="center"/>
                </w:tcPr>
                <w:p>
                  <w:pPr>
                    <w:spacing w:line="240" w:lineRule="auto"/>
                    <w:ind w:firstLine="0" w:firstLineChars="0"/>
                    <w:rPr>
                      <w:color w:val="FF0000"/>
                      <w:sz w:val="21"/>
                      <w:szCs w:val="21"/>
                    </w:rPr>
                  </w:pPr>
                  <w:r>
                    <w:rPr>
                      <w:rFonts w:hint="eastAsia"/>
                      <w:sz w:val="21"/>
                      <w:szCs w:val="21"/>
                    </w:rPr>
                    <w:t>本项目矿区按照“边开采、边修复”的原则，露采场从上往下开采完一个台阶治理一个台阶及边坡，符合区域生态建设要求。同时，本项目开采原矿经加工生产满足相关要求的砂石骨料外售。</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Merge w:val="continue"/>
                  <w:vAlign w:val="center"/>
                </w:tcPr>
                <w:p>
                  <w:pPr>
                    <w:spacing w:line="240" w:lineRule="auto"/>
                    <w:ind w:firstLine="0" w:firstLineChars="0"/>
                    <w:rPr>
                      <w:sz w:val="21"/>
                      <w:szCs w:val="21"/>
                    </w:rPr>
                  </w:pPr>
                </w:p>
              </w:tc>
              <w:tc>
                <w:tcPr>
                  <w:tcW w:w="3827" w:type="dxa"/>
                  <w:vAlign w:val="center"/>
                </w:tcPr>
                <w:p>
                  <w:pPr>
                    <w:spacing w:line="240" w:lineRule="auto"/>
                    <w:ind w:firstLine="0" w:firstLineChars="0"/>
                    <w:rPr>
                      <w:sz w:val="21"/>
                      <w:szCs w:val="21"/>
                    </w:rPr>
                  </w:pPr>
                  <w:r>
                    <w:rPr>
                      <w:rFonts w:hint="eastAsia"/>
                      <w:sz w:val="21"/>
                      <w:szCs w:val="21"/>
                    </w:rPr>
                    <w:t>做到“边开采、边治理”，及时修复、改善、美化采区地表景观。具备回填条件的露天采坑，在确保不产生二次污染的前提下，鼓励利用矿山固体废物进行回填。</w:t>
                  </w:r>
                </w:p>
              </w:tc>
              <w:tc>
                <w:tcPr>
                  <w:tcW w:w="2127" w:type="dxa"/>
                  <w:vAlign w:val="center"/>
                </w:tcPr>
                <w:p>
                  <w:pPr>
                    <w:spacing w:line="240" w:lineRule="auto"/>
                    <w:ind w:firstLine="0" w:firstLineChars="0"/>
                    <w:rPr>
                      <w:sz w:val="21"/>
                      <w:szCs w:val="21"/>
                    </w:rPr>
                  </w:pPr>
                  <w:r>
                    <w:rPr>
                      <w:rFonts w:hint="eastAsia"/>
                      <w:sz w:val="21"/>
                      <w:szCs w:val="21"/>
                    </w:rPr>
                    <w:t>项目按照“边开采、边修复”的原则，露采场从上往下开采完一个台阶治理一个台阶及边坡。</w:t>
                  </w:r>
                  <w:r>
                    <w:rPr>
                      <w:rFonts w:hint="eastAsia"/>
                      <w:sz w:val="21"/>
                      <w:szCs w:val="21"/>
                      <w:u w:val="single"/>
                    </w:rPr>
                    <w:t>本项目开采过程产生的剥离表土暂存于表土临时堆置场，后期用于矿区内土地复垦、边坡复绿；其他剥离物及尾泥（污泥）暂存于泥饼池后外运用于湘阴县高新区建设用填方，实现资源综合利用。</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bl>
          <w:p>
            <w:pPr>
              <w:spacing w:line="360" w:lineRule="auto"/>
              <w:ind w:firstLine="480"/>
            </w:pPr>
            <w:r>
              <w:rPr>
                <w:rFonts w:hint="eastAsia"/>
              </w:rPr>
              <w:t>综上所述，本项目建设符合《湖南省砂石骨料行业规范条件》中相关要求。</w:t>
            </w:r>
          </w:p>
          <w:p>
            <w:pPr>
              <w:spacing w:line="360" w:lineRule="auto"/>
              <w:ind w:firstLine="0" w:firstLineChars="0"/>
              <w:rPr>
                <w:b/>
                <w:sz w:val="28"/>
              </w:rPr>
            </w:pPr>
            <w:r>
              <w:rPr>
                <w:rFonts w:hint="eastAsia"/>
                <w:b/>
                <w:sz w:val="28"/>
              </w:rPr>
              <w:t>4、与《湖南省砂石行业绿色矿山标准（试行）》符合性分析</w:t>
            </w:r>
          </w:p>
          <w:p>
            <w:pPr>
              <w:spacing w:line="360" w:lineRule="auto"/>
              <w:ind w:firstLine="480"/>
            </w:pPr>
            <w:r>
              <w:rPr>
                <w:rFonts w:hint="eastAsia"/>
              </w:rPr>
              <w:t>根据《湖南省自然资源厅关于印发&lt;湖南省砂石行业绿色矿山标准（试行）&gt;的通知》（湘自然发〔2019〕23号），本项目建设与《湖南省砂石行业绿色矿山标准（试行）》的符合性分析详见下表。</w:t>
            </w:r>
          </w:p>
          <w:p>
            <w:pPr>
              <w:spacing w:line="360" w:lineRule="auto"/>
              <w:ind w:firstLine="0" w:firstLineChars="0"/>
              <w:jc w:val="center"/>
              <w:rPr>
                <w:spacing w:val="-10"/>
              </w:rPr>
            </w:pPr>
            <w:r>
              <w:rPr>
                <w:rFonts w:hint="eastAsia"/>
                <w:spacing w:val="-10"/>
              </w:rPr>
              <w:t>表1</w:t>
            </w:r>
            <w:r>
              <w:rPr>
                <w:spacing w:val="-10"/>
              </w:rPr>
              <w:t xml:space="preserve">-6 </w:t>
            </w:r>
            <w:r>
              <w:rPr>
                <w:rFonts w:hint="eastAsia"/>
                <w:spacing w:val="-10"/>
              </w:rPr>
              <w:t>本项目与《湖南省砂石行业绿色矿山标准（试行）》符合性分析</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976"/>
              <w:gridCol w:w="2694"/>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8" w:type="dxa"/>
                  <w:gridSpan w:val="2"/>
                  <w:vAlign w:val="center"/>
                </w:tcPr>
                <w:p>
                  <w:pPr>
                    <w:spacing w:line="240" w:lineRule="auto"/>
                    <w:ind w:firstLine="0" w:firstLineChars="0"/>
                    <w:jc w:val="center"/>
                    <w:rPr>
                      <w:sz w:val="21"/>
                      <w:szCs w:val="21"/>
                    </w:rPr>
                  </w:pPr>
                  <w:r>
                    <w:rPr>
                      <w:rFonts w:hint="eastAsia"/>
                      <w:sz w:val="21"/>
                      <w:szCs w:val="21"/>
                    </w:rPr>
                    <w:t>《湖南省砂石行业绿色矿山标准（试行）》相关要求</w:t>
                  </w:r>
                </w:p>
              </w:tc>
              <w:tc>
                <w:tcPr>
                  <w:tcW w:w="2694" w:type="dxa"/>
                  <w:vAlign w:val="center"/>
                </w:tcPr>
                <w:p>
                  <w:pPr>
                    <w:spacing w:line="240" w:lineRule="auto"/>
                    <w:ind w:firstLine="0" w:firstLineChars="0"/>
                    <w:jc w:val="center"/>
                    <w:rPr>
                      <w:sz w:val="21"/>
                      <w:szCs w:val="21"/>
                    </w:rPr>
                  </w:pPr>
                  <w:r>
                    <w:rPr>
                      <w:rFonts w:hint="eastAsia"/>
                      <w:sz w:val="21"/>
                      <w:szCs w:val="21"/>
                    </w:rPr>
                    <w:t>本项目情况</w:t>
                  </w:r>
                </w:p>
              </w:tc>
              <w:tc>
                <w:tcPr>
                  <w:tcW w:w="702" w:type="dxa"/>
                  <w:vAlign w:val="center"/>
                </w:tcPr>
                <w:p>
                  <w:pPr>
                    <w:spacing w:line="240" w:lineRule="auto"/>
                    <w:ind w:firstLine="0" w:firstLineChars="0"/>
                    <w:jc w:val="center"/>
                    <w:rPr>
                      <w:sz w:val="21"/>
                      <w:szCs w:val="21"/>
                    </w:rPr>
                  </w:pPr>
                  <w:r>
                    <w:rPr>
                      <w:rFonts w:hint="eastAsia"/>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spacing w:line="240" w:lineRule="auto"/>
                    <w:ind w:firstLine="0" w:firstLineChars="0"/>
                    <w:jc w:val="center"/>
                    <w:rPr>
                      <w:sz w:val="21"/>
                      <w:szCs w:val="21"/>
                    </w:rPr>
                  </w:pPr>
                  <w:r>
                    <w:rPr>
                      <w:rFonts w:hint="eastAsia"/>
                      <w:sz w:val="21"/>
                      <w:szCs w:val="21"/>
                    </w:rPr>
                    <w:t>绿色开采</w:t>
                  </w:r>
                </w:p>
              </w:tc>
              <w:tc>
                <w:tcPr>
                  <w:tcW w:w="2976" w:type="dxa"/>
                  <w:vAlign w:val="center"/>
                </w:tcPr>
                <w:p>
                  <w:pPr>
                    <w:spacing w:line="240" w:lineRule="auto"/>
                    <w:ind w:firstLine="0" w:firstLineChars="0"/>
                    <w:rPr>
                      <w:sz w:val="21"/>
                      <w:szCs w:val="21"/>
                    </w:rPr>
                  </w:pPr>
                  <w:r>
                    <w:rPr>
                      <w:rFonts w:hint="eastAsia"/>
                      <w:sz w:val="21"/>
                      <w:szCs w:val="21"/>
                    </w:rPr>
                    <w:t>露天矿山应采用自上而下水平分层开采法，贯彻“采剥并举，剥离先行”的方针。</w:t>
                  </w:r>
                </w:p>
              </w:tc>
              <w:tc>
                <w:tcPr>
                  <w:tcW w:w="2694" w:type="dxa"/>
                  <w:vAlign w:val="center"/>
                </w:tcPr>
                <w:p>
                  <w:pPr>
                    <w:spacing w:line="240" w:lineRule="auto"/>
                    <w:ind w:firstLine="0" w:firstLineChars="0"/>
                    <w:rPr>
                      <w:sz w:val="21"/>
                      <w:szCs w:val="21"/>
                    </w:rPr>
                  </w:pPr>
                  <w:r>
                    <w:rPr>
                      <w:rFonts w:hint="eastAsia"/>
                      <w:sz w:val="21"/>
                      <w:szCs w:val="21"/>
                    </w:rPr>
                    <w:t>根据《湖南省湘阴县共荣矿区建筑用砂矿开发利用方案》，本项目露天矿山采用自上而下水平分层开采法，并贯彻“采剥并举，剥离先行”的方针。</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spacing w:line="240" w:lineRule="auto"/>
                    <w:ind w:firstLine="0" w:firstLineChars="0"/>
                    <w:jc w:val="center"/>
                    <w:rPr>
                      <w:sz w:val="21"/>
                      <w:szCs w:val="21"/>
                    </w:rPr>
                  </w:pPr>
                  <w:r>
                    <w:rPr>
                      <w:rFonts w:hint="eastAsia"/>
                      <w:sz w:val="21"/>
                      <w:szCs w:val="21"/>
                    </w:rPr>
                    <w:t>绿色运输</w:t>
                  </w:r>
                </w:p>
              </w:tc>
              <w:tc>
                <w:tcPr>
                  <w:tcW w:w="2976" w:type="dxa"/>
                  <w:vAlign w:val="center"/>
                </w:tcPr>
                <w:p>
                  <w:pPr>
                    <w:spacing w:line="240" w:lineRule="auto"/>
                    <w:ind w:firstLine="0" w:firstLineChars="0"/>
                    <w:rPr>
                      <w:sz w:val="21"/>
                      <w:szCs w:val="21"/>
                    </w:rPr>
                  </w:pPr>
                  <w:r>
                    <w:rPr>
                      <w:rFonts w:hint="eastAsia"/>
                      <w:sz w:val="21"/>
                      <w:szCs w:val="21"/>
                    </w:rPr>
                    <w:t>主要运矿道路应采用硬化路面。车辆驶离矿区前应冲洗，做到车辆不带泥上路、途中物料不撒落。</w:t>
                  </w:r>
                </w:p>
              </w:tc>
              <w:tc>
                <w:tcPr>
                  <w:tcW w:w="2694" w:type="dxa"/>
                  <w:vAlign w:val="center"/>
                </w:tcPr>
                <w:p>
                  <w:pPr>
                    <w:spacing w:line="240" w:lineRule="auto"/>
                    <w:ind w:firstLine="0" w:firstLineChars="0"/>
                    <w:rPr>
                      <w:sz w:val="21"/>
                      <w:szCs w:val="21"/>
                    </w:rPr>
                  </w:pPr>
                  <w:r>
                    <w:rPr>
                      <w:rFonts w:hint="eastAsia"/>
                      <w:sz w:val="21"/>
                      <w:szCs w:val="21"/>
                    </w:rPr>
                    <w:t>本项目矿区道路采用硬化路面，矿区车辆运输至堆料区均进行喷雾抑尘，做到车辆不带泥上路、途中物料不撒落。</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spacing w:line="240" w:lineRule="auto"/>
                    <w:ind w:firstLine="0" w:firstLineChars="0"/>
                    <w:jc w:val="center"/>
                    <w:rPr>
                      <w:sz w:val="21"/>
                      <w:szCs w:val="21"/>
                    </w:rPr>
                  </w:pPr>
                  <w:r>
                    <w:rPr>
                      <w:rFonts w:hint="eastAsia"/>
                      <w:sz w:val="21"/>
                      <w:szCs w:val="21"/>
                    </w:rPr>
                    <w:t>固体废弃物综合利用</w:t>
                  </w:r>
                </w:p>
              </w:tc>
              <w:tc>
                <w:tcPr>
                  <w:tcW w:w="2976" w:type="dxa"/>
                  <w:vAlign w:val="center"/>
                </w:tcPr>
                <w:p>
                  <w:pPr>
                    <w:spacing w:line="240" w:lineRule="auto"/>
                    <w:ind w:firstLine="0" w:firstLineChars="0"/>
                    <w:rPr>
                      <w:sz w:val="21"/>
                      <w:szCs w:val="21"/>
                    </w:rPr>
                  </w:pPr>
                  <w:r>
                    <w:rPr>
                      <w:rFonts w:hint="eastAsia"/>
                      <w:sz w:val="21"/>
                      <w:szCs w:val="21"/>
                    </w:rPr>
                    <w:t>对剥离表土或筛分后的渣土，用于环境治理、土地复垦和复绿等。</w:t>
                  </w:r>
                </w:p>
              </w:tc>
              <w:tc>
                <w:tcPr>
                  <w:tcW w:w="2694" w:type="dxa"/>
                  <w:vAlign w:val="center"/>
                </w:tcPr>
                <w:p>
                  <w:pPr>
                    <w:spacing w:line="240" w:lineRule="auto"/>
                    <w:ind w:firstLine="0" w:firstLineChars="0"/>
                    <w:rPr>
                      <w:sz w:val="21"/>
                      <w:szCs w:val="21"/>
                    </w:rPr>
                  </w:pPr>
                  <w:r>
                    <w:rPr>
                      <w:rFonts w:hint="eastAsia"/>
                      <w:sz w:val="21"/>
                      <w:szCs w:val="21"/>
                    </w:rPr>
                    <w:t>本项目剥离表土暂存于表土临时堆置场，用于矿区内土地复垦和复绿；其他渣土及污泥外运用于湘阴县高新区建设用填方。</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对顶板和夹层中不能作为砂石骨料用的固体废弃物采取回填、筑路、等方式进行资源综合利用。</w:t>
                  </w:r>
                </w:p>
              </w:tc>
              <w:tc>
                <w:tcPr>
                  <w:tcW w:w="2694" w:type="dxa"/>
                  <w:vAlign w:val="center"/>
                </w:tcPr>
                <w:p>
                  <w:pPr>
                    <w:spacing w:line="240" w:lineRule="auto"/>
                    <w:ind w:firstLine="0" w:firstLineChars="0"/>
                    <w:rPr>
                      <w:sz w:val="21"/>
                      <w:szCs w:val="21"/>
                    </w:rPr>
                  </w:pPr>
                  <w:r>
                    <w:rPr>
                      <w:rFonts w:hint="eastAsia"/>
                      <w:sz w:val="21"/>
                      <w:szCs w:val="21"/>
                    </w:rPr>
                    <w:t>本项目矿区开采原矿经加工生产满足相关要求的砂石骨料外售，资源得到综合利用。</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干法生产中石粉收集后应充分合理利用。</w:t>
                  </w:r>
                </w:p>
              </w:tc>
              <w:tc>
                <w:tcPr>
                  <w:tcW w:w="2694" w:type="dxa"/>
                  <w:vAlign w:val="center"/>
                </w:tcPr>
                <w:p>
                  <w:pPr>
                    <w:spacing w:line="240" w:lineRule="auto"/>
                    <w:ind w:firstLine="0" w:firstLineChars="0"/>
                    <w:rPr>
                      <w:sz w:val="21"/>
                      <w:szCs w:val="21"/>
                    </w:rPr>
                  </w:pPr>
                  <w:r>
                    <w:rPr>
                      <w:rFonts w:hint="eastAsia"/>
                      <w:sz w:val="21"/>
                      <w:szCs w:val="21"/>
                    </w:rPr>
                    <w:t>本项目砂石加工采用湿法作业，粉尘为无组织排放。</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rPr>
                      <w:sz w:val="21"/>
                      <w:szCs w:val="21"/>
                    </w:rPr>
                  </w:pPr>
                </w:p>
              </w:tc>
              <w:tc>
                <w:tcPr>
                  <w:tcW w:w="2976" w:type="dxa"/>
                  <w:vAlign w:val="center"/>
                </w:tcPr>
                <w:p>
                  <w:pPr>
                    <w:spacing w:line="240" w:lineRule="auto"/>
                    <w:ind w:firstLine="0" w:firstLineChars="0"/>
                    <w:rPr>
                      <w:sz w:val="21"/>
                      <w:szCs w:val="21"/>
                    </w:rPr>
                  </w:pPr>
                  <w:r>
                    <w:rPr>
                      <w:rFonts w:hint="eastAsia"/>
                      <w:sz w:val="21"/>
                      <w:szCs w:val="21"/>
                    </w:rPr>
                    <w:t>剥离表土（风化层）后，砂石矿山资源综合利用率不低于95%。固体废弃物妥善处置率达到100%，满足环保安全、监测等相关要求。</w:t>
                  </w:r>
                </w:p>
              </w:tc>
              <w:tc>
                <w:tcPr>
                  <w:tcW w:w="2694" w:type="dxa"/>
                  <w:vAlign w:val="center"/>
                </w:tcPr>
                <w:p>
                  <w:pPr>
                    <w:spacing w:line="240" w:lineRule="auto"/>
                    <w:ind w:firstLine="0" w:firstLineChars="0"/>
                    <w:rPr>
                      <w:color w:val="FF0000"/>
                      <w:sz w:val="21"/>
                      <w:szCs w:val="21"/>
                    </w:rPr>
                  </w:pPr>
                  <w:r>
                    <w:rPr>
                      <w:rFonts w:hint="eastAsia"/>
                      <w:sz w:val="21"/>
                      <w:szCs w:val="21"/>
                    </w:rPr>
                    <w:t>根据《湖南省湘阴县共荣矿区建筑用砂矿开发利用方案》：矿种为建筑用砂矿，产品为水洗冲积砂/机制砂，矿山回采率9</w:t>
                  </w:r>
                  <w:r>
                    <w:rPr>
                      <w:sz w:val="21"/>
                      <w:szCs w:val="21"/>
                    </w:rPr>
                    <w:t>7</w:t>
                  </w:r>
                  <w:r>
                    <w:rPr>
                      <w:rFonts w:hint="eastAsia"/>
                      <w:sz w:val="21"/>
                      <w:szCs w:val="21"/>
                    </w:rPr>
                    <w:t>%。同时，本项目产生的固体废弃物处置率可达100%，满足环保安全、监测等相关要求。</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spacing w:line="240" w:lineRule="auto"/>
                    <w:ind w:firstLine="0" w:firstLineChars="0"/>
                    <w:jc w:val="center"/>
                    <w:rPr>
                      <w:sz w:val="21"/>
                      <w:szCs w:val="21"/>
                    </w:rPr>
                  </w:pPr>
                  <w:r>
                    <w:rPr>
                      <w:rFonts w:hint="eastAsia"/>
                      <w:sz w:val="21"/>
                      <w:szCs w:val="21"/>
                    </w:rPr>
                    <w:t>液体废弃物综合利</w:t>
                  </w:r>
                </w:p>
                <w:p>
                  <w:pPr>
                    <w:spacing w:line="240" w:lineRule="auto"/>
                    <w:ind w:firstLine="0" w:firstLineChars="0"/>
                    <w:jc w:val="center"/>
                    <w:rPr>
                      <w:sz w:val="21"/>
                      <w:szCs w:val="21"/>
                    </w:rPr>
                  </w:pPr>
                  <w:r>
                    <w:rPr>
                      <w:rFonts w:hint="eastAsia"/>
                      <w:sz w:val="21"/>
                      <w:szCs w:val="21"/>
                    </w:rPr>
                    <w:t>用</w:t>
                  </w:r>
                </w:p>
              </w:tc>
              <w:tc>
                <w:tcPr>
                  <w:tcW w:w="2976" w:type="dxa"/>
                  <w:vAlign w:val="center"/>
                </w:tcPr>
                <w:p>
                  <w:pPr>
                    <w:spacing w:line="240" w:lineRule="auto"/>
                    <w:ind w:firstLine="0" w:firstLineChars="0"/>
                    <w:rPr>
                      <w:sz w:val="21"/>
                      <w:szCs w:val="21"/>
                    </w:rPr>
                  </w:pPr>
                  <w:r>
                    <w:rPr>
                      <w:rFonts w:hint="eastAsia"/>
                      <w:sz w:val="21"/>
                      <w:szCs w:val="21"/>
                    </w:rPr>
                    <w:t>矿山应对采矿场、排土场的防洪排水进行整体规划，建设截洪沟、沉砂池等设施，符合水土保持方案要求对收集的地表径流水和矿坑排水，经处理后用于厂区绿化和厂区生产。</w:t>
                  </w:r>
                </w:p>
              </w:tc>
              <w:tc>
                <w:tcPr>
                  <w:tcW w:w="2694" w:type="dxa"/>
                  <w:vAlign w:val="center"/>
                </w:tcPr>
                <w:p>
                  <w:pPr>
                    <w:spacing w:line="240" w:lineRule="auto"/>
                    <w:ind w:firstLine="0" w:firstLineChars="0"/>
                    <w:rPr>
                      <w:sz w:val="21"/>
                      <w:szCs w:val="21"/>
                    </w:rPr>
                  </w:pPr>
                  <w:r>
                    <w:rPr>
                      <w:rFonts w:hint="eastAsia"/>
                      <w:sz w:val="21"/>
                      <w:szCs w:val="21"/>
                    </w:rPr>
                    <w:t>本项目矿区采用露天开采，采矿区外侧修建截排水沟设施、沉沙设施、做好开采边坡防护、坡脚拦挡。洗砂废水、车辆冲洗废水及初期雨水一并沉淀后回用，不外排。</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厂区配备完善的生产废水处理系统，经过固液分离处理的清水应100%循环利用。</w:t>
                  </w:r>
                </w:p>
              </w:tc>
              <w:tc>
                <w:tcPr>
                  <w:tcW w:w="2694" w:type="dxa"/>
                  <w:vAlign w:val="center"/>
                </w:tcPr>
                <w:p>
                  <w:pPr>
                    <w:spacing w:line="240" w:lineRule="auto"/>
                    <w:ind w:firstLine="0" w:firstLineChars="0"/>
                    <w:rPr>
                      <w:sz w:val="21"/>
                      <w:szCs w:val="21"/>
                    </w:rPr>
                  </w:pPr>
                  <w:r>
                    <w:rPr>
                      <w:rFonts w:hint="eastAsia"/>
                      <w:sz w:val="21"/>
                      <w:szCs w:val="21"/>
                    </w:rPr>
                    <w:t>洗砂废水、车辆冲洗废水及初期雨水一并沉淀后回用，不外排，100%循环利用</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spacing w:line="240" w:lineRule="auto"/>
                    <w:ind w:firstLine="0" w:firstLineChars="0"/>
                    <w:jc w:val="center"/>
                    <w:rPr>
                      <w:sz w:val="21"/>
                      <w:szCs w:val="21"/>
                    </w:rPr>
                  </w:pPr>
                  <w:r>
                    <w:rPr>
                      <w:rFonts w:hint="eastAsia"/>
                      <w:sz w:val="21"/>
                      <w:szCs w:val="21"/>
                    </w:rPr>
                    <w:t>液体废弃物排放</w:t>
                  </w:r>
                </w:p>
              </w:tc>
              <w:tc>
                <w:tcPr>
                  <w:tcW w:w="2976" w:type="dxa"/>
                  <w:vAlign w:val="center"/>
                </w:tcPr>
                <w:p>
                  <w:pPr>
                    <w:spacing w:line="240" w:lineRule="auto"/>
                    <w:ind w:firstLine="0" w:firstLineChars="0"/>
                    <w:rPr>
                      <w:sz w:val="21"/>
                      <w:szCs w:val="21"/>
                    </w:rPr>
                  </w:pPr>
                  <w:r>
                    <w:rPr>
                      <w:rFonts w:hint="eastAsia"/>
                      <w:sz w:val="21"/>
                      <w:szCs w:val="21"/>
                    </w:rPr>
                    <w:t>化验室检验排出的有害废水单独收集，经无害化处理后达标排放或循环利用。</w:t>
                  </w:r>
                </w:p>
              </w:tc>
              <w:tc>
                <w:tcPr>
                  <w:tcW w:w="2694" w:type="dxa"/>
                  <w:vAlign w:val="center"/>
                </w:tcPr>
                <w:p>
                  <w:pPr>
                    <w:spacing w:line="240" w:lineRule="auto"/>
                    <w:ind w:firstLine="0" w:firstLineChars="0"/>
                    <w:rPr>
                      <w:sz w:val="21"/>
                      <w:szCs w:val="21"/>
                    </w:rPr>
                  </w:pPr>
                  <w:r>
                    <w:rPr>
                      <w:rFonts w:hint="eastAsia"/>
                      <w:sz w:val="21"/>
                      <w:szCs w:val="21"/>
                    </w:rPr>
                    <w:t>本项目矿区不涉及化验室，则无化验室废水产生。</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矿区的生活污水单独收集，经无害化处理后达标排放或委托有资质单位外运处理。</w:t>
                  </w:r>
                </w:p>
              </w:tc>
              <w:tc>
                <w:tcPr>
                  <w:tcW w:w="2694" w:type="dxa"/>
                  <w:vAlign w:val="center"/>
                </w:tcPr>
                <w:p>
                  <w:pPr>
                    <w:spacing w:line="240" w:lineRule="auto"/>
                    <w:ind w:firstLine="0" w:firstLineChars="0"/>
                    <w:rPr>
                      <w:sz w:val="21"/>
                      <w:szCs w:val="21"/>
                    </w:rPr>
                  </w:pPr>
                  <w:r>
                    <w:rPr>
                      <w:rFonts w:hint="eastAsia"/>
                      <w:sz w:val="21"/>
                      <w:szCs w:val="21"/>
                    </w:rPr>
                    <w:t>矿区设办公楼及员工宿舍；矿区员工生活污水经隔油池、化粪池收集处理后，就近施肥利用，不外排。</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生产中产生的废油要集中收集，设置独立的场所存放，并交有资质单位处理；蓄电池、滤袋等废物，应无害化处理或交有资质的第三方处置。</w:t>
                  </w:r>
                </w:p>
              </w:tc>
              <w:tc>
                <w:tcPr>
                  <w:tcW w:w="2694" w:type="dxa"/>
                </w:tcPr>
                <w:p>
                  <w:pPr>
                    <w:spacing w:line="240" w:lineRule="auto"/>
                    <w:ind w:firstLine="0" w:firstLineChars="0"/>
                    <w:rPr>
                      <w:sz w:val="21"/>
                      <w:szCs w:val="21"/>
                    </w:rPr>
                  </w:pPr>
                  <w:r>
                    <w:rPr>
                      <w:rFonts w:hint="eastAsia"/>
                      <w:sz w:val="21"/>
                      <w:szCs w:val="21"/>
                    </w:rPr>
                    <w:t>本项目产生的废润滑油及其他危险废物均分类收集暂存于危险废物暂存间，交由有资质单位处置。本项目不涉及蓄电池、滤袋等废弃物。</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restart"/>
                  <w:vAlign w:val="center"/>
                </w:tcPr>
                <w:p>
                  <w:pPr>
                    <w:spacing w:line="240" w:lineRule="auto"/>
                    <w:ind w:firstLine="0" w:firstLineChars="0"/>
                    <w:jc w:val="center"/>
                    <w:rPr>
                      <w:sz w:val="21"/>
                      <w:szCs w:val="21"/>
                    </w:rPr>
                  </w:pPr>
                  <w:r>
                    <w:rPr>
                      <w:rFonts w:hint="eastAsia"/>
                      <w:sz w:val="21"/>
                      <w:szCs w:val="21"/>
                    </w:rPr>
                    <w:t>粉尘、废气、噪音排放</w:t>
                  </w:r>
                </w:p>
              </w:tc>
              <w:tc>
                <w:tcPr>
                  <w:tcW w:w="2976" w:type="dxa"/>
                  <w:vAlign w:val="center"/>
                </w:tcPr>
                <w:p>
                  <w:pPr>
                    <w:spacing w:line="240" w:lineRule="auto"/>
                    <w:ind w:firstLine="0" w:firstLineChars="0"/>
                    <w:rPr>
                      <w:sz w:val="21"/>
                      <w:szCs w:val="21"/>
                    </w:rPr>
                  </w:pPr>
                  <w:r>
                    <w:rPr>
                      <w:rFonts w:hint="eastAsia"/>
                      <w:sz w:val="21"/>
                      <w:szCs w:val="21"/>
                    </w:rPr>
                    <w:t>矿石开采和砂石生产过程中的粉尘控制遵循源头抑制、过程协同控制、末端监控、系统联动集成的治理思路，达到环保节能和清洁生产的目的。</w:t>
                  </w:r>
                </w:p>
              </w:tc>
              <w:tc>
                <w:tcPr>
                  <w:tcW w:w="2694" w:type="dxa"/>
                  <w:vAlign w:val="center"/>
                </w:tcPr>
                <w:p>
                  <w:pPr>
                    <w:spacing w:line="240" w:lineRule="auto"/>
                    <w:ind w:firstLine="0" w:firstLineChars="0"/>
                    <w:rPr>
                      <w:sz w:val="21"/>
                      <w:szCs w:val="21"/>
                    </w:rPr>
                  </w:pPr>
                  <w:r>
                    <w:rPr>
                      <w:rFonts w:hint="eastAsia"/>
                      <w:sz w:val="21"/>
                      <w:szCs w:val="21"/>
                    </w:rPr>
                    <w:t>本项目矿石开采和砂石生产作业场所采用喷雾、洒水等除尘措施；同时，定期对矿区边界无组织粉尘进行监测，符合遵循源头抑制、过程协同控制、末端监控、系统联动集成的治理思路。</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矿区配置洒水车、高压喷雾车等设备，对无组织排放粉尘进行固尘、抑尘、降尘。</w:t>
                  </w:r>
                </w:p>
              </w:tc>
              <w:tc>
                <w:tcPr>
                  <w:tcW w:w="2694" w:type="dxa"/>
                  <w:vAlign w:val="center"/>
                </w:tcPr>
                <w:p>
                  <w:pPr>
                    <w:spacing w:line="240" w:lineRule="auto"/>
                    <w:ind w:firstLine="0" w:firstLineChars="0"/>
                    <w:rPr>
                      <w:sz w:val="21"/>
                      <w:szCs w:val="21"/>
                    </w:rPr>
                  </w:pPr>
                  <w:r>
                    <w:rPr>
                      <w:rFonts w:hint="eastAsia"/>
                      <w:sz w:val="21"/>
                      <w:szCs w:val="21"/>
                    </w:rPr>
                    <w:t>本项目矿区配置有洒水车、喷雾等设备，对无组织排放粉尘进行固尘、抑尘、降尘。</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根据产尘点的粉尘浓度和特性，在穿孔凿岩机装载机、破碎机、筛分机、整形机、制砂机、输送机等设备连续产生粉尘部位安装相应的高效节能除尘装置。</w:t>
                  </w:r>
                </w:p>
              </w:tc>
              <w:tc>
                <w:tcPr>
                  <w:tcW w:w="2694" w:type="dxa"/>
                  <w:vAlign w:val="center"/>
                </w:tcPr>
                <w:p>
                  <w:pPr>
                    <w:spacing w:line="240" w:lineRule="auto"/>
                    <w:ind w:firstLine="0" w:firstLineChars="0"/>
                    <w:rPr>
                      <w:sz w:val="21"/>
                      <w:szCs w:val="21"/>
                    </w:rPr>
                  </w:pPr>
                  <w:r>
                    <w:rPr>
                      <w:rFonts w:hint="eastAsia"/>
                      <w:sz w:val="21"/>
                      <w:szCs w:val="21"/>
                    </w:rPr>
                    <w:t>本项目挖掘机、破碎机、筛分机、制砂机、输送机等设备连续产生粉尘部位安装喷雾、洒水除尘设施。</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生产加工车间的产尘点要封闭，有利于形成负压除尘；皮带运输系统廊道应选用封闭方式，防止粉尘逸散。</w:t>
                  </w:r>
                </w:p>
              </w:tc>
              <w:tc>
                <w:tcPr>
                  <w:tcW w:w="2694" w:type="dxa"/>
                  <w:vAlign w:val="center"/>
                </w:tcPr>
                <w:p>
                  <w:pPr>
                    <w:spacing w:line="240" w:lineRule="auto"/>
                    <w:ind w:firstLine="0" w:firstLineChars="0"/>
                    <w:rPr>
                      <w:sz w:val="21"/>
                      <w:szCs w:val="21"/>
                    </w:rPr>
                  </w:pPr>
                  <w:r>
                    <w:rPr>
                      <w:rFonts w:hint="eastAsia"/>
                      <w:sz w:val="21"/>
                      <w:szCs w:val="21"/>
                    </w:rPr>
                    <w:t>本项目生产加工厂房均封闭设置且配备喷淋设施，皮带输送系统也为封闭输送，在输送转接处及卸料处设置喷淋，防止粉尘逸散。</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Merge w:val="continue"/>
                  <w:vAlign w:val="center"/>
                </w:tcPr>
                <w:p>
                  <w:pPr>
                    <w:spacing w:line="240" w:lineRule="auto"/>
                    <w:ind w:firstLine="0" w:firstLineChars="0"/>
                    <w:jc w:val="center"/>
                    <w:rPr>
                      <w:sz w:val="21"/>
                      <w:szCs w:val="21"/>
                    </w:rPr>
                  </w:pPr>
                </w:p>
              </w:tc>
              <w:tc>
                <w:tcPr>
                  <w:tcW w:w="2976" w:type="dxa"/>
                  <w:vAlign w:val="center"/>
                </w:tcPr>
                <w:p>
                  <w:pPr>
                    <w:spacing w:line="240" w:lineRule="auto"/>
                    <w:ind w:firstLine="0" w:firstLineChars="0"/>
                    <w:rPr>
                      <w:sz w:val="21"/>
                      <w:szCs w:val="21"/>
                    </w:rPr>
                  </w:pPr>
                  <w:r>
                    <w:rPr>
                      <w:rFonts w:hint="eastAsia"/>
                      <w:sz w:val="21"/>
                      <w:szCs w:val="21"/>
                    </w:rPr>
                    <w:t>合理设计工艺布置，控制噪声传播。选用低噪声生产设备；对高噪强振的设备，应采取消声、减振措施。</w:t>
                  </w:r>
                </w:p>
              </w:tc>
              <w:tc>
                <w:tcPr>
                  <w:tcW w:w="2694" w:type="dxa"/>
                  <w:vAlign w:val="center"/>
                </w:tcPr>
                <w:p>
                  <w:pPr>
                    <w:spacing w:line="240" w:lineRule="auto"/>
                    <w:ind w:firstLine="0" w:firstLineChars="0"/>
                    <w:rPr>
                      <w:sz w:val="21"/>
                      <w:szCs w:val="21"/>
                    </w:rPr>
                  </w:pPr>
                  <w:r>
                    <w:rPr>
                      <w:rFonts w:hint="eastAsia"/>
                      <w:sz w:val="21"/>
                      <w:szCs w:val="21"/>
                    </w:rPr>
                    <w:t>本项目矿区选用低噪声生产设备、基础减振、安装消声器等降噪措施。</w:t>
                  </w:r>
                </w:p>
              </w:tc>
              <w:tc>
                <w:tcPr>
                  <w:tcW w:w="702" w:type="dxa"/>
                  <w:vAlign w:val="center"/>
                </w:tcPr>
                <w:p>
                  <w:pPr>
                    <w:spacing w:line="240" w:lineRule="auto"/>
                    <w:ind w:firstLine="0" w:firstLineChars="0"/>
                    <w:jc w:val="center"/>
                    <w:rPr>
                      <w:sz w:val="21"/>
                      <w:szCs w:val="21"/>
                    </w:rPr>
                  </w:pPr>
                  <w:r>
                    <w:rPr>
                      <w:rFonts w:hint="eastAsia"/>
                      <w:sz w:val="21"/>
                      <w:szCs w:val="21"/>
                    </w:rPr>
                    <w:t>符合</w:t>
                  </w:r>
                </w:p>
              </w:tc>
            </w:tr>
          </w:tbl>
          <w:p>
            <w:pPr>
              <w:spacing w:line="360" w:lineRule="auto"/>
              <w:ind w:firstLine="480"/>
            </w:pPr>
            <w:r>
              <w:rPr>
                <w:rFonts w:hint="eastAsia"/>
              </w:rPr>
              <w:t>综上，本项目符合《湖南省砂石行业绿色矿山标准（试行）》相关要求。</w:t>
            </w:r>
          </w:p>
          <w:p>
            <w:pPr>
              <w:spacing w:line="360" w:lineRule="auto"/>
              <w:ind w:firstLine="0" w:firstLineChars="0"/>
              <w:rPr>
                <w:b/>
                <w:sz w:val="28"/>
              </w:rPr>
            </w:pPr>
            <w:r>
              <w:rPr>
                <w:rFonts w:hint="eastAsia"/>
                <w:b/>
                <w:sz w:val="28"/>
              </w:rPr>
              <w:t>5、与《湖南省国土资源厅 湖南省安全生产监督管理局关于加强矿产资源开发管理促进安全生产有关问题的通知》（湘国土资</w:t>
            </w:r>
            <w:r>
              <w:rPr>
                <w:rFonts w:hint="eastAsia"/>
                <w:b/>
                <w:sz w:val="28"/>
                <w:szCs w:val="28"/>
              </w:rPr>
              <w:t>发〔201</w:t>
            </w:r>
            <w:r>
              <w:rPr>
                <w:b/>
                <w:sz w:val="28"/>
                <w:szCs w:val="28"/>
              </w:rPr>
              <w:t>5</w:t>
            </w:r>
            <w:r>
              <w:rPr>
                <w:rFonts w:hint="eastAsia"/>
                <w:b/>
                <w:sz w:val="28"/>
                <w:szCs w:val="28"/>
              </w:rPr>
              <w:t>〕2</w:t>
            </w:r>
            <w:r>
              <w:rPr>
                <w:rFonts w:hint="eastAsia"/>
                <w:b/>
                <w:sz w:val="28"/>
              </w:rPr>
              <w:t>8号）符合性分析</w:t>
            </w:r>
          </w:p>
          <w:p>
            <w:pPr>
              <w:spacing w:line="360" w:lineRule="auto"/>
              <w:ind w:firstLine="480"/>
            </w:pPr>
            <w:r>
              <w:rPr>
                <w:rFonts w:hint="eastAsia"/>
              </w:rPr>
              <w:t>按照《湖南省矿产资源开采登记条件规定》（湖南省人民政府第257号令）的要求，省国土资源厅会同省安全生产监督管理局制定了《湖南省主要矿种矿山最低开采规模标准》（以下简称《标准》），明确了26个主要矿种新立矿山和已建矿山最低开采规模要求，各地、各矿山应严格执行。凡新设采矿权，开采规模必须达到《标准》要求；现有矿山因保有资源储量少、投入不足、技术落后等原因导致生产规模达不到《标准》要求的，应通过资源开发整合、扩界、加大投入、加强技改等方式达到要求，否则，不再办理采矿登记和安全生产许可等相关手续。矿山企业在编制《矿产资源开发利用方案》时，开采规模必须符合《标准》要求。根据《标准》要求，砂（山砂）新设矿山最低开采规模为3</w:t>
            </w:r>
            <w:r>
              <w:t>0</w:t>
            </w:r>
            <w:r>
              <w:rPr>
                <w:rFonts w:hint="eastAsia"/>
              </w:rPr>
              <w:t>万吨；本项目矿山原矿开采1</w:t>
            </w:r>
            <w:r>
              <w:t>08</w:t>
            </w:r>
            <w:r>
              <w:rPr>
                <w:rFonts w:hint="eastAsia"/>
              </w:rPr>
              <w:t>万t</w:t>
            </w:r>
            <w:r>
              <w:t>/</w:t>
            </w:r>
            <w:r>
              <w:rPr>
                <w:rFonts w:hint="eastAsia"/>
              </w:rPr>
              <w:t>a，砂、卵石生产规模为</w:t>
            </w:r>
            <w:r>
              <w:t>90</w:t>
            </w:r>
            <w:r>
              <w:rPr>
                <w:rFonts w:hint="eastAsia"/>
              </w:rPr>
              <w:t>万t</w:t>
            </w:r>
            <w:r>
              <w:t>/</w:t>
            </w:r>
            <w:r>
              <w:rPr>
                <w:rFonts w:hint="eastAsia"/>
              </w:rPr>
              <w:t>a，满足《标准》要求。</w:t>
            </w:r>
          </w:p>
          <w:p>
            <w:pPr>
              <w:widowControl/>
              <w:spacing w:line="360" w:lineRule="auto"/>
              <w:ind w:firstLine="0" w:firstLineChars="0"/>
              <w:rPr>
                <w:b/>
                <w:bCs/>
                <w:snapToGrid/>
                <w:sz w:val="28"/>
                <w:szCs w:val="28"/>
              </w:rPr>
            </w:pPr>
            <w:r>
              <w:rPr>
                <w:rFonts w:hint="eastAsia"/>
                <w:b/>
                <w:bCs/>
                <w:sz w:val="28"/>
                <w:szCs w:val="28"/>
              </w:rPr>
              <w:t>6、与《矿山生态环境保护与污染防治技术政策》符合性分析</w:t>
            </w:r>
          </w:p>
          <w:p>
            <w:pPr>
              <w:widowControl/>
              <w:spacing w:line="360" w:lineRule="auto"/>
              <w:ind w:firstLine="0" w:firstLineChars="0"/>
              <w:jc w:val="center"/>
              <w:rPr>
                <w:spacing w:val="-4"/>
                <w:sz w:val="21"/>
              </w:rPr>
            </w:pPr>
            <w:r>
              <w:rPr>
                <w:rFonts w:hint="eastAsia"/>
                <w:bCs/>
                <w:spacing w:val="-4"/>
              </w:rPr>
              <w:t>表</w:t>
            </w:r>
            <w:r>
              <w:rPr>
                <w:bCs/>
                <w:spacing w:val="-4"/>
              </w:rPr>
              <w:t xml:space="preserve">1-7 </w:t>
            </w:r>
            <w:r>
              <w:rPr>
                <w:rFonts w:hint="eastAsia"/>
                <w:bCs/>
                <w:spacing w:val="-4"/>
              </w:rPr>
              <w:t>与《矿山生态环境保护与污染防治技术政策》要求对比一览表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283"/>
              <w:gridCol w:w="2256"/>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096" w:type="dxa"/>
                  <w:gridSpan w:val="2"/>
                  <w:tcBorders>
                    <w:top w:val="single" w:color="auto" w:sz="4" w:space="0"/>
                    <w:left w:val="single" w:color="auto" w:sz="4" w:space="0"/>
                    <w:bottom w:val="single" w:color="auto" w:sz="4" w:space="0"/>
                    <w:right w:val="single" w:color="auto" w:sz="4" w:space="0"/>
                  </w:tcBorders>
                  <w:vAlign w:val="center"/>
                </w:tcPr>
                <w:p>
                  <w:pPr>
                    <w:pStyle w:val="61"/>
                    <w:widowControl/>
                    <w:adjustRightInd w:val="0"/>
                    <w:textAlignment w:val="baseline"/>
                    <w:rPr>
                      <w:b/>
                      <w:bCs/>
                    </w:rPr>
                  </w:pPr>
                  <w:r>
                    <w:rPr>
                      <w:rFonts w:hint="eastAsia"/>
                    </w:rPr>
                    <w:t>矿山生态环境保护与污染防治技术政策</w:t>
                  </w:r>
                </w:p>
              </w:tc>
              <w:tc>
                <w:tcPr>
                  <w:tcW w:w="2256"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textAlignment w:val="baseline"/>
                    <w:rPr>
                      <w:b/>
                      <w:bCs/>
                    </w:rPr>
                  </w:pPr>
                  <w:r>
                    <w:rPr>
                      <w:rFonts w:hint="eastAsia"/>
                    </w:rPr>
                    <w:t>本项目情况</w:t>
                  </w:r>
                </w:p>
              </w:tc>
              <w:tc>
                <w:tcPr>
                  <w:tcW w:w="702"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textAlignment w:val="baseline"/>
                    <w:rPr>
                      <w:bCs/>
                    </w:rPr>
                  </w:pPr>
                  <w:r>
                    <w:rPr>
                      <w:rFonts w:hint="eastAsia"/>
                      <w:bCs/>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r>
                    <w:rPr>
                      <w:rFonts w:hint="eastAsia"/>
                      <w:sz w:val="21"/>
                      <w:szCs w:val="21"/>
                    </w:rPr>
                    <w:t>禁止的矿产资源开发活动</w:t>
                  </w:r>
                </w:p>
              </w:tc>
              <w:tc>
                <w:tcPr>
                  <w:tcW w:w="3283"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禁止在依法划定的自然保护区（核心区、缓冲区）、风景名胜区、森林公园、饮用水水源保护区、重要湖泊周边、文物古迹所在地、地质遗迹保护区、基本农田保护区等区域内采矿。</w:t>
                  </w:r>
                </w:p>
              </w:tc>
              <w:tc>
                <w:tcPr>
                  <w:tcW w:w="2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b/>
                      <w:bCs/>
                      <w:sz w:val="21"/>
                      <w:szCs w:val="21"/>
                    </w:rPr>
                  </w:pPr>
                  <w:r>
                    <w:rPr>
                      <w:rFonts w:hint="eastAsia"/>
                      <w:sz w:val="21"/>
                      <w:szCs w:val="21"/>
                    </w:rPr>
                    <w:t>本项目不属于上述禁止区域内。</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
                      <w:bCs/>
                      <w:kern w:val="2"/>
                      <w:sz w:val="21"/>
                      <w:szCs w:val="21"/>
                    </w:rPr>
                  </w:pPr>
                </w:p>
              </w:tc>
              <w:tc>
                <w:tcPr>
                  <w:tcW w:w="3283"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禁止在铁路、国道、省道两侧的直观可视范围内进行露天开采。</w:t>
                  </w:r>
                </w:p>
              </w:tc>
              <w:tc>
                <w:tcPr>
                  <w:tcW w:w="2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b/>
                      <w:bCs/>
                      <w:sz w:val="21"/>
                      <w:szCs w:val="21"/>
                    </w:rPr>
                  </w:pPr>
                  <w:r>
                    <w:rPr>
                      <w:rFonts w:hint="eastAsia"/>
                      <w:sz w:val="21"/>
                      <w:szCs w:val="21"/>
                    </w:rPr>
                    <w:t>本项目未在铁路、国道、省道两侧的直观可视范围内进行开采。</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
                      <w:bCs/>
                      <w:kern w:val="2"/>
                      <w:sz w:val="21"/>
                      <w:szCs w:val="21"/>
                    </w:rPr>
                  </w:pPr>
                </w:p>
              </w:tc>
              <w:tc>
                <w:tcPr>
                  <w:tcW w:w="3283"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禁止在地质灾害危险区开采矿产资源。</w:t>
                  </w:r>
                </w:p>
              </w:tc>
              <w:tc>
                <w:tcPr>
                  <w:tcW w:w="2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b/>
                      <w:bCs/>
                      <w:sz w:val="21"/>
                      <w:szCs w:val="21"/>
                    </w:rPr>
                  </w:pPr>
                  <w:r>
                    <w:rPr>
                      <w:rFonts w:hint="eastAsia"/>
                      <w:sz w:val="21"/>
                      <w:szCs w:val="21"/>
                    </w:rPr>
                    <w:t>本项目矿山地质条件良好。</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
                      <w:bCs/>
                      <w:kern w:val="2"/>
                      <w:sz w:val="21"/>
                      <w:szCs w:val="21"/>
                    </w:rPr>
                  </w:pPr>
                </w:p>
              </w:tc>
              <w:tc>
                <w:tcPr>
                  <w:tcW w:w="3283"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禁止土法采、选冶金矿和土法冶炼汞、砷、铅、锌、焦、硫、钒等矿产资源开发活动。</w:t>
                  </w:r>
                </w:p>
              </w:tc>
              <w:tc>
                <w:tcPr>
                  <w:tcW w:w="2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b/>
                      <w:bCs/>
                      <w:sz w:val="21"/>
                      <w:szCs w:val="21"/>
                    </w:rPr>
                  </w:pPr>
                  <w:r>
                    <w:rPr>
                      <w:rFonts w:hint="eastAsia"/>
                      <w:sz w:val="21"/>
                      <w:szCs w:val="21"/>
                    </w:rPr>
                    <w:t>本项目为建筑用砂石矿开采及加工项目。</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
                      <w:bCs/>
                      <w:kern w:val="2"/>
                      <w:sz w:val="21"/>
                      <w:szCs w:val="21"/>
                    </w:rPr>
                  </w:pPr>
                </w:p>
              </w:tc>
              <w:tc>
                <w:tcPr>
                  <w:tcW w:w="3283"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禁止新建对生态环境产生不可恢复利用的、产生破坏性影响的矿产资源开发项目。</w:t>
                  </w:r>
                </w:p>
              </w:tc>
              <w:tc>
                <w:tcPr>
                  <w:tcW w:w="2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b/>
                      <w:bCs/>
                      <w:sz w:val="21"/>
                      <w:szCs w:val="21"/>
                    </w:rPr>
                  </w:pPr>
                  <w:r>
                    <w:rPr>
                      <w:rFonts w:hint="eastAsia"/>
                      <w:sz w:val="21"/>
                      <w:szCs w:val="21"/>
                    </w:rPr>
                    <w:t>本项目开采结束后，对生态环境进行复垦、修复。</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
                      <w:bCs/>
                      <w:kern w:val="2"/>
                      <w:sz w:val="21"/>
                      <w:szCs w:val="21"/>
                    </w:rPr>
                  </w:pPr>
                </w:p>
              </w:tc>
              <w:tc>
                <w:tcPr>
                  <w:tcW w:w="3283"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禁止新建煤层含硫量大于</w:t>
                  </w:r>
                  <w:r>
                    <w:t>3%</w:t>
                  </w:r>
                  <w:r>
                    <w:rPr>
                      <w:rFonts w:hint="eastAsia"/>
                    </w:rPr>
                    <w:t>的煤矿。</w:t>
                  </w:r>
                </w:p>
              </w:tc>
              <w:tc>
                <w:tcPr>
                  <w:tcW w:w="225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rPr>
                      <w:b/>
                      <w:bCs/>
                      <w:sz w:val="21"/>
                      <w:szCs w:val="21"/>
                    </w:rPr>
                  </w:pPr>
                  <w:r>
                    <w:rPr>
                      <w:rFonts w:hint="eastAsia"/>
                      <w:sz w:val="21"/>
                      <w:szCs w:val="21"/>
                    </w:rPr>
                    <w:t>本项目不属于煤矿开采项目。</w:t>
                  </w:r>
                </w:p>
              </w:tc>
              <w:tc>
                <w:tcPr>
                  <w:tcW w:w="70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b/>
                      <w:bCs/>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r>
                    <w:rPr>
                      <w:rFonts w:hint="eastAsia"/>
                      <w:sz w:val="21"/>
                      <w:szCs w:val="21"/>
                    </w:rPr>
                    <w:t>限制的矿产资源开发活动</w:t>
                  </w:r>
                </w:p>
              </w:tc>
              <w:tc>
                <w:tcPr>
                  <w:tcW w:w="3283"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限制在生态功能保护区和自然保护区（过渡区）内开采矿产资源。</w:t>
                  </w:r>
                </w:p>
              </w:tc>
              <w:tc>
                <w:tcPr>
                  <w:tcW w:w="2256"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本项目不在生态功能保护区和自然保护区范围内进行开采。</w:t>
                  </w:r>
                </w:p>
              </w:tc>
              <w:tc>
                <w:tcPr>
                  <w:tcW w:w="702"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textAlignment w:val="baseline"/>
                    <w:rPr>
                      <w:b/>
                      <w:bCs/>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jc w:val="center"/>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3283"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限制在地质灾害易发区、水土流失严重区域等生态脆弱区内开采矿产资源。</w:t>
                  </w:r>
                </w:p>
              </w:tc>
              <w:tc>
                <w:tcPr>
                  <w:tcW w:w="2256"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jc w:val="both"/>
                    <w:textAlignment w:val="baseline"/>
                    <w:rPr>
                      <w:b/>
                      <w:bCs/>
                    </w:rPr>
                  </w:pPr>
                  <w:r>
                    <w:rPr>
                      <w:rFonts w:hint="eastAsia"/>
                    </w:rPr>
                    <w:t>本项目矿山地质条件良好。</w:t>
                  </w:r>
                </w:p>
              </w:tc>
              <w:tc>
                <w:tcPr>
                  <w:tcW w:w="702" w:type="dxa"/>
                  <w:tcBorders>
                    <w:top w:val="single" w:color="auto" w:sz="4" w:space="0"/>
                    <w:left w:val="single" w:color="auto" w:sz="4" w:space="0"/>
                    <w:bottom w:val="single" w:color="auto" w:sz="4" w:space="0"/>
                    <w:right w:val="single" w:color="auto" w:sz="4" w:space="0"/>
                  </w:tcBorders>
                  <w:vAlign w:val="center"/>
                </w:tcPr>
                <w:p>
                  <w:pPr>
                    <w:pStyle w:val="61"/>
                    <w:widowControl/>
                    <w:adjustRightInd w:val="0"/>
                    <w:textAlignment w:val="baseline"/>
                    <w:rPr>
                      <w:b/>
                      <w:bCs/>
                    </w:rPr>
                  </w:pPr>
                  <w:r>
                    <w:rPr>
                      <w:rFonts w:hint="eastAsia"/>
                    </w:rPr>
                    <w:t>符合</w:t>
                  </w:r>
                </w:p>
              </w:tc>
            </w:tr>
          </w:tbl>
          <w:p>
            <w:pPr>
              <w:spacing w:line="360" w:lineRule="auto"/>
              <w:ind w:firstLine="480"/>
            </w:pPr>
            <w:r>
              <w:rPr>
                <w:rFonts w:hint="eastAsia"/>
              </w:rPr>
              <w:t>综上，本项目符合</w:t>
            </w:r>
            <w:r>
              <w:rPr>
                <w:rFonts w:hint="eastAsia"/>
                <w:bCs/>
                <w:spacing w:val="-4"/>
              </w:rPr>
              <w:t>《矿山生态环境保护与污染防治技术政策》</w:t>
            </w:r>
            <w:r>
              <w:rPr>
                <w:rFonts w:hint="eastAsia"/>
              </w:rPr>
              <w:t>相关要求。</w:t>
            </w:r>
          </w:p>
          <w:p>
            <w:pPr>
              <w:spacing w:line="360" w:lineRule="auto"/>
              <w:ind w:firstLine="0" w:firstLineChars="0"/>
              <w:rPr>
                <w:b/>
                <w:sz w:val="28"/>
              </w:rPr>
            </w:pPr>
            <w:r>
              <w:rPr>
                <w:rFonts w:hint="eastAsia"/>
                <w:b/>
                <w:sz w:val="28"/>
              </w:rPr>
              <w:t>7、与《矿山生态环境保护与恢复治理技术规范(试行)》（HJ651-2013）符合性分析</w:t>
            </w:r>
          </w:p>
          <w:p>
            <w:pPr>
              <w:widowControl/>
              <w:spacing w:line="360" w:lineRule="auto"/>
              <w:ind w:firstLine="0" w:firstLineChars="0"/>
              <w:jc w:val="center"/>
              <w:rPr>
                <w:snapToGrid/>
                <w:sz w:val="21"/>
              </w:rPr>
            </w:pPr>
            <w:r>
              <w:rPr>
                <w:rFonts w:hint="eastAsia"/>
                <w:bCs/>
              </w:rPr>
              <w:t>表</w:t>
            </w:r>
            <w:r>
              <w:rPr>
                <w:bCs/>
              </w:rPr>
              <w:t xml:space="preserve">1-8 </w:t>
            </w:r>
            <w:r>
              <w:rPr>
                <w:rFonts w:hint="eastAsia"/>
                <w:bCs/>
              </w:rPr>
              <w:t>《矿山生态环境保护与恢复治理技术规范》的相符性分析</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260"/>
              <w:gridCol w:w="241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942" w:type="dxa"/>
                  <w:gridSpan w:val="2"/>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《矿山生态环境保护与污染防治技术政策》要求</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r>
                    <w:rPr>
                      <w:rFonts w:hint="eastAsia" w:ascii="Times New Roman" w:hAnsi="Times New Roman" w:eastAsia="宋体" w:cs="Times New Roman"/>
                      <w:sz w:val="21"/>
                      <w:szCs w:val="21"/>
                    </w:rPr>
                    <w:t>本</w:t>
                  </w:r>
                  <w:r>
                    <w:rPr>
                      <w:rFonts w:ascii="Times New Roman" w:hAnsi="Times New Roman" w:eastAsia="宋体" w:cs="Times New Roman"/>
                      <w:sz w:val="21"/>
                      <w:szCs w:val="21"/>
                    </w:rPr>
                    <w:t>项目情况</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r>
                    <w:rPr>
                      <w:rFonts w:hint="eastAsia" w:ascii="Times New Roman" w:hAnsi="Times New Roman" w:eastAsia="宋体" w:cs="Times New Roman"/>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restart"/>
                  <w:tcBorders>
                    <w:top w:val="single" w:color="auto" w:sz="4" w:space="0"/>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矿山生态环境保护与恢复治理的一般要求</w:t>
                  </w: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ascii="Times New Roman" w:hAnsi="Times New Roman" w:eastAsia="宋体" w:cs="Times New Roman"/>
                      <w:sz w:val="21"/>
                      <w:szCs w:val="21"/>
                      <w:u w:val="single"/>
                    </w:rPr>
                    <w:t>本</w:t>
                  </w:r>
                  <w:r>
                    <w:rPr>
                      <w:rFonts w:hint="eastAsia" w:ascii="Times New Roman" w:hAnsi="Times New Roman" w:eastAsia="宋体" w:cs="Times New Roman"/>
                      <w:sz w:val="21"/>
                      <w:szCs w:val="21"/>
                      <w:u w:val="single"/>
                    </w:rPr>
                    <w:t>项目矿山不属于自然保护区、风景名胜区、森林公园、饮用水水源保护区、文物古迹所在地、地质遗迹保护区、基本农田保护区等重要生态保护地以及其他法律法规规定的禁采区域内；不属于重要道路、航道两侧及重要生态环境敏感目标可视范围内</w:t>
                  </w:r>
                  <w:r>
                    <w:rPr>
                      <w:rFonts w:ascii="Times New Roman" w:hAnsi="Times New Roman" w:eastAsia="宋体" w:cs="Times New Roman"/>
                      <w:sz w:val="21"/>
                      <w:szCs w:val="21"/>
                      <w:u w:val="single"/>
                    </w:rPr>
                    <w:t>。</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w:t>矿产资源开发活动应符合国家和区域主体功能区规划、生态功能区划、生态环境保护规划的要求，采取有效预防和保护措施，避免或减轻矿产资源开发活动造成的生态破坏和环境污染。</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w:t>本项目的开采符合国家和区域主体功能区划、生态功能区划等要求。本项目在开采过程中采取水保措施和生态保护措施及其他污染防治措施减轻矿产资源开发活动造成的生态破坏和环境污染。</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w:t>坚持</w:t>
                  </w:r>
                  <w:r>
                    <w:rPr>
                      <w:rFonts w:hint="eastAsia" w:ascii="Times New Roman" w:hAnsi="Times New Roman" w:eastAsia="宋体" w:cs="Times New Roman"/>
                      <w:sz w:val="21"/>
                      <w:szCs w:val="21"/>
                    </w:rPr>
                    <w:t>“</w:t>
                  </w:r>
                  <w:r>
                    <w:rPr>
                      <w:rFonts w:ascii="Times New Roman" w:hAnsi="Times New Roman" w:eastAsia="宋体" w:cs="Times New Roman"/>
                      <w:sz w:val="21"/>
                      <w:szCs w:val="21"/>
                    </w:rPr>
                    <w:t>预防为主、防治结合、过程控制</w:t>
                  </w:r>
                  <w:r>
                    <w:rPr>
                      <w:rFonts w:hint="eastAsia" w:ascii="Times New Roman" w:hAnsi="Times New Roman" w:eastAsia="宋体" w:cs="Times New Roman"/>
                      <w:sz w:val="21"/>
                      <w:szCs w:val="21"/>
                    </w:rPr>
                    <w:t>”</w:t>
                  </w:r>
                  <w:r>
                    <w:rPr>
                      <w:rFonts w:ascii="Times New Roman" w:hAnsi="Times New Roman" w:eastAsia="宋体" w:cs="Times New Roman"/>
                      <w:sz w:val="21"/>
                      <w:szCs w:val="21"/>
                    </w:rPr>
                    <w:t>的原则，将矿山生态环境保护与恢复治理贯穿矿产资源开采的全过程。根据矿山生态环境保护与恢复治理的重点任务，合理确定矿山生态保护与恢复治理分区，优化矿区生产与生活空间格局。采用新技术、新方法、新工艺提高矿山生态环境保护和恢复治理水平。</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w:t>矿山采取边开采边治理的生态恢复措施，且矿山服务期满后进行全面的生态恢复。</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w:t>所有矿山企业均应对照标准各项要</w:t>
                  </w:r>
                  <w:r>
                    <w:rPr>
                      <w:rFonts w:hint="eastAsia" w:ascii="Times New Roman" w:hAnsi="Times New Roman" w:eastAsia="宋体" w:cs="Times New Roman"/>
                      <w:sz w:val="21"/>
                      <w:szCs w:val="21"/>
                    </w:rPr>
                    <w:t>求</w:t>
                  </w:r>
                  <w:r>
                    <w:rPr>
                      <w:rFonts w:ascii="Times New Roman" w:hAnsi="Times New Roman" w:eastAsia="宋体" w:cs="Times New Roman"/>
                      <w:sz w:val="21"/>
                      <w:szCs w:val="21"/>
                    </w:rPr>
                    <w:t>，编制实施矿山生态环境保护与恢复治理方案。</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项目已按照要求正在</w:t>
                  </w:r>
                  <w:r>
                    <w:rPr>
                      <w:rFonts w:ascii="Times New Roman" w:hAnsi="Times New Roman" w:eastAsia="宋体" w:cs="Times New Roman"/>
                      <w:sz w:val="21"/>
                      <w:szCs w:val="21"/>
                    </w:rPr>
                    <w:t>编制</w:t>
                  </w:r>
                  <w:r>
                    <w:rPr>
                      <w:rFonts w:hint="eastAsia" w:ascii="Times New Roman" w:hAnsi="Times New Roman" w:eastAsia="宋体" w:cs="Times New Roman"/>
                      <w:sz w:val="21"/>
                      <w:szCs w:val="21"/>
                    </w:rPr>
                    <w:t>《矿山生态修复保护方案》</w:t>
                  </w:r>
                  <w:r>
                    <w:rPr>
                      <w:rFonts w:ascii="Times New Roman" w:hAnsi="Times New Roman" w:eastAsia="宋体" w:cs="Times New Roman"/>
                      <w:sz w:val="21"/>
                      <w:szCs w:val="21"/>
                    </w:rPr>
                    <w:t>。</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w:t>恢复治理后的各类场地应实现：安全稳定，对人类和动植物不造成威胁；对周边环境不产生污染；与周边自然环境和景观想协调；恢复土地基本功能，因地制宜实现土地可持续利用；区域整体生态功能得到保护和恢复。</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rPr>
                  </w:pPr>
                  <w:r>
                    <w:rPr>
                      <w:rFonts w:ascii="Times New Roman" w:hAnsi="Times New Roman" w:eastAsia="宋体" w:cs="Times New Roman"/>
                      <w:sz w:val="21"/>
                      <w:szCs w:val="21"/>
                    </w:rPr>
                    <w:t>本项目</w:t>
                  </w:r>
                  <w:r>
                    <w:rPr>
                      <w:rFonts w:hint="eastAsia" w:ascii="Times New Roman" w:hAnsi="Times New Roman" w:eastAsia="宋体" w:cs="Times New Roman"/>
                      <w:sz w:val="21"/>
                      <w:szCs w:val="21"/>
                    </w:rPr>
                    <w:t>服务期满后，</w:t>
                  </w:r>
                  <w:r>
                    <w:rPr>
                      <w:rFonts w:ascii="Times New Roman" w:hAnsi="Times New Roman" w:eastAsia="宋体" w:cs="Times New Roman"/>
                      <w:sz w:val="21"/>
                      <w:szCs w:val="21"/>
                    </w:rPr>
                    <w:t>场地</w:t>
                  </w:r>
                  <w:r>
                    <w:rPr>
                      <w:rFonts w:hint="eastAsia" w:ascii="Times New Roman" w:hAnsi="Times New Roman" w:eastAsia="宋体" w:cs="Times New Roman"/>
                      <w:sz w:val="21"/>
                      <w:szCs w:val="21"/>
                    </w:rPr>
                    <w:t>会进行复垦</w:t>
                  </w:r>
                  <w:r>
                    <w:rPr>
                      <w:rFonts w:ascii="Times New Roman" w:hAnsi="Times New Roman" w:eastAsia="宋体" w:cs="Times New Roman"/>
                      <w:sz w:val="21"/>
                      <w:szCs w:val="21"/>
                    </w:rPr>
                    <w:t>，</w:t>
                  </w:r>
                  <w:r>
                    <w:rPr>
                      <w:rFonts w:hint="eastAsia" w:ascii="Times New Roman" w:hAnsi="Times New Roman" w:eastAsia="宋体" w:cs="Times New Roman"/>
                      <w:sz w:val="21"/>
                      <w:szCs w:val="21"/>
                    </w:rPr>
                    <w:t>恢复生态环境。</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r>
                    <w:rPr>
                      <w:rFonts w:ascii="Times New Roman" w:hAnsi="Times New Roman" w:eastAsia="宋体" w:cs="Times New Roman"/>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restart"/>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矿山生态保护</w:t>
                  </w: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在国家和地方各级人民政府确定的重点（重要）生态功能区内建设矿产资源基地，应进行生态环境影响和经济损益评估，按评估结果及相关规定进行控制性开采，减少对生态空间的占用，不影响区域主导生态功能。在水资源短缺、环境容量小、生态系统脆弱、地震和地质灾害易发地区，要严格控制矿产资源开发。</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根据《全国生态功能区划（修编版）》，本项目矿山所在地属于洞庭湖洪水调蓄与生物多样性保护重要区；同时根据《湘阴县普通建筑材料用砂石土矿专项规划（2019-2025年）》，本项目采矿区已纳入湘阴县普通建筑材料用砂石土矿专项规划中允许开采区，后续将严格执行各项规定进行开采活动。</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矿山开采前应在矿区范围及各种采矿活动的可能影响区进行生物多样性现状调查，对于国家或地方保护动植物或生态系统，须采取就地保护或迁地保护等措施保护矿山生物多样性。</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本项目对矿山区域内生态环境进行了现场调查，主要存在保护动物，将采取各项生态环境保护措施保护矿山生物多样性。</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高寒区露天采矿、设置排土场和尾矿库时，应将剥离的草皮层集中养护，满足恢复条件后及时移植，恢复植被；严格控制临时施工场地与施工道路面积和范围，减少对地表植被的破坏。</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本项目矿山不属于高寒区。</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荒漠和风沙区矿产资源开发应避开易发生风蚀和生态退化地带，减少开采、排土和运输等活动对土壤结皮、砾幕及沙区植被的破坏和扰动；排土场、料场及尾矿库等场地应采取围挡和覆盖等防风蚀措施。</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本项目矿山不属于荒漠和风沙区。</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水蚀敏感区矿产资源开发应科学设置露天采场、排土场、尾矿库及料场，并采取防洪、排水、边坡防护、工程拦挡等水土保持措施，减少对天然林草植被的破坏。</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本项目矿山不属于水蚀敏感区。</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在基本农田保护区下采矿，应结合矿山沉陷区治理方案确定优先充填开采区域，防止地表二次治理；在需要保水开采的区块，应采取有效措施避免破坏地下水系。</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本项目矿山不涉及占用基本农田。</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采矿产生的固体废物，应在专用场所堆放，并采取措施防止二次污染；禁止向河流、湖泊、水库等水体及行洪渠道排放岩土、含油垃圾、泥浆、煤渣、煤矸石和其他固体废物。</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本项目矿山开采产生的固体废物设置临时堆场暂存，并做好各项污染防治措施，严防二次污染；本项目严禁向河流、湖泊、水库等水体及行洪渠道排放岩土、含油垃圾、泥浆、煤渣、煤矸石和其他固体废物。</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评估采矿活动对地表水和地下水的影响，避免破坏流域水平衡和污染水环境；采矿区与河道之间应保留环境安全距离，防止采矿对河流生物、河岸植被、河流水环境功能和防洪安全造成破坏性影响。</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本项目地表水和地下水均严格按照环评要求执行，严防采矿作业污染周边水环境；本项目采矿区与最近的洋沙湖撇洪渠约510m，留有环境安全距离，同时也将严格执行各项污染防治措施，防止对周边水体噪声影响。</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矿区专用道路选线应绕避环境敏感区和环境敏感点，防止对环境保护目标造成不利影响。</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矿区及加工区运输道路利用现有乡道，采取各项污染防治措施尽可能减少对周边环境的影响。</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82" w:type="dxa"/>
                  <w:vMerge w:val="continue"/>
                  <w:tcBorders>
                    <w:left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rPr>
                  </w:pPr>
                </w:p>
              </w:tc>
              <w:tc>
                <w:tcPr>
                  <w:tcW w:w="326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排土场、采场、尾矿库、矿区专用道路等各类场地建设前，应视土壤类型对表土进行剥离。对矿区耕作土壤的剥离，应对耕作层和心土层单独剥离与回填，表土剥离厚度一般情况下不少于30cm；对矿区非耕作土壤的采集，应对表土层进行单独剥离，如果表土层厚度小于20cm，则将表土层及其下面贴近的心土层一起构成的至少20cm厚的土层进行单独剥离；高寒区表土剥离应保留好草皮层，剥离厚度不少于20cm。剥离的表层土壤不能及时铺覆到已整治场地的，应选择适宜的场地进行堆存，并采取围挡等措施防止水土流失。</w:t>
                  </w:r>
                </w:p>
              </w:tc>
              <w:tc>
                <w:tcPr>
                  <w:tcW w:w="2410"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jc w:val="both"/>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本项目采场及表土临时堆置场工作前均会对表土进行剥离，后期用于复垦复绿，按照开采要求进行作业。</w:t>
                  </w:r>
                </w:p>
              </w:tc>
              <w:tc>
                <w:tcPr>
                  <w:tcW w:w="702" w:type="dxa"/>
                  <w:tcBorders>
                    <w:top w:val="single" w:color="auto" w:sz="4" w:space="0"/>
                    <w:left w:val="single" w:color="auto" w:sz="4" w:space="0"/>
                    <w:bottom w:val="single" w:color="auto" w:sz="4" w:space="0"/>
                    <w:right w:val="single" w:color="auto" w:sz="4" w:space="0"/>
                  </w:tcBorders>
                  <w:vAlign w:val="center"/>
                </w:tcPr>
                <w:p>
                  <w:pPr>
                    <w:pStyle w:val="43"/>
                    <w:kinsoku w:val="0"/>
                    <w:overflowPunct w:val="0"/>
                    <w:adjustRightInd w:val="0"/>
                    <w:snapToGrid w:val="0"/>
                    <w:rPr>
                      <w:rFonts w:ascii="Times New Roman" w:hAnsi="Times New Roman" w:eastAsia="宋体" w:cs="Times New Roman"/>
                      <w:sz w:val="21"/>
                      <w:szCs w:val="21"/>
                      <w:u w:val="single"/>
                    </w:rPr>
                  </w:pPr>
                  <w:r>
                    <w:rPr>
                      <w:rFonts w:hint="eastAsia" w:ascii="Times New Roman" w:hAnsi="Times New Roman" w:eastAsia="宋体" w:cs="Times New Roman"/>
                      <w:sz w:val="21"/>
                      <w:szCs w:val="21"/>
                      <w:u w:val="single"/>
                    </w:rPr>
                    <w:t>符合</w:t>
                  </w:r>
                </w:p>
              </w:tc>
            </w:tr>
          </w:tbl>
          <w:p>
            <w:pPr>
              <w:spacing w:line="360" w:lineRule="auto"/>
              <w:ind w:firstLine="480"/>
            </w:pPr>
            <w:r>
              <w:rPr>
                <w:rFonts w:hint="eastAsia"/>
              </w:rPr>
              <w:t>综上，本项目符合</w:t>
            </w:r>
            <w:r>
              <w:rPr>
                <w:rFonts w:hint="eastAsia"/>
                <w:bCs/>
              </w:rPr>
              <w:t>《矿山生态环境保护与恢复治理技术规范》</w:t>
            </w:r>
            <w:r>
              <w:rPr>
                <w:rFonts w:hint="eastAsia"/>
              </w:rPr>
              <w:t>相关要求。</w:t>
            </w:r>
          </w:p>
          <w:p>
            <w:pPr>
              <w:spacing w:line="360" w:lineRule="auto"/>
              <w:ind w:firstLine="0" w:firstLineChars="0"/>
              <w:rPr>
                <w:b/>
                <w:sz w:val="28"/>
              </w:rPr>
            </w:pPr>
            <w:r>
              <w:rPr>
                <w:rFonts w:hint="eastAsia"/>
                <w:b/>
                <w:sz w:val="28"/>
              </w:rPr>
              <w:t>8、用地合法性分析</w:t>
            </w:r>
          </w:p>
          <w:p>
            <w:pPr>
              <w:spacing w:line="360" w:lineRule="auto"/>
              <w:ind w:firstLine="480"/>
              <w:rPr>
                <w:color w:val="FF0000"/>
              </w:rPr>
            </w:pPr>
            <w:r>
              <w:rPr>
                <w:rFonts w:hint="eastAsia"/>
              </w:rPr>
              <w:t>本项目位于湖南省岳阳市湘阴县静河镇共荣村、龙潭寺村，根据《岳阳市公共资源交易中心国土资源挂牌出让网上竞得证明》及岳阳市公共资源交易中心出具的《岳阳市公共资源进场交易确认书》（岳公资证〔2</w:t>
            </w:r>
            <w:r>
              <w:t>022</w:t>
            </w:r>
            <w:r>
              <w:rPr>
                <w:rFonts w:hint="eastAsia"/>
              </w:rPr>
              <w:t>〕第</w:t>
            </w:r>
            <w:r>
              <w:t>277</w:t>
            </w:r>
            <w:r>
              <w:rPr>
                <w:rFonts w:hint="eastAsia"/>
              </w:rPr>
              <w:t>号），建设单位（湖南洋石新材料科技有限公司）竞得岳矿网挂〔2</w:t>
            </w:r>
            <w:r>
              <w:t>022</w:t>
            </w:r>
            <w:r>
              <w:rPr>
                <w:rFonts w:hint="eastAsia"/>
              </w:rPr>
              <w:t>〕0</w:t>
            </w:r>
            <w:r>
              <w:t>2</w:t>
            </w:r>
            <w:r>
              <w:rPr>
                <w:rFonts w:hint="eastAsia"/>
              </w:rPr>
              <w:t>号采矿权（详见附件</w:t>
            </w:r>
            <w:r>
              <w:t>3</w:t>
            </w:r>
            <w:r>
              <w:rPr>
                <w:rFonts w:hint="eastAsia"/>
              </w:rPr>
              <w:t>、附件4）。</w:t>
            </w:r>
          </w:p>
          <w:p>
            <w:pPr>
              <w:spacing w:line="360" w:lineRule="auto"/>
              <w:ind w:firstLine="480"/>
            </w:pPr>
            <w:r>
              <w:rPr>
                <w:rFonts w:hint="eastAsia"/>
              </w:rPr>
              <w:t>根据《静河镇土地利用总体规划（201</w:t>
            </w:r>
            <w:r>
              <w:t>6</w:t>
            </w:r>
            <w:r>
              <w:rPr>
                <w:rFonts w:hint="eastAsia"/>
              </w:rPr>
              <w:t>-2020年）》及《湖南省湘阴县静河镇共荣建筑用砂矿土地使用方案》，项目所占用地类型主要为林地；用地范围不在自然保护区、国家地质公园等限制禁止勘查开采区域范围内，不涉及基本农田保护区等，经与岳阳市生态保护红线对比，项目用地不涉及生态保护红线（详见附图</w:t>
            </w:r>
            <w:r>
              <w:t>6</w:t>
            </w:r>
            <w:r>
              <w:rPr>
                <w:rFonts w:hint="eastAsia"/>
              </w:rPr>
              <w:t>）；符合国家现行的土地使用政策，地块符合土地利用总体规划；本矿山开采符合国家现行的土地使用政策，符合所在地块及周边地块的发展规划。</w:t>
            </w:r>
          </w:p>
          <w:p>
            <w:pPr>
              <w:spacing w:line="360" w:lineRule="auto"/>
              <w:ind w:firstLine="480"/>
            </w:pPr>
            <w:r>
              <w:rPr>
                <w:rFonts w:hint="eastAsia"/>
              </w:rPr>
              <w:t>本项目占用的林地，建设单位应根据《建设项目使用林地审核审批管理办法》（2016年9月22日国家林业局令第42 号修改）相关要求在项目施工建设前完善占用林地的建设用地审批手续，并缴纳森林植被恢复费。</w:t>
            </w:r>
          </w:p>
          <w:p>
            <w:pPr>
              <w:spacing w:line="360" w:lineRule="auto"/>
              <w:ind w:firstLine="0" w:firstLineChars="0"/>
              <w:rPr>
                <w:b/>
                <w:sz w:val="28"/>
              </w:rPr>
            </w:pPr>
            <w:r>
              <w:rPr>
                <w:rFonts w:hint="eastAsia"/>
                <w:b/>
                <w:sz w:val="28"/>
              </w:rPr>
              <w:t>9、项目所在地权属关系及合法性分析</w:t>
            </w:r>
          </w:p>
          <w:p>
            <w:pPr>
              <w:spacing w:line="360" w:lineRule="auto"/>
              <w:ind w:firstLine="480"/>
            </w:pPr>
            <w:r>
              <w:rPr>
                <w:rFonts w:hint="eastAsia"/>
              </w:rPr>
              <w:t>根据岳阳市自然资源和规划局发布的《湖南省湘阴县静河镇共荣矿区建筑用砂矿挂牌成交公示（公示文号：岳矿公示〔2</w:t>
            </w:r>
            <w:r>
              <w:t>022</w:t>
            </w:r>
            <w:r>
              <w:rPr>
                <w:rFonts w:hint="eastAsia"/>
              </w:rPr>
              <w:t>〕2号）》、岳阳市公共资源交易中心出具的《岳阳市公共资源进场交易确认书》（岳公资证〔2</w:t>
            </w:r>
            <w:r>
              <w:t>022</w:t>
            </w:r>
            <w:r>
              <w:rPr>
                <w:rFonts w:hint="eastAsia"/>
              </w:rPr>
              <w:t>〕第</w:t>
            </w:r>
            <w:r>
              <w:t>277</w:t>
            </w:r>
            <w:r>
              <w:rPr>
                <w:rFonts w:hint="eastAsia"/>
              </w:rPr>
              <w:t>号）及《岳阳市公共资源交易中心国土资源挂牌出让网上竞得证明》，建设单位（湖南洋石新材料科技有限公司）竞得岳矿网挂〔2</w:t>
            </w:r>
            <w:r>
              <w:t>022</w:t>
            </w:r>
            <w:r>
              <w:rPr>
                <w:rFonts w:hint="eastAsia"/>
              </w:rPr>
              <w:t>〕0</w:t>
            </w:r>
            <w:r>
              <w:t>2</w:t>
            </w:r>
            <w:r>
              <w:rPr>
                <w:rFonts w:hint="eastAsia"/>
              </w:rPr>
              <w:t>号采矿权。不存在矿业权重叠或权属争议，符合相关法律要求。</w:t>
            </w:r>
          </w:p>
          <w:p>
            <w:pPr>
              <w:spacing w:line="360" w:lineRule="auto"/>
              <w:ind w:firstLine="0" w:firstLineChars="0"/>
              <w:rPr>
                <w:b/>
                <w:sz w:val="28"/>
              </w:rPr>
            </w:pPr>
            <w:r>
              <w:rPr>
                <w:rFonts w:hint="eastAsia"/>
                <w:b/>
                <w:sz w:val="28"/>
              </w:rPr>
              <w:t>10、与《湖南省林业条例》相符性分析</w:t>
            </w:r>
          </w:p>
          <w:p>
            <w:pPr>
              <w:spacing w:line="360" w:lineRule="auto"/>
              <w:ind w:firstLine="480"/>
            </w:pPr>
            <w:r>
              <w:rPr>
                <w:rFonts w:hint="eastAsia"/>
              </w:rPr>
              <w:t>《湖南省林业条例》提出：</w:t>
            </w:r>
          </w:p>
          <w:p>
            <w:pPr>
              <w:spacing w:line="360" w:lineRule="auto"/>
              <w:ind w:firstLine="480"/>
            </w:pPr>
            <w:r>
              <w:rPr>
                <w:rFonts w:hint="eastAsia"/>
              </w:rPr>
              <w:t>第二十一条 采伐林木，除农村居民采伐自留地和房产屋后个人所有的零星林木的外，应当申请林木采伐许可证。铁路、公路的护路林和城镇林木的更新采伐，由有关主管部门审核发放省人民政府林业主管部门统一印制的林木采伐许可证。</w:t>
            </w:r>
          </w:p>
          <w:p>
            <w:pPr>
              <w:spacing w:line="360" w:lineRule="auto"/>
              <w:ind w:firstLine="480"/>
            </w:pPr>
            <w:r>
              <w:rPr>
                <w:rFonts w:hint="eastAsia"/>
              </w:rPr>
              <w:t>根据《建设项目使用林地审核审批管理办法》（2016年9月22 日国家林业局令第42号修改）中“第七条占用林地手续所需材料（二）建设项目有关批准文件。包括：可行性研究报告批复、核准批复、备案确认文件、勘查许可证、采矿许可证、项目初步设计等批准文件”。由于采矿许可证办理需提供已批环评，因此占用林地手续需在环评审批通过后进行办理。</w:t>
            </w:r>
          </w:p>
          <w:p>
            <w:pPr>
              <w:spacing w:line="360" w:lineRule="auto"/>
              <w:ind w:firstLine="480"/>
            </w:pPr>
            <w:r>
              <w:rPr>
                <w:rFonts w:hint="eastAsia"/>
              </w:rPr>
              <w:t>综上所述，建设单位须在项目施工建设前完善占用林地的建设用地审批手续，并缴纳森林植被恢复费，在完善上述审批手续后，项目建设符合《湖南省林业条例》要求。</w:t>
            </w:r>
          </w:p>
          <w:p>
            <w:pPr>
              <w:spacing w:line="360" w:lineRule="auto"/>
              <w:ind w:firstLine="0" w:firstLineChars="0"/>
              <w:rPr>
                <w:b/>
                <w:sz w:val="28"/>
              </w:rPr>
            </w:pPr>
            <w:r>
              <w:rPr>
                <w:rFonts w:hint="eastAsia"/>
                <w:b/>
                <w:sz w:val="28"/>
              </w:rPr>
              <w:t>11、与《关于加快推进露天矿山综合整治工作实施意见的函》（自然资办函〔2019〕819）相符性分析</w:t>
            </w:r>
          </w:p>
          <w:p>
            <w:pPr>
              <w:spacing w:line="360" w:lineRule="auto"/>
              <w:ind w:firstLine="480"/>
            </w:pPr>
            <w:r>
              <w:rPr>
                <w:rFonts w:hint="eastAsia"/>
              </w:rPr>
              <w:t>根据文件中要求“（四）严格控制新建露天矿山建设项目。严格贯彻国发〔2018〕22号文件有关要求，重点区域原则上禁止新建露天矿山建设项目，国发〔2018〕22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p>
            <w:pPr>
              <w:spacing w:line="360" w:lineRule="auto"/>
              <w:ind w:firstLine="480"/>
            </w:pPr>
            <w:r>
              <w:rPr>
                <w:rFonts w:hint="eastAsia"/>
              </w:rPr>
              <w:t>本项目位于岳阳市湘阴县静河镇，为一般管控单元（Z</w:t>
            </w:r>
            <w:r>
              <w:t>H43062430002</w:t>
            </w:r>
            <w:r>
              <w:rPr>
                <w:rFonts w:hint="eastAsia"/>
              </w:rPr>
              <w:t>），不属于重点区域。本项目实施后，矿区及生产加工区采取有效的洒水降尘措施确保颗粒物无组织监控浓度达标；生活污水经化粪池处理后用于周边施肥，洗砂废水、车辆冲洗废水、初期雨水经沉淀处理后回用，不外排；采取低噪设备，确保厂界噪声达标。在开采过程同步落实绿色矿山的建设要求，因此项目符合相关要求。</w:t>
            </w:r>
          </w:p>
          <w:p>
            <w:pPr>
              <w:spacing w:line="360" w:lineRule="auto"/>
              <w:ind w:firstLine="0" w:firstLineChars="0"/>
              <w:rPr>
                <w:b/>
                <w:sz w:val="28"/>
              </w:rPr>
            </w:pPr>
            <w:r>
              <w:rPr>
                <w:rFonts w:hint="eastAsia"/>
                <w:b/>
                <w:sz w:val="28"/>
              </w:rPr>
              <w:t>12、与《推进资源型地区高质量发展“十四五”实施方案》相符性分析</w:t>
            </w:r>
          </w:p>
          <w:p>
            <w:pPr>
              <w:spacing w:line="360" w:lineRule="auto"/>
              <w:ind w:firstLine="480"/>
            </w:pPr>
            <w:r>
              <w:rPr>
                <w:rFonts w:hint="eastAsia"/>
              </w:rPr>
              <w:t>《推进资源型地区高质量发展“十四五”实施方案》提出：</w:t>
            </w:r>
          </w:p>
          <w:p>
            <w:pPr>
              <w:spacing w:line="360" w:lineRule="auto"/>
              <w:ind w:firstLine="482"/>
            </w:pPr>
            <w:r>
              <w:rPr>
                <w:rFonts w:hint="eastAsia"/>
                <w:b/>
              </w:rPr>
              <w:t>“（五）提高资源能源利用水平。</w:t>
            </w:r>
            <w:r>
              <w:rPr>
                <w:rFonts w:hint="eastAsia"/>
              </w:rPr>
              <w:t>提高重要矿产资源开采回采率、选矿回收率和综合利用水平，建立科学合理的循环利用模式。大力推进绿色矿山建设，加大已有矿山改造升级力度，新建、扩建矿山全部达到标准要求</w:t>
            </w:r>
            <w:r>
              <w:t>…</w:t>
            </w:r>
          </w:p>
          <w:p>
            <w:pPr>
              <w:spacing w:line="360" w:lineRule="auto"/>
              <w:ind w:firstLine="482"/>
            </w:pPr>
            <w:r>
              <w:rPr>
                <w:rFonts w:hint="eastAsia"/>
                <w:b/>
              </w:rPr>
              <w:t>（十五）加快形成绿色生产方式。</w:t>
            </w:r>
            <w:r>
              <w:rPr>
                <w:rFonts w:hint="eastAsia"/>
              </w:rPr>
              <w:t>推动资源能源绿色开发，坚持科学勘查、有序开采、清洁生产、高效利用，加大对矿产资源储量、开发潜力和生态环境影响的综合评价，合理调控开采规模、时序和强度，全面落实生态保护红线、环境质量底线、资源利用上线和生态环境准入清单</w:t>
            </w:r>
            <w:r>
              <w:t>…</w:t>
            </w:r>
            <w:r>
              <w:rPr>
                <w:rFonts w:hint="eastAsia"/>
              </w:rPr>
              <w:t>鼓励废弃物减量、资源化利用和无害化处置，促进原材料、能源梯级利用和高效产出。严格执行重点行业环境准入和排放标准，坚决淘汰落后和过剩产能。</w:t>
            </w:r>
            <w:r>
              <w:t>”</w:t>
            </w:r>
          </w:p>
          <w:p>
            <w:pPr>
              <w:spacing w:line="360" w:lineRule="auto"/>
              <w:ind w:firstLine="480"/>
            </w:pPr>
            <w:r>
              <w:rPr>
                <w:rFonts w:hint="eastAsia"/>
              </w:rPr>
              <w:t>本项目为建筑用砂石矿开采加工项目，按照绿色矿山建设标准进行建设。开采产生的表土用于矿区复垦复绿用土、其他土方和沉淀池沉渣主要外运用于湘阴县高新区建设用填方，开采得到的砂、卵石用于项目加工生产，资源均得到科学合理利用；建设单位完成了矿产资源开发利用方案、矿区矿资源储量核实报告等工作；本项目符合生态保护红线、环境质量底线、资源利用上线和生态环境准入清单要求，符合《推进资源型地区高质量发展“十四五”实施方案》要求。</w:t>
            </w:r>
          </w:p>
          <w:p>
            <w:pPr>
              <w:spacing w:line="360" w:lineRule="auto"/>
              <w:ind w:firstLine="0" w:firstLineChars="0"/>
              <w:rPr>
                <w:b/>
                <w:sz w:val="28"/>
              </w:rPr>
            </w:pPr>
            <w:r>
              <w:rPr>
                <w:rFonts w:hint="eastAsia"/>
                <w:b/>
                <w:sz w:val="28"/>
              </w:rPr>
              <w:t>1</w:t>
            </w:r>
            <w:r>
              <w:rPr>
                <w:b/>
                <w:sz w:val="28"/>
              </w:rPr>
              <w:t>3</w:t>
            </w:r>
            <w:r>
              <w:rPr>
                <w:rFonts w:hint="eastAsia"/>
                <w:b/>
                <w:sz w:val="28"/>
              </w:rPr>
              <w:t>、与《砂石行业绿色矿山建设规范》（</w:t>
            </w:r>
            <w:r>
              <w:rPr>
                <w:b/>
                <w:sz w:val="28"/>
              </w:rPr>
              <w:t>DZ/T 0316-2018</w:t>
            </w:r>
            <w:r>
              <w:rPr>
                <w:rFonts w:hint="eastAsia"/>
                <w:b/>
                <w:sz w:val="28"/>
              </w:rPr>
              <w:t>）相符性分析</w:t>
            </w:r>
          </w:p>
          <w:p>
            <w:pPr>
              <w:pStyle w:val="2"/>
              <w:spacing w:line="360" w:lineRule="auto"/>
              <w:rPr>
                <w:b w:val="0"/>
              </w:rPr>
            </w:pPr>
            <w:r>
              <w:rPr>
                <w:rFonts w:hint="eastAsia"/>
                <w:b w:val="0"/>
              </w:rPr>
              <w:t>表1</w:t>
            </w:r>
            <w:r>
              <w:rPr>
                <w:b w:val="0"/>
              </w:rPr>
              <w:t xml:space="preserve">-9 </w:t>
            </w:r>
            <w:r>
              <w:rPr>
                <w:rFonts w:hint="eastAsia"/>
                <w:b w:val="0"/>
              </w:rPr>
              <w:t>《砂石行业绿色矿山建设规范》相符性分析</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
              <w:gridCol w:w="3686"/>
              <w:gridCol w:w="2412"/>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gridSpan w:val="2"/>
                  <w:shd w:val="clear" w:color="auto" w:fill="auto"/>
                  <w:vAlign w:val="center"/>
                </w:tcPr>
                <w:p>
                  <w:pPr>
                    <w:pStyle w:val="13"/>
                  </w:pPr>
                  <w:r>
                    <w:rPr>
                      <w:rFonts w:hint="eastAsia"/>
                    </w:rPr>
                    <w:t>规范要求</w:t>
                  </w:r>
                </w:p>
              </w:tc>
              <w:tc>
                <w:tcPr>
                  <w:tcW w:w="2412" w:type="dxa"/>
                  <w:shd w:val="clear" w:color="auto" w:fill="auto"/>
                  <w:vAlign w:val="center"/>
                </w:tcPr>
                <w:p>
                  <w:pPr>
                    <w:pStyle w:val="13"/>
                  </w:pPr>
                  <w:r>
                    <w:rPr>
                      <w:rFonts w:hint="eastAsia"/>
                    </w:rPr>
                    <w:t>本项目情况</w:t>
                  </w:r>
                </w:p>
              </w:tc>
              <w:tc>
                <w:tcPr>
                  <w:tcW w:w="700" w:type="dxa"/>
                  <w:shd w:val="clear" w:color="auto" w:fill="auto"/>
                  <w:vAlign w:val="center"/>
                </w:tcPr>
                <w:p>
                  <w:pPr>
                    <w:pStyle w:val="13"/>
                  </w:pPr>
                  <w:r>
                    <w:rPr>
                      <w:rFonts w:hint="eastAsia"/>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restart"/>
                  <w:shd w:val="clear" w:color="auto" w:fill="auto"/>
                  <w:vAlign w:val="center"/>
                </w:tcPr>
                <w:p>
                  <w:pPr>
                    <w:pStyle w:val="13"/>
                  </w:pPr>
                  <w:r>
                    <w:rPr>
                      <w:rFonts w:hint="eastAsia"/>
                    </w:rPr>
                    <w:t>矿区环境</w:t>
                  </w:r>
                </w:p>
              </w:tc>
              <w:tc>
                <w:tcPr>
                  <w:tcW w:w="3686" w:type="dxa"/>
                  <w:shd w:val="clear" w:color="auto" w:fill="auto"/>
                  <w:vAlign w:val="center"/>
                </w:tcPr>
                <w:p>
                  <w:pPr>
                    <w:pStyle w:val="13"/>
                    <w:jc w:val="both"/>
                  </w:pPr>
                  <w:r>
                    <w:rPr>
                      <w:rFonts w:hint="eastAsia"/>
                    </w:rPr>
                    <w:t>1、基本要求：①矿区功能分区布局合理，应绿化和美化矿区，使矿区整体环境整洁美观；②开采、生产、运输和贮存等管理规范有序</w:t>
                  </w:r>
                </w:p>
              </w:tc>
              <w:tc>
                <w:tcPr>
                  <w:tcW w:w="2412" w:type="dxa"/>
                  <w:shd w:val="clear" w:color="auto" w:fill="auto"/>
                  <w:vAlign w:val="center"/>
                </w:tcPr>
                <w:p>
                  <w:pPr>
                    <w:pStyle w:val="13"/>
                  </w:pPr>
                  <w:r>
                    <w:rPr>
                      <w:rFonts w:hint="eastAsia"/>
                    </w:rPr>
                    <w:t>本项目设置采矿区、加工区、生活区，分布合理；开采运输等管理规范有序</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2、矿容矿貌：①矿区按生产区、办公区、生活区等功能分区；②矿区道路、供水、供电、卫生、环保等配套设施应齐全；生产区应设置示意牌、简介牌等；③生产过程应采取喷雾、喷洒水或生物纳膜、加装除尘设备等措施处置粉尘。应对输送系统、生产线、料库等采取有效措施进行抑尘、做好车辆保洁，驶离矿区必须冲洗，严禁运料逸散和带泥上路，保持矿区及周边环境卫生；④应采用合理有效的技术措施对高噪声设备进行降噪处理；⑤矿山开采面、作业平台应干净整洁，规范美观。</w:t>
                  </w:r>
                </w:p>
              </w:tc>
              <w:tc>
                <w:tcPr>
                  <w:tcW w:w="2412" w:type="dxa"/>
                  <w:shd w:val="clear" w:color="auto" w:fill="auto"/>
                  <w:vAlign w:val="center"/>
                </w:tcPr>
                <w:p>
                  <w:pPr>
                    <w:pStyle w:val="13"/>
                  </w:pPr>
                  <w:r>
                    <w:rPr>
                      <w:rFonts w:hint="eastAsia"/>
                    </w:rPr>
                    <w:t>本项目矿区按照采矿区、加工区、办公生活区进行功能分区；项目建设过程中配套设施，同时落实各类示意牌；采矿区、加工区采取洒水降尘、湿法作业，对进出车辆做好清洗、覆盖等措施；开采作业面定期清理，保持整洁规范。</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restart"/>
                  <w:shd w:val="clear" w:color="auto" w:fill="auto"/>
                  <w:vAlign w:val="center"/>
                </w:tcPr>
                <w:p>
                  <w:pPr>
                    <w:pStyle w:val="13"/>
                  </w:pPr>
                  <w:r>
                    <w:rPr>
                      <w:rFonts w:hint="eastAsia"/>
                    </w:rPr>
                    <w:t>资源开发方式</w:t>
                  </w:r>
                </w:p>
              </w:tc>
              <w:tc>
                <w:tcPr>
                  <w:tcW w:w="3686" w:type="dxa"/>
                  <w:shd w:val="clear" w:color="auto" w:fill="auto"/>
                  <w:vAlign w:val="center"/>
                </w:tcPr>
                <w:p>
                  <w:pPr>
                    <w:pStyle w:val="13"/>
                    <w:jc w:val="both"/>
                  </w:pPr>
                  <w:r>
                    <w:rPr>
                      <w:rFonts w:hint="eastAsia"/>
                    </w:rPr>
                    <w:t>1、基本要求：①资源开发应与环境保护、资源保护和城乡建设相协调，最大限度地减少对自然环境的扰动和破坏，选择资源节约型、环境友好型开发方式；②采用先进的工艺技术与装备，做到绿色开采、绿色生产、绿色存贮、绿色运输；③应贯彻“边开采、边恢复”的原则，及时治理恢复矿山地质环境，复垦矿山占用土地和损毁土地。治理率和复垦率应达到矿山地质环境保护与土地复垦方案的要求。</w:t>
                  </w:r>
                </w:p>
              </w:tc>
              <w:tc>
                <w:tcPr>
                  <w:tcW w:w="2412" w:type="dxa"/>
                  <w:shd w:val="clear" w:color="auto" w:fill="auto"/>
                  <w:vAlign w:val="center"/>
                </w:tcPr>
                <w:p>
                  <w:pPr>
                    <w:pStyle w:val="13"/>
                  </w:pPr>
                  <w:r>
                    <w:rPr>
                      <w:rFonts w:hint="eastAsia"/>
                    </w:rPr>
                    <w:t>本项目采用先进的露天分层开采工艺技术与装备；落实边开采，边复绿的要求，及时复垦损毁土地</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2、绿色开发：①应做好矿山中长期开采规划和短期开采计划，采场工作面推进均衡有序；②采场准备应遵循采剥并举、剥离先行的原则，最大限度地保留原生自然环境，减少环境扰动；③排土场应通过勘测选择地质条件稳定的场所，避免占压可采矿量，并方便未来矿区进行环境恢复治理和土地复垦时取用</w:t>
                  </w:r>
                </w:p>
              </w:tc>
              <w:tc>
                <w:tcPr>
                  <w:tcW w:w="2412" w:type="dxa"/>
                  <w:shd w:val="clear" w:color="auto" w:fill="auto"/>
                  <w:vAlign w:val="center"/>
                </w:tcPr>
                <w:p>
                  <w:pPr>
                    <w:pStyle w:val="13"/>
                  </w:pPr>
                  <w:r>
                    <w:rPr>
                      <w:rFonts w:hint="eastAsia"/>
                    </w:rPr>
                    <w:t>采取中长期开采规划和短期开采计划；所有资源均有效利用；排土场设置在矿区内，地质条件稳定</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3、绿色生产：①应选择先进工艺和设备，配置与生产规模和工艺相符的辅助设施，合理规划堆料、装卸以及设备检修场地；②根据原料品质分级利用砂石资源；③干法生产应配备高效除尘设备；④湿法生产应配置泥粉和水分离、废水处理和循环使用系统；加工车间应封闭；⑤合理设计工艺布置，控制噪声传播；⑥砂石骨料成品堆场应地面硬化、分类或分仓储存。</w:t>
                  </w:r>
                </w:p>
              </w:tc>
              <w:tc>
                <w:tcPr>
                  <w:tcW w:w="2412" w:type="dxa"/>
                  <w:shd w:val="clear" w:color="auto" w:fill="auto"/>
                  <w:vAlign w:val="center"/>
                </w:tcPr>
                <w:p>
                  <w:pPr>
                    <w:pStyle w:val="13"/>
                  </w:pPr>
                  <w:r>
                    <w:rPr>
                      <w:rFonts w:hint="eastAsia"/>
                    </w:rPr>
                    <w:t>本项目采取先进工艺和生产设备，矿区平面布置规划合理，所有矿产资源均得到综合利用；开采及加工过程采取湿法作业，生产废水均循环利用，不外排。合理安排生产时间，减少噪声影响；临时堆场做好围挡和覆盖措施。砂石骨料加工后分别储存</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4、绿色运输：应结合地形、岩石特性、开采方案、运输强度等选择运输方案。</w:t>
                  </w:r>
                </w:p>
              </w:tc>
              <w:tc>
                <w:tcPr>
                  <w:tcW w:w="2412" w:type="dxa"/>
                  <w:shd w:val="clear" w:color="auto" w:fill="auto"/>
                  <w:vAlign w:val="center"/>
                </w:tcPr>
                <w:p>
                  <w:pPr>
                    <w:pStyle w:val="13"/>
                  </w:pPr>
                  <w:r>
                    <w:rPr>
                      <w:rFonts w:hint="eastAsia"/>
                    </w:rPr>
                    <w:t>本项目采取公路运输</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5、矿区生态环境保护：认真落实露天采场、矿区专用道路、工业场地、排土场等环境保护与恢复治理；恢复治理后的各类场地应与周边自然环境和景观相协调，因地制宜实现土地可持续利用，区域整体生态功能得到保护和恢复</w:t>
                  </w:r>
                </w:p>
              </w:tc>
              <w:tc>
                <w:tcPr>
                  <w:tcW w:w="2412" w:type="dxa"/>
                  <w:shd w:val="clear" w:color="auto" w:fill="auto"/>
                  <w:vAlign w:val="center"/>
                </w:tcPr>
                <w:p>
                  <w:pPr>
                    <w:pStyle w:val="13"/>
                  </w:pPr>
                  <w:r>
                    <w:rPr>
                      <w:rFonts w:hint="eastAsia"/>
                    </w:rPr>
                    <w:t>项目已按照要求正在编制</w:t>
                  </w:r>
                  <w:r>
                    <w:rPr>
                      <w:rFonts w:hint="eastAsia"/>
                      <w:szCs w:val="21"/>
                    </w:rPr>
                    <w:t>《矿山生态修复保护方案》</w:t>
                  </w:r>
                  <w:r>
                    <w:rPr>
                      <w:rFonts w:hint="eastAsia"/>
                    </w:rPr>
                    <w:t>，并预留了相关治理费用，在开采结束后进行恢复治理</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restart"/>
                  <w:shd w:val="clear" w:color="auto" w:fill="auto"/>
                  <w:vAlign w:val="center"/>
                </w:tcPr>
                <w:p>
                  <w:pPr>
                    <w:pStyle w:val="13"/>
                  </w:pPr>
                  <w:r>
                    <w:rPr>
                      <w:rFonts w:hint="eastAsia"/>
                    </w:rPr>
                    <w:t>资源综合利用</w:t>
                  </w:r>
                </w:p>
              </w:tc>
              <w:tc>
                <w:tcPr>
                  <w:tcW w:w="3686" w:type="dxa"/>
                  <w:shd w:val="clear" w:color="auto" w:fill="auto"/>
                  <w:vAlign w:val="center"/>
                </w:tcPr>
                <w:p>
                  <w:pPr>
                    <w:pStyle w:val="13"/>
                    <w:jc w:val="both"/>
                  </w:pPr>
                  <w:r>
                    <w:rPr>
                      <w:rFonts w:hint="eastAsia"/>
                    </w:rPr>
                    <w:t>1、基本要求：应按照减量化、再利用、资源化的原则，对砂石生产工艺合理优化设计，提高成品率；充分利用石粉、泥粉等加工副产品，提高资源综合利用水平。</w:t>
                  </w:r>
                </w:p>
              </w:tc>
              <w:tc>
                <w:tcPr>
                  <w:tcW w:w="2412" w:type="dxa"/>
                  <w:shd w:val="clear" w:color="auto" w:fill="auto"/>
                  <w:vAlign w:val="center"/>
                </w:tcPr>
                <w:p>
                  <w:pPr>
                    <w:pStyle w:val="13"/>
                  </w:pPr>
                  <w:r>
                    <w:rPr>
                      <w:rFonts w:hint="eastAsia"/>
                    </w:rPr>
                    <w:t>项目矿石均进行加工综合利用，表土暂存用于后期矿山恢复，其他剥离土方及沉淀池沉渣外运用于湘阴县高新区建设用填方</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4、表土和渣土利用：排土场堆放的剥离表土或筛分后的渣土，宜用于环境治理、土地复垦和生态修复。</w:t>
                  </w:r>
                </w:p>
              </w:tc>
              <w:tc>
                <w:tcPr>
                  <w:tcW w:w="2412" w:type="dxa"/>
                  <w:shd w:val="clear" w:color="auto" w:fill="auto"/>
                  <w:vAlign w:val="center"/>
                </w:tcPr>
                <w:p>
                  <w:pPr>
                    <w:pStyle w:val="13"/>
                  </w:pPr>
                  <w:r>
                    <w:rPr>
                      <w:rFonts w:hint="eastAsia"/>
                    </w:rPr>
                    <w:t>表土暂存用于后期矿山恢复，其他剥离土方及沉淀池沉渣外运用于湘阴县高新区建设用填方</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5、废水利用：应配备完善的生产废水处理系统，经过固液分离处理后的清水循环利用率应达到100%。</w:t>
                  </w:r>
                </w:p>
              </w:tc>
              <w:tc>
                <w:tcPr>
                  <w:tcW w:w="2412" w:type="dxa"/>
                  <w:shd w:val="clear" w:color="auto" w:fill="auto"/>
                  <w:vAlign w:val="center"/>
                </w:tcPr>
                <w:p>
                  <w:pPr>
                    <w:pStyle w:val="13"/>
                  </w:pPr>
                  <w:r>
                    <w:rPr>
                      <w:rFonts w:hint="eastAsia"/>
                    </w:rPr>
                    <w:t>项目生产废水经沉淀处理后全部回用于，不外排</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restart"/>
                  <w:shd w:val="clear" w:color="auto" w:fill="auto"/>
                  <w:vAlign w:val="center"/>
                </w:tcPr>
                <w:p>
                  <w:pPr>
                    <w:pStyle w:val="13"/>
                  </w:pPr>
                  <w:r>
                    <w:rPr>
                      <w:rFonts w:hint="eastAsia"/>
                    </w:rPr>
                    <w:t>节能减排</w:t>
                  </w:r>
                </w:p>
              </w:tc>
              <w:tc>
                <w:tcPr>
                  <w:tcW w:w="3686" w:type="dxa"/>
                  <w:shd w:val="clear" w:color="auto" w:fill="auto"/>
                  <w:vAlign w:val="center"/>
                </w:tcPr>
                <w:p>
                  <w:pPr>
                    <w:pStyle w:val="13"/>
                    <w:jc w:val="both"/>
                  </w:pPr>
                  <w:r>
                    <w:rPr>
                      <w:rFonts w:hint="eastAsia"/>
                    </w:rPr>
                    <w:t>1、基本要求：建立能耗核算体系，采取节能减排措施，降低砂石生产能耗和设备损耗，“三废”排放符合生态环境保护部门的有关标准、规定和要求。</w:t>
                  </w:r>
                </w:p>
              </w:tc>
              <w:tc>
                <w:tcPr>
                  <w:tcW w:w="2412" w:type="dxa"/>
                  <w:shd w:val="clear" w:color="auto" w:fill="auto"/>
                  <w:vAlign w:val="center"/>
                </w:tcPr>
                <w:p>
                  <w:pPr>
                    <w:pStyle w:val="13"/>
                  </w:pPr>
                  <w:r>
                    <w:rPr>
                      <w:rFonts w:hint="eastAsia"/>
                    </w:rPr>
                    <w:t>已按要求落实相关管理体系；废气达标排放；生产废水循环利用；固体废物综合利用处置；</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2、节能降耗：应建立矿山开采、砂石生产、产品运输全过程能耗核算体系，各工艺电力消耗、油(气)消耗、水消耗宜进行单独核算；宜选用高效、智能、绿色、环保的技术和设备，降低单位电耗；应推广使用矿山凿岩穿孔新工艺，降低能耗；利用新技术、新工艺、新设备和新材料，减少破碎设备磨损件单位损耗；宜采用长距离皮带运输方式，促进节能减排；对于落差较大的矿区，宜使用下行皮带势能发电技术；单位产品能耗指标处于行业先进水平。</w:t>
                  </w:r>
                </w:p>
              </w:tc>
              <w:tc>
                <w:tcPr>
                  <w:tcW w:w="2412" w:type="dxa"/>
                  <w:shd w:val="clear" w:color="auto" w:fill="auto"/>
                  <w:vAlign w:val="center"/>
                </w:tcPr>
                <w:p>
                  <w:pPr>
                    <w:pStyle w:val="13"/>
                  </w:pPr>
                  <w:r>
                    <w:rPr>
                      <w:rFonts w:hint="eastAsia"/>
                    </w:rPr>
                    <w:t>已按要求落实节能体系，完善节能评估；开采后的矿石采用带式输送机运输至加工区</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3、粉尘排放：矿石开采和砂石生产过程中的粉尘控制应遵循源头抑制、过程协同控制、末端监控、系统联动集成的治理思路，达到环保节能和清洁生产的目的；矿区应配置洒水车、高压喷雾车等设备；应在装载机、破碎机、筛分机、整形机、制砂机、输送机端口等连续产生粉尘部位安装高效除尘装置。</w:t>
                  </w:r>
                </w:p>
              </w:tc>
              <w:tc>
                <w:tcPr>
                  <w:tcW w:w="2412" w:type="dxa"/>
                  <w:shd w:val="clear" w:color="auto" w:fill="auto"/>
                  <w:vAlign w:val="center"/>
                </w:tcPr>
                <w:p>
                  <w:pPr>
                    <w:pStyle w:val="13"/>
                  </w:pPr>
                  <w:r>
                    <w:rPr>
                      <w:rFonts w:hint="eastAsia"/>
                    </w:rPr>
                    <w:t>矿区拟配设洒水车等设备进行洒水降尘；道路两侧安装雾化喷头定期自动喷洒雾水；加工区破碎机、筛分机、制砂机、输送机端口等连续产生粉尘部位均安装喷淋设施进行除尘</w:t>
                  </w:r>
                </w:p>
              </w:tc>
              <w:tc>
                <w:tcPr>
                  <w:tcW w:w="700" w:type="dxa"/>
                  <w:shd w:val="clear" w:color="auto" w:fill="auto"/>
                  <w:vAlign w:val="center"/>
                </w:tcPr>
                <w:p>
                  <w:pPr>
                    <w:pStyle w:val="13"/>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56" w:type="dxa"/>
                  <w:vMerge w:val="continue"/>
                  <w:shd w:val="clear" w:color="auto" w:fill="auto"/>
                  <w:vAlign w:val="center"/>
                </w:tcPr>
                <w:p>
                  <w:pPr>
                    <w:pStyle w:val="13"/>
                  </w:pPr>
                </w:p>
              </w:tc>
              <w:tc>
                <w:tcPr>
                  <w:tcW w:w="3686" w:type="dxa"/>
                  <w:shd w:val="clear" w:color="auto" w:fill="auto"/>
                  <w:vAlign w:val="center"/>
                </w:tcPr>
                <w:p>
                  <w:pPr>
                    <w:pStyle w:val="13"/>
                    <w:jc w:val="both"/>
                  </w:pPr>
                  <w:r>
                    <w:rPr>
                      <w:rFonts w:hint="eastAsia"/>
                    </w:rPr>
                    <w:t>4、污水排放：矿区及厂区应建有雨水截(排)水沟和集水池，地表径流水经沉淀处理后达标排放；矿区及厂区的生产排水、雨水和生活污水，应实现雨污分流、清污分流。</w:t>
                  </w:r>
                </w:p>
              </w:tc>
              <w:tc>
                <w:tcPr>
                  <w:tcW w:w="2412" w:type="dxa"/>
                  <w:shd w:val="clear" w:color="auto" w:fill="auto"/>
                  <w:vAlign w:val="center"/>
                </w:tcPr>
                <w:p>
                  <w:pPr>
                    <w:pStyle w:val="13"/>
                  </w:pPr>
                  <w:r>
                    <w:rPr>
                      <w:rFonts w:hint="eastAsia"/>
                    </w:rPr>
                    <w:t>矿区范围内拟建设截(排)水沟和集水池，矿区初期雨水、生产废水均经处理后回用于厂区，不外排；生活污水处理后用于施肥，实现雨污分流、清污分流</w:t>
                  </w:r>
                </w:p>
              </w:tc>
              <w:tc>
                <w:tcPr>
                  <w:tcW w:w="700" w:type="dxa"/>
                  <w:shd w:val="clear" w:color="auto" w:fill="auto"/>
                  <w:vAlign w:val="center"/>
                </w:tcPr>
                <w:p>
                  <w:pPr>
                    <w:pStyle w:val="13"/>
                  </w:pPr>
                  <w:r>
                    <w:rPr>
                      <w:rFonts w:hint="eastAsia"/>
                    </w:rPr>
                    <w:t>符合</w:t>
                  </w:r>
                </w:p>
              </w:tc>
            </w:tr>
          </w:tbl>
          <w:p>
            <w:pPr>
              <w:spacing w:line="360" w:lineRule="auto"/>
              <w:ind w:firstLine="480"/>
            </w:pPr>
            <w:r>
              <w:rPr>
                <w:rFonts w:hint="eastAsia"/>
              </w:rPr>
              <w:t>综上，本项目与《砂石行业绿色矿山建设规范》（DZ/T 0316-2018）相关要求相符。</w:t>
            </w: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0" w:firstLineChars="0"/>
              <w:rPr>
                <w:b/>
                <w:sz w:val="28"/>
                <w:u w:val="single"/>
              </w:rPr>
            </w:pPr>
            <w:r>
              <w:rPr>
                <w:rFonts w:hint="eastAsia"/>
                <w:b/>
                <w:sz w:val="28"/>
                <w:u w:val="single"/>
              </w:rPr>
              <w:t>14、与《长江经济带发展负面清单指南（试行，2022年版）》相符性分析</w:t>
            </w:r>
          </w:p>
          <w:p>
            <w:pPr>
              <w:spacing w:line="360" w:lineRule="auto"/>
              <w:ind w:firstLine="0" w:firstLineChars="0"/>
              <w:jc w:val="center"/>
              <w:rPr>
                <w:u w:val="single"/>
              </w:rPr>
            </w:pPr>
            <w:r>
              <w:rPr>
                <w:rFonts w:hint="eastAsia"/>
                <w:u w:val="single"/>
              </w:rPr>
              <w:t>表1-10</w:t>
            </w:r>
            <w:r>
              <w:rPr>
                <w:u w:val="single"/>
              </w:rPr>
              <w:t xml:space="preserve"> </w:t>
            </w:r>
            <w:r>
              <w:rPr>
                <w:rFonts w:hint="eastAsia"/>
                <w:u w:val="single"/>
              </w:rPr>
              <w:t>《长江经济带发展负面清单指南（试行）》符合性分析</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42"/>
              <w:gridCol w:w="2412"/>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rPr>
                      <w:u w:val="single"/>
                    </w:rPr>
                  </w:pPr>
                  <w:r>
                    <w:rPr>
                      <w:rFonts w:hint="eastAsia"/>
                      <w:u w:val="single"/>
                    </w:rPr>
                    <w:t>规范要求</w:t>
                  </w:r>
                </w:p>
              </w:tc>
              <w:tc>
                <w:tcPr>
                  <w:tcW w:w="2412" w:type="dxa"/>
                  <w:shd w:val="clear" w:color="auto" w:fill="auto"/>
                  <w:vAlign w:val="center"/>
                </w:tcPr>
                <w:p>
                  <w:pPr>
                    <w:pStyle w:val="13"/>
                    <w:rPr>
                      <w:u w:val="single"/>
                    </w:rPr>
                  </w:pPr>
                  <w:r>
                    <w:rPr>
                      <w:rFonts w:hint="eastAsia"/>
                      <w:u w:val="single"/>
                    </w:rPr>
                    <w:t>本项目情况</w:t>
                  </w:r>
                </w:p>
              </w:tc>
              <w:tc>
                <w:tcPr>
                  <w:tcW w:w="700" w:type="dxa"/>
                  <w:shd w:val="clear" w:color="auto" w:fill="auto"/>
                  <w:vAlign w:val="center"/>
                </w:tcPr>
                <w:p>
                  <w:pPr>
                    <w:pStyle w:val="13"/>
                    <w:rPr>
                      <w:u w:val="single"/>
                    </w:rPr>
                  </w:pPr>
                  <w:r>
                    <w:rPr>
                      <w:rFonts w:hint="eastAsia"/>
                      <w:u w:val="singl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1.禁止建设不符合全国和省级港口布局规划以及港口总体规划的码头项目，禁止建设不符合《长江干线过江通道布局规划》的过长江通道项目。</w:t>
                  </w:r>
                </w:p>
              </w:tc>
              <w:tc>
                <w:tcPr>
                  <w:tcW w:w="2412" w:type="dxa"/>
                  <w:shd w:val="clear" w:color="auto" w:fill="auto"/>
                  <w:vAlign w:val="center"/>
                </w:tcPr>
                <w:p>
                  <w:pPr>
                    <w:pStyle w:val="13"/>
                    <w:jc w:val="both"/>
                    <w:rPr>
                      <w:u w:val="single"/>
                    </w:rPr>
                  </w:pPr>
                  <w:r>
                    <w:rPr>
                      <w:rFonts w:hint="eastAsia"/>
                      <w:u w:val="single"/>
                    </w:rPr>
                    <w:t>本项目为土砂石开采及加工项目，不属于码头、过长江通道项目。</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2.禁止在自然保护区核心区、缓冲区的岸线和河段范围内投资建设旅游和生产经营项目。禁止在风景名胜区核心景区的岸线和河段范围内投资建设与风景名胜资源保护无关的项目。</w:t>
                  </w:r>
                </w:p>
              </w:tc>
              <w:tc>
                <w:tcPr>
                  <w:tcW w:w="2412" w:type="dxa"/>
                  <w:shd w:val="clear" w:color="auto" w:fill="auto"/>
                  <w:vAlign w:val="center"/>
                </w:tcPr>
                <w:p>
                  <w:pPr>
                    <w:pStyle w:val="13"/>
                    <w:jc w:val="both"/>
                    <w:rPr>
                      <w:u w:val="single"/>
                    </w:rPr>
                  </w:pPr>
                  <w:r>
                    <w:rPr>
                      <w:rFonts w:hint="eastAsia"/>
                      <w:u w:val="single"/>
                    </w:rPr>
                    <w:t>本项目不属于自然保护区核心区、缓冲区的岸线和河道内投资建设旅游和生产经营项目；项目不涉及风景名胜区核心景区的岸线和河段范围。</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3.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2412" w:type="dxa"/>
                  <w:shd w:val="clear" w:color="auto" w:fill="auto"/>
                  <w:vAlign w:val="center"/>
                </w:tcPr>
                <w:p>
                  <w:pPr>
                    <w:pStyle w:val="13"/>
                    <w:jc w:val="both"/>
                    <w:rPr>
                      <w:u w:val="single"/>
                    </w:rPr>
                  </w:pPr>
                  <w:r>
                    <w:rPr>
                      <w:rFonts w:hint="eastAsia"/>
                      <w:u w:val="single"/>
                    </w:rPr>
                    <w:t>本项目不涉及饮用水水源一级保护区、二级保护区岸线和河道，且不属于供水设施和保护水源、养殖、旅游等项目。</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4.禁止在水产种质资源保护区的岸线和河段范围内新建围湖造田、围海造地或围填海等投资建设项目。禁止在国家湿地公园的岸线和河段范围内挖沙、采矿，以及任何不符合主体功能定位的投资建设项目。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2412" w:type="dxa"/>
                  <w:shd w:val="clear" w:color="auto" w:fill="auto"/>
                  <w:vAlign w:val="center"/>
                </w:tcPr>
                <w:p>
                  <w:pPr>
                    <w:pStyle w:val="13"/>
                    <w:jc w:val="both"/>
                    <w:rPr>
                      <w:u w:val="single"/>
                    </w:rPr>
                  </w:pPr>
                  <w:r>
                    <w:rPr>
                      <w:rFonts w:hint="eastAsia"/>
                      <w:u w:val="single"/>
                    </w:rPr>
                    <w:t>本项目不涉及水产种质资源保护区的岸线和河段，且不属于围湖造田、围海造地或围填海等投资建设项目；项目为建筑用砂开采及加工，但不涉及国家湿地公园岸线和河段，不涉及河道挖沙。</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5.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412" w:type="dxa"/>
                  <w:shd w:val="clear" w:color="auto" w:fill="auto"/>
                  <w:vAlign w:val="center"/>
                </w:tcPr>
                <w:p>
                  <w:pPr>
                    <w:pStyle w:val="13"/>
                    <w:jc w:val="both"/>
                    <w:rPr>
                      <w:u w:val="single"/>
                    </w:rPr>
                  </w:pPr>
                  <w:r>
                    <w:rPr>
                      <w:rFonts w:hint="eastAsia"/>
                      <w:u w:val="single"/>
                    </w:rPr>
                    <w:t>本项目不涉及利用、占用长江流域河湖岸线，且不属于上述类型项目。</w:t>
                  </w:r>
                </w:p>
              </w:tc>
              <w:tc>
                <w:tcPr>
                  <w:tcW w:w="700" w:type="dxa"/>
                  <w:shd w:val="clear" w:color="auto" w:fill="auto"/>
                  <w:vAlign w:val="center"/>
                </w:tcPr>
                <w:p>
                  <w:pPr>
                    <w:pStyle w:val="13"/>
                    <w:rPr>
                      <w:u w:val="single"/>
                    </w:rPr>
                  </w:pPr>
                  <w:r>
                    <w:rPr>
                      <w:rFonts w:hint="eastAsia"/>
                      <w:u w:val="single"/>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6.禁止未经许可在长江干支流及湖泊新设、改设或扩大排污口。</w:t>
                  </w:r>
                </w:p>
              </w:tc>
              <w:tc>
                <w:tcPr>
                  <w:tcW w:w="2412" w:type="dxa"/>
                  <w:shd w:val="clear" w:color="auto" w:fill="auto"/>
                  <w:vAlign w:val="center"/>
                </w:tcPr>
                <w:p>
                  <w:pPr>
                    <w:pStyle w:val="13"/>
                    <w:jc w:val="both"/>
                    <w:rPr>
                      <w:u w:val="single"/>
                    </w:rPr>
                  </w:pPr>
                  <w:r>
                    <w:rPr>
                      <w:rFonts w:hint="eastAsia"/>
                      <w:u w:val="single"/>
                    </w:rPr>
                    <w:t>本项目不涉及长江干支流及湖泊，且项目不涉及新设、改设或扩大排污口。</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7.禁止在“一江一口两湖七河”和332个水生生物保护区开展生产性捕捞。</w:t>
                  </w:r>
                </w:p>
              </w:tc>
              <w:tc>
                <w:tcPr>
                  <w:tcW w:w="2412" w:type="dxa"/>
                  <w:shd w:val="clear" w:color="auto" w:fill="auto"/>
                  <w:vAlign w:val="center"/>
                </w:tcPr>
                <w:p>
                  <w:pPr>
                    <w:pStyle w:val="13"/>
                    <w:jc w:val="both"/>
                    <w:rPr>
                      <w:u w:val="single"/>
                    </w:rPr>
                  </w:pPr>
                  <w:r>
                    <w:rPr>
                      <w:rFonts w:hint="eastAsia"/>
                      <w:u w:val="single"/>
                    </w:rPr>
                    <w:t>本项目不涉及。</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8.禁止在长江千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2412" w:type="dxa"/>
                  <w:shd w:val="clear" w:color="auto" w:fill="auto"/>
                  <w:vAlign w:val="center"/>
                </w:tcPr>
                <w:p>
                  <w:pPr>
                    <w:pStyle w:val="13"/>
                    <w:jc w:val="both"/>
                    <w:rPr>
                      <w:u w:val="single"/>
                    </w:rPr>
                  </w:pPr>
                  <w:r>
                    <w:rPr>
                      <w:rFonts w:hint="eastAsia"/>
                      <w:u w:val="single"/>
                    </w:rPr>
                    <w:t>本项目为建筑用砂开采及加工项目，不属于化工项目，不属于上述禁止要求内。</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9.禁止在合规园区外新建、扩建钢铁、石化、化工、焦化、建材、有色、制浆造纸等高污染项目。</w:t>
                  </w:r>
                </w:p>
              </w:tc>
              <w:tc>
                <w:tcPr>
                  <w:tcW w:w="2412" w:type="dxa"/>
                  <w:shd w:val="clear" w:color="auto" w:fill="auto"/>
                  <w:vAlign w:val="center"/>
                </w:tcPr>
                <w:p>
                  <w:pPr>
                    <w:pStyle w:val="13"/>
                    <w:jc w:val="both"/>
                    <w:rPr>
                      <w:u w:val="single"/>
                    </w:rPr>
                  </w:pPr>
                  <w:r>
                    <w:rPr>
                      <w:rFonts w:hint="eastAsia"/>
                      <w:u w:val="single"/>
                    </w:rPr>
                    <w:t>本项目不涉及。</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10.禁止新建、扩建不符合国家石化、现代煤化工等产业布局规划的项目。</w:t>
                  </w:r>
                </w:p>
              </w:tc>
              <w:tc>
                <w:tcPr>
                  <w:tcW w:w="2412" w:type="dxa"/>
                  <w:shd w:val="clear" w:color="auto" w:fill="auto"/>
                  <w:vAlign w:val="center"/>
                </w:tcPr>
                <w:p>
                  <w:pPr>
                    <w:pStyle w:val="13"/>
                    <w:jc w:val="both"/>
                    <w:rPr>
                      <w:u w:val="single"/>
                    </w:rPr>
                  </w:pPr>
                  <w:r>
                    <w:rPr>
                      <w:rFonts w:hint="eastAsia"/>
                      <w:u w:val="single"/>
                    </w:rPr>
                    <w:t>本项目不涉及。</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11. 禁止新建、扩建法律法规和相关政策明令禁止的落后产能项目。禁止新建、扩建不符合国家产能置换要求的严重过剩产能行业的项目。禁止新建、扩建不符合要求的高耗能高排放项目。</w:t>
                  </w:r>
                </w:p>
              </w:tc>
              <w:tc>
                <w:tcPr>
                  <w:tcW w:w="2412" w:type="dxa"/>
                  <w:shd w:val="clear" w:color="auto" w:fill="auto"/>
                  <w:vAlign w:val="center"/>
                </w:tcPr>
                <w:p>
                  <w:pPr>
                    <w:pStyle w:val="13"/>
                    <w:jc w:val="both"/>
                    <w:rPr>
                      <w:u w:val="single"/>
                    </w:rPr>
                  </w:pPr>
                  <w:r>
                    <w:rPr>
                      <w:rFonts w:hint="eastAsia"/>
                      <w:u w:val="single"/>
                    </w:rPr>
                    <w:t>本项目符合国家产业政策要求。</w:t>
                  </w:r>
                </w:p>
              </w:tc>
              <w:tc>
                <w:tcPr>
                  <w:tcW w:w="700" w:type="dxa"/>
                  <w:shd w:val="clear" w:color="auto" w:fill="auto"/>
                  <w:vAlign w:val="center"/>
                </w:tcPr>
                <w:p>
                  <w:pPr>
                    <w:pStyle w:val="13"/>
                    <w:rPr>
                      <w:u w:val="single"/>
                    </w:rPr>
                  </w:pPr>
                  <w:r>
                    <w:rPr>
                      <w:rFonts w:hint="eastAsia"/>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942" w:type="dxa"/>
                  <w:shd w:val="clear" w:color="auto" w:fill="auto"/>
                  <w:vAlign w:val="center"/>
                </w:tcPr>
                <w:p>
                  <w:pPr>
                    <w:pStyle w:val="13"/>
                    <w:jc w:val="both"/>
                    <w:rPr>
                      <w:u w:val="single"/>
                    </w:rPr>
                  </w:pPr>
                  <w:r>
                    <w:rPr>
                      <w:rFonts w:hint="eastAsia"/>
                      <w:u w:val="single"/>
                    </w:rPr>
                    <w:t>12.法律法规及相关政策文件有更加严格规定的从其规定。</w:t>
                  </w:r>
                </w:p>
              </w:tc>
              <w:tc>
                <w:tcPr>
                  <w:tcW w:w="2412" w:type="dxa"/>
                  <w:shd w:val="clear" w:color="auto" w:fill="auto"/>
                  <w:vAlign w:val="center"/>
                </w:tcPr>
                <w:p>
                  <w:pPr>
                    <w:pStyle w:val="13"/>
                    <w:jc w:val="both"/>
                    <w:rPr>
                      <w:u w:val="single"/>
                    </w:rPr>
                  </w:pPr>
                  <w:r>
                    <w:rPr>
                      <w:rFonts w:hint="eastAsia"/>
                      <w:u w:val="single"/>
                    </w:rPr>
                    <w:t>本项目严格落实其他法律法规及相关政策文件。</w:t>
                  </w:r>
                </w:p>
              </w:tc>
              <w:tc>
                <w:tcPr>
                  <w:tcW w:w="700" w:type="dxa"/>
                  <w:shd w:val="clear" w:color="auto" w:fill="auto"/>
                  <w:vAlign w:val="center"/>
                </w:tcPr>
                <w:p>
                  <w:pPr>
                    <w:pStyle w:val="13"/>
                    <w:rPr>
                      <w:u w:val="single"/>
                    </w:rPr>
                  </w:pPr>
                  <w:r>
                    <w:rPr>
                      <w:rFonts w:hint="eastAsia"/>
                      <w:u w:val="single"/>
                    </w:rPr>
                    <w:t>符合</w:t>
                  </w:r>
                </w:p>
              </w:tc>
            </w:tr>
          </w:tbl>
          <w:p>
            <w:pPr>
              <w:spacing w:line="360" w:lineRule="auto"/>
              <w:ind w:firstLine="480"/>
              <w:rPr>
                <w:u w:val="single"/>
              </w:rPr>
            </w:pPr>
            <w:r>
              <w:rPr>
                <w:rFonts w:hint="eastAsia"/>
                <w:u w:val="single"/>
              </w:rPr>
              <w:t>综上，本项目与《长江经济带发展负面清单指南（试行，2022年版）》相关要求相符。</w:t>
            </w: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240" w:lineRule="auto"/>
              <w:ind w:firstLine="480"/>
            </w:pPr>
          </w:p>
          <w:p>
            <w:pPr>
              <w:spacing w:line="240" w:lineRule="auto"/>
              <w:ind w:firstLine="480"/>
            </w:pPr>
          </w:p>
        </w:tc>
      </w:tr>
    </w:tbl>
    <w:p>
      <w:pPr>
        <w:adjustRightInd w:val="0"/>
        <w:snapToGrid w:val="0"/>
        <w:spacing w:line="360" w:lineRule="auto"/>
        <w:ind w:firstLine="600"/>
        <w:outlineLvl w:val="0"/>
        <w:rPr>
          <w:rFonts w:eastAsia="黑体"/>
          <w:sz w:val="30"/>
        </w:rPr>
        <w:sectPr>
          <w:headerReference r:id="rId11" w:type="default"/>
          <w:footerReference r:id="rId12" w:type="default"/>
          <w:pgSz w:w="11906" w:h="16838"/>
          <w:pgMar w:top="1378" w:right="1531" w:bottom="1378" w:left="1559" w:header="709" w:footer="907" w:gutter="0"/>
          <w:pgNumType w:fmt="numberInDash" w:start="1"/>
          <w:cols w:space="720" w:num="1"/>
          <w:docGrid w:linePitch="326" w:charSpace="0"/>
        </w:sectPr>
      </w:pPr>
    </w:p>
    <w:p>
      <w:pPr>
        <w:pStyle w:val="12"/>
        <w:adjustRightInd w:val="0"/>
        <w:snapToGrid w:val="0"/>
        <w:spacing w:before="0" w:beforeAutospacing="0" w:after="0" w:afterAutospacing="0"/>
        <w:ind w:firstLineChars="0"/>
        <w:jc w:val="center"/>
        <w:outlineLvl w:val="0"/>
        <w:rPr>
          <w:rFonts w:ascii="黑体" w:hAnsi="黑体" w:eastAsia="黑体"/>
          <w:sz w:val="30"/>
          <w:szCs w:val="30"/>
        </w:rPr>
      </w:pPr>
      <w:bookmarkStart w:id="16" w:name="_Toc120544634"/>
      <w:r>
        <w:rPr>
          <w:rFonts w:hint="eastAsia" w:ascii="黑体" w:hAnsi="黑体" w:eastAsia="黑体"/>
          <w:sz w:val="30"/>
          <w:szCs w:val="30"/>
        </w:rPr>
        <w:t>二、建设内容</w:t>
      </w:r>
      <w:bookmarkEnd w:id="16"/>
    </w:p>
    <w:tbl>
      <w:tblPr>
        <w:tblStyle w:val="16"/>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3"/>
        <w:gridCol w:w="79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vAlign w:val="center"/>
          </w:tcPr>
          <w:p>
            <w:pPr>
              <w:adjustRightInd w:val="0"/>
              <w:snapToGrid w:val="0"/>
              <w:spacing w:line="240" w:lineRule="auto"/>
              <w:ind w:firstLine="0" w:firstLineChars="0"/>
              <w:jc w:val="center"/>
            </w:pPr>
            <w:r>
              <w:t>地理位置</w:t>
            </w:r>
          </w:p>
        </w:tc>
        <w:tc>
          <w:tcPr>
            <w:tcW w:w="7931" w:type="dxa"/>
            <w:vAlign w:val="center"/>
          </w:tcPr>
          <w:p>
            <w:pPr>
              <w:adjustRightInd w:val="0"/>
              <w:snapToGrid w:val="0"/>
              <w:spacing w:line="360" w:lineRule="auto"/>
              <w:ind w:firstLine="480"/>
            </w:pPr>
            <w:r>
              <w:t>本项目位于湖南省岳阳市湘阴县静河镇共荣村</w:t>
            </w:r>
            <w:r>
              <w:rPr>
                <w:rFonts w:hint="eastAsia"/>
              </w:rPr>
              <w:t>、龙潭寺村</w:t>
            </w:r>
            <w:r>
              <w:t>，矿区中心坐标：东经112°52′48.598″，北纬28°35′8.959″、加工区中心坐标：东经112°52′58.638″，北纬28°35′6.583″。地理位置见附图1。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3" w:type="dxa"/>
            <w:vAlign w:val="center"/>
          </w:tcPr>
          <w:p>
            <w:pPr>
              <w:adjustRightInd w:val="0"/>
              <w:snapToGrid w:val="0"/>
              <w:spacing w:line="240" w:lineRule="auto"/>
              <w:ind w:firstLine="0" w:firstLineChars="0"/>
              <w:jc w:val="center"/>
            </w:pPr>
            <w:r>
              <w:t>项目组成及规模</w:t>
            </w:r>
          </w:p>
        </w:tc>
        <w:tc>
          <w:tcPr>
            <w:tcW w:w="7931" w:type="dxa"/>
            <w:vAlign w:val="center"/>
          </w:tcPr>
          <w:p>
            <w:pPr>
              <w:spacing w:line="360" w:lineRule="auto"/>
              <w:ind w:firstLine="0" w:firstLineChars="0"/>
              <w:jc w:val="left"/>
              <w:rPr>
                <w:b/>
                <w:sz w:val="28"/>
              </w:rPr>
            </w:pPr>
            <w:r>
              <w:rPr>
                <w:rFonts w:hint="eastAsia"/>
                <w:b/>
                <w:sz w:val="28"/>
              </w:rPr>
              <w:t>1、项目由来</w:t>
            </w:r>
          </w:p>
          <w:p>
            <w:pPr>
              <w:spacing w:line="360" w:lineRule="auto"/>
              <w:ind w:firstLine="480"/>
            </w:pPr>
            <w:r>
              <w:rPr>
                <w:rFonts w:hint="eastAsia"/>
              </w:rPr>
              <w:t>近年来，随着湘阴县经济社会的深入实施，砂石料市场需求量大，企业生产能力不足，缺口巨大，一些单位和个人受利益驱使纷纷加入采砂行业，由于采场未按规范开采，私采乱挖造成坡面不规则，个别处较陡峭，废弃物随意堆放，同时导致水土流失、草地遭受破坏及废料乱弃等危害生态环境的现象频现。为规范矿区采砂和制约滥采滥挖，湘阴县相关职能部门采取了一系列措施；对辖区内矿区小规模开采、破坏环境严重、零星乱采砂石点较多的现状，依法进行了整治，在规范砂石市场的同时，使辖区内生态环境得到很好保护。因此，项目建设是进一步规范采砂行为，保护辖区内生态环境的重要举措。</w:t>
            </w:r>
          </w:p>
          <w:p>
            <w:pPr>
              <w:spacing w:line="360" w:lineRule="auto"/>
              <w:ind w:firstLine="480"/>
            </w:pPr>
            <w:r>
              <w:rPr>
                <w:rFonts w:hint="eastAsia"/>
              </w:rPr>
              <w:t>为贯彻落实湖南省人民政府办公厅《关于印发&lt;湖南省普通建筑材料用砂石土矿专项整治行动方案（2019-2021年）&gt;的通知》（湘政办发〔2019〕54号）等文件相关要求，2020年</w:t>
            </w:r>
            <w:r>
              <w:t>8</w:t>
            </w:r>
            <w:r>
              <w:rPr>
                <w:rFonts w:hint="eastAsia"/>
              </w:rPr>
              <w:t>月湘阴县人民政府组织编制《湘阴县普通建筑材料用砂石土矿专项规划（2019-2025年）》；根据该专项规划，湘阴县静河镇共荣建筑用砂石（天然石英砂）矿已纳入湘阴县普通建筑材料用砂石土矿允许开采区。</w:t>
            </w:r>
          </w:p>
          <w:p>
            <w:pPr>
              <w:spacing w:line="360" w:lineRule="auto"/>
              <w:ind w:firstLine="480"/>
            </w:pPr>
            <w:r>
              <w:rPr>
                <w:rFonts w:hint="eastAsia"/>
              </w:rPr>
              <w:t>2021年4月中国建筑材料工业地质勘查中心湖南总队编制完成《湘阴县静河镇共荣建筑用砂矿采矿权申请范围核查报告》，已取得湖南省自然资源事务中心评审意见书（岳采矿权核查评字〔2021〕号）（详见附件10）。</w:t>
            </w:r>
          </w:p>
          <w:p>
            <w:pPr>
              <w:spacing w:line="360" w:lineRule="auto"/>
              <w:ind w:firstLine="480"/>
            </w:pPr>
            <w:r>
              <w:rPr>
                <w:rFonts w:hint="eastAsia"/>
              </w:rPr>
              <w:t>202</w:t>
            </w:r>
            <w:r>
              <w:t>2</w:t>
            </w:r>
            <w:r>
              <w:rPr>
                <w:rFonts w:hint="eastAsia"/>
              </w:rPr>
              <w:t>年</w:t>
            </w:r>
            <w:r>
              <w:t>3</w:t>
            </w:r>
            <w:r>
              <w:rPr>
                <w:rFonts w:hint="eastAsia"/>
              </w:rPr>
              <w:t>月</w:t>
            </w:r>
            <w:bookmarkStart w:id="17" w:name="_Hlk130810534"/>
            <w:r>
              <w:rPr>
                <w:rFonts w:hint="eastAsia"/>
              </w:rPr>
              <w:t>中国建筑材料工业地质勘查中心湖南总队</w:t>
            </w:r>
            <w:bookmarkEnd w:id="17"/>
            <w:r>
              <w:rPr>
                <w:rFonts w:hint="eastAsia"/>
              </w:rPr>
              <w:t>编制完成《湖南省湘阴县共荣矿区建筑用砂矿勘查报告》，已由湖南省自然资源事务中心进行了评审（湘评审〔2022〕103号）。</w:t>
            </w:r>
          </w:p>
          <w:p>
            <w:pPr>
              <w:spacing w:line="360" w:lineRule="auto"/>
              <w:ind w:firstLine="480"/>
            </w:pPr>
            <w:r>
              <w:rPr>
                <w:rFonts w:hint="eastAsia"/>
              </w:rPr>
              <w:t>2022年3月15日岳阳市自然资源和规划局下发《关于对湘阴县静河镇共荣建筑用砂矿采矿权申请范围的审查意见》：经审查，该采矿权符合设置要求，原则同意按审查报告划定矿区范围（详见附件11）。</w:t>
            </w:r>
          </w:p>
          <w:p>
            <w:pPr>
              <w:spacing w:line="360" w:lineRule="auto"/>
              <w:ind w:firstLine="480"/>
            </w:pPr>
            <w:r>
              <w:rPr>
                <w:rFonts w:hint="eastAsia"/>
              </w:rPr>
              <w:t>20</w:t>
            </w:r>
            <w:r>
              <w:t>22</w:t>
            </w:r>
            <w:r>
              <w:rPr>
                <w:rFonts w:hint="eastAsia"/>
              </w:rPr>
              <w:t>年</w:t>
            </w:r>
            <w:r>
              <w:t>8</w:t>
            </w:r>
            <w:r>
              <w:rPr>
                <w:rFonts w:hint="eastAsia"/>
              </w:rPr>
              <w:t>月中化地质矿山总局湖南地质勘查院编制完成《湖南省湘阴县静河镇共荣建筑用砂矿土地使用方案》，并于20</w:t>
            </w:r>
            <w:r>
              <w:t>22</w:t>
            </w:r>
            <w:r>
              <w:rPr>
                <w:rFonts w:hint="eastAsia"/>
              </w:rPr>
              <w:t>年</w:t>
            </w:r>
            <w:r>
              <w:t>9</w:t>
            </w:r>
            <w:r>
              <w:rPr>
                <w:rFonts w:hint="eastAsia"/>
              </w:rPr>
              <w:t>月</w:t>
            </w:r>
            <w:r>
              <w:t>7</w:t>
            </w:r>
            <w:r>
              <w:rPr>
                <w:rFonts w:hint="eastAsia"/>
              </w:rPr>
              <w:t>日取得湘阴县人民政府下发的《湘阴县人民政府关于&lt;湖南省湘阴县静河镇共荣建筑用砂矿矿区土地使用方案&gt;的批复》（湘阴政函〔2022〕2</w:t>
            </w:r>
            <w:r>
              <w:t>42</w:t>
            </w:r>
            <w:r>
              <w:rPr>
                <w:rFonts w:hint="eastAsia"/>
              </w:rPr>
              <w:t>号）（详见附件</w:t>
            </w:r>
            <w:r>
              <w:t>5</w:t>
            </w:r>
            <w:r>
              <w:rPr>
                <w:rFonts w:hint="eastAsia"/>
              </w:rPr>
              <w:t>）。</w:t>
            </w:r>
          </w:p>
          <w:p>
            <w:pPr>
              <w:spacing w:line="360" w:lineRule="auto"/>
              <w:ind w:firstLine="480"/>
            </w:pPr>
            <w:r>
              <w:rPr>
                <w:rFonts w:hint="eastAsia"/>
              </w:rPr>
              <w:t>202</w:t>
            </w:r>
            <w:r>
              <w:t>2</w:t>
            </w:r>
            <w:r>
              <w:rPr>
                <w:rFonts w:hint="eastAsia"/>
              </w:rPr>
              <w:t>年</w:t>
            </w:r>
            <w:r>
              <w:t>8</w:t>
            </w:r>
            <w:r>
              <w:rPr>
                <w:rFonts w:hint="eastAsia"/>
              </w:rPr>
              <w:t>月中国建筑材料工业地质勘查中心湖南总队编制完成《湖南省湘阴县共荣矿区建筑用砂矿开发利用方案》，并于202</w:t>
            </w:r>
            <w:r>
              <w:t>2</w:t>
            </w:r>
            <w:r>
              <w:rPr>
                <w:rFonts w:hint="eastAsia"/>
              </w:rPr>
              <w:t>年</w:t>
            </w:r>
            <w:r>
              <w:t>8</w:t>
            </w:r>
            <w:r>
              <w:rPr>
                <w:rFonts w:hint="eastAsia"/>
              </w:rPr>
              <w:t>月2</w:t>
            </w:r>
            <w:r>
              <w:t>3</w:t>
            </w:r>
            <w:r>
              <w:rPr>
                <w:rFonts w:hint="eastAsia"/>
              </w:rPr>
              <w:t>日取得《湖南省湘阴县共荣矿区建筑用砂矿开发利用方案》评审意见书（详见附件</w:t>
            </w:r>
            <w:r>
              <w:t>6</w:t>
            </w:r>
            <w:r>
              <w:rPr>
                <w:rFonts w:hint="eastAsia"/>
              </w:rPr>
              <w:t>）。</w:t>
            </w:r>
          </w:p>
          <w:p>
            <w:pPr>
              <w:spacing w:line="360" w:lineRule="auto"/>
              <w:ind w:firstLine="480"/>
            </w:pPr>
            <w:r>
              <w:rPr>
                <w:rFonts w:hint="eastAsia"/>
              </w:rPr>
              <w:t>同时，为了推进湘阴县静河镇共荣建筑用砂石（天然石英砂）矿的开采实施，2022年</w:t>
            </w:r>
            <w:r>
              <w:t>11</w:t>
            </w:r>
            <w:r>
              <w:rPr>
                <w:rFonts w:hint="eastAsia"/>
              </w:rPr>
              <w:t>月1</w:t>
            </w:r>
            <w:r>
              <w:t>5</w:t>
            </w:r>
            <w:r>
              <w:rPr>
                <w:rFonts w:hint="eastAsia"/>
              </w:rPr>
              <w:t>日岳阳市自然资源和规划局通过岳阳市公共资源交易中心，公开挂牌出让湖南省湘阴县静河镇共荣矿区建筑用砂矿采矿权（岳矿网挂〔2022〕02号）。2</w:t>
            </w:r>
            <w:r>
              <w:t>022</w:t>
            </w:r>
            <w:r>
              <w:rPr>
                <w:rFonts w:hint="eastAsia"/>
              </w:rPr>
              <w:t>年1</w:t>
            </w:r>
            <w:r>
              <w:t>2</w:t>
            </w:r>
            <w:r>
              <w:rPr>
                <w:rFonts w:hint="eastAsia"/>
              </w:rPr>
              <w:t>月2</w:t>
            </w:r>
            <w:r>
              <w:t>7</w:t>
            </w:r>
            <w:r>
              <w:rPr>
                <w:rFonts w:hint="eastAsia"/>
              </w:rPr>
              <w:t>日岳阳市自然资源和规划局通过岳阳市公共资源交易中心发布《湖南省湘阴县静河镇共荣矿区建筑用砂矿挂牌成交公示（公示文号：岳矿公示〔2022〕2号）》；根据《岳阳市公共资源交易中心国土资源挂牌出让网上竞得证明》及岳阳市公共资源交易中心出具的《岳阳市公共资源进场交易确认书》（岳公资证〔2022〕第277号），建设单位（湖南洋石新材料科技有限公司）竞得岳矿网挂〔2022〕02号采矿权（详见附件</w:t>
            </w:r>
            <w:r>
              <w:t>3</w:t>
            </w:r>
            <w:r>
              <w:rPr>
                <w:rFonts w:hint="eastAsia"/>
              </w:rPr>
              <w:t>、附件4）。</w:t>
            </w:r>
          </w:p>
          <w:p>
            <w:pPr>
              <w:spacing w:line="360" w:lineRule="auto"/>
              <w:ind w:firstLine="480"/>
            </w:pPr>
            <w:r>
              <w:rPr>
                <w:rFonts w:hint="eastAsia"/>
              </w:rPr>
              <w:t>根据《建设项目环境影响评价分类管理名录（2021版）》以及建设进程需要，本次环境影响评价包括矿山开采工程及砂石加工工程。根据《建设项目环境影响评价分类管理名录（2021版）》，本项目矿山开采属于“八、非金属矿采选业”中“1</w:t>
            </w:r>
            <w:r>
              <w:t>1</w:t>
            </w:r>
            <w:r>
              <w:rPr>
                <w:rFonts w:hint="eastAsia"/>
              </w:rPr>
              <w:t>土砂石开采101（不含河道采砂项目）”的“其他”，应编制环境影响报告表；砂石加工工程属于“二十七、非金属矿物制品业3</w:t>
            </w:r>
            <w:r>
              <w:t>0</w:t>
            </w:r>
            <w:r>
              <w:rPr>
                <w:rFonts w:hint="eastAsia"/>
              </w:rPr>
              <w:t>”中“6</w:t>
            </w:r>
            <w:r>
              <w:t>0</w:t>
            </w:r>
            <w:r>
              <w:rPr>
                <w:rFonts w:hint="eastAsia"/>
              </w:rPr>
              <w:t>石墨及其他非金属矿物制品制造309”的“其他”，应编制环境影响报告表。据此，湖南洋石新材料科技有限公司特委托湖南亚冠环境科技有限公司开展本项目的环境影响评价工作。</w:t>
            </w:r>
          </w:p>
          <w:p>
            <w:pPr>
              <w:spacing w:line="360" w:lineRule="auto"/>
              <w:ind w:firstLine="0" w:firstLineChars="0"/>
              <w:jc w:val="left"/>
              <w:rPr>
                <w:b/>
                <w:sz w:val="28"/>
              </w:rPr>
            </w:pPr>
            <w:r>
              <w:rPr>
                <w:b/>
                <w:sz w:val="28"/>
              </w:rPr>
              <w:t>2</w:t>
            </w:r>
            <w:r>
              <w:rPr>
                <w:rFonts w:hint="eastAsia"/>
                <w:b/>
                <w:sz w:val="28"/>
              </w:rPr>
              <w:t>、项目建设内容</w:t>
            </w:r>
          </w:p>
          <w:p>
            <w:pPr>
              <w:spacing w:line="360" w:lineRule="auto"/>
              <w:ind w:firstLine="480"/>
            </w:pPr>
            <w:r>
              <w:rPr>
                <w:rFonts w:hint="eastAsia"/>
              </w:rPr>
              <w:t>根据《湖南省湘阴县共荣矿区建筑用砂矿勘查报告》经湖南省自然资源事务中心评审</w:t>
            </w:r>
            <w:r>
              <w:t>（评审文号：湘评审</w:t>
            </w:r>
            <w:r>
              <w:rPr>
                <w:rFonts w:hint="eastAsia"/>
              </w:rPr>
              <w:t>〔</w:t>
            </w:r>
            <w:r>
              <w:t>2022</w:t>
            </w:r>
            <w:r>
              <w:rPr>
                <w:rFonts w:hint="eastAsia"/>
              </w:rPr>
              <w:t>〕</w:t>
            </w:r>
            <w:r>
              <w:t>103号）</w:t>
            </w:r>
            <w:r>
              <w:rPr>
                <w:rFonts w:hint="eastAsia"/>
              </w:rPr>
              <w:t>：矿区范围获取建筑用砂、卵石矿控制资源量957.7万t，砂卵石矿可采储量867.0万t，设计生产规模为砂卵石90万t/a（折合原矿规模为1</w:t>
            </w:r>
            <w:r>
              <w:t>08</w:t>
            </w:r>
            <w:r>
              <w:rPr>
                <w:rFonts w:hint="eastAsia"/>
              </w:rPr>
              <w:t>万t</w:t>
            </w:r>
            <w:r>
              <w:t>/</w:t>
            </w:r>
            <w:r>
              <w:rPr>
                <w:rFonts w:hint="eastAsia"/>
              </w:rPr>
              <w:t>a），矿山服务年限</w:t>
            </w:r>
            <w:r>
              <w:t>10</w:t>
            </w:r>
            <w:r>
              <w:rPr>
                <w:rFonts w:hint="eastAsia"/>
              </w:rPr>
              <w:t>.6年（包括1年基建期）。</w:t>
            </w:r>
          </w:p>
          <w:p>
            <w:pPr>
              <w:spacing w:line="360" w:lineRule="auto"/>
              <w:ind w:firstLine="480"/>
            </w:pPr>
            <w:r>
              <w:rPr>
                <w:rFonts w:hint="eastAsia"/>
              </w:rPr>
              <w:t>本项目矿山不涉及爆破，采用露天开采方式，液压挖掘机自上而下分层开采，同时利用挖掘机/装载机卸料，公路汽车开拓及皮带运输。总用地4</w:t>
            </w:r>
            <w:r>
              <w:t>6.6094</w:t>
            </w:r>
            <w:r>
              <w:rPr>
                <w:rFonts w:hint="eastAsia"/>
              </w:rPr>
              <w:t>公顷（4</w:t>
            </w:r>
            <w:r>
              <w:t>66094</w:t>
            </w:r>
            <w:r>
              <w:rPr>
                <w:rFonts w:hint="eastAsia"/>
              </w:rPr>
              <w:t>m</w:t>
            </w:r>
            <w:r>
              <w:rPr>
                <w:vertAlign w:val="superscript"/>
              </w:rPr>
              <w:t>2</w:t>
            </w:r>
            <w:r>
              <w:rPr>
                <w:rFonts w:hint="eastAsia"/>
              </w:rPr>
              <w:t>），主要设露天采矿区、工业场区，工业场区主要由洗砂生产区、办公生活区等部分组成；具体情况详见下表。</w:t>
            </w:r>
          </w:p>
          <w:p>
            <w:pPr>
              <w:pStyle w:val="2"/>
              <w:spacing w:line="360" w:lineRule="auto"/>
              <w:rPr>
                <w:b w:val="0"/>
              </w:rPr>
            </w:pPr>
            <w:r>
              <w:rPr>
                <w:rFonts w:hint="eastAsia"/>
                <w:b w:val="0"/>
              </w:rPr>
              <w:t>表2</w:t>
            </w:r>
            <w:r>
              <w:rPr>
                <w:b w:val="0"/>
              </w:rPr>
              <w:t xml:space="preserve">-1 </w:t>
            </w:r>
            <w:r>
              <w:rPr>
                <w:rFonts w:hint="eastAsia"/>
                <w:b w:val="0"/>
              </w:rPr>
              <w:t>项目主要建设内容一览表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3"/>
              <w:gridCol w:w="1133"/>
              <w:gridCol w:w="992"/>
              <w:gridCol w:w="4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shd w:val="clear" w:color="auto" w:fill="auto"/>
                  <w:vAlign w:val="center"/>
                </w:tcPr>
                <w:p>
                  <w:pPr>
                    <w:pStyle w:val="13"/>
                  </w:pPr>
                  <w:r>
                    <w:rPr>
                      <w:rFonts w:hint="eastAsia"/>
                    </w:rPr>
                    <w:t>工程类别</w:t>
                  </w:r>
                </w:p>
              </w:tc>
              <w:tc>
                <w:tcPr>
                  <w:tcW w:w="735" w:type="pct"/>
                  <w:shd w:val="clear" w:color="auto" w:fill="auto"/>
                  <w:vAlign w:val="center"/>
                </w:tcPr>
                <w:p>
                  <w:pPr>
                    <w:pStyle w:val="13"/>
                  </w:pPr>
                  <w:r>
                    <w:rPr>
                      <w:rFonts w:hint="eastAsia"/>
                    </w:rPr>
                    <w:t>工程名称</w:t>
                  </w:r>
                </w:p>
              </w:tc>
              <w:tc>
                <w:tcPr>
                  <w:tcW w:w="3886" w:type="pct"/>
                  <w:gridSpan w:val="2"/>
                  <w:shd w:val="clear" w:color="auto" w:fill="auto"/>
                  <w:vAlign w:val="center"/>
                </w:tcPr>
                <w:p>
                  <w:pPr>
                    <w:pStyle w:val="13"/>
                  </w:pPr>
                  <w:r>
                    <w:rPr>
                      <w:rFonts w:hint="eastAsia"/>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restart"/>
                  <w:shd w:val="clear" w:color="auto" w:fill="auto"/>
                  <w:vAlign w:val="center"/>
                </w:tcPr>
                <w:p>
                  <w:pPr>
                    <w:pStyle w:val="13"/>
                  </w:pPr>
                  <w:r>
                    <w:rPr>
                      <w:rFonts w:hint="eastAsia"/>
                    </w:rPr>
                    <w:t>主体工程</w:t>
                  </w:r>
                </w:p>
              </w:tc>
              <w:tc>
                <w:tcPr>
                  <w:tcW w:w="735" w:type="pct"/>
                  <w:shd w:val="clear" w:color="auto" w:fill="auto"/>
                  <w:vAlign w:val="center"/>
                </w:tcPr>
                <w:p>
                  <w:pPr>
                    <w:pStyle w:val="13"/>
                  </w:pPr>
                  <w:r>
                    <w:rPr>
                      <w:rFonts w:hint="eastAsia"/>
                    </w:rPr>
                    <w:t>露天采场</w:t>
                  </w:r>
                </w:p>
              </w:tc>
              <w:tc>
                <w:tcPr>
                  <w:tcW w:w="3886" w:type="pct"/>
                  <w:gridSpan w:val="2"/>
                  <w:shd w:val="clear" w:color="auto" w:fill="auto"/>
                  <w:vAlign w:val="center"/>
                </w:tcPr>
                <w:p>
                  <w:pPr>
                    <w:pStyle w:val="13"/>
                    <w:jc w:val="left"/>
                  </w:pPr>
                  <w:r>
                    <w:rPr>
                      <w:rFonts w:hint="eastAsia"/>
                    </w:rPr>
                    <w:t>占地面积</w:t>
                  </w:r>
                  <w:r>
                    <w:t>430051</w:t>
                  </w:r>
                  <w:r>
                    <w:rPr>
                      <w:rFonts w:hint="eastAsia"/>
                    </w:rPr>
                    <w:t>m</w:t>
                  </w:r>
                  <w:r>
                    <w:rPr>
                      <w:rFonts w:hint="eastAsia"/>
                      <w:vertAlign w:val="superscript"/>
                    </w:rPr>
                    <w:t>2</w:t>
                  </w:r>
                  <w:r>
                    <w:rPr>
                      <w:rFonts w:hint="eastAsia"/>
                    </w:rPr>
                    <w:t>，矿区范围由21个拐点圈定，开采标高：+80.3～+38m。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pPr>
                  <w:r>
                    <w:rPr>
                      <w:rFonts w:hint="eastAsia"/>
                    </w:rPr>
                    <w:t>工业场区</w:t>
                  </w:r>
                </w:p>
              </w:tc>
              <w:tc>
                <w:tcPr>
                  <w:tcW w:w="3886" w:type="pct"/>
                  <w:gridSpan w:val="2"/>
                  <w:shd w:val="clear" w:color="auto" w:fill="auto"/>
                  <w:vAlign w:val="center"/>
                </w:tcPr>
                <w:p>
                  <w:pPr>
                    <w:pStyle w:val="13"/>
                    <w:jc w:val="both"/>
                  </w:pPr>
                  <w:r>
                    <w:rPr>
                      <w:rFonts w:hint="eastAsia"/>
                    </w:rPr>
                    <w:t>占地面积3</w:t>
                  </w:r>
                  <w:r>
                    <w:t>1353</w:t>
                  </w:r>
                  <w:r>
                    <w:rPr>
                      <w:rFonts w:hint="eastAsia"/>
                    </w:rPr>
                    <w:t>m</w:t>
                  </w:r>
                  <w:r>
                    <w:rPr>
                      <w:vertAlign w:val="superscript"/>
                    </w:rPr>
                    <w:t>2</w:t>
                  </w:r>
                  <w:r>
                    <w:rPr>
                      <w:rFonts w:hint="eastAsia"/>
                    </w:rPr>
                    <w:t>，设于矿区东部，由洗砂生产区及生活办公区组成；洗砂生产区设置有筛分、洗砂车间（3</w:t>
                  </w:r>
                  <w:r>
                    <w:t>200</w:t>
                  </w:r>
                  <w:r>
                    <w:rPr>
                      <w:rFonts w:hint="eastAsia"/>
                    </w:rPr>
                    <w:t>m</w:t>
                  </w:r>
                  <w:r>
                    <w:rPr>
                      <w:vertAlign w:val="superscript"/>
                    </w:rPr>
                    <w:t>2</w:t>
                  </w:r>
                  <w:r>
                    <w:rPr>
                      <w:rFonts w:hint="eastAsia"/>
                    </w:rPr>
                    <w:t>）、机制砂加工车间（</w:t>
                  </w:r>
                  <w:r>
                    <w:t>5600</w:t>
                  </w:r>
                  <w:r>
                    <w:rPr>
                      <w:rFonts w:hint="eastAsia"/>
                    </w:rPr>
                    <w:t>m</w:t>
                  </w:r>
                  <w:r>
                    <w:rPr>
                      <w:vertAlign w:val="superscript"/>
                    </w:rPr>
                    <w:t>2</w:t>
                  </w:r>
                  <w:r>
                    <w:rPr>
                      <w:rFonts w:hint="eastAsia"/>
                    </w:rPr>
                    <w:t>）、洗砂仓储库（</w:t>
                  </w:r>
                  <w:r>
                    <w:t>1125</w:t>
                  </w:r>
                  <w:r>
                    <w:rPr>
                      <w:rFonts w:hint="eastAsia"/>
                    </w:rPr>
                    <w:t>m</w:t>
                  </w:r>
                  <w:r>
                    <w:rPr>
                      <w:vertAlign w:val="superscript"/>
                    </w:rPr>
                    <w:t>2</w:t>
                  </w:r>
                  <w:r>
                    <w:rPr>
                      <w:rFonts w:hint="eastAsia"/>
                    </w:rPr>
                    <w:t>）、天然卵石仓储库（</w:t>
                  </w:r>
                  <w:r>
                    <w:t>1125</w:t>
                  </w:r>
                  <w:r>
                    <w:rPr>
                      <w:rFonts w:hint="eastAsia"/>
                    </w:rPr>
                    <w:t>m</w:t>
                  </w:r>
                  <w:r>
                    <w:rPr>
                      <w:vertAlign w:val="superscript"/>
                    </w:rPr>
                    <w:t>2</w:t>
                  </w:r>
                  <w:r>
                    <w:rPr>
                      <w:rFonts w:hint="eastAsia"/>
                    </w:rPr>
                    <w:t>）、机制砂仓储库（</w:t>
                  </w:r>
                  <w:r>
                    <w:t>1125</w:t>
                  </w:r>
                  <w:r>
                    <w:rPr>
                      <w:rFonts w:hint="eastAsia"/>
                    </w:rPr>
                    <w:t>m</w:t>
                  </w:r>
                  <w:r>
                    <w:rPr>
                      <w:vertAlign w:val="superscript"/>
                    </w:rPr>
                    <w:t>2</w:t>
                  </w:r>
                  <w:r>
                    <w:rPr>
                      <w:rFonts w:hint="eastAsia"/>
                    </w:rPr>
                    <w:t>）、机制碎石仓储库（</w:t>
                  </w:r>
                  <w:r>
                    <w:t>1125</w:t>
                  </w:r>
                  <w:r>
                    <w:rPr>
                      <w:rFonts w:hint="eastAsia"/>
                    </w:rPr>
                    <w:t>m</w:t>
                  </w:r>
                  <w:r>
                    <w:rPr>
                      <w:vertAlign w:val="superscript"/>
                    </w:rPr>
                    <w:t>2</w:t>
                  </w:r>
                  <w:r>
                    <w:rPr>
                      <w:rFonts w:hint="eastAsia"/>
                    </w:rPr>
                    <w:t>）、检修及材料车间（</w:t>
                  </w:r>
                  <w:r>
                    <w:t>400</w:t>
                  </w:r>
                  <w:r>
                    <w:rPr>
                      <w:rFonts w:hint="eastAsia"/>
                    </w:rPr>
                    <w:t>m</w:t>
                  </w:r>
                  <w:r>
                    <w:rPr>
                      <w:vertAlign w:val="superscript"/>
                    </w:rPr>
                    <w:t>2</w:t>
                  </w:r>
                  <w:r>
                    <w:rPr>
                      <w:rFonts w:hint="eastAsia"/>
                    </w:rPr>
                    <w:t>）、计量间（</w:t>
                  </w:r>
                  <w:r>
                    <w:t>59.4</w:t>
                  </w:r>
                  <w:r>
                    <w:rPr>
                      <w:rFonts w:hint="eastAsia"/>
                    </w:rPr>
                    <w:t>m</w:t>
                  </w:r>
                  <w:r>
                    <w:rPr>
                      <w:vertAlign w:val="superscript"/>
                    </w:rPr>
                    <w:t>2</w:t>
                  </w:r>
                  <w:r>
                    <w:rPr>
                      <w:rFonts w:hint="eastAsia"/>
                    </w:rPr>
                    <w:t>）、门卫值班室（</w:t>
                  </w:r>
                  <w:r>
                    <w:t>40</w:t>
                  </w:r>
                  <w:r>
                    <w:rPr>
                      <w:rFonts w:hint="eastAsia"/>
                    </w:rPr>
                    <w:t>m</w:t>
                  </w:r>
                  <w:r>
                    <w:rPr>
                      <w:vertAlign w:val="superscript"/>
                    </w:rPr>
                    <w:t>2</w:t>
                  </w:r>
                  <w:r>
                    <w:rPr>
                      <w:rFonts w:hint="eastAsia"/>
                    </w:rPr>
                    <w:t>）、洗车平台（</w:t>
                  </w:r>
                  <w:r>
                    <w:t>49.5</w:t>
                  </w:r>
                  <w:r>
                    <w:rPr>
                      <w:rFonts w:hint="eastAsia"/>
                    </w:rPr>
                    <w:t>m</w:t>
                  </w:r>
                  <w:r>
                    <w:rPr>
                      <w:vertAlign w:val="superscript"/>
                    </w:rPr>
                    <w:t>2</w:t>
                  </w:r>
                  <w:r>
                    <w:rPr>
                      <w:rFonts w:hint="eastAsia"/>
                    </w:rPr>
                    <w:t>）、地磅（</w:t>
                  </w:r>
                  <w:r>
                    <w:t>75</w:t>
                  </w:r>
                  <w:r>
                    <w:rPr>
                      <w:rFonts w:hint="eastAsia"/>
                    </w:rP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restart"/>
                  <w:shd w:val="clear" w:color="auto" w:fill="auto"/>
                  <w:vAlign w:val="center"/>
                </w:tcPr>
                <w:p>
                  <w:pPr>
                    <w:pStyle w:val="13"/>
                  </w:pPr>
                  <w:r>
                    <w:rPr>
                      <w:rFonts w:hint="eastAsia"/>
                    </w:rPr>
                    <w:t>储运工程</w:t>
                  </w:r>
                </w:p>
              </w:tc>
              <w:tc>
                <w:tcPr>
                  <w:tcW w:w="735" w:type="pct"/>
                  <w:shd w:val="clear" w:color="auto" w:fill="auto"/>
                  <w:vAlign w:val="center"/>
                </w:tcPr>
                <w:p>
                  <w:pPr>
                    <w:pStyle w:val="13"/>
                    <w:rPr>
                      <w:u w:val="single"/>
                    </w:rPr>
                  </w:pPr>
                  <w:r>
                    <w:rPr>
                      <w:rFonts w:hint="eastAsia"/>
                      <w:u w:val="single"/>
                    </w:rPr>
                    <w:t>成品仓储库</w:t>
                  </w:r>
                </w:p>
              </w:tc>
              <w:tc>
                <w:tcPr>
                  <w:tcW w:w="3886" w:type="pct"/>
                  <w:gridSpan w:val="2"/>
                  <w:shd w:val="clear" w:color="auto" w:fill="auto"/>
                  <w:vAlign w:val="center"/>
                </w:tcPr>
                <w:p>
                  <w:pPr>
                    <w:pStyle w:val="13"/>
                    <w:jc w:val="both"/>
                    <w:rPr>
                      <w:u w:val="single"/>
                    </w:rPr>
                  </w:pPr>
                  <w:r>
                    <w:rPr>
                      <w:rFonts w:hint="eastAsia"/>
                      <w:u w:val="single"/>
                    </w:rPr>
                    <w:t>本项目工业广场设4个成品仓储库，分别暂存洗砂（天然砂）、天然卵石、机制砂、机制碎石。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rPr>
                      <w:u w:val="single"/>
                    </w:rPr>
                  </w:pPr>
                  <w:r>
                    <w:rPr>
                      <w:rFonts w:hint="eastAsia"/>
                      <w:u w:val="single"/>
                    </w:rPr>
                    <w:t>表土临时堆置区</w:t>
                  </w:r>
                </w:p>
              </w:tc>
              <w:tc>
                <w:tcPr>
                  <w:tcW w:w="3886" w:type="pct"/>
                  <w:gridSpan w:val="2"/>
                  <w:shd w:val="clear" w:color="auto" w:fill="auto"/>
                  <w:vAlign w:val="center"/>
                </w:tcPr>
                <w:p>
                  <w:pPr>
                    <w:pStyle w:val="13"/>
                    <w:jc w:val="both"/>
                    <w:rPr>
                      <w:u w:val="single"/>
                    </w:rPr>
                  </w:pPr>
                  <w:r>
                    <w:rPr>
                      <w:rFonts w:hint="eastAsia"/>
                      <w:u w:val="single"/>
                    </w:rPr>
                    <w:t>位于矿区内，占地面积约</w:t>
                  </w:r>
                  <w:r>
                    <w:rPr>
                      <w:u w:val="single"/>
                    </w:rPr>
                    <w:t>28000</w:t>
                  </w:r>
                  <w:r>
                    <w:rPr>
                      <w:rFonts w:hint="eastAsia"/>
                      <w:u w:val="single"/>
                    </w:rPr>
                    <w:t>m</w:t>
                  </w:r>
                  <w:r>
                    <w:rPr>
                      <w:u w:val="single"/>
                      <w:vertAlign w:val="superscript"/>
                    </w:rPr>
                    <w:t>2</w:t>
                  </w:r>
                  <w:r>
                    <w:rPr>
                      <w:rFonts w:hint="eastAsia"/>
                      <w:u w:val="single"/>
                    </w:rPr>
                    <w:t>，暂存表土用于绿色矿山复绿。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rPr>
                      <w:u w:val="single"/>
                    </w:rPr>
                  </w:pPr>
                  <w:r>
                    <w:rPr>
                      <w:rFonts w:hint="eastAsia"/>
                      <w:u w:val="single"/>
                    </w:rPr>
                    <w:t>砂石运输系统</w:t>
                  </w:r>
                </w:p>
              </w:tc>
              <w:tc>
                <w:tcPr>
                  <w:tcW w:w="3886" w:type="pct"/>
                  <w:gridSpan w:val="2"/>
                  <w:shd w:val="clear" w:color="auto" w:fill="auto"/>
                  <w:vAlign w:val="center"/>
                </w:tcPr>
                <w:p>
                  <w:pPr>
                    <w:pStyle w:val="13"/>
                    <w:jc w:val="both"/>
                    <w:rPr>
                      <w:u w:val="single"/>
                    </w:rPr>
                  </w:pPr>
                  <w:r>
                    <w:rPr>
                      <w:rFonts w:hint="eastAsia"/>
                      <w:u w:val="single"/>
                    </w:rPr>
                    <w:t>采用皮带钢架输送机输送至洗砂生产区。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restart"/>
                  <w:shd w:val="clear" w:color="auto" w:fill="auto"/>
                  <w:vAlign w:val="center"/>
                </w:tcPr>
                <w:p>
                  <w:pPr>
                    <w:pStyle w:val="13"/>
                    <w:rPr>
                      <w:u w:val="single"/>
                    </w:rPr>
                  </w:pPr>
                  <w:r>
                    <w:rPr>
                      <w:rFonts w:hint="eastAsia"/>
                      <w:u w:val="single"/>
                    </w:rPr>
                    <w:t>运输道路</w:t>
                  </w:r>
                </w:p>
              </w:tc>
              <w:tc>
                <w:tcPr>
                  <w:tcW w:w="3886" w:type="pct"/>
                  <w:gridSpan w:val="2"/>
                  <w:shd w:val="clear" w:color="auto" w:fill="auto"/>
                  <w:vAlign w:val="center"/>
                </w:tcPr>
                <w:p>
                  <w:pPr>
                    <w:pStyle w:val="13"/>
                    <w:jc w:val="both"/>
                    <w:rPr>
                      <w:u w:val="single"/>
                    </w:rPr>
                  </w:pPr>
                  <w:r>
                    <w:rPr>
                      <w:rFonts w:hint="eastAsia"/>
                      <w:u w:val="single"/>
                    </w:rPr>
                    <w:t>矿山内运转利用已有乡道，新建部分便道，占地约4</w:t>
                  </w:r>
                  <w:r>
                    <w:rPr>
                      <w:u w:val="single"/>
                    </w:rPr>
                    <w:t>689</w:t>
                  </w:r>
                  <w:r>
                    <w:rPr>
                      <w:rFonts w:hint="eastAsia"/>
                      <w:u w:val="single"/>
                    </w:rPr>
                    <w:t>m</w:t>
                  </w:r>
                  <w:r>
                    <w:rPr>
                      <w:u w:val="single"/>
                      <w:vertAlign w:val="superscript"/>
                    </w:rPr>
                    <w:t>2</w:t>
                  </w:r>
                  <w:r>
                    <w:rPr>
                      <w:rFonts w:hint="eastAsia"/>
                      <w:u w:val="single"/>
                    </w:rPr>
                    <w:t>（不在矿区外开挖道路，为矿区内面积），延伸至各平台。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rPr>
                      <w:u w:val="single"/>
                    </w:rPr>
                  </w:pPr>
                </w:p>
              </w:tc>
              <w:tc>
                <w:tcPr>
                  <w:tcW w:w="3886" w:type="pct"/>
                  <w:gridSpan w:val="2"/>
                  <w:shd w:val="clear" w:color="auto" w:fill="auto"/>
                  <w:vAlign w:val="center"/>
                </w:tcPr>
                <w:p>
                  <w:pPr>
                    <w:pStyle w:val="13"/>
                    <w:jc w:val="both"/>
                    <w:rPr>
                      <w:u w:val="single"/>
                    </w:rPr>
                  </w:pPr>
                  <w:r>
                    <w:rPr>
                      <w:rFonts w:hint="eastAsia"/>
                      <w:szCs w:val="21"/>
                      <w:u w:val="single"/>
                    </w:rPr>
                    <w:t>成品砂卵石运输利用现有道路石沙线。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rPr>
                      <w:u w:val="single"/>
                    </w:rPr>
                  </w:pPr>
                  <w:r>
                    <w:rPr>
                      <w:rFonts w:hint="eastAsia"/>
                      <w:u w:val="single"/>
                    </w:rPr>
                    <w:t>柴油罐</w:t>
                  </w:r>
                </w:p>
              </w:tc>
              <w:tc>
                <w:tcPr>
                  <w:tcW w:w="3886" w:type="pct"/>
                  <w:gridSpan w:val="2"/>
                  <w:shd w:val="clear" w:color="auto" w:fill="auto"/>
                  <w:vAlign w:val="center"/>
                </w:tcPr>
                <w:p>
                  <w:pPr>
                    <w:pStyle w:val="13"/>
                    <w:jc w:val="both"/>
                    <w:rPr>
                      <w:szCs w:val="21"/>
                      <w:u w:val="single"/>
                    </w:rPr>
                  </w:pPr>
                  <w:r>
                    <w:rPr>
                      <w:rFonts w:hint="eastAsia"/>
                      <w:szCs w:val="21"/>
                      <w:u w:val="single"/>
                    </w:rPr>
                    <w:t>设1处柴油罐，位于工业广场南侧，为双层式埋地储罐，采用防渗钢筋混凝土整体浇注，地下罐池的池底、池壁做防渗防腐处理。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restart"/>
                  <w:shd w:val="clear" w:color="auto" w:fill="auto"/>
                  <w:vAlign w:val="center"/>
                </w:tcPr>
                <w:p>
                  <w:pPr>
                    <w:pStyle w:val="13"/>
                  </w:pPr>
                  <w:r>
                    <w:rPr>
                      <w:rFonts w:hint="eastAsia"/>
                    </w:rPr>
                    <w:t>辅助工程</w:t>
                  </w:r>
                </w:p>
              </w:tc>
              <w:tc>
                <w:tcPr>
                  <w:tcW w:w="735" w:type="pct"/>
                  <w:shd w:val="clear" w:color="auto" w:fill="auto"/>
                  <w:vAlign w:val="center"/>
                </w:tcPr>
                <w:p>
                  <w:pPr>
                    <w:pStyle w:val="13"/>
                  </w:pPr>
                  <w:r>
                    <w:rPr>
                      <w:rFonts w:hint="eastAsia"/>
                    </w:rPr>
                    <w:t>综合楼</w:t>
                  </w:r>
                </w:p>
              </w:tc>
              <w:tc>
                <w:tcPr>
                  <w:tcW w:w="3886" w:type="pct"/>
                  <w:gridSpan w:val="2"/>
                  <w:shd w:val="clear" w:color="auto" w:fill="auto"/>
                  <w:vAlign w:val="center"/>
                </w:tcPr>
                <w:p>
                  <w:pPr>
                    <w:pStyle w:val="13"/>
                    <w:jc w:val="both"/>
                  </w:pPr>
                  <w:r>
                    <w:rPr>
                      <w:rFonts w:hint="eastAsia"/>
                    </w:rPr>
                    <w:t>综合楼为2F，总建筑面积为7</w:t>
                  </w:r>
                  <w:r>
                    <w:t>18.38</w:t>
                  </w:r>
                  <w:r>
                    <w:rPr>
                      <w:rFonts w:hint="eastAsia"/>
                    </w:rPr>
                    <w:t>m</w:t>
                  </w:r>
                  <w:r>
                    <w:rPr>
                      <w:vertAlign w:val="superscript"/>
                    </w:rPr>
                    <w:t>2</w:t>
                  </w:r>
                  <w:r>
                    <w:rPr>
                      <w:rFonts w:hint="eastAsia"/>
                    </w:rPr>
                    <w:t>，主要设办公室、会议室、信息控制中心等。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pPr>
                  <w:r>
                    <w:rPr>
                      <w:rFonts w:hint="eastAsia"/>
                    </w:rPr>
                    <w:t>职工宿舍</w:t>
                  </w:r>
                </w:p>
              </w:tc>
              <w:tc>
                <w:tcPr>
                  <w:tcW w:w="3886" w:type="pct"/>
                  <w:gridSpan w:val="2"/>
                  <w:shd w:val="clear" w:color="auto" w:fill="auto"/>
                  <w:vAlign w:val="center"/>
                </w:tcPr>
                <w:p>
                  <w:pPr>
                    <w:pStyle w:val="13"/>
                    <w:jc w:val="both"/>
                  </w:pPr>
                  <w:r>
                    <w:rPr>
                      <w:rFonts w:hint="eastAsia"/>
                    </w:rPr>
                    <w:t>宿舍楼为2F，总建筑面积为9</w:t>
                  </w:r>
                  <w:r>
                    <w:t>45.16</w:t>
                  </w:r>
                  <w:r>
                    <w:rPr>
                      <w:rFonts w:hint="eastAsia"/>
                    </w:rPr>
                    <w:t>m</w:t>
                  </w:r>
                  <w:r>
                    <w:rPr>
                      <w:vertAlign w:val="superscript"/>
                    </w:rPr>
                    <w:t>2</w:t>
                  </w:r>
                  <w:r>
                    <w:rPr>
                      <w:rFonts w:hint="eastAsia"/>
                    </w:rPr>
                    <w:t>，一楼为食堂、二楼为宿舍。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pPr>
                  <w:r>
                    <w:rPr>
                      <w:rFonts w:hint="eastAsia"/>
                    </w:rPr>
                    <w:t>洗车平台</w:t>
                  </w:r>
                </w:p>
              </w:tc>
              <w:tc>
                <w:tcPr>
                  <w:tcW w:w="3886" w:type="pct"/>
                  <w:gridSpan w:val="2"/>
                  <w:shd w:val="clear" w:color="auto" w:fill="auto"/>
                  <w:vAlign w:val="center"/>
                </w:tcPr>
                <w:p>
                  <w:pPr>
                    <w:pStyle w:val="13"/>
                    <w:jc w:val="both"/>
                  </w:pPr>
                  <w:r>
                    <w:rPr>
                      <w:rFonts w:hint="eastAsia"/>
                    </w:rPr>
                    <w:t>设置1处洗车平台，位于工业场区。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shd w:val="clear" w:color="auto" w:fill="auto"/>
                  <w:vAlign w:val="center"/>
                </w:tcPr>
                <w:p>
                  <w:pPr>
                    <w:pStyle w:val="13"/>
                  </w:pPr>
                  <w:r>
                    <w:rPr>
                      <w:rFonts w:hint="eastAsia"/>
                    </w:rPr>
                    <w:t>配套工程</w:t>
                  </w:r>
                </w:p>
              </w:tc>
              <w:tc>
                <w:tcPr>
                  <w:tcW w:w="735" w:type="pct"/>
                  <w:shd w:val="clear" w:color="auto" w:fill="auto"/>
                  <w:vAlign w:val="center"/>
                </w:tcPr>
                <w:p>
                  <w:pPr>
                    <w:pStyle w:val="13"/>
                  </w:pPr>
                  <w:r>
                    <w:rPr>
                      <w:rFonts w:hint="eastAsia"/>
                    </w:rPr>
                    <w:t>村道</w:t>
                  </w:r>
                </w:p>
              </w:tc>
              <w:tc>
                <w:tcPr>
                  <w:tcW w:w="3886" w:type="pct"/>
                  <w:gridSpan w:val="2"/>
                  <w:shd w:val="clear" w:color="auto" w:fill="auto"/>
                  <w:vAlign w:val="center"/>
                </w:tcPr>
                <w:p>
                  <w:pPr>
                    <w:pStyle w:val="13"/>
                    <w:jc w:val="both"/>
                    <w:rPr>
                      <w:szCs w:val="21"/>
                    </w:rPr>
                  </w:pPr>
                  <w:r>
                    <w:rPr>
                      <w:rFonts w:hint="eastAsia"/>
                      <w:szCs w:val="21"/>
                    </w:rPr>
                    <w:t>因矿山露天开采区占用了部分原有村道，拟在矿区北侧新建一条村级道路；占地面积4</w:t>
                  </w:r>
                  <w:r>
                    <w:rPr>
                      <w:szCs w:val="21"/>
                    </w:rPr>
                    <w:t>689</w:t>
                  </w:r>
                  <w:r>
                    <w:rPr>
                      <w:rFonts w:hint="eastAsia"/>
                      <w:szCs w:val="21"/>
                    </w:rPr>
                    <w:t>m</w:t>
                  </w:r>
                  <w:r>
                    <w:rPr>
                      <w:szCs w:val="21"/>
                      <w:vertAlign w:val="superscript"/>
                    </w:rPr>
                    <w:t>2</w:t>
                  </w:r>
                  <w:r>
                    <w:rPr>
                      <w:rFonts w:hint="eastAsia"/>
                      <w:szCs w:val="21"/>
                    </w:rPr>
                    <w:t>，长9</w:t>
                  </w:r>
                  <w:r>
                    <w:rPr>
                      <w:szCs w:val="21"/>
                    </w:rPr>
                    <w:t>37.8</w:t>
                  </w:r>
                  <w:r>
                    <w:rPr>
                      <w:rFonts w:hint="eastAsia"/>
                      <w:szCs w:val="21"/>
                    </w:rPr>
                    <w:t>m，宽5m。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restart"/>
                  <w:shd w:val="clear" w:color="auto" w:fill="auto"/>
                  <w:vAlign w:val="center"/>
                </w:tcPr>
                <w:p>
                  <w:pPr>
                    <w:pStyle w:val="13"/>
                  </w:pPr>
                  <w:r>
                    <w:rPr>
                      <w:rFonts w:hint="eastAsia"/>
                    </w:rPr>
                    <w:t>公用工程</w:t>
                  </w:r>
                </w:p>
              </w:tc>
              <w:tc>
                <w:tcPr>
                  <w:tcW w:w="735" w:type="pct"/>
                  <w:vMerge w:val="restart"/>
                  <w:shd w:val="clear" w:color="auto" w:fill="auto"/>
                  <w:vAlign w:val="center"/>
                </w:tcPr>
                <w:p>
                  <w:pPr>
                    <w:pStyle w:val="13"/>
                  </w:pPr>
                  <w:r>
                    <w:rPr>
                      <w:rFonts w:hint="eastAsia"/>
                    </w:rPr>
                    <w:t>供水</w:t>
                  </w:r>
                </w:p>
              </w:tc>
              <w:tc>
                <w:tcPr>
                  <w:tcW w:w="3886" w:type="pct"/>
                  <w:gridSpan w:val="2"/>
                  <w:shd w:val="clear" w:color="auto" w:fill="auto"/>
                  <w:vAlign w:val="center"/>
                </w:tcPr>
                <w:p>
                  <w:pPr>
                    <w:pStyle w:val="13"/>
                    <w:jc w:val="both"/>
                  </w:pPr>
                  <w:r>
                    <w:rPr>
                      <w:rFonts w:hint="eastAsia"/>
                    </w:rPr>
                    <w:t>生活水源由湘江水厂镇政府口供水（管道长度8</w:t>
                  </w:r>
                  <w:r>
                    <w:t>.5</w:t>
                  </w:r>
                  <w:r>
                    <w:rPr>
                      <w:rFonts w:hint="eastAsia"/>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pPr>
                </w:p>
              </w:tc>
              <w:tc>
                <w:tcPr>
                  <w:tcW w:w="3886" w:type="pct"/>
                  <w:gridSpan w:val="2"/>
                  <w:shd w:val="clear" w:color="auto" w:fill="auto"/>
                  <w:vAlign w:val="center"/>
                </w:tcPr>
                <w:p>
                  <w:pPr>
                    <w:pStyle w:val="13"/>
                    <w:jc w:val="both"/>
                  </w:pPr>
                  <w:r>
                    <w:rPr>
                      <w:rFonts w:hint="eastAsia"/>
                    </w:rPr>
                    <w:t>生产水源拟从洋沙湖撇洪渠提水（里程约1km）。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pPr>
                  <w:r>
                    <w:rPr>
                      <w:rFonts w:hint="eastAsia"/>
                    </w:rPr>
                    <w:t>供电</w:t>
                  </w:r>
                </w:p>
              </w:tc>
              <w:tc>
                <w:tcPr>
                  <w:tcW w:w="3886" w:type="pct"/>
                  <w:gridSpan w:val="2"/>
                  <w:shd w:val="clear" w:color="auto" w:fill="auto"/>
                  <w:vAlign w:val="center"/>
                </w:tcPr>
                <w:p>
                  <w:pPr>
                    <w:pStyle w:val="13"/>
                    <w:jc w:val="both"/>
                  </w:pPr>
                  <w:r>
                    <w:rPr>
                      <w:rFonts w:hint="eastAsia"/>
                    </w:rPr>
                    <w:t>采用10KV电源分回路供电，拟从城南变电站的龙潭村站处沿红线外围架设专用线，路程3km。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restart"/>
                  <w:shd w:val="clear" w:color="auto" w:fill="auto"/>
                  <w:vAlign w:val="center"/>
                </w:tcPr>
                <w:p>
                  <w:pPr>
                    <w:pStyle w:val="13"/>
                  </w:pPr>
                  <w:r>
                    <w:rPr>
                      <w:rFonts w:hint="eastAsia"/>
                    </w:rPr>
                    <w:t>排水</w:t>
                  </w:r>
                </w:p>
              </w:tc>
              <w:tc>
                <w:tcPr>
                  <w:tcW w:w="3886" w:type="pct"/>
                  <w:gridSpan w:val="2"/>
                  <w:shd w:val="clear" w:color="auto" w:fill="auto"/>
                  <w:vAlign w:val="center"/>
                </w:tcPr>
                <w:p>
                  <w:pPr>
                    <w:pStyle w:val="13"/>
                    <w:jc w:val="both"/>
                  </w:pPr>
                  <w:r>
                    <w:rPr>
                      <w:rFonts w:hint="eastAsia"/>
                    </w:rPr>
                    <w:t>采用雨污分流排水制。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pPr>
                </w:p>
              </w:tc>
              <w:tc>
                <w:tcPr>
                  <w:tcW w:w="3886" w:type="pct"/>
                  <w:gridSpan w:val="2"/>
                  <w:shd w:val="clear" w:color="auto" w:fill="auto"/>
                  <w:vAlign w:val="center"/>
                </w:tcPr>
                <w:p>
                  <w:pPr>
                    <w:pStyle w:val="13"/>
                    <w:jc w:val="both"/>
                  </w:pPr>
                  <w:r>
                    <w:rPr>
                      <w:rFonts w:hint="eastAsia"/>
                    </w:rPr>
                    <w:t>雨水经排水沟进入临时沉砂池沉淀后用于抑尘。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pPr>
                </w:p>
              </w:tc>
              <w:tc>
                <w:tcPr>
                  <w:tcW w:w="3886" w:type="pct"/>
                  <w:gridSpan w:val="2"/>
                  <w:shd w:val="clear" w:color="auto" w:fill="auto"/>
                  <w:vAlign w:val="center"/>
                </w:tcPr>
                <w:p>
                  <w:pPr>
                    <w:pStyle w:val="13"/>
                    <w:jc w:val="both"/>
                  </w:pPr>
                  <w:r>
                    <w:rPr>
                      <w:rFonts w:hint="eastAsia"/>
                    </w:rPr>
                    <w:t>生产废水经沉淀处理后回用，不外排。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pPr>
                </w:p>
              </w:tc>
              <w:tc>
                <w:tcPr>
                  <w:tcW w:w="3886" w:type="pct"/>
                  <w:gridSpan w:val="2"/>
                  <w:shd w:val="clear" w:color="auto" w:fill="auto"/>
                  <w:vAlign w:val="center"/>
                </w:tcPr>
                <w:p>
                  <w:pPr>
                    <w:pStyle w:val="13"/>
                    <w:jc w:val="both"/>
                  </w:pPr>
                  <w:r>
                    <w:rPr>
                      <w:rFonts w:hint="eastAsia"/>
                    </w:rPr>
                    <w:t>生活污水经隔油池、化粪池处理后用于周边施肥。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restart"/>
                  <w:shd w:val="clear" w:color="auto" w:fill="auto"/>
                  <w:vAlign w:val="center"/>
                </w:tcPr>
                <w:p>
                  <w:pPr>
                    <w:pStyle w:val="13"/>
                  </w:pPr>
                  <w:r>
                    <w:rPr>
                      <w:rFonts w:hint="eastAsia"/>
                    </w:rPr>
                    <w:t>环保工程</w:t>
                  </w:r>
                </w:p>
              </w:tc>
              <w:tc>
                <w:tcPr>
                  <w:tcW w:w="735" w:type="pct"/>
                  <w:vMerge w:val="restart"/>
                  <w:shd w:val="clear" w:color="auto" w:fill="auto"/>
                  <w:vAlign w:val="center"/>
                </w:tcPr>
                <w:p>
                  <w:pPr>
                    <w:pStyle w:val="13"/>
                  </w:pPr>
                  <w:r>
                    <w:rPr>
                      <w:rFonts w:hint="eastAsia"/>
                    </w:rPr>
                    <w:t>废气</w:t>
                  </w:r>
                </w:p>
              </w:tc>
              <w:tc>
                <w:tcPr>
                  <w:tcW w:w="3886" w:type="pct"/>
                  <w:gridSpan w:val="2"/>
                  <w:shd w:val="clear" w:color="auto" w:fill="auto"/>
                  <w:vAlign w:val="center"/>
                </w:tcPr>
                <w:p>
                  <w:pPr>
                    <w:pStyle w:val="13"/>
                    <w:jc w:val="both"/>
                  </w:pPr>
                  <w:r>
                    <w:rPr>
                      <w:rFonts w:hint="eastAsia"/>
                    </w:rPr>
                    <w:t>露天开采区工作面洒水、湿式作业。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pPr>
                </w:p>
              </w:tc>
              <w:tc>
                <w:tcPr>
                  <w:tcW w:w="3886" w:type="pct"/>
                  <w:gridSpan w:val="2"/>
                  <w:shd w:val="clear" w:color="auto" w:fill="auto"/>
                  <w:vAlign w:val="center"/>
                </w:tcPr>
                <w:p>
                  <w:pPr>
                    <w:pStyle w:val="13"/>
                    <w:jc w:val="both"/>
                  </w:pPr>
                  <w:r>
                    <w:rPr>
                      <w:rFonts w:hint="eastAsia"/>
                    </w:rPr>
                    <w:t>砂石加工、输送转接处及卸料处设置喷淋。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pPr>
                </w:p>
              </w:tc>
              <w:tc>
                <w:tcPr>
                  <w:tcW w:w="3886" w:type="pct"/>
                  <w:gridSpan w:val="2"/>
                  <w:shd w:val="clear" w:color="auto" w:fill="auto"/>
                  <w:vAlign w:val="center"/>
                </w:tcPr>
                <w:p>
                  <w:pPr>
                    <w:pStyle w:val="13"/>
                    <w:jc w:val="both"/>
                  </w:pPr>
                  <w:r>
                    <w:rPr>
                      <w:rFonts w:hint="eastAsia"/>
                    </w:rPr>
                    <w:t>加强运输管理，限值车辆速度、道路硬化并洒水抑尘，运输车辆遮盖处理。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pPr>
                  <w:r>
                    <w:rPr>
                      <w:rFonts w:hint="eastAsia"/>
                    </w:rPr>
                    <w:t>废水</w:t>
                  </w:r>
                </w:p>
              </w:tc>
              <w:tc>
                <w:tcPr>
                  <w:tcW w:w="3886" w:type="pct"/>
                  <w:gridSpan w:val="2"/>
                  <w:shd w:val="clear" w:color="auto" w:fill="auto"/>
                  <w:vAlign w:val="center"/>
                </w:tcPr>
                <w:p>
                  <w:pPr>
                    <w:pStyle w:val="13"/>
                    <w:jc w:val="both"/>
                  </w:pPr>
                  <w:r>
                    <w:rPr>
                      <w:rFonts w:hint="eastAsia"/>
                    </w:rPr>
                    <w:t>生活污水经隔油池、化粪池处理后用于周边施肥；洗砂废水经浓缩罐+清水罐处理后回用于生产，不外排；车辆冲洗废水经沉淀池处理后回用于生产，不外排；初期雨水经沉淀后回用抑尘，不外排。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shd w:val="clear" w:color="auto" w:fill="auto"/>
                  <w:vAlign w:val="center"/>
                </w:tcPr>
                <w:p>
                  <w:pPr>
                    <w:pStyle w:val="13"/>
                  </w:pPr>
                  <w:r>
                    <w:rPr>
                      <w:rFonts w:hint="eastAsia"/>
                    </w:rPr>
                    <w:t>噪声</w:t>
                  </w:r>
                </w:p>
              </w:tc>
              <w:tc>
                <w:tcPr>
                  <w:tcW w:w="3886" w:type="pct"/>
                  <w:gridSpan w:val="2"/>
                  <w:shd w:val="clear" w:color="auto" w:fill="auto"/>
                  <w:vAlign w:val="center"/>
                </w:tcPr>
                <w:p>
                  <w:pPr>
                    <w:pStyle w:val="13"/>
                    <w:jc w:val="both"/>
                    <w:rPr>
                      <w:u w:val="single"/>
                    </w:rPr>
                  </w:pPr>
                  <w:r>
                    <w:rPr>
                      <w:rFonts w:hint="eastAsia"/>
                      <w:u w:val="single"/>
                    </w:rPr>
                    <w:t>设备放置远离居民区一侧，选用低噪设备，安装减震基座；加强管理及厂区绿化。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restart"/>
                  <w:shd w:val="clear" w:color="auto" w:fill="auto"/>
                  <w:vAlign w:val="center"/>
                </w:tcPr>
                <w:p>
                  <w:pPr>
                    <w:pStyle w:val="13"/>
                  </w:pPr>
                  <w:r>
                    <w:rPr>
                      <w:rFonts w:hint="eastAsia"/>
                    </w:rPr>
                    <w:t>固废</w:t>
                  </w:r>
                </w:p>
              </w:tc>
              <w:tc>
                <w:tcPr>
                  <w:tcW w:w="644" w:type="pct"/>
                  <w:shd w:val="clear" w:color="auto" w:fill="auto"/>
                  <w:vAlign w:val="center"/>
                </w:tcPr>
                <w:p>
                  <w:pPr>
                    <w:pStyle w:val="13"/>
                  </w:pPr>
                  <w:r>
                    <w:rPr>
                      <w:rFonts w:hint="eastAsia"/>
                    </w:rPr>
                    <w:t>生活垃圾</w:t>
                  </w:r>
                </w:p>
              </w:tc>
              <w:tc>
                <w:tcPr>
                  <w:tcW w:w="3243" w:type="pct"/>
                  <w:shd w:val="clear" w:color="auto" w:fill="auto"/>
                  <w:vAlign w:val="center"/>
                </w:tcPr>
                <w:p>
                  <w:pPr>
                    <w:pStyle w:val="13"/>
                    <w:jc w:val="both"/>
                  </w:pPr>
                  <w:r>
                    <w:rPr>
                      <w:rFonts w:hint="eastAsia"/>
                    </w:rPr>
                    <w:t>生活垃圾收集后由环卫部门统一清运。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pPr>
                </w:p>
              </w:tc>
              <w:tc>
                <w:tcPr>
                  <w:tcW w:w="644" w:type="pct"/>
                  <w:shd w:val="clear" w:color="auto" w:fill="auto"/>
                  <w:vAlign w:val="center"/>
                </w:tcPr>
                <w:p>
                  <w:pPr>
                    <w:pStyle w:val="13"/>
                  </w:pPr>
                  <w:r>
                    <w:rPr>
                      <w:rFonts w:hint="eastAsia"/>
                    </w:rPr>
                    <w:t>一般固废</w:t>
                  </w:r>
                </w:p>
              </w:tc>
              <w:tc>
                <w:tcPr>
                  <w:tcW w:w="3243" w:type="pct"/>
                  <w:shd w:val="clear" w:color="auto" w:fill="auto"/>
                  <w:vAlign w:val="center"/>
                </w:tcPr>
                <w:p>
                  <w:pPr>
                    <w:pStyle w:val="13"/>
                    <w:jc w:val="both"/>
                  </w:pPr>
                  <w:r>
                    <w:rPr>
                      <w:rFonts w:hint="eastAsia"/>
                    </w:rPr>
                    <w:t>表土用于绿色矿山复绿，污泥外运用于湘阴县高新区建设用填方。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378" w:type="pct"/>
                  <w:vMerge w:val="continue"/>
                  <w:shd w:val="clear" w:color="auto" w:fill="auto"/>
                  <w:vAlign w:val="center"/>
                </w:tcPr>
                <w:p>
                  <w:pPr>
                    <w:pStyle w:val="13"/>
                  </w:pPr>
                </w:p>
              </w:tc>
              <w:tc>
                <w:tcPr>
                  <w:tcW w:w="735" w:type="pct"/>
                  <w:vMerge w:val="continue"/>
                  <w:shd w:val="clear" w:color="auto" w:fill="auto"/>
                  <w:vAlign w:val="center"/>
                </w:tcPr>
                <w:p>
                  <w:pPr>
                    <w:pStyle w:val="13"/>
                  </w:pPr>
                </w:p>
              </w:tc>
              <w:tc>
                <w:tcPr>
                  <w:tcW w:w="644" w:type="pct"/>
                  <w:shd w:val="clear" w:color="auto" w:fill="auto"/>
                  <w:vAlign w:val="center"/>
                </w:tcPr>
                <w:p>
                  <w:pPr>
                    <w:pStyle w:val="13"/>
                  </w:pPr>
                  <w:r>
                    <w:rPr>
                      <w:rFonts w:hint="eastAsia"/>
                    </w:rPr>
                    <w:t>危险废物</w:t>
                  </w:r>
                </w:p>
              </w:tc>
              <w:tc>
                <w:tcPr>
                  <w:tcW w:w="3243" w:type="pct"/>
                  <w:shd w:val="clear" w:color="auto" w:fill="auto"/>
                  <w:vAlign w:val="center"/>
                </w:tcPr>
                <w:p>
                  <w:pPr>
                    <w:pStyle w:val="13"/>
                    <w:jc w:val="both"/>
                  </w:pPr>
                  <w:r>
                    <w:rPr>
                      <w:rFonts w:hint="eastAsia"/>
                    </w:rPr>
                    <w:t>废润滑油、废润滑油桶、含油抹布手套暂存于危废暂存间内定期委托有资质单位处置。</w:t>
                  </w:r>
                </w:p>
              </w:tc>
            </w:tr>
          </w:tbl>
          <w:p>
            <w:pPr>
              <w:spacing w:line="360" w:lineRule="auto"/>
              <w:ind w:firstLine="0" w:firstLineChars="0"/>
              <w:rPr>
                <w:b/>
                <w:sz w:val="28"/>
              </w:rPr>
            </w:pPr>
            <w:r>
              <w:rPr>
                <w:b/>
                <w:sz w:val="28"/>
              </w:rPr>
              <w:t>3</w:t>
            </w:r>
            <w:r>
              <w:rPr>
                <w:rFonts w:hint="eastAsia"/>
                <w:b/>
                <w:sz w:val="28"/>
              </w:rPr>
              <w:t>、工程范围及技术指标</w:t>
            </w:r>
          </w:p>
          <w:p>
            <w:pPr>
              <w:spacing w:line="360" w:lineRule="auto"/>
              <w:ind w:firstLine="480"/>
            </w:pPr>
            <w:r>
              <w:rPr>
                <w:rFonts w:hint="eastAsia"/>
              </w:rPr>
              <w:t>本项目位于湖南省岳阳市湘阴县静河镇共荣村、龙潭寺村，根据岳阳市自然资源和规划局《关于对湘阴县共荣矿区建筑用砂矿采矿权申请范围的审查意见》中对本矿采矿权范围的设置，矿区范围由21个拐点圈定，开采深度：+80.3～+38m，面积0.4301km</w:t>
            </w:r>
            <w:r>
              <w:rPr>
                <w:rFonts w:hint="eastAsia"/>
                <w:vertAlign w:val="superscript"/>
              </w:rPr>
              <w:t>2</w:t>
            </w:r>
            <w:r>
              <w:rPr>
                <w:rFonts w:hint="eastAsia"/>
              </w:rPr>
              <w:t>，矿区范围拐点坐标及开采深度详见下表。</w:t>
            </w:r>
          </w:p>
          <w:p>
            <w:pPr>
              <w:pStyle w:val="2"/>
              <w:spacing w:line="360" w:lineRule="auto"/>
              <w:rPr>
                <w:b w:val="0"/>
              </w:rPr>
            </w:pPr>
            <w:r>
              <w:rPr>
                <w:rFonts w:hint="eastAsia"/>
                <w:b w:val="0"/>
              </w:rPr>
              <w:t>表2</w:t>
            </w:r>
            <w:r>
              <w:rPr>
                <w:b w:val="0"/>
              </w:rPr>
              <w:t xml:space="preserve">-2 </w:t>
            </w:r>
            <w:r>
              <w:rPr>
                <w:rFonts w:hint="eastAsia"/>
                <w:b w:val="0"/>
              </w:rPr>
              <w:t>矿区范围拐点坐标一览表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64"/>
              <w:gridCol w:w="1564"/>
              <w:gridCol w:w="700"/>
              <w:gridCol w:w="1576"/>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Merge w:val="restart"/>
                  <w:vAlign w:val="center"/>
                </w:tcPr>
                <w:p>
                  <w:pPr>
                    <w:pStyle w:val="41"/>
                    <w:rPr>
                      <w:sz w:val="21"/>
                      <w:szCs w:val="21"/>
                    </w:rPr>
                  </w:pPr>
                  <w:r>
                    <w:rPr>
                      <w:sz w:val="21"/>
                      <w:szCs w:val="21"/>
                    </w:rPr>
                    <w:t>拐点编号</w:t>
                  </w:r>
                </w:p>
              </w:tc>
              <w:tc>
                <w:tcPr>
                  <w:tcW w:w="3128" w:type="dxa"/>
                  <w:gridSpan w:val="2"/>
                  <w:vAlign w:val="center"/>
                </w:tcPr>
                <w:p>
                  <w:pPr>
                    <w:pStyle w:val="41"/>
                    <w:rPr>
                      <w:sz w:val="21"/>
                      <w:szCs w:val="21"/>
                    </w:rPr>
                  </w:pPr>
                  <w:r>
                    <w:rPr>
                      <w:rFonts w:hint="eastAsia"/>
                      <w:sz w:val="21"/>
                      <w:szCs w:val="21"/>
                    </w:rPr>
                    <w:t>拐点坐标（2000国家大地坐标系统）</w:t>
                  </w:r>
                </w:p>
              </w:tc>
              <w:tc>
                <w:tcPr>
                  <w:tcW w:w="700" w:type="dxa"/>
                  <w:vMerge w:val="restart"/>
                  <w:vAlign w:val="center"/>
                </w:tcPr>
                <w:p>
                  <w:pPr>
                    <w:pStyle w:val="41"/>
                    <w:rPr>
                      <w:sz w:val="21"/>
                      <w:szCs w:val="21"/>
                    </w:rPr>
                  </w:pPr>
                  <w:r>
                    <w:rPr>
                      <w:sz w:val="21"/>
                      <w:szCs w:val="21"/>
                    </w:rPr>
                    <w:t>拐点编号</w:t>
                  </w:r>
                </w:p>
              </w:tc>
              <w:tc>
                <w:tcPr>
                  <w:tcW w:w="3153" w:type="dxa"/>
                  <w:gridSpan w:val="2"/>
                  <w:vAlign w:val="center"/>
                </w:tcPr>
                <w:p>
                  <w:pPr>
                    <w:pStyle w:val="41"/>
                    <w:rPr>
                      <w:sz w:val="21"/>
                      <w:szCs w:val="21"/>
                    </w:rPr>
                  </w:pPr>
                  <w:r>
                    <w:rPr>
                      <w:rFonts w:hint="eastAsia"/>
                      <w:sz w:val="21"/>
                      <w:szCs w:val="21"/>
                    </w:rPr>
                    <w:t>拐点坐标（2000 国家大地坐标系统）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Merge w:val="continue"/>
                  <w:vAlign w:val="center"/>
                </w:tcPr>
                <w:p>
                  <w:pPr>
                    <w:pStyle w:val="41"/>
                    <w:rPr>
                      <w:sz w:val="21"/>
                      <w:szCs w:val="21"/>
                    </w:rPr>
                  </w:pPr>
                </w:p>
              </w:tc>
              <w:tc>
                <w:tcPr>
                  <w:tcW w:w="1564" w:type="dxa"/>
                  <w:vAlign w:val="center"/>
                </w:tcPr>
                <w:p>
                  <w:pPr>
                    <w:pStyle w:val="41"/>
                    <w:rPr>
                      <w:sz w:val="21"/>
                      <w:szCs w:val="21"/>
                    </w:rPr>
                  </w:pPr>
                  <w:r>
                    <w:rPr>
                      <w:sz w:val="21"/>
                      <w:szCs w:val="21"/>
                    </w:rPr>
                    <w:t>X</w:t>
                  </w:r>
                </w:p>
              </w:tc>
              <w:tc>
                <w:tcPr>
                  <w:tcW w:w="1564" w:type="dxa"/>
                  <w:vAlign w:val="center"/>
                </w:tcPr>
                <w:p>
                  <w:pPr>
                    <w:pStyle w:val="41"/>
                    <w:rPr>
                      <w:sz w:val="21"/>
                      <w:szCs w:val="21"/>
                    </w:rPr>
                  </w:pPr>
                  <w:r>
                    <w:rPr>
                      <w:sz w:val="21"/>
                      <w:szCs w:val="21"/>
                    </w:rPr>
                    <w:t>Y</w:t>
                  </w:r>
                </w:p>
              </w:tc>
              <w:tc>
                <w:tcPr>
                  <w:tcW w:w="700" w:type="dxa"/>
                  <w:vMerge w:val="continue"/>
                  <w:vAlign w:val="center"/>
                </w:tcPr>
                <w:p>
                  <w:pPr>
                    <w:pStyle w:val="41"/>
                    <w:rPr>
                      <w:sz w:val="21"/>
                      <w:szCs w:val="21"/>
                    </w:rPr>
                  </w:pPr>
                </w:p>
              </w:tc>
              <w:tc>
                <w:tcPr>
                  <w:tcW w:w="1576" w:type="dxa"/>
                  <w:vAlign w:val="center"/>
                </w:tcPr>
                <w:p>
                  <w:pPr>
                    <w:pStyle w:val="41"/>
                    <w:rPr>
                      <w:sz w:val="21"/>
                      <w:szCs w:val="21"/>
                    </w:rPr>
                  </w:pPr>
                  <w:r>
                    <w:rPr>
                      <w:sz w:val="21"/>
                      <w:szCs w:val="21"/>
                    </w:rPr>
                    <w:t>X</w:t>
                  </w:r>
                </w:p>
              </w:tc>
              <w:tc>
                <w:tcPr>
                  <w:tcW w:w="1577" w:type="dxa"/>
                  <w:vAlign w:val="center"/>
                </w:tcPr>
                <w:p>
                  <w:pPr>
                    <w:pStyle w:val="41"/>
                    <w:rPr>
                      <w:sz w:val="21"/>
                      <w:szCs w:val="21"/>
                    </w:rPr>
                  </w:pPr>
                  <w:r>
                    <w:rPr>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Align w:val="center"/>
                </w:tcPr>
                <w:p>
                  <w:pPr>
                    <w:pStyle w:val="41"/>
                    <w:rPr>
                      <w:sz w:val="21"/>
                      <w:szCs w:val="21"/>
                    </w:rPr>
                  </w:pPr>
                  <w:r>
                    <w:rPr>
                      <w:sz w:val="21"/>
                      <w:szCs w:val="21"/>
                    </w:rPr>
                    <w:t>1</w:t>
                  </w:r>
                </w:p>
              </w:tc>
              <w:tc>
                <w:tcPr>
                  <w:tcW w:w="1564" w:type="dxa"/>
                  <w:vAlign w:val="center"/>
                </w:tcPr>
                <w:p>
                  <w:pPr>
                    <w:pStyle w:val="41"/>
                    <w:rPr>
                      <w:sz w:val="21"/>
                      <w:szCs w:val="21"/>
                    </w:rPr>
                  </w:pPr>
                  <w:r>
                    <w:rPr>
                      <w:sz w:val="21"/>
                      <w:szCs w:val="21"/>
                    </w:rPr>
                    <w:t>3164220.35</w:t>
                  </w:r>
                </w:p>
              </w:tc>
              <w:tc>
                <w:tcPr>
                  <w:tcW w:w="1564" w:type="dxa"/>
                  <w:vAlign w:val="center"/>
                </w:tcPr>
                <w:p>
                  <w:pPr>
                    <w:pStyle w:val="41"/>
                    <w:rPr>
                      <w:sz w:val="21"/>
                      <w:szCs w:val="21"/>
                    </w:rPr>
                  </w:pPr>
                  <w:r>
                    <w:rPr>
                      <w:sz w:val="21"/>
                      <w:szCs w:val="21"/>
                    </w:rPr>
                    <w:t>38390103.21</w:t>
                  </w:r>
                </w:p>
              </w:tc>
              <w:tc>
                <w:tcPr>
                  <w:tcW w:w="700" w:type="dxa"/>
                  <w:vAlign w:val="center"/>
                </w:tcPr>
                <w:p>
                  <w:pPr>
                    <w:pStyle w:val="41"/>
                    <w:rPr>
                      <w:sz w:val="21"/>
                      <w:szCs w:val="21"/>
                    </w:rPr>
                  </w:pPr>
                  <w:r>
                    <w:rPr>
                      <w:rFonts w:hint="eastAsia"/>
                      <w:sz w:val="21"/>
                      <w:szCs w:val="21"/>
                    </w:rPr>
                    <w:t>1</w:t>
                  </w:r>
                  <w:r>
                    <w:rPr>
                      <w:sz w:val="21"/>
                      <w:szCs w:val="21"/>
                    </w:rPr>
                    <w:t>2</w:t>
                  </w:r>
                </w:p>
              </w:tc>
              <w:tc>
                <w:tcPr>
                  <w:tcW w:w="1576" w:type="dxa"/>
                  <w:vAlign w:val="center"/>
                </w:tcPr>
                <w:p>
                  <w:pPr>
                    <w:pStyle w:val="41"/>
                    <w:rPr>
                      <w:sz w:val="21"/>
                      <w:szCs w:val="21"/>
                    </w:rPr>
                  </w:pPr>
                  <w:r>
                    <w:rPr>
                      <w:sz w:val="21"/>
                      <w:szCs w:val="21"/>
                    </w:rPr>
                    <w:t>3163978.54</w:t>
                  </w:r>
                </w:p>
              </w:tc>
              <w:tc>
                <w:tcPr>
                  <w:tcW w:w="1577" w:type="dxa"/>
                  <w:vAlign w:val="center"/>
                </w:tcPr>
                <w:p>
                  <w:pPr>
                    <w:pStyle w:val="41"/>
                    <w:rPr>
                      <w:sz w:val="21"/>
                      <w:szCs w:val="21"/>
                    </w:rPr>
                  </w:pPr>
                  <w:r>
                    <w:rPr>
                      <w:sz w:val="21"/>
                      <w:szCs w:val="21"/>
                    </w:rPr>
                    <w:t>38390589.46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Align w:val="center"/>
                </w:tcPr>
                <w:p>
                  <w:pPr>
                    <w:pStyle w:val="41"/>
                    <w:rPr>
                      <w:sz w:val="21"/>
                      <w:szCs w:val="21"/>
                    </w:rPr>
                  </w:pPr>
                  <w:r>
                    <w:rPr>
                      <w:sz w:val="21"/>
                      <w:szCs w:val="21"/>
                    </w:rPr>
                    <w:t>2</w:t>
                  </w:r>
                </w:p>
              </w:tc>
              <w:tc>
                <w:tcPr>
                  <w:tcW w:w="1564" w:type="dxa"/>
                  <w:vAlign w:val="center"/>
                </w:tcPr>
                <w:p>
                  <w:pPr>
                    <w:pStyle w:val="41"/>
                    <w:rPr>
                      <w:sz w:val="21"/>
                      <w:szCs w:val="21"/>
                    </w:rPr>
                  </w:pPr>
                  <w:r>
                    <w:rPr>
                      <w:sz w:val="21"/>
                      <w:szCs w:val="21"/>
                    </w:rPr>
                    <w:t>3164325.78</w:t>
                  </w:r>
                </w:p>
              </w:tc>
              <w:tc>
                <w:tcPr>
                  <w:tcW w:w="1564" w:type="dxa"/>
                  <w:vAlign w:val="center"/>
                </w:tcPr>
                <w:p>
                  <w:pPr>
                    <w:pStyle w:val="41"/>
                    <w:rPr>
                      <w:sz w:val="21"/>
                      <w:szCs w:val="21"/>
                    </w:rPr>
                  </w:pPr>
                  <w:r>
                    <w:rPr>
                      <w:sz w:val="21"/>
                      <w:szCs w:val="21"/>
                    </w:rPr>
                    <w:t>38390271.52</w:t>
                  </w:r>
                </w:p>
              </w:tc>
              <w:tc>
                <w:tcPr>
                  <w:tcW w:w="700" w:type="dxa"/>
                  <w:vAlign w:val="center"/>
                </w:tcPr>
                <w:p>
                  <w:pPr>
                    <w:pStyle w:val="41"/>
                    <w:rPr>
                      <w:sz w:val="21"/>
                      <w:szCs w:val="21"/>
                    </w:rPr>
                  </w:pPr>
                  <w:r>
                    <w:rPr>
                      <w:rFonts w:hint="eastAsia"/>
                      <w:sz w:val="21"/>
                      <w:szCs w:val="21"/>
                    </w:rPr>
                    <w:t>1</w:t>
                  </w:r>
                  <w:r>
                    <w:rPr>
                      <w:sz w:val="21"/>
                      <w:szCs w:val="21"/>
                    </w:rPr>
                    <w:t>3</w:t>
                  </w:r>
                </w:p>
              </w:tc>
              <w:tc>
                <w:tcPr>
                  <w:tcW w:w="1576" w:type="dxa"/>
                  <w:vAlign w:val="center"/>
                </w:tcPr>
                <w:p>
                  <w:pPr>
                    <w:pStyle w:val="41"/>
                    <w:rPr>
                      <w:sz w:val="21"/>
                      <w:szCs w:val="21"/>
                    </w:rPr>
                  </w:pPr>
                  <w:r>
                    <w:rPr>
                      <w:sz w:val="21"/>
                      <w:szCs w:val="21"/>
                    </w:rPr>
                    <w:t>3163738.34</w:t>
                  </w:r>
                </w:p>
              </w:tc>
              <w:tc>
                <w:tcPr>
                  <w:tcW w:w="1577" w:type="dxa"/>
                  <w:vAlign w:val="center"/>
                </w:tcPr>
                <w:p>
                  <w:pPr>
                    <w:pStyle w:val="41"/>
                    <w:rPr>
                      <w:sz w:val="21"/>
                      <w:szCs w:val="21"/>
                    </w:rPr>
                  </w:pPr>
                  <w:r>
                    <w:rPr>
                      <w:sz w:val="21"/>
                      <w:szCs w:val="21"/>
                    </w:rPr>
                    <w:t>38390541.9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24" w:type="dxa"/>
                  <w:vAlign w:val="center"/>
                </w:tcPr>
                <w:p>
                  <w:pPr>
                    <w:pStyle w:val="41"/>
                    <w:rPr>
                      <w:sz w:val="21"/>
                      <w:szCs w:val="21"/>
                    </w:rPr>
                  </w:pPr>
                  <w:r>
                    <w:rPr>
                      <w:sz w:val="21"/>
                      <w:szCs w:val="21"/>
                    </w:rPr>
                    <w:t>3</w:t>
                  </w:r>
                </w:p>
              </w:tc>
              <w:tc>
                <w:tcPr>
                  <w:tcW w:w="1564" w:type="dxa"/>
                  <w:vAlign w:val="center"/>
                </w:tcPr>
                <w:p>
                  <w:pPr>
                    <w:pStyle w:val="41"/>
                    <w:rPr>
                      <w:sz w:val="21"/>
                      <w:szCs w:val="21"/>
                    </w:rPr>
                  </w:pPr>
                  <w:r>
                    <w:rPr>
                      <w:sz w:val="21"/>
                      <w:szCs w:val="21"/>
                    </w:rPr>
                    <w:t>3164310.4</w:t>
                  </w:r>
                </w:p>
              </w:tc>
              <w:tc>
                <w:tcPr>
                  <w:tcW w:w="1564" w:type="dxa"/>
                  <w:vAlign w:val="center"/>
                </w:tcPr>
                <w:p>
                  <w:pPr>
                    <w:pStyle w:val="41"/>
                    <w:rPr>
                      <w:sz w:val="21"/>
                      <w:szCs w:val="21"/>
                    </w:rPr>
                  </w:pPr>
                  <w:r>
                    <w:rPr>
                      <w:sz w:val="21"/>
                      <w:szCs w:val="21"/>
                    </w:rPr>
                    <w:t>38390437.28</w:t>
                  </w:r>
                </w:p>
              </w:tc>
              <w:tc>
                <w:tcPr>
                  <w:tcW w:w="700" w:type="dxa"/>
                  <w:vAlign w:val="center"/>
                </w:tcPr>
                <w:p>
                  <w:pPr>
                    <w:pStyle w:val="41"/>
                    <w:rPr>
                      <w:sz w:val="21"/>
                      <w:szCs w:val="21"/>
                    </w:rPr>
                  </w:pPr>
                  <w:r>
                    <w:rPr>
                      <w:rFonts w:hint="eastAsia"/>
                      <w:sz w:val="21"/>
                      <w:szCs w:val="21"/>
                    </w:rPr>
                    <w:t>1</w:t>
                  </w:r>
                  <w:r>
                    <w:rPr>
                      <w:sz w:val="21"/>
                      <w:szCs w:val="21"/>
                    </w:rPr>
                    <w:t>4</w:t>
                  </w:r>
                </w:p>
              </w:tc>
              <w:tc>
                <w:tcPr>
                  <w:tcW w:w="1576" w:type="dxa"/>
                  <w:vAlign w:val="center"/>
                </w:tcPr>
                <w:p>
                  <w:pPr>
                    <w:pStyle w:val="41"/>
                    <w:rPr>
                      <w:sz w:val="21"/>
                      <w:szCs w:val="21"/>
                    </w:rPr>
                  </w:pPr>
                  <w:r>
                    <w:rPr>
                      <w:sz w:val="21"/>
                      <w:szCs w:val="21"/>
                    </w:rPr>
                    <w:t>3163687.8</w:t>
                  </w:r>
                </w:p>
              </w:tc>
              <w:tc>
                <w:tcPr>
                  <w:tcW w:w="1577" w:type="dxa"/>
                  <w:vAlign w:val="center"/>
                </w:tcPr>
                <w:p>
                  <w:pPr>
                    <w:pStyle w:val="41"/>
                    <w:rPr>
                      <w:sz w:val="21"/>
                      <w:szCs w:val="21"/>
                    </w:rPr>
                  </w:pPr>
                  <w:r>
                    <w:rPr>
                      <w:sz w:val="21"/>
                      <w:szCs w:val="21"/>
                    </w:rPr>
                    <w:t>38390801.31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Align w:val="center"/>
                </w:tcPr>
                <w:p>
                  <w:pPr>
                    <w:pStyle w:val="41"/>
                    <w:rPr>
                      <w:sz w:val="21"/>
                      <w:szCs w:val="21"/>
                    </w:rPr>
                  </w:pPr>
                  <w:r>
                    <w:rPr>
                      <w:sz w:val="21"/>
                      <w:szCs w:val="21"/>
                    </w:rPr>
                    <w:t>4</w:t>
                  </w:r>
                </w:p>
              </w:tc>
              <w:tc>
                <w:tcPr>
                  <w:tcW w:w="1564" w:type="dxa"/>
                  <w:vAlign w:val="center"/>
                </w:tcPr>
                <w:p>
                  <w:pPr>
                    <w:pStyle w:val="41"/>
                    <w:rPr>
                      <w:sz w:val="21"/>
                      <w:szCs w:val="21"/>
                    </w:rPr>
                  </w:pPr>
                  <w:r>
                    <w:rPr>
                      <w:sz w:val="21"/>
                      <w:szCs w:val="21"/>
                    </w:rPr>
                    <w:t>3164247.19</w:t>
                  </w:r>
                </w:p>
              </w:tc>
              <w:tc>
                <w:tcPr>
                  <w:tcW w:w="1564" w:type="dxa"/>
                  <w:vAlign w:val="center"/>
                </w:tcPr>
                <w:p>
                  <w:pPr>
                    <w:pStyle w:val="41"/>
                    <w:rPr>
                      <w:sz w:val="21"/>
                      <w:szCs w:val="21"/>
                    </w:rPr>
                  </w:pPr>
                  <w:r>
                    <w:rPr>
                      <w:sz w:val="21"/>
                      <w:szCs w:val="21"/>
                    </w:rPr>
                    <w:t>38390103.21</w:t>
                  </w:r>
                </w:p>
              </w:tc>
              <w:tc>
                <w:tcPr>
                  <w:tcW w:w="700" w:type="dxa"/>
                  <w:vAlign w:val="center"/>
                </w:tcPr>
                <w:p>
                  <w:pPr>
                    <w:pStyle w:val="41"/>
                    <w:rPr>
                      <w:sz w:val="21"/>
                      <w:szCs w:val="21"/>
                    </w:rPr>
                  </w:pPr>
                  <w:r>
                    <w:rPr>
                      <w:rFonts w:hint="eastAsia"/>
                      <w:sz w:val="21"/>
                      <w:szCs w:val="21"/>
                    </w:rPr>
                    <w:t>1</w:t>
                  </w:r>
                  <w:r>
                    <w:rPr>
                      <w:sz w:val="21"/>
                      <w:szCs w:val="21"/>
                    </w:rPr>
                    <w:t>5</w:t>
                  </w:r>
                </w:p>
              </w:tc>
              <w:tc>
                <w:tcPr>
                  <w:tcW w:w="1576" w:type="dxa"/>
                  <w:vAlign w:val="center"/>
                </w:tcPr>
                <w:p>
                  <w:pPr>
                    <w:pStyle w:val="41"/>
                    <w:rPr>
                      <w:sz w:val="21"/>
                      <w:szCs w:val="21"/>
                    </w:rPr>
                  </w:pPr>
                  <w:r>
                    <w:rPr>
                      <w:sz w:val="21"/>
                      <w:szCs w:val="21"/>
                    </w:rPr>
                    <w:t>3163488.96</w:t>
                  </w:r>
                </w:p>
              </w:tc>
              <w:tc>
                <w:tcPr>
                  <w:tcW w:w="1577" w:type="dxa"/>
                  <w:vAlign w:val="center"/>
                </w:tcPr>
                <w:p>
                  <w:pPr>
                    <w:pStyle w:val="41"/>
                    <w:rPr>
                      <w:sz w:val="21"/>
                      <w:szCs w:val="21"/>
                    </w:rPr>
                  </w:pPr>
                  <w:r>
                    <w:rPr>
                      <w:sz w:val="21"/>
                      <w:szCs w:val="21"/>
                    </w:rPr>
                    <w:t>38390829.85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Align w:val="center"/>
                </w:tcPr>
                <w:p>
                  <w:pPr>
                    <w:pStyle w:val="41"/>
                    <w:rPr>
                      <w:sz w:val="21"/>
                      <w:szCs w:val="21"/>
                    </w:rPr>
                  </w:pPr>
                  <w:r>
                    <w:rPr>
                      <w:sz w:val="21"/>
                      <w:szCs w:val="21"/>
                    </w:rPr>
                    <w:t>5</w:t>
                  </w:r>
                </w:p>
              </w:tc>
              <w:tc>
                <w:tcPr>
                  <w:tcW w:w="1564" w:type="dxa"/>
                  <w:vAlign w:val="center"/>
                </w:tcPr>
                <w:p>
                  <w:pPr>
                    <w:pStyle w:val="41"/>
                    <w:rPr>
                      <w:sz w:val="21"/>
                      <w:szCs w:val="21"/>
                    </w:rPr>
                  </w:pPr>
                  <w:r>
                    <w:rPr>
                      <w:sz w:val="21"/>
                      <w:szCs w:val="21"/>
                    </w:rPr>
                    <w:t>3164259.18</w:t>
                  </w:r>
                </w:p>
              </w:tc>
              <w:tc>
                <w:tcPr>
                  <w:tcW w:w="1564" w:type="dxa"/>
                  <w:vAlign w:val="center"/>
                </w:tcPr>
                <w:p>
                  <w:pPr>
                    <w:pStyle w:val="41"/>
                    <w:rPr>
                      <w:sz w:val="21"/>
                      <w:szCs w:val="21"/>
                    </w:rPr>
                  </w:pPr>
                  <w:r>
                    <w:rPr>
                      <w:sz w:val="21"/>
                      <w:szCs w:val="21"/>
                    </w:rPr>
                    <w:t>38390271.52</w:t>
                  </w:r>
                </w:p>
              </w:tc>
              <w:tc>
                <w:tcPr>
                  <w:tcW w:w="700" w:type="dxa"/>
                  <w:vAlign w:val="center"/>
                </w:tcPr>
                <w:p>
                  <w:pPr>
                    <w:pStyle w:val="41"/>
                    <w:rPr>
                      <w:sz w:val="21"/>
                      <w:szCs w:val="21"/>
                    </w:rPr>
                  </w:pPr>
                  <w:r>
                    <w:rPr>
                      <w:rFonts w:hint="eastAsia"/>
                      <w:sz w:val="21"/>
                      <w:szCs w:val="21"/>
                    </w:rPr>
                    <w:t>1</w:t>
                  </w:r>
                  <w:r>
                    <w:rPr>
                      <w:sz w:val="21"/>
                      <w:szCs w:val="21"/>
                    </w:rPr>
                    <w:t>6</w:t>
                  </w:r>
                </w:p>
              </w:tc>
              <w:tc>
                <w:tcPr>
                  <w:tcW w:w="1576" w:type="dxa"/>
                  <w:vAlign w:val="center"/>
                </w:tcPr>
                <w:p>
                  <w:pPr>
                    <w:pStyle w:val="41"/>
                    <w:rPr>
                      <w:sz w:val="21"/>
                      <w:szCs w:val="21"/>
                    </w:rPr>
                  </w:pPr>
                  <w:r>
                    <w:rPr>
                      <w:sz w:val="21"/>
                      <w:szCs w:val="21"/>
                    </w:rPr>
                    <w:t>316336503</w:t>
                  </w:r>
                </w:p>
              </w:tc>
              <w:tc>
                <w:tcPr>
                  <w:tcW w:w="1577" w:type="dxa"/>
                  <w:vAlign w:val="center"/>
                </w:tcPr>
                <w:p>
                  <w:pPr>
                    <w:pStyle w:val="41"/>
                    <w:rPr>
                      <w:sz w:val="21"/>
                      <w:szCs w:val="21"/>
                    </w:rPr>
                  </w:pPr>
                  <w:r>
                    <w:rPr>
                      <w:sz w:val="21"/>
                      <w:szCs w:val="21"/>
                    </w:rPr>
                    <w:t>38390765.35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Align w:val="center"/>
                </w:tcPr>
                <w:p>
                  <w:pPr>
                    <w:pStyle w:val="41"/>
                    <w:rPr>
                      <w:sz w:val="21"/>
                      <w:szCs w:val="21"/>
                    </w:rPr>
                  </w:pPr>
                  <w:r>
                    <w:rPr>
                      <w:sz w:val="21"/>
                      <w:szCs w:val="21"/>
                    </w:rPr>
                    <w:t>6</w:t>
                  </w:r>
                </w:p>
              </w:tc>
              <w:tc>
                <w:tcPr>
                  <w:tcW w:w="1564" w:type="dxa"/>
                  <w:vAlign w:val="center"/>
                </w:tcPr>
                <w:p>
                  <w:pPr>
                    <w:pStyle w:val="41"/>
                    <w:rPr>
                      <w:sz w:val="21"/>
                      <w:szCs w:val="21"/>
                    </w:rPr>
                  </w:pPr>
                  <w:r>
                    <w:rPr>
                      <w:sz w:val="21"/>
                      <w:szCs w:val="21"/>
                    </w:rPr>
                    <w:t>3164425.84</w:t>
                  </w:r>
                </w:p>
              </w:tc>
              <w:tc>
                <w:tcPr>
                  <w:tcW w:w="1564" w:type="dxa"/>
                  <w:vAlign w:val="center"/>
                </w:tcPr>
                <w:p>
                  <w:pPr>
                    <w:pStyle w:val="41"/>
                    <w:rPr>
                      <w:sz w:val="21"/>
                      <w:szCs w:val="21"/>
                    </w:rPr>
                  </w:pPr>
                  <w:r>
                    <w:rPr>
                      <w:sz w:val="21"/>
                      <w:szCs w:val="21"/>
                    </w:rPr>
                    <w:t>38390437.28</w:t>
                  </w:r>
                </w:p>
              </w:tc>
              <w:tc>
                <w:tcPr>
                  <w:tcW w:w="700" w:type="dxa"/>
                  <w:vAlign w:val="center"/>
                </w:tcPr>
                <w:p>
                  <w:pPr>
                    <w:pStyle w:val="41"/>
                    <w:rPr>
                      <w:sz w:val="21"/>
                      <w:szCs w:val="21"/>
                    </w:rPr>
                  </w:pPr>
                  <w:r>
                    <w:rPr>
                      <w:rFonts w:hint="eastAsia"/>
                      <w:sz w:val="21"/>
                      <w:szCs w:val="21"/>
                    </w:rPr>
                    <w:t>1</w:t>
                  </w:r>
                  <w:r>
                    <w:rPr>
                      <w:sz w:val="21"/>
                      <w:szCs w:val="21"/>
                    </w:rPr>
                    <w:t>7</w:t>
                  </w:r>
                </w:p>
              </w:tc>
              <w:tc>
                <w:tcPr>
                  <w:tcW w:w="1576" w:type="dxa"/>
                  <w:vAlign w:val="center"/>
                </w:tcPr>
                <w:p>
                  <w:pPr>
                    <w:pStyle w:val="41"/>
                    <w:rPr>
                      <w:sz w:val="21"/>
                      <w:szCs w:val="21"/>
                    </w:rPr>
                  </w:pPr>
                  <w:r>
                    <w:rPr>
                      <w:sz w:val="21"/>
                      <w:szCs w:val="21"/>
                    </w:rPr>
                    <w:t>3163346.47</w:t>
                  </w:r>
                </w:p>
              </w:tc>
              <w:tc>
                <w:tcPr>
                  <w:tcW w:w="1577" w:type="dxa"/>
                  <w:vAlign w:val="center"/>
                </w:tcPr>
                <w:p>
                  <w:pPr>
                    <w:pStyle w:val="41"/>
                    <w:rPr>
                      <w:sz w:val="21"/>
                      <w:szCs w:val="21"/>
                    </w:rPr>
                  </w:pPr>
                  <w:r>
                    <w:rPr>
                      <w:sz w:val="21"/>
                      <w:szCs w:val="21"/>
                    </w:rPr>
                    <w:t>38390637.87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Align w:val="center"/>
                </w:tcPr>
                <w:p>
                  <w:pPr>
                    <w:pStyle w:val="41"/>
                    <w:rPr>
                      <w:sz w:val="21"/>
                      <w:szCs w:val="21"/>
                    </w:rPr>
                  </w:pPr>
                  <w:r>
                    <w:rPr>
                      <w:sz w:val="21"/>
                      <w:szCs w:val="21"/>
                    </w:rPr>
                    <w:t>7</w:t>
                  </w:r>
                </w:p>
              </w:tc>
              <w:tc>
                <w:tcPr>
                  <w:tcW w:w="1564" w:type="dxa"/>
                  <w:vAlign w:val="center"/>
                </w:tcPr>
                <w:p>
                  <w:pPr>
                    <w:pStyle w:val="41"/>
                    <w:rPr>
                      <w:sz w:val="21"/>
                      <w:szCs w:val="21"/>
                    </w:rPr>
                  </w:pPr>
                  <w:r>
                    <w:rPr>
                      <w:sz w:val="21"/>
                      <w:szCs w:val="21"/>
                    </w:rPr>
                    <w:t>3164449.01</w:t>
                  </w:r>
                </w:p>
              </w:tc>
              <w:tc>
                <w:tcPr>
                  <w:tcW w:w="1564" w:type="dxa"/>
                  <w:vAlign w:val="center"/>
                </w:tcPr>
                <w:p>
                  <w:pPr>
                    <w:pStyle w:val="41"/>
                    <w:rPr>
                      <w:sz w:val="21"/>
                      <w:szCs w:val="21"/>
                    </w:rPr>
                  </w:pPr>
                  <w:r>
                    <w:rPr>
                      <w:sz w:val="21"/>
                      <w:szCs w:val="21"/>
                    </w:rPr>
                    <w:t>38390464.39</w:t>
                  </w:r>
                </w:p>
              </w:tc>
              <w:tc>
                <w:tcPr>
                  <w:tcW w:w="700" w:type="dxa"/>
                  <w:vAlign w:val="center"/>
                </w:tcPr>
                <w:p>
                  <w:pPr>
                    <w:pStyle w:val="41"/>
                    <w:rPr>
                      <w:sz w:val="21"/>
                      <w:szCs w:val="21"/>
                    </w:rPr>
                  </w:pPr>
                  <w:r>
                    <w:rPr>
                      <w:rFonts w:hint="eastAsia"/>
                      <w:sz w:val="21"/>
                      <w:szCs w:val="21"/>
                    </w:rPr>
                    <w:t>1</w:t>
                  </w:r>
                  <w:r>
                    <w:rPr>
                      <w:sz w:val="21"/>
                      <w:szCs w:val="21"/>
                    </w:rPr>
                    <w:t>8</w:t>
                  </w:r>
                </w:p>
              </w:tc>
              <w:tc>
                <w:tcPr>
                  <w:tcW w:w="1576" w:type="dxa"/>
                  <w:vAlign w:val="center"/>
                </w:tcPr>
                <w:p>
                  <w:pPr>
                    <w:pStyle w:val="41"/>
                    <w:rPr>
                      <w:sz w:val="21"/>
                      <w:szCs w:val="21"/>
                    </w:rPr>
                  </w:pPr>
                  <w:r>
                    <w:rPr>
                      <w:sz w:val="21"/>
                      <w:szCs w:val="21"/>
                    </w:rPr>
                    <w:t>3163752.97</w:t>
                  </w:r>
                </w:p>
              </w:tc>
              <w:tc>
                <w:tcPr>
                  <w:tcW w:w="1577" w:type="dxa"/>
                  <w:vAlign w:val="center"/>
                </w:tcPr>
                <w:p>
                  <w:pPr>
                    <w:pStyle w:val="41"/>
                    <w:rPr>
                      <w:sz w:val="21"/>
                      <w:szCs w:val="21"/>
                    </w:rPr>
                  </w:pPr>
                  <w:r>
                    <w:rPr>
                      <w:sz w:val="21"/>
                      <w:szCs w:val="21"/>
                    </w:rPr>
                    <w:t>38390288.3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24" w:type="dxa"/>
                  <w:vAlign w:val="center"/>
                </w:tcPr>
                <w:p>
                  <w:pPr>
                    <w:pStyle w:val="41"/>
                    <w:rPr>
                      <w:sz w:val="21"/>
                      <w:szCs w:val="21"/>
                    </w:rPr>
                  </w:pPr>
                  <w:r>
                    <w:rPr>
                      <w:sz w:val="21"/>
                      <w:szCs w:val="21"/>
                    </w:rPr>
                    <w:t>8</w:t>
                  </w:r>
                </w:p>
              </w:tc>
              <w:tc>
                <w:tcPr>
                  <w:tcW w:w="1564" w:type="dxa"/>
                  <w:vAlign w:val="center"/>
                </w:tcPr>
                <w:p>
                  <w:pPr>
                    <w:pStyle w:val="41"/>
                    <w:rPr>
                      <w:sz w:val="21"/>
                      <w:szCs w:val="21"/>
                    </w:rPr>
                  </w:pPr>
                  <w:r>
                    <w:rPr>
                      <w:sz w:val="21"/>
                      <w:szCs w:val="21"/>
                    </w:rPr>
                    <w:t>3164224.71</w:t>
                  </w:r>
                </w:p>
              </w:tc>
              <w:tc>
                <w:tcPr>
                  <w:tcW w:w="1564" w:type="dxa"/>
                  <w:vAlign w:val="center"/>
                </w:tcPr>
                <w:p>
                  <w:pPr>
                    <w:pStyle w:val="41"/>
                    <w:rPr>
                      <w:sz w:val="21"/>
                      <w:szCs w:val="21"/>
                    </w:rPr>
                  </w:pPr>
                  <w:r>
                    <w:rPr>
                      <w:sz w:val="21"/>
                      <w:szCs w:val="21"/>
                    </w:rPr>
                    <w:t>38390511.79</w:t>
                  </w:r>
                </w:p>
              </w:tc>
              <w:tc>
                <w:tcPr>
                  <w:tcW w:w="700" w:type="dxa"/>
                  <w:vAlign w:val="center"/>
                </w:tcPr>
                <w:p>
                  <w:pPr>
                    <w:pStyle w:val="41"/>
                    <w:rPr>
                      <w:sz w:val="21"/>
                      <w:szCs w:val="21"/>
                    </w:rPr>
                  </w:pPr>
                  <w:r>
                    <w:rPr>
                      <w:rFonts w:hint="eastAsia"/>
                      <w:sz w:val="21"/>
                      <w:szCs w:val="21"/>
                    </w:rPr>
                    <w:t>1</w:t>
                  </w:r>
                  <w:r>
                    <w:rPr>
                      <w:sz w:val="21"/>
                      <w:szCs w:val="21"/>
                    </w:rPr>
                    <w:t>9</w:t>
                  </w:r>
                </w:p>
              </w:tc>
              <w:tc>
                <w:tcPr>
                  <w:tcW w:w="1576" w:type="dxa"/>
                  <w:vAlign w:val="center"/>
                </w:tcPr>
                <w:p>
                  <w:pPr>
                    <w:pStyle w:val="41"/>
                    <w:rPr>
                      <w:sz w:val="21"/>
                      <w:szCs w:val="21"/>
                    </w:rPr>
                  </w:pPr>
                  <w:r>
                    <w:rPr>
                      <w:sz w:val="21"/>
                      <w:szCs w:val="21"/>
                    </w:rPr>
                    <w:t>3163810.31</w:t>
                  </w:r>
                </w:p>
              </w:tc>
              <w:tc>
                <w:tcPr>
                  <w:tcW w:w="1577" w:type="dxa"/>
                  <w:vAlign w:val="center"/>
                </w:tcPr>
                <w:p>
                  <w:pPr>
                    <w:pStyle w:val="41"/>
                    <w:rPr>
                      <w:sz w:val="21"/>
                      <w:szCs w:val="21"/>
                    </w:rPr>
                  </w:pPr>
                  <w:r>
                    <w:rPr>
                      <w:sz w:val="21"/>
                      <w:szCs w:val="21"/>
                    </w:rPr>
                    <w:t>38390126.6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Align w:val="center"/>
                </w:tcPr>
                <w:p>
                  <w:pPr>
                    <w:pStyle w:val="41"/>
                    <w:rPr>
                      <w:sz w:val="21"/>
                      <w:szCs w:val="21"/>
                    </w:rPr>
                  </w:pPr>
                  <w:r>
                    <w:rPr>
                      <w:sz w:val="21"/>
                      <w:szCs w:val="21"/>
                    </w:rPr>
                    <w:t>9</w:t>
                  </w:r>
                </w:p>
              </w:tc>
              <w:tc>
                <w:tcPr>
                  <w:tcW w:w="1564" w:type="dxa"/>
                  <w:vAlign w:val="center"/>
                </w:tcPr>
                <w:p>
                  <w:pPr>
                    <w:pStyle w:val="41"/>
                    <w:rPr>
                      <w:sz w:val="21"/>
                      <w:szCs w:val="21"/>
                    </w:rPr>
                  </w:pPr>
                  <w:r>
                    <w:rPr>
                      <w:sz w:val="21"/>
                      <w:szCs w:val="21"/>
                    </w:rPr>
                    <w:t>3164159.48</w:t>
                  </w:r>
                </w:p>
              </w:tc>
              <w:tc>
                <w:tcPr>
                  <w:tcW w:w="1564" w:type="dxa"/>
                  <w:vAlign w:val="center"/>
                </w:tcPr>
                <w:p>
                  <w:pPr>
                    <w:pStyle w:val="41"/>
                    <w:rPr>
                      <w:sz w:val="21"/>
                      <w:szCs w:val="21"/>
                    </w:rPr>
                  </w:pPr>
                  <w:r>
                    <w:rPr>
                      <w:sz w:val="21"/>
                      <w:szCs w:val="21"/>
                    </w:rPr>
                    <w:t>38390474.34</w:t>
                  </w:r>
                </w:p>
              </w:tc>
              <w:tc>
                <w:tcPr>
                  <w:tcW w:w="700" w:type="dxa"/>
                  <w:vAlign w:val="center"/>
                </w:tcPr>
                <w:p>
                  <w:pPr>
                    <w:pStyle w:val="41"/>
                    <w:rPr>
                      <w:sz w:val="21"/>
                      <w:szCs w:val="21"/>
                    </w:rPr>
                  </w:pPr>
                  <w:r>
                    <w:rPr>
                      <w:rFonts w:hint="eastAsia"/>
                      <w:sz w:val="21"/>
                      <w:szCs w:val="21"/>
                    </w:rPr>
                    <w:t>2</w:t>
                  </w:r>
                  <w:r>
                    <w:rPr>
                      <w:sz w:val="21"/>
                      <w:szCs w:val="21"/>
                    </w:rPr>
                    <w:t>0</w:t>
                  </w:r>
                </w:p>
              </w:tc>
              <w:tc>
                <w:tcPr>
                  <w:tcW w:w="1576" w:type="dxa"/>
                  <w:vAlign w:val="center"/>
                </w:tcPr>
                <w:p>
                  <w:pPr>
                    <w:pStyle w:val="41"/>
                    <w:rPr>
                      <w:sz w:val="21"/>
                      <w:szCs w:val="21"/>
                    </w:rPr>
                  </w:pPr>
                  <w:r>
                    <w:rPr>
                      <w:sz w:val="21"/>
                      <w:szCs w:val="21"/>
                    </w:rPr>
                    <w:t>3163893.21</w:t>
                  </w:r>
                </w:p>
              </w:tc>
              <w:tc>
                <w:tcPr>
                  <w:tcW w:w="1577" w:type="dxa"/>
                  <w:vAlign w:val="center"/>
                </w:tcPr>
                <w:p>
                  <w:pPr>
                    <w:pStyle w:val="41"/>
                    <w:rPr>
                      <w:sz w:val="21"/>
                      <w:szCs w:val="21"/>
                    </w:rPr>
                  </w:pPr>
                  <w:r>
                    <w:rPr>
                      <w:sz w:val="21"/>
                      <w:szCs w:val="21"/>
                    </w:rPr>
                    <w:t>38390119.9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24" w:type="dxa"/>
                  <w:vAlign w:val="center"/>
                </w:tcPr>
                <w:p>
                  <w:pPr>
                    <w:pStyle w:val="41"/>
                    <w:rPr>
                      <w:sz w:val="21"/>
                      <w:szCs w:val="21"/>
                    </w:rPr>
                  </w:pPr>
                  <w:r>
                    <w:rPr>
                      <w:sz w:val="21"/>
                      <w:szCs w:val="21"/>
                    </w:rPr>
                    <w:t>10</w:t>
                  </w:r>
                </w:p>
              </w:tc>
              <w:tc>
                <w:tcPr>
                  <w:tcW w:w="1564" w:type="dxa"/>
                  <w:vAlign w:val="center"/>
                </w:tcPr>
                <w:p>
                  <w:pPr>
                    <w:pStyle w:val="41"/>
                    <w:rPr>
                      <w:sz w:val="21"/>
                      <w:szCs w:val="21"/>
                    </w:rPr>
                  </w:pPr>
                  <w:r>
                    <w:rPr>
                      <w:sz w:val="21"/>
                      <w:szCs w:val="21"/>
                    </w:rPr>
                    <w:t>3164082.52</w:t>
                  </w:r>
                </w:p>
              </w:tc>
              <w:tc>
                <w:tcPr>
                  <w:tcW w:w="1564" w:type="dxa"/>
                  <w:vAlign w:val="center"/>
                </w:tcPr>
                <w:p>
                  <w:pPr>
                    <w:pStyle w:val="41"/>
                    <w:rPr>
                      <w:sz w:val="21"/>
                      <w:szCs w:val="21"/>
                    </w:rPr>
                  </w:pPr>
                  <w:r>
                    <w:rPr>
                      <w:sz w:val="21"/>
                      <w:szCs w:val="21"/>
                    </w:rPr>
                    <w:t>38390572.51</w:t>
                  </w:r>
                </w:p>
              </w:tc>
              <w:tc>
                <w:tcPr>
                  <w:tcW w:w="700" w:type="dxa"/>
                  <w:vAlign w:val="center"/>
                </w:tcPr>
                <w:p>
                  <w:pPr>
                    <w:pStyle w:val="41"/>
                    <w:rPr>
                      <w:sz w:val="21"/>
                      <w:szCs w:val="21"/>
                    </w:rPr>
                  </w:pPr>
                  <w:r>
                    <w:rPr>
                      <w:rFonts w:hint="eastAsia"/>
                      <w:sz w:val="21"/>
                      <w:szCs w:val="21"/>
                    </w:rPr>
                    <w:t>2</w:t>
                  </w:r>
                  <w:r>
                    <w:rPr>
                      <w:sz w:val="21"/>
                      <w:szCs w:val="21"/>
                    </w:rPr>
                    <w:t>1</w:t>
                  </w:r>
                </w:p>
              </w:tc>
              <w:tc>
                <w:tcPr>
                  <w:tcW w:w="1576" w:type="dxa"/>
                  <w:vAlign w:val="center"/>
                </w:tcPr>
                <w:p>
                  <w:pPr>
                    <w:pStyle w:val="41"/>
                    <w:rPr>
                      <w:sz w:val="21"/>
                      <w:szCs w:val="21"/>
                    </w:rPr>
                  </w:pPr>
                  <w:r>
                    <w:rPr>
                      <w:sz w:val="21"/>
                      <w:szCs w:val="21"/>
                    </w:rPr>
                    <w:t>3164000.84</w:t>
                  </w:r>
                </w:p>
              </w:tc>
              <w:tc>
                <w:tcPr>
                  <w:tcW w:w="1577" w:type="dxa"/>
                  <w:vAlign w:val="center"/>
                </w:tcPr>
                <w:p>
                  <w:pPr>
                    <w:pStyle w:val="41"/>
                    <w:rPr>
                      <w:sz w:val="21"/>
                      <w:szCs w:val="21"/>
                    </w:rPr>
                  </w:pPr>
                  <w:r>
                    <w:rPr>
                      <w:sz w:val="21"/>
                      <w:szCs w:val="21"/>
                    </w:rPr>
                    <w:t>38390235.6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724" w:type="dxa"/>
                  <w:vAlign w:val="center"/>
                </w:tcPr>
                <w:p>
                  <w:pPr>
                    <w:pStyle w:val="41"/>
                    <w:rPr>
                      <w:sz w:val="21"/>
                      <w:szCs w:val="21"/>
                    </w:rPr>
                  </w:pPr>
                  <w:r>
                    <w:rPr>
                      <w:rFonts w:hint="eastAsia"/>
                      <w:sz w:val="21"/>
                      <w:szCs w:val="21"/>
                    </w:rPr>
                    <w:t>1</w:t>
                  </w:r>
                  <w:r>
                    <w:rPr>
                      <w:sz w:val="21"/>
                      <w:szCs w:val="21"/>
                    </w:rPr>
                    <w:t>1</w:t>
                  </w:r>
                </w:p>
              </w:tc>
              <w:tc>
                <w:tcPr>
                  <w:tcW w:w="1564" w:type="dxa"/>
                  <w:vAlign w:val="center"/>
                </w:tcPr>
                <w:p>
                  <w:pPr>
                    <w:pStyle w:val="41"/>
                    <w:rPr>
                      <w:sz w:val="21"/>
                      <w:szCs w:val="21"/>
                    </w:rPr>
                  </w:pPr>
                  <w:r>
                    <w:rPr>
                      <w:sz w:val="21"/>
                      <w:szCs w:val="21"/>
                    </w:rPr>
                    <w:t>3163994.89</w:t>
                  </w:r>
                </w:p>
              </w:tc>
              <w:tc>
                <w:tcPr>
                  <w:tcW w:w="1564" w:type="dxa"/>
                  <w:vAlign w:val="center"/>
                </w:tcPr>
                <w:p>
                  <w:pPr>
                    <w:pStyle w:val="41"/>
                    <w:rPr>
                      <w:sz w:val="21"/>
                      <w:szCs w:val="21"/>
                    </w:rPr>
                  </w:pPr>
                  <w:r>
                    <w:rPr>
                      <w:sz w:val="21"/>
                      <w:szCs w:val="21"/>
                    </w:rPr>
                    <w:t>38390675.42</w:t>
                  </w:r>
                </w:p>
              </w:tc>
              <w:tc>
                <w:tcPr>
                  <w:tcW w:w="700" w:type="dxa"/>
                  <w:vAlign w:val="center"/>
                </w:tcPr>
                <w:p>
                  <w:pPr>
                    <w:pStyle w:val="41"/>
                    <w:rPr>
                      <w:sz w:val="21"/>
                      <w:szCs w:val="21"/>
                    </w:rPr>
                  </w:pPr>
                </w:p>
              </w:tc>
              <w:tc>
                <w:tcPr>
                  <w:tcW w:w="1576" w:type="dxa"/>
                  <w:vAlign w:val="center"/>
                </w:tcPr>
                <w:p>
                  <w:pPr>
                    <w:pStyle w:val="41"/>
                    <w:rPr>
                      <w:sz w:val="21"/>
                      <w:szCs w:val="21"/>
                    </w:rPr>
                  </w:pPr>
                </w:p>
              </w:tc>
              <w:tc>
                <w:tcPr>
                  <w:tcW w:w="1577" w:type="dxa"/>
                  <w:vAlign w:val="center"/>
                </w:tcPr>
                <w:p>
                  <w:pPr>
                    <w:pStyle w:val="41"/>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705" w:type="dxa"/>
                  <w:gridSpan w:val="6"/>
                  <w:vAlign w:val="center"/>
                </w:tcPr>
                <w:p>
                  <w:pPr>
                    <w:pStyle w:val="41"/>
                    <w:rPr>
                      <w:sz w:val="21"/>
                      <w:szCs w:val="21"/>
                    </w:rPr>
                  </w:pPr>
                  <w:r>
                    <w:rPr>
                      <w:sz w:val="21"/>
                      <w:szCs w:val="21"/>
                    </w:rPr>
                    <w:t>矿区面积：0.4301km</w:t>
                  </w:r>
                  <w:r>
                    <w:rPr>
                      <w:sz w:val="21"/>
                      <w:szCs w:val="21"/>
                      <w:vertAlign w:val="superscript"/>
                    </w:rPr>
                    <w:t>2</w:t>
                  </w:r>
                  <w:r>
                    <w:rPr>
                      <w:sz w:val="21"/>
                      <w:szCs w:val="21"/>
                    </w:rPr>
                    <w:t>；开采标高：+80.3m～+38m。</w:t>
                  </w:r>
                </w:p>
              </w:tc>
            </w:tr>
          </w:tbl>
          <w:p>
            <w:pPr>
              <w:spacing w:line="240" w:lineRule="auto"/>
              <w:ind w:firstLine="0" w:firstLineChars="0"/>
              <w:jc w:val="left"/>
              <w:rPr>
                <w:sz w:val="21"/>
              </w:rPr>
            </w:pPr>
          </w:p>
          <w:p>
            <w:pPr>
              <w:pStyle w:val="2"/>
              <w:spacing w:line="360" w:lineRule="auto"/>
              <w:rPr>
                <w:b w:val="0"/>
              </w:rPr>
            </w:pPr>
            <w:r>
              <w:rPr>
                <w:rFonts w:hint="eastAsia"/>
                <w:b w:val="0"/>
              </w:rPr>
              <w:t>表2</w:t>
            </w:r>
            <w:r>
              <w:rPr>
                <w:b w:val="0"/>
              </w:rPr>
              <w:t xml:space="preserve">-3 </w:t>
            </w:r>
            <w:r>
              <w:rPr>
                <w:rFonts w:hint="eastAsia"/>
                <w:b w:val="0"/>
              </w:rPr>
              <w:t>综合技术经济评价一览表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07"/>
              <w:gridCol w:w="1985"/>
              <w:gridCol w:w="851"/>
              <w:gridCol w:w="2834"/>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Align w:val="center"/>
                </w:tcPr>
                <w:p>
                  <w:pPr>
                    <w:pStyle w:val="13"/>
                  </w:pPr>
                  <w:r>
                    <w:t>序号</w:t>
                  </w:r>
                </w:p>
              </w:tc>
              <w:tc>
                <w:tcPr>
                  <w:tcW w:w="1747" w:type="pct"/>
                  <w:gridSpan w:val="2"/>
                  <w:vAlign w:val="center"/>
                </w:tcPr>
                <w:p>
                  <w:pPr>
                    <w:pStyle w:val="13"/>
                  </w:pPr>
                  <w:r>
                    <w:t>名称</w:t>
                  </w:r>
                </w:p>
              </w:tc>
              <w:tc>
                <w:tcPr>
                  <w:tcW w:w="552" w:type="pct"/>
                  <w:vAlign w:val="center"/>
                </w:tcPr>
                <w:p>
                  <w:pPr>
                    <w:pStyle w:val="13"/>
                  </w:pPr>
                  <w:r>
                    <w:t>单位</w:t>
                  </w:r>
                </w:p>
              </w:tc>
              <w:tc>
                <w:tcPr>
                  <w:tcW w:w="1839" w:type="pct"/>
                  <w:vAlign w:val="center"/>
                </w:tcPr>
                <w:p>
                  <w:pPr>
                    <w:pStyle w:val="13"/>
                  </w:pPr>
                  <w:r>
                    <w:rPr>
                      <w:rFonts w:hint="eastAsia"/>
                    </w:rPr>
                    <w:t>指标</w:t>
                  </w:r>
                </w:p>
              </w:tc>
              <w:tc>
                <w:tcPr>
                  <w:tcW w:w="575" w:type="pct"/>
                  <w:vAlign w:val="center"/>
                </w:tcPr>
                <w:p>
                  <w:pPr>
                    <w:pStyle w:val="13"/>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restart"/>
                  <w:vAlign w:val="center"/>
                </w:tcPr>
                <w:p>
                  <w:pPr>
                    <w:pStyle w:val="13"/>
                  </w:pPr>
                  <w:r>
                    <w:rPr>
                      <w:rFonts w:hint="eastAsia"/>
                    </w:rPr>
                    <w:t>1</w:t>
                  </w:r>
                </w:p>
              </w:tc>
              <w:tc>
                <w:tcPr>
                  <w:tcW w:w="459" w:type="pct"/>
                  <w:vMerge w:val="restart"/>
                  <w:vAlign w:val="center"/>
                </w:tcPr>
                <w:p>
                  <w:pPr>
                    <w:pStyle w:val="13"/>
                  </w:pPr>
                  <w:r>
                    <w:rPr>
                      <w:rFonts w:hint="eastAsia"/>
                    </w:rPr>
                    <w:t>矿山范围</w:t>
                  </w:r>
                </w:p>
              </w:tc>
              <w:tc>
                <w:tcPr>
                  <w:tcW w:w="1288" w:type="pct"/>
                  <w:vAlign w:val="center"/>
                </w:tcPr>
                <w:p>
                  <w:pPr>
                    <w:pStyle w:val="13"/>
                  </w:pPr>
                  <w:r>
                    <w:rPr>
                      <w:rFonts w:hint="eastAsia"/>
                    </w:rPr>
                    <w:t>矿山拐点组成</w:t>
                  </w:r>
                </w:p>
              </w:tc>
              <w:tc>
                <w:tcPr>
                  <w:tcW w:w="552" w:type="pct"/>
                  <w:vAlign w:val="center"/>
                </w:tcPr>
                <w:p>
                  <w:pPr>
                    <w:pStyle w:val="13"/>
                  </w:pPr>
                  <w:r>
                    <w:rPr>
                      <w:rFonts w:hint="eastAsia"/>
                    </w:rPr>
                    <w:t>个</w:t>
                  </w:r>
                </w:p>
              </w:tc>
              <w:tc>
                <w:tcPr>
                  <w:tcW w:w="1839" w:type="pct"/>
                  <w:vAlign w:val="center"/>
                </w:tcPr>
                <w:p>
                  <w:pPr>
                    <w:pStyle w:val="13"/>
                  </w:pPr>
                  <w:r>
                    <w:rPr>
                      <w:rFonts w:hint="eastAsia"/>
                    </w:rPr>
                    <w:t>2</w:t>
                  </w:r>
                  <w:r>
                    <w:t>1</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开采标高</w:t>
                  </w:r>
                </w:p>
              </w:tc>
              <w:tc>
                <w:tcPr>
                  <w:tcW w:w="552" w:type="pct"/>
                  <w:vAlign w:val="center"/>
                </w:tcPr>
                <w:p>
                  <w:pPr>
                    <w:pStyle w:val="13"/>
                  </w:pPr>
                  <w:r>
                    <w:rPr>
                      <w:rFonts w:hint="eastAsia"/>
                    </w:rPr>
                    <w:t>m</w:t>
                  </w:r>
                </w:p>
              </w:tc>
              <w:tc>
                <w:tcPr>
                  <w:tcW w:w="1839" w:type="pct"/>
                  <w:vAlign w:val="center"/>
                </w:tcPr>
                <w:p>
                  <w:pPr>
                    <w:pStyle w:val="13"/>
                  </w:pPr>
                  <w:r>
                    <w:rPr>
                      <w:rFonts w:hint="eastAsia"/>
                    </w:rPr>
                    <w:t>8</w:t>
                  </w:r>
                  <w:r>
                    <w:t>0.3</w:t>
                  </w:r>
                  <w:r>
                    <w:rPr>
                      <w:rFonts w:hint="eastAsia"/>
                    </w:rPr>
                    <w:t>m</w:t>
                  </w:r>
                  <w:r>
                    <w:t>~38</w:t>
                  </w:r>
                  <w:r>
                    <w:rPr>
                      <w:rFonts w:hint="eastAsia"/>
                    </w:rPr>
                    <w:t>m</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矿山面积</w:t>
                  </w:r>
                </w:p>
              </w:tc>
              <w:tc>
                <w:tcPr>
                  <w:tcW w:w="552" w:type="pct"/>
                  <w:vAlign w:val="center"/>
                </w:tcPr>
                <w:p>
                  <w:pPr>
                    <w:pStyle w:val="13"/>
                  </w:pPr>
                  <w:r>
                    <w:rPr>
                      <w:rFonts w:hint="eastAsia"/>
                    </w:rPr>
                    <w:t>km</w:t>
                  </w:r>
                  <w:r>
                    <w:rPr>
                      <w:vertAlign w:val="superscript"/>
                    </w:rPr>
                    <w:t>2</w:t>
                  </w:r>
                </w:p>
              </w:tc>
              <w:tc>
                <w:tcPr>
                  <w:tcW w:w="1839" w:type="pct"/>
                  <w:vAlign w:val="center"/>
                </w:tcPr>
                <w:p>
                  <w:pPr>
                    <w:pStyle w:val="13"/>
                  </w:pPr>
                  <w:r>
                    <w:rPr>
                      <w:rFonts w:hint="eastAsia"/>
                    </w:rPr>
                    <w:t>0</w:t>
                  </w:r>
                  <w:r>
                    <w:t>.4301</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restart"/>
                  <w:vAlign w:val="center"/>
                </w:tcPr>
                <w:p>
                  <w:pPr>
                    <w:pStyle w:val="13"/>
                  </w:pPr>
                  <w:r>
                    <w:rPr>
                      <w:rFonts w:hint="eastAsia"/>
                    </w:rPr>
                    <w:t>2</w:t>
                  </w:r>
                </w:p>
              </w:tc>
              <w:tc>
                <w:tcPr>
                  <w:tcW w:w="459" w:type="pct"/>
                  <w:vMerge w:val="restart"/>
                  <w:vAlign w:val="center"/>
                </w:tcPr>
                <w:p>
                  <w:pPr>
                    <w:pStyle w:val="13"/>
                  </w:pPr>
                  <w:r>
                    <w:rPr>
                      <w:rFonts w:hint="eastAsia"/>
                    </w:rPr>
                    <w:t>矿体特征</w:t>
                  </w:r>
                </w:p>
              </w:tc>
              <w:tc>
                <w:tcPr>
                  <w:tcW w:w="1288" w:type="pct"/>
                  <w:vAlign w:val="center"/>
                </w:tcPr>
                <w:p>
                  <w:pPr>
                    <w:pStyle w:val="13"/>
                  </w:pPr>
                  <w:r>
                    <w:rPr>
                      <w:rFonts w:hint="eastAsia"/>
                    </w:rPr>
                    <w:t>矿种</w:t>
                  </w:r>
                </w:p>
              </w:tc>
              <w:tc>
                <w:tcPr>
                  <w:tcW w:w="552" w:type="pct"/>
                  <w:vAlign w:val="center"/>
                </w:tcPr>
                <w:p>
                  <w:pPr>
                    <w:pStyle w:val="13"/>
                  </w:pPr>
                  <w:r>
                    <w:rPr>
                      <w:rFonts w:hint="eastAsia"/>
                    </w:rPr>
                    <w:t>/</w:t>
                  </w:r>
                </w:p>
              </w:tc>
              <w:tc>
                <w:tcPr>
                  <w:tcW w:w="1839" w:type="pct"/>
                  <w:vAlign w:val="center"/>
                </w:tcPr>
                <w:p>
                  <w:pPr>
                    <w:pStyle w:val="13"/>
                  </w:pPr>
                  <w:r>
                    <w:rPr>
                      <w:rFonts w:hint="eastAsia"/>
                    </w:rPr>
                    <w:t>建筑用砂矿</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可采矿体(层)</w:t>
                  </w:r>
                </w:p>
              </w:tc>
              <w:tc>
                <w:tcPr>
                  <w:tcW w:w="552" w:type="pct"/>
                  <w:vAlign w:val="center"/>
                </w:tcPr>
                <w:p>
                  <w:pPr>
                    <w:pStyle w:val="13"/>
                  </w:pPr>
                  <w:r>
                    <w:rPr>
                      <w:rFonts w:hint="eastAsia"/>
                    </w:rPr>
                    <w:t>个(层)</w:t>
                  </w:r>
                </w:p>
              </w:tc>
              <w:tc>
                <w:tcPr>
                  <w:tcW w:w="1839" w:type="pct"/>
                  <w:vAlign w:val="center"/>
                </w:tcPr>
                <w:p>
                  <w:pPr>
                    <w:pStyle w:val="13"/>
                  </w:pPr>
                  <w:r>
                    <w:rPr>
                      <w:rFonts w:hint="eastAsia"/>
                    </w:rPr>
                    <w:t>1</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矿体(层)走向长</w:t>
                  </w:r>
                </w:p>
              </w:tc>
              <w:tc>
                <w:tcPr>
                  <w:tcW w:w="552" w:type="pct"/>
                  <w:vAlign w:val="center"/>
                </w:tcPr>
                <w:p>
                  <w:pPr>
                    <w:pStyle w:val="13"/>
                  </w:pPr>
                  <w:r>
                    <w:rPr>
                      <w:rFonts w:hint="eastAsia"/>
                    </w:rPr>
                    <w:t>m</w:t>
                  </w:r>
                </w:p>
              </w:tc>
              <w:tc>
                <w:tcPr>
                  <w:tcW w:w="1839" w:type="pct"/>
                  <w:vAlign w:val="center"/>
                </w:tcPr>
                <w:p>
                  <w:pPr>
                    <w:pStyle w:val="13"/>
                  </w:pPr>
                  <w:r>
                    <w:rPr>
                      <w:rFonts w:hint="eastAsia"/>
                    </w:rPr>
                    <w:t>1</w:t>
                  </w:r>
                  <w:r>
                    <w:t>000</w:t>
                  </w:r>
                  <w:r>
                    <w:rPr>
                      <w:rFonts w:hint="eastAsia"/>
                    </w:rPr>
                    <w:t>m</w:t>
                  </w:r>
                  <w:r>
                    <w:t>~1070</w:t>
                  </w:r>
                  <w:r>
                    <w:rPr>
                      <w:rFonts w:hint="eastAsia"/>
                    </w:rPr>
                    <w:t>m</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矿体(层)倾斜度</w:t>
                  </w:r>
                </w:p>
              </w:tc>
              <w:tc>
                <w:tcPr>
                  <w:tcW w:w="552" w:type="pct"/>
                  <w:vAlign w:val="center"/>
                </w:tcPr>
                <w:p>
                  <w:pPr>
                    <w:pStyle w:val="13"/>
                  </w:pPr>
                  <w:r>
                    <w:rPr>
                      <w:rFonts w:hint="eastAsia"/>
                    </w:rPr>
                    <w:t>m</w:t>
                  </w:r>
                </w:p>
              </w:tc>
              <w:tc>
                <w:tcPr>
                  <w:tcW w:w="1839" w:type="pct"/>
                  <w:vAlign w:val="center"/>
                </w:tcPr>
                <w:p>
                  <w:pPr>
                    <w:pStyle w:val="13"/>
                  </w:pPr>
                  <w:r>
                    <w:rPr>
                      <w:rFonts w:hint="eastAsia"/>
                    </w:rPr>
                    <w:t>1</w:t>
                  </w:r>
                  <w:r>
                    <w:t>85</w:t>
                  </w:r>
                  <w:r>
                    <w:rPr>
                      <w:rFonts w:hint="eastAsia"/>
                    </w:rPr>
                    <w:t>m</w:t>
                  </w:r>
                  <w:r>
                    <w:t>~750</w:t>
                  </w:r>
                  <w:r>
                    <w:rPr>
                      <w:rFonts w:hint="eastAsia"/>
                    </w:rPr>
                    <w:t>m</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矿体(层)厚度</w:t>
                  </w:r>
                </w:p>
              </w:tc>
              <w:tc>
                <w:tcPr>
                  <w:tcW w:w="552" w:type="pct"/>
                  <w:vAlign w:val="center"/>
                </w:tcPr>
                <w:p>
                  <w:pPr>
                    <w:pStyle w:val="13"/>
                  </w:pPr>
                  <w:r>
                    <w:rPr>
                      <w:rFonts w:hint="eastAsia"/>
                    </w:rPr>
                    <w:t>m</w:t>
                  </w:r>
                </w:p>
              </w:tc>
              <w:tc>
                <w:tcPr>
                  <w:tcW w:w="1839" w:type="pct"/>
                  <w:vAlign w:val="center"/>
                </w:tcPr>
                <w:p>
                  <w:pPr>
                    <w:pStyle w:val="13"/>
                  </w:pPr>
                  <w:r>
                    <w:rPr>
                      <w:rFonts w:hint="eastAsia"/>
                    </w:rPr>
                    <w:t>4.05~35.00m，平均20.43m</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矿体(层)倾角</w:t>
                  </w:r>
                </w:p>
              </w:tc>
              <w:tc>
                <w:tcPr>
                  <w:tcW w:w="552" w:type="pct"/>
                  <w:vAlign w:val="center"/>
                </w:tcPr>
                <w:p>
                  <w:pPr>
                    <w:pStyle w:val="13"/>
                  </w:pPr>
                  <w:r>
                    <w:rPr>
                      <w:rFonts w:hint="eastAsia"/>
                    </w:rPr>
                    <w:t>度</w:t>
                  </w:r>
                </w:p>
              </w:tc>
              <w:tc>
                <w:tcPr>
                  <w:tcW w:w="1839" w:type="pct"/>
                  <w:vAlign w:val="center"/>
                </w:tcPr>
                <w:p>
                  <w:pPr>
                    <w:pStyle w:val="13"/>
                  </w:pPr>
                  <w:r>
                    <w:rPr>
                      <w:rFonts w:hint="eastAsia"/>
                    </w:rPr>
                    <w:t>/</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矿石体重</w:t>
                  </w:r>
                </w:p>
              </w:tc>
              <w:tc>
                <w:tcPr>
                  <w:tcW w:w="552" w:type="pct"/>
                  <w:vAlign w:val="center"/>
                </w:tcPr>
                <w:p>
                  <w:pPr>
                    <w:pStyle w:val="13"/>
                  </w:pPr>
                  <w:r>
                    <w:rPr>
                      <w:rFonts w:hint="eastAsia"/>
                    </w:rPr>
                    <w:t>t</w:t>
                  </w:r>
                  <w:r>
                    <w:t>/</w:t>
                  </w:r>
                  <w:r>
                    <w:rPr>
                      <w:rFonts w:hint="eastAsia"/>
                    </w:rPr>
                    <w:t>m</w:t>
                  </w:r>
                  <w:r>
                    <w:rPr>
                      <w:vertAlign w:val="superscript"/>
                    </w:rPr>
                    <w:t>3</w:t>
                  </w:r>
                </w:p>
              </w:tc>
              <w:tc>
                <w:tcPr>
                  <w:tcW w:w="1839" w:type="pct"/>
                  <w:vAlign w:val="center"/>
                </w:tcPr>
                <w:p>
                  <w:pPr>
                    <w:pStyle w:val="13"/>
                  </w:pPr>
                  <w:r>
                    <w:rPr>
                      <w:rFonts w:hint="eastAsia"/>
                    </w:rPr>
                    <w:t>1</w:t>
                  </w:r>
                  <w:r>
                    <w:t>.81</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矿石质量</w:t>
                  </w:r>
                </w:p>
              </w:tc>
              <w:tc>
                <w:tcPr>
                  <w:tcW w:w="552" w:type="pct"/>
                  <w:vAlign w:val="center"/>
                </w:tcPr>
                <w:p>
                  <w:pPr>
                    <w:pStyle w:val="13"/>
                  </w:pPr>
                  <w:r>
                    <w:rPr>
                      <w:rFonts w:hint="eastAsia"/>
                    </w:rPr>
                    <w:t>/</w:t>
                  </w:r>
                </w:p>
              </w:tc>
              <w:tc>
                <w:tcPr>
                  <w:tcW w:w="1839" w:type="pct"/>
                  <w:vAlign w:val="center"/>
                </w:tcPr>
                <w:p>
                  <w:pPr>
                    <w:pStyle w:val="13"/>
                  </w:pPr>
                  <w:r>
                    <w:rPr>
                      <w:rFonts w:hint="eastAsia"/>
                    </w:rPr>
                    <w:t>符合建筑骨料一般质量要求</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restart"/>
                  <w:vAlign w:val="center"/>
                </w:tcPr>
                <w:p>
                  <w:pPr>
                    <w:pStyle w:val="13"/>
                  </w:pPr>
                  <w:r>
                    <w:rPr>
                      <w:rFonts w:hint="eastAsia"/>
                    </w:rPr>
                    <w:t>3</w:t>
                  </w:r>
                </w:p>
              </w:tc>
              <w:tc>
                <w:tcPr>
                  <w:tcW w:w="459" w:type="pct"/>
                  <w:vMerge w:val="restart"/>
                  <w:vAlign w:val="center"/>
                </w:tcPr>
                <w:p>
                  <w:pPr>
                    <w:pStyle w:val="13"/>
                  </w:pPr>
                  <w:r>
                    <w:rPr>
                      <w:rFonts w:hint="eastAsia"/>
                    </w:rPr>
                    <w:t>资源储量及开采技术条件</w:t>
                  </w:r>
                </w:p>
              </w:tc>
              <w:tc>
                <w:tcPr>
                  <w:tcW w:w="1288" w:type="pct"/>
                  <w:vAlign w:val="center"/>
                </w:tcPr>
                <w:p>
                  <w:pPr>
                    <w:pStyle w:val="13"/>
                  </w:pPr>
                  <w:r>
                    <w:rPr>
                      <w:rFonts w:hint="eastAsia"/>
                    </w:rPr>
                    <w:t>备案资源储量</w:t>
                  </w:r>
                </w:p>
              </w:tc>
              <w:tc>
                <w:tcPr>
                  <w:tcW w:w="552" w:type="pct"/>
                  <w:vAlign w:val="center"/>
                </w:tcPr>
                <w:p>
                  <w:pPr>
                    <w:pStyle w:val="13"/>
                  </w:pPr>
                  <w:r>
                    <w:rPr>
                      <w:rFonts w:hint="eastAsia"/>
                    </w:rPr>
                    <w:t>万t</w:t>
                  </w:r>
                </w:p>
              </w:tc>
              <w:tc>
                <w:tcPr>
                  <w:tcW w:w="1839" w:type="pct"/>
                  <w:vAlign w:val="center"/>
                </w:tcPr>
                <w:p>
                  <w:pPr>
                    <w:pStyle w:val="13"/>
                  </w:pPr>
                  <w:r>
                    <w:rPr>
                      <w:rFonts w:hint="eastAsia"/>
                    </w:rPr>
                    <w:t>9</w:t>
                  </w:r>
                  <w:r>
                    <w:t>57.7</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设计利用储量</w:t>
                  </w:r>
                </w:p>
              </w:tc>
              <w:tc>
                <w:tcPr>
                  <w:tcW w:w="552" w:type="pct"/>
                  <w:vAlign w:val="center"/>
                </w:tcPr>
                <w:p>
                  <w:pPr>
                    <w:pStyle w:val="13"/>
                  </w:pPr>
                  <w:r>
                    <w:rPr>
                      <w:rFonts w:hint="eastAsia"/>
                    </w:rPr>
                    <w:t>万t</w:t>
                  </w:r>
                </w:p>
              </w:tc>
              <w:tc>
                <w:tcPr>
                  <w:tcW w:w="1839" w:type="pct"/>
                  <w:vAlign w:val="center"/>
                </w:tcPr>
                <w:p>
                  <w:pPr>
                    <w:pStyle w:val="13"/>
                  </w:pPr>
                  <w:r>
                    <w:rPr>
                      <w:rFonts w:hint="eastAsia"/>
                    </w:rPr>
                    <w:t>9</w:t>
                  </w:r>
                  <w:r>
                    <w:t>57.7</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设计可采储量</w:t>
                  </w:r>
                </w:p>
              </w:tc>
              <w:tc>
                <w:tcPr>
                  <w:tcW w:w="552" w:type="pct"/>
                  <w:vAlign w:val="center"/>
                </w:tcPr>
                <w:p>
                  <w:pPr>
                    <w:pStyle w:val="13"/>
                  </w:pPr>
                  <w:r>
                    <w:rPr>
                      <w:rFonts w:hint="eastAsia"/>
                    </w:rPr>
                    <w:t>万t</w:t>
                  </w:r>
                </w:p>
              </w:tc>
              <w:tc>
                <w:tcPr>
                  <w:tcW w:w="1839" w:type="pct"/>
                  <w:vAlign w:val="center"/>
                </w:tcPr>
                <w:p>
                  <w:pPr>
                    <w:pStyle w:val="13"/>
                  </w:pPr>
                  <w:r>
                    <w:rPr>
                      <w:rFonts w:hint="eastAsia"/>
                    </w:rPr>
                    <w:t>8</w:t>
                  </w:r>
                  <w:r>
                    <w:t>67.0</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水文地质条件</w:t>
                  </w:r>
                </w:p>
              </w:tc>
              <w:tc>
                <w:tcPr>
                  <w:tcW w:w="552" w:type="pct"/>
                  <w:vAlign w:val="center"/>
                </w:tcPr>
                <w:p>
                  <w:pPr>
                    <w:pStyle w:val="13"/>
                  </w:pPr>
                  <w:r>
                    <w:rPr>
                      <w:rFonts w:hint="eastAsia"/>
                    </w:rPr>
                    <w:t>/</w:t>
                  </w:r>
                </w:p>
              </w:tc>
              <w:tc>
                <w:tcPr>
                  <w:tcW w:w="1839" w:type="pct"/>
                  <w:vAlign w:val="center"/>
                </w:tcPr>
                <w:p>
                  <w:pPr>
                    <w:pStyle w:val="13"/>
                  </w:pPr>
                  <w:r>
                    <w:rPr>
                      <w:rFonts w:hint="eastAsia"/>
                    </w:rPr>
                    <w:t>简单</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工程地质条件</w:t>
                  </w:r>
                </w:p>
              </w:tc>
              <w:tc>
                <w:tcPr>
                  <w:tcW w:w="552" w:type="pct"/>
                  <w:vAlign w:val="center"/>
                </w:tcPr>
                <w:p>
                  <w:pPr>
                    <w:pStyle w:val="13"/>
                  </w:pPr>
                  <w:r>
                    <w:rPr>
                      <w:rFonts w:hint="eastAsia"/>
                    </w:rPr>
                    <w:t>/</w:t>
                  </w:r>
                </w:p>
              </w:tc>
              <w:tc>
                <w:tcPr>
                  <w:tcW w:w="1839" w:type="pct"/>
                  <w:vAlign w:val="center"/>
                </w:tcPr>
                <w:p>
                  <w:pPr>
                    <w:pStyle w:val="13"/>
                  </w:pPr>
                  <w:r>
                    <w:rPr>
                      <w:rFonts w:hint="eastAsia"/>
                    </w:rPr>
                    <w:t>中等</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环境地质条件</w:t>
                  </w:r>
                </w:p>
              </w:tc>
              <w:tc>
                <w:tcPr>
                  <w:tcW w:w="552" w:type="pct"/>
                  <w:vAlign w:val="center"/>
                </w:tcPr>
                <w:p>
                  <w:pPr>
                    <w:pStyle w:val="13"/>
                  </w:pPr>
                  <w:r>
                    <w:rPr>
                      <w:rFonts w:hint="eastAsia"/>
                    </w:rPr>
                    <w:t>/</w:t>
                  </w:r>
                </w:p>
              </w:tc>
              <w:tc>
                <w:tcPr>
                  <w:tcW w:w="1839" w:type="pct"/>
                  <w:vAlign w:val="center"/>
                </w:tcPr>
                <w:p>
                  <w:pPr>
                    <w:pStyle w:val="13"/>
                  </w:pPr>
                  <w:r>
                    <w:rPr>
                      <w:rFonts w:hint="eastAsia"/>
                    </w:rPr>
                    <w:t>中等</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restart"/>
                  <w:vAlign w:val="center"/>
                </w:tcPr>
                <w:p>
                  <w:pPr>
                    <w:pStyle w:val="13"/>
                  </w:pPr>
                  <w:r>
                    <w:rPr>
                      <w:rFonts w:hint="eastAsia"/>
                    </w:rPr>
                    <w:t>4</w:t>
                  </w:r>
                </w:p>
              </w:tc>
              <w:tc>
                <w:tcPr>
                  <w:tcW w:w="459" w:type="pct"/>
                  <w:vMerge w:val="restart"/>
                  <w:vAlign w:val="center"/>
                </w:tcPr>
                <w:p>
                  <w:pPr>
                    <w:pStyle w:val="13"/>
                  </w:pPr>
                  <w:r>
                    <w:rPr>
                      <w:rFonts w:hint="eastAsia"/>
                    </w:rPr>
                    <w:t>生产规模</w:t>
                  </w:r>
                </w:p>
              </w:tc>
              <w:tc>
                <w:tcPr>
                  <w:tcW w:w="1288" w:type="pct"/>
                  <w:vAlign w:val="center"/>
                </w:tcPr>
                <w:p>
                  <w:pPr>
                    <w:pStyle w:val="13"/>
                  </w:pPr>
                  <w:r>
                    <w:rPr>
                      <w:rFonts w:hint="eastAsia"/>
                    </w:rPr>
                    <w:t>矿山设计生产能力</w:t>
                  </w:r>
                </w:p>
              </w:tc>
              <w:tc>
                <w:tcPr>
                  <w:tcW w:w="552" w:type="pct"/>
                  <w:vAlign w:val="center"/>
                </w:tcPr>
                <w:p>
                  <w:pPr>
                    <w:pStyle w:val="13"/>
                  </w:pPr>
                  <w:r>
                    <w:rPr>
                      <w:rFonts w:hint="eastAsia"/>
                    </w:rPr>
                    <w:t>万t</w:t>
                  </w:r>
                  <w:r>
                    <w:t>/</w:t>
                  </w:r>
                  <w:r>
                    <w:rPr>
                      <w:rFonts w:hint="eastAsia"/>
                    </w:rPr>
                    <w:t>a</w:t>
                  </w:r>
                </w:p>
              </w:tc>
              <w:tc>
                <w:tcPr>
                  <w:tcW w:w="1839" w:type="pct"/>
                  <w:vAlign w:val="center"/>
                </w:tcPr>
                <w:p>
                  <w:pPr>
                    <w:pStyle w:val="13"/>
                  </w:pPr>
                  <w:r>
                    <w:rPr>
                      <w:rFonts w:hint="eastAsia"/>
                    </w:rPr>
                    <w:t>1</w:t>
                  </w:r>
                  <w:r>
                    <w:t>08</w:t>
                  </w:r>
                </w:p>
              </w:tc>
              <w:tc>
                <w:tcPr>
                  <w:tcW w:w="575" w:type="pct"/>
                  <w:vAlign w:val="center"/>
                </w:tcPr>
                <w:p>
                  <w:pPr>
                    <w:pStyle w:val="13"/>
                  </w:pPr>
                  <w:r>
                    <w:rPr>
                      <w:rFonts w:hint="eastAsia"/>
                    </w:rPr>
                    <w:t>原矿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年产量</w:t>
                  </w:r>
                </w:p>
              </w:tc>
              <w:tc>
                <w:tcPr>
                  <w:tcW w:w="552" w:type="pct"/>
                  <w:vAlign w:val="center"/>
                </w:tcPr>
                <w:p>
                  <w:pPr>
                    <w:pStyle w:val="13"/>
                  </w:pPr>
                  <w:r>
                    <w:rPr>
                      <w:rFonts w:hint="eastAsia"/>
                    </w:rPr>
                    <w:t>万t</w:t>
                  </w:r>
                </w:p>
              </w:tc>
              <w:tc>
                <w:tcPr>
                  <w:tcW w:w="1839" w:type="pct"/>
                  <w:vAlign w:val="center"/>
                </w:tcPr>
                <w:p>
                  <w:pPr>
                    <w:pStyle w:val="13"/>
                  </w:pPr>
                  <w:r>
                    <w:rPr>
                      <w:rFonts w:hint="eastAsia"/>
                    </w:rPr>
                    <w:t>9</w:t>
                  </w:r>
                  <w:r>
                    <w:t>0</w:t>
                  </w:r>
                </w:p>
              </w:tc>
              <w:tc>
                <w:tcPr>
                  <w:tcW w:w="575" w:type="pct"/>
                  <w:vAlign w:val="center"/>
                </w:tcPr>
                <w:p>
                  <w:pPr>
                    <w:pStyle w:val="13"/>
                  </w:pPr>
                  <w:r>
                    <w:rPr>
                      <w:rFonts w:hint="eastAsia"/>
                    </w:rPr>
                    <w:t>砂卵石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矿山服务年限</w:t>
                  </w:r>
                </w:p>
              </w:tc>
              <w:tc>
                <w:tcPr>
                  <w:tcW w:w="552" w:type="pct"/>
                  <w:vAlign w:val="center"/>
                </w:tcPr>
                <w:p>
                  <w:pPr>
                    <w:pStyle w:val="13"/>
                  </w:pPr>
                  <w:r>
                    <w:rPr>
                      <w:rFonts w:hint="eastAsia"/>
                    </w:rPr>
                    <w:t>a</w:t>
                  </w:r>
                </w:p>
              </w:tc>
              <w:tc>
                <w:tcPr>
                  <w:tcW w:w="1839" w:type="pct"/>
                  <w:vAlign w:val="center"/>
                </w:tcPr>
                <w:p>
                  <w:pPr>
                    <w:pStyle w:val="13"/>
                  </w:pPr>
                  <w:r>
                    <w:rPr>
                      <w:rFonts w:hint="eastAsia"/>
                    </w:rPr>
                    <w:t>1</w:t>
                  </w:r>
                  <w:r>
                    <w:t>0.6</w:t>
                  </w:r>
                </w:p>
              </w:tc>
              <w:tc>
                <w:tcPr>
                  <w:tcW w:w="575" w:type="pct"/>
                  <w:vAlign w:val="center"/>
                </w:tcPr>
                <w:p>
                  <w:pPr>
                    <w:pStyle w:val="13"/>
                  </w:pPr>
                  <w:r>
                    <w:rPr>
                      <w:rFonts w:hint="eastAsia"/>
                    </w:rPr>
                    <w:t>含基建期1年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restart"/>
                  <w:vAlign w:val="center"/>
                </w:tcPr>
                <w:p>
                  <w:pPr>
                    <w:pStyle w:val="13"/>
                  </w:pPr>
                  <w:r>
                    <w:rPr>
                      <w:rFonts w:hint="eastAsia"/>
                    </w:rPr>
                    <w:t>5</w:t>
                  </w:r>
                </w:p>
              </w:tc>
              <w:tc>
                <w:tcPr>
                  <w:tcW w:w="459" w:type="pct"/>
                  <w:vMerge w:val="restart"/>
                  <w:vAlign w:val="center"/>
                </w:tcPr>
                <w:p>
                  <w:pPr>
                    <w:pStyle w:val="13"/>
                  </w:pPr>
                  <w:r>
                    <w:rPr>
                      <w:rFonts w:hint="eastAsia"/>
                    </w:rPr>
                    <w:t>开采方案</w:t>
                  </w:r>
                </w:p>
              </w:tc>
              <w:tc>
                <w:tcPr>
                  <w:tcW w:w="1288" w:type="pct"/>
                  <w:vAlign w:val="center"/>
                </w:tcPr>
                <w:p>
                  <w:pPr>
                    <w:pStyle w:val="13"/>
                  </w:pPr>
                  <w:r>
                    <w:rPr>
                      <w:rFonts w:hint="eastAsia"/>
                    </w:rPr>
                    <w:t>开拓方式</w:t>
                  </w:r>
                </w:p>
              </w:tc>
              <w:tc>
                <w:tcPr>
                  <w:tcW w:w="552" w:type="pct"/>
                  <w:vAlign w:val="center"/>
                </w:tcPr>
                <w:p>
                  <w:pPr>
                    <w:pStyle w:val="13"/>
                  </w:pPr>
                  <w:r>
                    <w:rPr>
                      <w:rFonts w:hint="eastAsia"/>
                    </w:rPr>
                    <w:t>/</w:t>
                  </w:r>
                </w:p>
              </w:tc>
              <w:tc>
                <w:tcPr>
                  <w:tcW w:w="1839" w:type="pct"/>
                  <w:vAlign w:val="center"/>
                </w:tcPr>
                <w:p>
                  <w:pPr>
                    <w:pStyle w:val="13"/>
                  </w:pPr>
                  <w:r>
                    <w:rPr>
                      <w:rFonts w:hint="eastAsia"/>
                    </w:rPr>
                    <w:t>公路开拓</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采矿方法</w:t>
                  </w:r>
                </w:p>
              </w:tc>
              <w:tc>
                <w:tcPr>
                  <w:tcW w:w="552" w:type="pct"/>
                  <w:vAlign w:val="center"/>
                </w:tcPr>
                <w:p>
                  <w:pPr>
                    <w:pStyle w:val="13"/>
                  </w:pPr>
                  <w:r>
                    <w:rPr>
                      <w:rFonts w:hint="eastAsia"/>
                    </w:rPr>
                    <w:t>/</w:t>
                  </w:r>
                </w:p>
              </w:tc>
              <w:tc>
                <w:tcPr>
                  <w:tcW w:w="1839" w:type="pct"/>
                  <w:vAlign w:val="center"/>
                </w:tcPr>
                <w:p>
                  <w:pPr>
                    <w:pStyle w:val="13"/>
                  </w:pPr>
                  <w:r>
                    <w:rPr>
                      <w:rFonts w:hint="eastAsia"/>
                    </w:rPr>
                    <w:t>露天式，自上而下分台阶开采</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矿山运输</w:t>
                  </w:r>
                </w:p>
              </w:tc>
              <w:tc>
                <w:tcPr>
                  <w:tcW w:w="552" w:type="pct"/>
                  <w:vAlign w:val="center"/>
                </w:tcPr>
                <w:p>
                  <w:pPr>
                    <w:pStyle w:val="13"/>
                  </w:pPr>
                  <w:r>
                    <w:rPr>
                      <w:rFonts w:hint="eastAsia"/>
                    </w:rPr>
                    <w:t>/</w:t>
                  </w:r>
                </w:p>
              </w:tc>
              <w:tc>
                <w:tcPr>
                  <w:tcW w:w="1839" w:type="pct"/>
                  <w:vAlign w:val="center"/>
                </w:tcPr>
                <w:p>
                  <w:pPr>
                    <w:pStyle w:val="13"/>
                  </w:pPr>
                  <w:r>
                    <w:rPr>
                      <w:rFonts w:hint="eastAsia"/>
                    </w:rPr>
                    <w:t>汽车运输和皮带运输</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设计损失率</w:t>
                  </w:r>
                </w:p>
              </w:tc>
              <w:tc>
                <w:tcPr>
                  <w:tcW w:w="552" w:type="pct"/>
                  <w:vAlign w:val="center"/>
                </w:tcPr>
                <w:p>
                  <w:pPr>
                    <w:pStyle w:val="13"/>
                  </w:pPr>
                  <w:r>
                    <w:rPr>
                      <w:rFonts w:hint="eastAsia"/>
                    </w:rPr>
                    <w:t>%</w:t>
                  </w:r>
                </w:p>
              </w:tc>
              <w:tc>
                <w:tcPr>
                  <w:tcW w:w="1839" w:type="pct"/>
                  <w:vAlign w:val="center"/>
                </w:tcPr>
                <w:p>
                  <w:pPr>
                    <w:pStyle w:val="13"/>
                  </w:pPr>
                  <w:r>
                    <w:rPr>
                      <w:rFonts w:hint="eastAsia"/>
                    </w:rPr>
                    <w:t>0</w:t>
                  </w:r>
                </w:p>
              </w:tc>
              <w:tc>
                <w:tcPr>
                  <w:tcW w:w="575"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rPr>
                      <w:u w:val="single"/>
                    </w:rPr>
                  </w:pPr>
                  <w:r>
                    <w:rPr>
                      <w:rFonts w:hint="eastAsia"/>
                      <w:u w:val="single"/>
                    </w:rPr>
                    <w:t>采矿损失率</w:t>
                  </w:r>
                </w:p>
              </w:tc>
              <w:tc>
                <w:tcPr>
                  <w:tcW w:w="552" w:type="pct"/>
                  <w:vAlign w:val="center"/>
                </w:tcPr>
                <w:p>
                  <w:pPr>
                    <w:pStyle w:val="13"/>
                    <w:rPr>
                      <w:u w:val="single"/>
                    </w:rPr>
                  </w:pPr>
                  <w:r>
                    <w:rPr>
                      <w:rFonts w:hint="eastAsia"/>
                      <w:u w:val="single"/>
                    </w:rPr>
                    <w:t>%</w:t>
                  </w:r>
                </w:p>
              </w:tc>
              <w:tc>
                <w:tcPr>
                  <w:tcW w:w="1839" w:type="pct"/>
                  <w:vAlign w:val="center"/>
                </w:tcPr>
                <w:p>
                  <w:pPr>
                    <w:pStyle w:val="13"/>
                    <w:rPr>
                      <w:u w:val="single"/>
                    </w:rPr>
                  </w:pPr>
                  <w:r>
                    <w:rPr>
                      <w:rFonts w:hint="eastAsia"/>
                      <w:u w:val="single"/>
                    </w:rPr>
                    <w:t>3</w:t>
                  </w:r>
                </w:p>
              </w:tc>
              <w:tc>
                <w:tcPr>
                  <w:tcW w:w="575" w:type="pct"/>
                  <w:vAlign w:val="center"/>
                </w:tcPr>
                <w:p>
                  <w:pPr>
                    <w:pStyle w:val="13"/>
                    <w:rPr>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rPr>
                      <w:u w:val="single"/>
                    </w:rPr>
                  </w:pPr>
                  <w:r>
                    <w:rPr>
                      <w:rFonts w:hint="eastAsia"/>
                      <w:u w:val="single"/>
                    </w:rPr>
                    <w:t>矿山回采率</w:t>
                  </w:r>
                </w:p>
              </w:tc>
              <w:tc>
                <w:tcPr>
                  <w:tcW w:w="552" w:type="pct"/>
                  <w:vAlign w:val="center"/>
                </w:tcPr>
                <w:p>
                  <w:pPr>
                    <w:pStyle w:val="13"/>
                    <w:rPr>
                      <w:u w:val="single"/>
                    </w:rPr>
                  </w:pPr>
                  <w:r>
                    <w:rPr>
                      <w:rFonts w:hint="eastAsia"/>
                      <w:u w:val="single"/>
                    </w:rPr>
                    <w:t>%</w:t>
                  </w:r>
                </w:p>
              </w:tc>
              <w:tc>
                <w:tcPr>
                  <w:tcW w:w="1839" w:type="pct"/>
                  <w:vAlign w:val="center"/>
                </w:tcPr>
                <w:p>
                  <w:pPr>
                    <w:pStyle w:val="13"/>
                    <w:rPr>
                      <w:u w:val="single"/>
                    </w:rPr>
                  </w:pPr>
                  <w:r>
                    <w:rPr>
                      <w:rFonts w:hint="eastAsia"/>
                      <w:u w:val="single"/>
                    </w:rPr>
                    <w:t>9</w:t>
                  </w:r>
                  <w:r>
                    <w:rPr>
                      <w:u w:val="single"/>
                    </w:rPr>
                    <w:t>7</w:t>
                  </w:r>
                </w:p>
              </w:tc>
              <w:tc>
                <w:tcPr>
                  <w:tcW w:w="575" w:type="pct"/>
                  <w:vAlign w:val="center"/>
                </w:tcPr>
                <w:p>
                  <w:pPr>
                    <w:pStyle w:val="13"/>
                    <w:rPr>
                      <w:u w:val="single"/>
                    </w:rPr>
                  </w:pPr>
                  <w:r>
                    <w:rPr>
                      <w:rFonts w:hint="eastAsia"/>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 w:type="pct"/>
                  <w:vMerge w:val="continue"/>
                  <w:vAlign w:val="center"/>
                </w:tcPr>
                <w:p>
                  <w:pPr>
                    <w:pStyle w:val="13"/>
                  </w:pPr>
                </w:p>
              </w:tc>
              <w:tc>
                <w:tcPr>
                  <w:tcW w:w="459" w:type="pct"/>
                  <w:vMerge w:val="continue"/>
                  <w:vAlign w:val="center"/>
                </w:tcPr>
                <w:p>
                  <w:pPr>
                    <w:pStyle w:val="13"/>
                  </w:pPr>
                </w:p>
              </w:tc>
              <w:tc>
                <w:tcPr>
                  <w:tcW w:w="1288" w:type="pct"/>
                  <w:vAlign w:val="center"/>
                </w:tcPr>
                <w:p>
                  <w:pPr>
                    <w:pStyle w:val="13"/>
                  </w:pPr>
                  <w:r>
                    <w:rPr>
                      <w:rFonts w:hint="eastAsia"/>
                    </w:rPr>
                    <w:t>采矿贫化率</w:t>
                  </w:r>
                </w:p>
              </w:tc>
              <w:tc>
                <w:tcPr>
                  <w:tcW w:w="552" w:type="pct"/>
                  <w:vAlign w:val="center"/>
                </w:tcPr>
                <w:p>
                  <w:pPr>
                    <w:pStyle w:val="13"/>
                  </w:pPr>
                  <w:r>
                    <w:rPr>
                      <w:rFonts w:hint="eastAsia"/>
                    </w:rPr>
                    <w:t>%</w:t>
                  </w:r>
                </w:p>
              </w:tc>
              <w:tc>
                <w:tcPr>
                  <w:tcW w:w="1839" w:type="pct"/>
                  <w:vAlign w:val="center"/>
                </w:tcPr>
                <w:p>
                  <w:pPr>
                    <w:pStyle w:val="13"/>
                  </w:pPr>
                  <w:r>
                    <w:rPr>
                      <w:rFonts w:hint="eastAsia"/>
                    </w:rPr>
                    <w:t>不计</w:t>
                  </w:r>
                </w:p>
              </w:tc>
              <w:tc>
                <w:tcPr>
                  <w:tcW w:w="575" w:type="pct"/>
                  <w:vAlign w:val="center"/>
                </w:tcPr>
                <w:p>
                  <w:pPr>
                    <w:pStyle w:val="13"/>
                  </w:pPr>
                  <w:r>
                    <w:rPr>
                      <w:rFonts w:hint="eastAsia"/>
                    </w:rPr>
                    <w:t>/</w:t>
                  </w:r>
                </w:p>
              </w:tc>
            </w:tr>
          </w:tbl>
          <w:p>
            <w:pPr>
              <w:spacing w:line="360" w:lineRule="auto"/>
              <w:ind w:firstLine="0" w:firstLineChars="0"/>
              <w:rPr>
                <w:b/>
                <w:sz w:val="28"/>
              </w:rPr>
            </w:pPr>
            <w:r>
              <w:rPr>
                <w:b/>
                <w:sz w:val="28"/>
              </w:rPr>
              <w:t>4</w:t>
            </w:r>
            <w:r>
              <w:rPr>
                <w:rFonts w:hint="eastAsia"/>
                <w:b/>
                <w:sz w:val="28"/>
              </w:rPr>
              <w:t>、项目产品方案</w:t>
            </w:r>
          </w:p>
          <w:p>
            <w:pPr>
              <w:spacing w:line="360" w:lineRule="auto"/>
              <w:ind w:firstLine="480"/>
            </w:pPr>
            <w:r>
              <w:rPr>
                <w:rFonts w:hint="eastAsia"/>
              </w:rPr>
              <w:t>根据矿产资源情况与开采技术条件，设计矿山生产砂、卵石</w:t>
            </w:r>
            <w:r>
              <w:t>90</w:t>
            </w:r>
            <w:r>
              <w:rPr>
                <w:rFonts w:hint="eastAsia"/>
              </w:rPr>
              <w:t>万t</w:t>
            </w:r>
            <w:r>
              <w:t>/</w:t>
            </w:r>
            <w:r>
              <w:rPr>
                <w:rFonts w:hint="eastAsia"/>
              </w:rPr>
              <w:t>a（原矿开采规模为108万t/a）。采用露天开采，公路汽车—皮带输送机开拓运输方案。</w:t>
            </w:r>
          </w:p>
          <w:p>
            <w:pPr>
              <w:spacing w:line="360" w:lineRule="auto"/>
              <w:ind w:firstLine="480"/>
              <w:rPr>
                <w:u w:val="single"/>
              </w:rPr>
            </w:pPr>
            <w:r>
              <w:rPr>
                <w:rFonts w:hint="eastAsia"/>
                <w:u w:val="single"/>
              </w:rPr>
              <w:t>根据矿山地形条件，矿山作业面采用公路开拓，矿石在工作面由汽车转运至设在工作面附近的卸矿平台通过移动式皮带输送机将矿石及时输送到设在矿区附近的工业广场的加工区内进行砂石加工作业。</w:t>
            </w:r>
          </w:p>
          <w:p>
            <w:pPr>
              <w:pStyle w:val="2"/>
              <w:spacing w:line="360" w:lineRule="auto"/>
              <w:rPr>
                <w:b w:val="0"/>
              </w:rPr>
            </w:pPr>
            <w:r>
              <w:rPr>
                <w:rFonts w:hint="eastAsia"/>
                <w:b w:val="0"/>
              </w:rPr>
              <w:t>表</w:t>
            </w:r>
            <w:r>
              <w:rPr>
                <w:b w:val="0"/>
              </w:rPr>
              <w:t xml:space="preserve">2-4 </w:t>
            </w:r>
            <w:r>
              <w:rPr>
                <w:rFonts w:hint="eastAsia"/>
                <w:b w:val="0"/>
              </w:rPr>
              <w:t>项目产品方案一览表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5"/>
              <w:gridCol w:w="1985"/>
              <w:gridCol w:w="1701"/>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43" w:type="pct"/>
                  <w:vAlign w:val="center"/>
                </w:tcPr>
                <w:p>
                  <w:pPr>
                    <w:pStyle w:val="13"/>
                  </w:pPr>
                  <w:r>
                    <w:rPr>
                      <w:rFonts w:hint="eastAsia"/>
                    </w:rPr>
                    <w:t>开采</w:t>
                  </w:r>
                </w:p>
              </w:tc>
              <w:tc>
                <w:tcPr>
                  <w:tcW w:w="1288" w:type="pct"/>
                  <w:tcMar>
                    <w:top w:w="12" w:type="dxa"/>
                    <w:left w:w="12" w:type="dxa"/>
                    <w:bottom w:w="0" w:type="dxa"/>
                    <w:right w:w="12" w:type="dxa"/>
                  </w:tcMar>
                  <w:vAlign w:val="center"/>
                </w:tcPr>
                <w:p>
                  <w:pPr>
                    <w:pStyle w:val="13"/>
                  </w:pPr>
                  <w:r>
                    <w:rPr>
                      <w:rFonts w:hint="eastAsia"/>
                    </w:rPr>
                    <w:t>产品名称</w:t>
                  </w:r>
                </w:p>
              </w:tc>
              <w:tc>
                <w:tcPr>
                  <w:tcW w:w="1104" w:type="pct"/>
                  <w:vAlign w:val="center"/>
                </w:tcPr>
                <w:p>
                  <w:pPr>
                    <w:pStyle w:val="13"/>
                  </w:pPr>
                  <w:r>
                    <w:rPr>
                      <w:rFonts w:hint="eastAsia"/>
                    </w:rPr>
                    <w:t>产量</w:t>
                  </w:r>
                </w:p>
              </w:tc>
              <w:tc>
                <w:tcPr>
                  <w:tcW w:w="1865" w:type="pct"/>
                  <w:tcMar>
                    <w:top w:w="12" w:type="dxa"/>
                    <w:left w:w="12" w:type="dxa"/>
                    <w:bottom w:w="0" w:type="dxa"/>
                    <w:right w:w="12" w:type="dxa"/>
                  </w:tcMar>
                  <w:vAlign w:val="center"/>
                </w:tcPr>
                <w:p>
                  <w:pPr>
                    <w:pStyle w:val="13"/>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3" w:type="pct"/>
                  <w:vMerge w:val="restart"/>
                  <w:vAlign w:val="center"/>
                </w:tcPr>
                <w:p>
                  <w:pPr>
                    <w:pStyle w:val="13"/>
                    <w:rPr>
                      <w:u w:val="single"/>
                    </w:rPr>
                  </w:pPr>
                  <w:r>
                    <w:rPr>
                      <w:rFonts w:hint="eastAsia"/>
                      <w:u w:val="single"/>
                    </w:rPr>
                    <w:t>原矿开采</w:t>
                  </w:r>
                </w:p>
                <w:p>
                  <w:pPr>
                    <w:pStyle w:val="13"/>
                    <w:rPr>
                      <w:u w:val="single"/>
                    </w:rPr>
                  </w:pPr>
                  <w:r>
                    <w:rPr>
                      <w:rFonts w:hint="eastAsia"/>
                      <w:u w:val="single"/>
                    </w:rPr>
                    <w:t>108万t/a</w:t>
                  </w:r>
                </w:p>
              </w:tc>
              <w:tc>
                <w:tcPr>
                  <w:tcW w:w="1288" w:type="pct"/>
                  <w:tcMar>
                    <w:top w:w="12" w:type="dxa"/>
                    <w:left w:w="12" w:type="dxa"/>
                    <w:bottom w:w="0" w:type="dxa"/>
                    <w:right w:w="12" w:type="dxa"/>
                  </w:tcMar>
                  <w:vAlign w:val="center"/>
                </w:tcPr>
                <w:p>
                  <w:pPr>
                    <w:pStyle w:val="13"/>
                    <w:rPr>
                      <w:u w:val="single"/>
                    </w:rPr>
                  </w:pPr>
                  <w:r>
                    <w:rPr>
                      <w:rFonts w:hint="eastAsia"/>
                      <w:u w:val="single"/>
                    </w:rPr>
                    <w:t>天然卵石</w:t>
                  </w:r>
                </w:p>
              </w:tc>
              <w:tc>
                <w:tcPr>
                  <w:tcW w:w="1104" w:type="pct"/>
                  <w:vAlign w:val="center"/>
                </w:tcPr>
                <w:p>
                  <w:pPr>
                    <w:pStyle w:val="13"/>
                    <w:rPr>
                      <w:u w:val="single"/>
                    </w:rPr>
                  </w:pPr>
                  <w:r>
                    <w:rPr>
                      <w:rFonts w:hint="eastAsia"/>
                      <w:u w:val="single"/>
                    </w:rPr>
                    <w:t>136404</w:t>
                  </w:r>
                  <w:r>
                    <w:rPr>
                      <w:u w:val="single"/>
                    </w:rPr>
                    <w:t xml:space="preserve"> </w:t>
                  </w:r>
                  <w:r>
                    <w:rPr>
                      <w:rFonts w:hint="eastAsia"/>
                      <w:u w:val="single"/>
                    </w:rPr>
                    <w:t>t/a</w:t>
                  </w:r>
                </w:p>
              </w:tc>
              <w:tc>
                <w:tcPr>
                  <w:tcW w:w="1865" w:type="pct"/>
                  <w:vMerge w:val="restart"/>
                  <w:tcMar>
                    <w:top w:w="12" w:type="dxa"/>
                    <w:left w:w="12" w:type="dxa"/>
                    <w:bottom w:w="0" w:type="dxa"/>
                    <w:right w:w="12" w:type="dxa"/>
                  </w:tcMar>
                  <w:vAlign w:val="center"/>
                </w:tcPr>
                <w:p>
                  <w:pPr>
                    <w:pStyle w:val="13"/>
                    <w:rPr>
                      <w:szCs w:val="21"/>
                      <w:u w:val="single"/>
                    </w:rPr>
                  </w:pPr>
                  <w:r>
                    <w:rPr>
                      <w:rFonts w:hint="eastAsia"/>
                      <w:szCs w:val="21"/>
                      <w:u w:val="single"/>
                    </w:rPr>
                    <w:t>执行《建设用卵石、碎石》（GB/T 14685-2022）质量指标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43" w:type="pct"/>
                  <w:vMerge w:val="continue"/>
                  <w:vAlign w:val="center"/>
                </w:tcPr>
                <w:p>
                  <w:pPr>
                    <w:pStyle w:val="13"/>
                  </w:pPr>
                </w:p>
              </w:tc>
              <w:tc>
                <w:tcPr>
                  <w:tcW w:w="1288" w:type="pct"/>
                  <w:tcMar>
                    <w:top w:w="12" w:type="dxa"/>
                    <w:left w:w="12" w:type="dxa"/>
                    <w:bottom w:w="0" w:type="dxa"/>
                    <w:right w:w="12" w:type="dxa"/>
                  </w:tcMar>
                  <w:vAlign w:val="center"/>
                </w:tcPr>
                <w:p>
                  <w:pPr>
                    <w:pStyle w:val="13"/>
                    <w:rPr>
                      <w:u w:val="single"/>
                    </w:rPr>
                  </w:pPr>
                  <w:r>
                    <w:rPr>
                      <w:rFonts w:hint="eastAsia"/>
                      <w:u w:val="single"/>
                    </w:rPr>
                    <w:t>机制碎石</w:t>
                  </w:r>
                </w:p>
              </w:tc>
              <w:tc>
                <w:tcPr>
                  <w:tcW w:w="1104" w:type="pct"/>
                  <w:vAlign w:val="center"/>
                </w:tcPr>
                <w:p>
                  <w:pPr>
                    <w:pStyle w:val="13"/>
                    <w:rPr>
                      <w:u w:val="single"/>
                    </w:rPr>
                  </w:pPr>
                  <w:r>
                    <w:rPr>
                      <w:rFonts w:hint="eastAsia"/>
                      <w:u w:val="single"/>
                    </w:rPr>
                    <w:t>318276 t/a</w:t>
                  </w:r>
                </w:p>
              </w:tc>
              <w:tc>
                <w:tcPr>
                  <w:tcW w:w="1865" w:type="pct"/>
                  <w:vMerge w:val="continue"/>
                  <w:tcMar>
                    <w:top w:w="12" w:type="dxa"/>
                    <w:left w:w="12" w:type="dxa"/>
                    <w:bottom w:w="0" w:type="dxa"/>
                    <w:right w:w="12" w:type="dxa"/>
                  </w:tcMar>
                  <w:vAlign w:val="center"/>
                </w:tcPr>
                <w:p>
                  <w:pPr>
                    <w:pStyle w:val="13"/>
                    <w:jc w:val="both"/>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743" w:type="pct"/>
                  <w:vMerge w:val="continue"/>
                  <w:vAlign w:val="center"/>
                </w:tcPr>
                <w:p>
                  <w:pPr>
                    <w:pStyle w:val="13"/>
                  </w:pPr>
                </w:p>
              </w:tc>
              <w:tc>
                <w:tcPr>
                  <w:tcW w:w="1288" w:type="pct"/>
                  <w:tcMar>
                    <w:top w:w="12" w:type="dxa"/>
                    <w:left w:w="12" w:type="dxa"/>
                    <w:bottom w:w="0" w:type="dxa"/>
                    <w:right w:w="12" w:type="dxa"/>
                  </w:tcMar>
                  <w:vAlign w:val="center"/>
                </w:tcPr>
                <w:p>
                  <w:pPr>
                    <w:pStyle w:val="13"/>
                    <w:rPr>
                      <w:u w:val="single"/>
                    </w:rPr>
                  </w:pPr>
                  <w:r>
                    <w:rPr>
                      <w:rFonts w:hint="eastAsia"/>
                      <w:u w:val="single"/>
                    </w:rPr>
                    <w:t>天然成品砂</w:t>
                  </w:r>
                </w:p>
              </w:tc>
              <w:tc>
                <w:tcPr>
                  <w:tcW w:w="1104" w:type="pct"/>
                  <w:vAlign w:val="center"/>
                </w:tcPr>
                <w:p>
                  <w:pPr>
                    <w:pStyle w:val="13"/>
                    <w:rPr>
                      <w:u w:val="single"/>
                    </w:rPr>
                  </w:pPr>
                  <w:r>
                    <w:rPr>
                      <w:rFonts w:hint="eastAsia"/>
                      <w:u w:val="single"/>
                    </w:rPr>
                    <w:t>134460 t/a</w:t>
                  </w:r>
                </w:p>
              </w:tc>
              <w:tc>
                <w:tcPr>
                  <w:tcW w:w="1865" w:type="pct"/>
                  <w:vMerge w:val="restart"/>
                  <w:tcMar>
                    <w:top w:w="12" w:type="dxa"/>
                    <w:left w:w="12" w:type="dxa"/>
                    <w:bottom w:w="0" w:type="dxa"/>
                    <w:right w:w="12" w:type="dxa"/>
                  </w:tcMar>
                  <w:vAlign w:val="center"/>
                </w:tcPr>
                <w:p>
                  <w:pPr>
                    <w:pStyle w:val="13"/>
                    <w:rPr>
                      <w:szCs w:val="21"/>
                      <w:u w:val="single"/>
                    </w:rPr>
                  </w:pPr>
                  <w:r>
                    <w:rPr>
                      <w:rFonts w:hint="eastAsia"/>
                      <w:szCs w:val="21"/>
                      <w:u w:val="single"/>
                    </w:rPr>
                    <w:t>执行《建设用砂》（</w:t>
                  </w:r>
                  <w:r>
                    <w:rPr>
                      <w:szCs w:val="21"/>
                      <w:u w:val="single"/>
                    </w:rPr>
                    <w:t>GB/T14684-2011</w:t>
                  </w:r>
                  <w:r>
                    <w:rPr>
                      <w:rFonts w:hint="eastAsia"/>
                      <w:szCs w:val="21"/>
                      <w:u w:val="single"/>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743" w:type="pct"/>
                  <w:vMerge w:val="continue"/>
                  <w:vAlign w:val="center"/>
                </w:tcPr>
                <w:p>
                  <w:pPr>
                    <w:pStyle w:val="13"/>
                  </w:pPr>
                </w:p>
              </w:tc>
              <w:tc>
                <w:tcPr>
                  <w:tcW w:w="1288" w:type="pct"/>
                  <w:tcMar>
                    <w:top w:w="12" w:type="dxa"/>
                    <w:left w:w="12" w:type="dxa"/>
                    <w:bottom w:w="0" w:type="dxa"/>
                    <w:right w:w="12" w:type="dxa"/>
                  </w:tcMar>
                  <w:vAlign w:val="center"/>
                </w:tcPr>
                <w:p>
                  <w:pPr>
                    <w:pStyle w:val="13"/>
                    <w:rPr>
                      <w:u w:val="single"/>
                    </w:rPr>
                  </w:pPr>
                  <w:r>
                    <w:rPr>
                      <w:rFonts w:hint="eastAsia"/>
                      <w:u w:val="single"/>
                    </w:rPr>
                    <w:t>机制砂</w:t>
                  </w:r>
                </w:p>
              </w:tc>
              <w:tc>
                <w:tcPr>
                  <w:tcW w:w="1104" w:type="pct"/>
                  <w:vAlign w:val="center"/>
                </w:tcPr>
                <w:p>
                  <w:pPr>
                    <w:pStyle w:val="13"/>
                    <w:rPr>
                      <w:u w:val="single"/>
                    </w:rPr>
                  </w:pPr>
                  <w:r>
                    <w:rPr>
                      <w:rFonts w:hint="eastAsia"/>
                      <w:u w:val="single"/>
                    </w:rPr>
                    <w:t>313740 t/a</w:t>
                  </w:r>
                </w:p>
              </w:tc>
              <w:tc>
                <w:tcPr>
                  <w:tcW w:w="1865" w:type="pct"/>
                  <w:vMerge w:val="continue"/>
                  <w:tcMar>
                    <w:top w:w="12" w:type="dxa"/>
                    <w:left w:w="12" w:type="dxa"/>
                    <w:bottom w:w="0" w:type="dxa"/>
                    <w:right w:w="12" w:type="dxa"/>
                  </w:tcMar>
                  <w:vAlign w:val="center"/>
                </w:tcPr>
                <w:p>
                  <w:pPr>
                    <w:pStyle w:val="13"/>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743" w:type="pct"/>
                  <w:vMerge w:val="continue"/>
                  <w:vAlign w:val="center"/>
                </w:tcPr>
                <w:p>
                  <w:pPr>
                    <w:pStyle w:val="13"/>
                  </w:pPr>
                </w:p>
              </w:tc>
              <w:tc>
                <w:tcPr>
                  <w:tcW w:w="1288" w:type="pct"/>
                  <w:tcMar>
                    <w:top w:w="12" w:type="dxa"/>
                    <w:left w:w="12" w:type="dxa"/>
                    <w:bottom w:w="0" w:type="dxa"/>
                    <w:right w:w="12" w:type="dxa"/>
                  </w:tcMar>
                  <w:vAlign w:val="center"/>
                </w:tcPr>
                <w:p>
                  <w:pPr>
                    <w:pStyle w:val="13"/>
                    <w:rPr>
                      <w:u w:val="single"/>
                    </w:rPr>
                  </w:pPr>
                  <w:r>
                    <w:rPr>
                      <w:rFonts w:hint="eastAsia"/>
                      <w:u w:val="single"/>
                    </w:rPr>
                    <w:t>污泥</w:t>
                  </w:r>
                </w:p>
              </w:tc>
              <w:tc>
                <w:tcPr>
                  <w:tcW w:w="1104" w:type="pct"/>
                  <w:vAlign w:val="center"/>
                </w:tcPr>
                <w:p>
                  <w:pPr>
                    <w:pStyle w:val="13"/>
                    <w:rPr>
                      <w:u w:val="single"/>
                    </w:rPr>
                  </w:pPr>
                  <w:r>
                    <w:rPr>
                      <w:rFonts w:hint="eastAsia"/>
                      <w:u w:val="single"/>
                    </w:rPr>
                    <w:t>1</w:t>
                  </w:r>
                  <w:r>
                    <w:rPr>
                      <w:u w:val="single"/>
                    </w:rPr>
                    <w:t>77120</w:t>
                  </w:r>
                  <w:r>
                    <w:rPr>
                      <w:rFonts w:hint="eastAsia"/>
                      <w:u w:val="single"/>
                    </w:rPr>
                    <w:t xml:space="preserve"> t/a</w:t>
                  </w:r>
                </w:p>
              </w:tc>
              <w:tc>
                <w:tcPr>
                  <w:tcW w:w="1865" w:type="pct"/>
                  <w:tcMar>
                    <w:top w:w="12" w:type="dxa"/>
                    <w:left w:w="12" w:type="dxa"/>
                    <w:bottom w:w="0" w:type="dxa"/>
                    <w:right w:w="12" w:type="dxa"/>
                  </w:tcMar>
                  <w:vAlign w:val="center"/>
                </w:tcPr>
                <w:p>
                  <w:pPr>
                    <w:pStyle w:val="13"/>
                    <w:rPr>
                      <w:szCs w:val="21"/>
                      <w:u w:val="single"/>
                    </w:rPr>
                  </w:pPr>
                  <w:r>
                    <w:rPr>
                      <w:rFonts w:hint="eastAsia"/>
                      <w:szCs w:val="21"/>
                      <w:u w:val="single"/>
                    </w:rPr>
                    <w:t>副产，含水率约为30%，外运用于湘阴县高新区建设用填方</w:t>
                  </w:r>
                </w:p>
              </w:tc>
            </w:tr>
          </w:tbl>
          <w:p>
            <w:pPr>
              <w:spacing w:line="360" w:lineRule="auto"/>
              <w:ind w:firstLine="0" w:firstLineChars="0"/>
              <w:rPr>
                <w:b/>
                <w:sz w:val="28"/>
              </w:rPr>
            </w:pPr>
            <w:r>
              <w:rPr>
                <w:rFonts w:hint="eastAsia"/>
                <w:b/>
                <w:sz w:val="28"/>
              </w:rPr>
              <w:t>5、项目原辅材料情况</w:t>
            </w:r>
          </w:p>
          <w:p>
            <w:pPr>
              <w:spacing w:line="360" w:lineRule="auto"/>
              <w:ind w:firstLine="480"/>
            </w:pPr>
            <w:r>
              <w:rPr>
                <w:rFonts w:hint="eastAsia"/>
              </w:rPr>
              <w:t>本项目原辅材料使用情况见下表。</w:t>
            </w:r>
          </w:p>
          <w:p>
            <w:pPr>
              <w:pStyle w:val="2"/>
              <w:spacing w:line="360" w:lineRule="auto"/>
              <w:rPr>
                <w:b w:val="0"/>
              </w:rPr>
            </w:pPr>
            <w:r>
              <w:rPr>
                <w:rFonts w:hint="eastAsia"/>
                <w:b w:val="0"/>
              </w:rPr>
              <w:t>表2</w:t>
            </w:r>
            <w:r>
              <w:rPr>
                <w:b w:val="0"/>
              </w:rPr>
              <w:t xml:space="preserve">-5 </w:t>
            </w:r>
            <w:r>
              <w:rPr>
                <w:rFonts w:hint="eastAsia"/>
                <w:b w:val="0"/>
              </w:rPr>
              <w:t>项目原辅材料使用情况一览表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558"/>
              <w:gridCol w:w="1418"/>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Align w:val="center"/>
                </w:tcPr>
                <w:p>
                  <w:pPr>
                    <w:pStyle w:val="13"/>
                  </w:pPr>
                  <w:r>
                    <w:rPr>
                      <w:rFonts w:hint="eastAsia"/>
                    </w:rPr>
                    <w:t>序号</w:t>
                  </w:r>
                </w:p>
              </w:tc>
              <w:tc>
                <w:tcPr>
                  <w:tcW w:w="1558" w:type="dxa"/>
                  <w:vAlign w:val="center"/>
                </w:tcPr>
                <w:p>
                  <w:pPr>
                    <w:pStyle w:val="13"/>
                  </w:pPr>
                  <w:r>
                    <w:rPr>
                      <w:rFonts w:hint="eastAsia"/>
                    </w:rPr>
                    <w:t>材料名称</w:t>
                  </w:r>
                </w:p>
              </w:tc>
              <w:tc>
                <w:tcPr>
                  <w:tcW w:w="1418" w:type="dxa"/>
                  <w:vAlign w:val="center"/>
                </w:tcPr>
                <w:p>
                  <w:pPr>
                    <w:pStyle w:val="13"/>
                  </w:pPr>
                  <w:r>
                    <w:rPr>
                      <w:rFonts w:hint="eastAsia"/>
                    </w:rPr>
                    <w:t>年使用量</w:t>
                  </w:r>
                </w:p>
              </w:tc>
              <w:tc>
                <w:tcPr>
                  <w:tcW w:w="4008" w:type="dxa"/>
                  <w:vAlign w:val="center"/>
                </w:tcPr>
                <w:p>
                  <w:pPr>
                    <w:pStyle w:val="13"/>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Align w:val="center"/>
                </w:tcPr>
                <w:p>
                  <w:pPr>
                    <w:pStyle w:val="13"/>
                  </w:pPr>
                  <w:r>
                    <w:rPr>
                      <w:rFonts w:hint="eastAsia"/>
                    </w:rPr>
                    <w:t>1</w:t>
                  </w:r>
                </w:p>
              </w:tc>
              <w:tc>
                <w:tcPr>
                  <w:tcW w:w="1558" w:type="dxa"/>
                  <w:vAlign w:val="center"/>
                </w:tcPr>
                <w:p>
                  <w:pPr>
                    <w:pStyle w:val="13"/>
                    <w:rPr>
                      <w:u w:val="single"/>
                    </w:rPr>
                  </w:pPr>
                  <w:r>
                    <w:rPr>
                      <w:rFonts w:hint="eastAsia"/>
                      <w:u w:val="single"/>
                    </w:rPr>
                    <w:t>原矿</w:t>
                  </w:r>
                </w:p>
              </w:tc>
              <w:tc>
                <w:tcPr>
                  <w:tcW w:w="1418" w:type="dxa"/>
                  <w:vAlign w:val="center"/>
                </w:tcPr>
                <w:p>
                  <w:pPr>
                    <w:pStyle w:val="13"/>
                    <w:rPr>
                      <w:u w:val="single"/>
                    </w:rPr>
                  </w:pPr>
                  <w:r>
                    <w:rPr>
                      <w:rFonts w:hint="eastAsia"/>
                      <w:u w:val="single"/>
                    </w:rPr>
                    <w:t>108万t</w:t>
                  </w:r>
                </w:p>
              </w:tc>
              <w:tc>
                <w:tcPr>
                  <w:tcW w:w="4008" w:type="dxa"/>
                  <w:vAlign w:val="center"/>
                </w:tcPr>
                <w:p>
                  <w:pPr>
                    <w:pStyle w:val="13"/>
                    <w:rPr>
                      <w:u w:val="single"/>
                    </w:rPr>
                  </w:pPr>
                  <w:r>
                    <w:rPr>
                      <w:rFonts w:hint="eastAsia"/>
                      <w:u w:val="single"/>
                    </w:rPr>
                    <w:t>为</w:t>
                  </w:r>
                  <w:r>
                    <w:rPr>
                      <w:u w:val="single"/>
                    </w:rPr>
                    <w:t>本项目矿区开采，放射性内照射指数Ira0.12~0.3、外照射指数Iγ0.15~0.61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Align w:val="center"/>
                </w:tcPr>
                <w:p>
                  <w:pPr>
                    <w:pStyle w:val="13"/>
                  </w:pPr>
                  <w:r>
                    <w:rPr>
                      <w:rFonts w:hint="eastAsia"/>
                    </w:rPr>
                    <w:t>2</w:t>
                  </w:r>
                </w:p>
              </w:tc>
              <w:tc>
                <w:tcPr>
                  <w:tcW w:w="1558" w:type="dxa"/>
                  <w:vAlign w:val="center"/>
                </w:tcPr>
                <w:p>
                  <w:pPr>
                    <w:pStyle w:val="13"/>
                    <w:rPr>
                      <w:u w:val="single"/>
                    </w:rPr>
                  </w:pPr>
                  <w:r>
                    <w:rPr>
                      <w:rFonts w:hint="eastAsia"/>
                      <w:u w:val="single"/>
                    </w:rPr>
                    <w:t>柴油</w:t>
                  </w:r>
                </w:p>
              </w:tc>
              <w:tc>
                <w:tcPr>
                  <w:tcW w:w="1418" w:type="dxa"/>
                  <w:vAlign w:val="center"/>
                </w:tcPr>
                <w:p>
                  <w:pPr>
                    <w:pStyle w:val="13"/>
                    <w:rPr>
                      <w:u w:val="single"/>
                    </w:rPr>
                  </w:pPr>
                  <w:r>
                    <w:rPr>
                      <w:rFonts w:hint="eastAsia"/>
                      <w:u w:val="single"/>
                    </w:rPr>
                    <w:t>4</w:t>
                  </w:r>
                  <w:r>
                    <w:rPr>
                      <w:u w:val="single"/>
                    </w:rPr>
                    <w:t>42.8</w:t>
                  </w:r>
                  <w:r>
                    <w:rPr>
                      <w:rFonts w:hint="eastAsia"/>
                      <w:u w:val="single"/>
                    </w:rPr>
                    <w:t>t</w:t>
                  </w:r>
                </w:p>
              </w:tc>
              <w:tc>
                <w:tcPr>
                  <w:tcW w:w="4008" w:type="dxa"/>
                  <w:vAlign w:val="center"/>
                </w:tcPr>
                <w:p>
                  <w:pPr>
                    <w:pStyle w:val="13"/>
                    <w:rPr>
                      <w:u w:val="single"/>
                    </w:rPr>
                  </w:pPr>
                  <w:r>
                    <w:rPr>
                      <w:rFonts w:hint="eastAsia"/>
                      <w:u w:val="single"/>
                    </w:rPr>
                    <w:t>双层埋地储罐，最大贮存量约30t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Align w:val="center"/>
                </w:tcPr>
                <w:p>
                  <w:pPr>
                    <w:pStyle w:val="13"/>
                  </w:pPr>
                  <w:r>
                    <w:t>3</w:t>
                  </w:r>
                </w:p>
              </w:tc>
              <w:tc>
                <w:tcPr>
                  <w:tcW w:w="1558" w:type="dxa"/>
                  <w:vAlign w:val="center"/>
                </w:tcPr>
                <w:p>
                  <w:pPr>
                    <w:pStyle w:val="13"/>
                  </w:pPr>
                  <w:r>
                    <w:rPr>
                      <w:rFonts w:hint="eastAsia"/>
                    </w:rPr>
                    <w:t>润滑油</w:t>
                  </w:r>
                </w:p>
              </w:tc>
              <w:tc>
                <w:tcPr>
                  <w:tcW w:w="1418" w:type="dxa"/>
                  <w:vAlign w:val="center"/>
                </w:tcPr>
                <w:p>
                  <w:pPr>
                    <w:pStyle w:val="13"/>
                  </w:pPr>
                  <w:r>
                    <w:rPr>
                      <w:rFonts w:hint="eastAsia"/>
                    </w:rPr>
                    <w:t>0</w:t>
                  </w:r>
                  <w:r>
                    <w:t>.4</w:t>
                  </w:r>
                  <w:r>
                    <w:rPr>
                      <w:rFonts w:hint="eastAsia"/>
                    </w:rPr>
                    <w:t>t</w:t>
                  </w:r>
                </w:p>
              </w:tc>
              <w:tc>
                <w:tcPr>
                  <w:tcW w:w="4008" w:type="dxa"/>
                  <w:vAlign w:val="center"/>
                </w:tcPr>
                <w:p>
                  <w:pPr>
                    <w:pStyle w:val="13"/>
                  </w:pPr>
                  <w:r>
                    <w:rPr>
                      <w:rFonts w:hint="eastAsia"/>
                    </w:rPr>
                    <w:t>外购，15kg/桶，最大储存量0.0</w:t>
                  </w:r>
                  <w:r>
                    <w:t>45</w:t>
                  </w:r>
                  <w:r>
                    <w:rPr>
                      <w:rFonts w:hint="eastAsia"/>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vAlign w:val="center"/>
                </w:tcPr>
                <w:p>
                  <w:pPr>
                    <w:pStyle w:val="13"/>
                  </w:pPr>
                  <w:r>
                    <w:t>4</w:t>
                  </w:r>
                </w:p>
              </w:tc>
              <w:tc>
                <w:tcPr>
                  <w:tcW w:w="1558" w:type="dxa"/>
                  <w:vAlign w:val="center"/>
                </w:tcPr>
                <w:p>
                  <w:pPr>
                    <w:pStyle w:val="13"/>
                  </w:pPr>
                  <w:r>
                    <w:rPr>
                      <w:rFonts w:hint="eastAsia"/>
                    </w:rPr>
                    <w:t>生活用水</w:t>
                  </w:r>
                </w:p>
              </w:tc>
              <w:tc>
                <w:tcPr>
                  <w:tcW w:w="1418" w:type="dxa"/>
                  <w:vAlign w:val="center"/>
                </w:tcPr>
                <w:p>
                  <w:pPr>
                    <w:pStyle w:val="13"/>
                  </w:pPr>
                  <w:r>
                    <w:rPr>
                      <w:rFonts w:hint="eastAsia"/>
                    </w:rPr>
                    <w:t>1</w:t>
                  </w:r>
                  <w:r>
                    <w:t>260</w:t>
                  </w:r>
                </w:p>
              </w:tc>
              <w:tc>
                <w:tcPr>
                  <w:tcW w:w="4008" w:type="dxa"/>
                  <w:vAlign w:val="center"/>
                </w:tcPr>
                <w:p>
                  <w:pPr>
                    <w:pStyle w:val="13"/>
                  </w:pPr>
                  <w:r>
                    <w:rPr>
                      <w:rFonts w:hint="eastAsia"/>
                    </w:rPr>
                    <w:t>生活用水湘江水厂镇政府口供水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vAlign w:val="center"/>
                </w:tcPr>
                <w:p>
                  <w:pPr>
                    <w:pStyle w:val="13"/>
                  </w:pPr>
                </w:p>
              </w:tc>
              <w:tc>
                <w:tcPr>
                  <w:tcW w:w="1558" w:type="dxa"/>
                  <w:vAlign w:val="center"/>
                </w:tcPr>
                <w:p>
                  <w:pPr>
                    <w:pStyle w:val="13"/>
                  </w:pPr>
                  <w:r>
                    <w:rPr>
                      <w:rFonts w:hint="eastAsia"/>
                    </w:rPr>
                    <w:t>生产用水</w:t>
                  </w:r>
                </w:p>
              </w:tc>
              <w:tc>
                <w:tcPr>
                  <w:tcW w:w="1418" w:type="dxa"/>
                  <w:vAlign w:val="center"/>
                </w:tcPr>
                <w:p>
                  <w:pPr>
                    <w:pStyle w:val="13"/>
                  </w:pPr>
                  <w:r>
                    <w:rPr>
                      <w:rFonts w:hint="eastAsia"/>
                    </w:rPr>
                    <w:t>110431.64</w:t>
                  </w:r>
                </w:p>
              </w:tc>
              <w:tc>
                <w:tcPr>
                  <w:tcW w:w="4008" w:type="dxa"/>
                  <w:vAlign w:val="center"/>
                </w:tcPr>
                <w:p>
                  <w:pPr>
                    <w:pStyle w:val="13"/>
                  </w:pPr>
                  <w:r>
                    <w:rPr>
                      <w:rFonts w:hint="eastAsia"/>
                    </w:rPr>
                    <w:t>生产水源拟从洋沙湖撇洪渠提水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Align w:val="center"/>
                </w:tcPr>
                <w:p>
                  <w:pPr>
                    <w:pStyle w:val="13"/>
                  </w:pPr>
                  <w:r>
                    <w:rPr>
                      <w:rFonts w:hint="eastAsia"/>
                    </w:rPr>
                    <w:t>5</w:t>
                  </w:r>
                </w:p>
              </w:tc>
              <w:tc>
                <w:tcPr>
                  <w:tcW w:w="1558" w:type="dxa"/>
                  <w:vAlign w:val="center"/>
                </w:tcPr>
                <w:p>
                  <w:pPr>
                    <w:pStyle w:val="13"/>
                  </w:pPr>
                  <w:r>
                    <w:rPr>
                      <w:rFonts w:hint="eastAsia"/>
                    </w:rPr>
                    <w:t>电</w:t>
                  </w:r>
                </w:p>
              </w:tc>
              <w:tc>
                <w:tcPr>
                  <w:tcW w:w="1418" w:type="dxa"/>
                  <w:vAlign w:val="center"/>
                </w:tcPr>
                <w:p>
                  <w:pPr>
                    <w:pStyle w:val="13"/>
                  </w:pPr>
                  <w:r>
                    <w:rPr>
                      <w:rFonts w:hint="eastAsia"/>
                    </w:rPr>
                    <w:t>1</w:t>
                  </w:r>
                  <w:r>
                    <w:t>5</w:t>
                  </w:r>
                  <w:r>
                    <w:rPr>
                      <w:rFonts w:hint="eastAsia"/>
                    </w:rPr>
                    <w:t>万kWh</w:t>
                  </w:r>
                </w:p>
              </w:tc>
              <w:tc>
                <w:tcPr>
                  <w:tcW w:w="4008" w:type="dxa"/>
                  <w:vAlign w:val="center"/>
                </w:tcPr>
                <w:p>
                  <w:pPr>
                    <w:pStyle w:val="13"/>
                  </w:pPr>
                  <w:r>
                    <w:rPr>
                      <w:rFonts w:hint="eastAsia"/>
                    </w:rPr>
                    <w:t>电网</w:t>
                  </w:r>
                </w:p>
              </w:tc>
            </w:tr>
          </w:tbl>
          <w:p>
            <w:pPr>
              <w:spacing w:line="360" w:lineRule="auto"/>
              <w:ind w:firstLine="480"/>
              <w:rPr>
                <w:u w:val="single"/>
              </w:rPr>
            </w:pPr>
            <w:r>
              <w:rPr>
                <w:u w:val="single"/>
              </w:rPr>
              <w:t>本项目</w:t>
            </w:r>
            <w:r>
              <w:rPr>
                <w:rFonts w:hint="eastAsia"/>
                <w:u w:val="single"/>
              </w:rPr>
              <w:t>工业广场生产</w:t>
            </w:r>
            <w:r>
              <w:rPr>
                <w:u w:val="single"/>
              </w:rPr>
              <w:t>加工仅使用</w:t>
            </w:r>
            <w:r>
              <w:rPr>
                <w:rFonts w:hint="eastAsia"/>
                <w:u w:val="single"/>
              </w:rPr>
              <w:t>本</w:t>
            </w:r>
            <w:r>
              <w:rPr>
                <w:u w:val="single"/>
              </w:rPr>
              <w:t>矿区开采</w:t>
            </w:r>
            <w:r>
              <w:rPr>
                <w:rFonts w:hint="eastAsia"/>
                <w:u w:val="single"/>
              </w:rPr>
              <w:t>的</w:t>
            </w:r>
            <w:r>
              <w:rPr>
                <w:u w:val="single"/>
              </w:rPr>
              <w:t>原矿，禁止污染修复土、生活垃圾、废沥青混凝土、盾构土及涉及危险废物</w:t>
            </w:r>
            <w:r>
              <w:rPr>
                <w:rFonts w:hint="eastAsia"/>
                <w:u w:val="single"/>
              </w:rPr>
              <w:t>、</w:t>
            </w:r>
            <w:r>
              <w:rPr>
                <w:u w:val="single"/>
              </w:rPr>
              <w:t>涉重、涉化工企业等可能含有危化品、重金属、油类等有毒有害建筑废弃物</w:t>
            </w:r>
            <w:r>
              <w:rPr>
                <w:rFonts w:hint="eastAsia"/>
                <w:u w:val="single"/>
              </w:rPr>
              <w:t>、</w:t>
            </w:r>
            <w:r>
              <w:rPr>
                <w:u w:val="single"/>
              </w:rPr>
              <w:t>Ⅱ类一般工业固体废物、非法开采河砂石的原材料进入厂区</w:t>
            </w:r>
            <w:r>
              <w:rPr>
                <w:rFonts w:hint="eastAsia"/>
                <w:u w:val="single"/>
              </w:rPr>
              <w:t>生产加工</w:t>
            </w:r>
            <w:r>
              <w:rPr>
                <w:u w:val="single"/>
              </w:rPr>
              <w:t>。</w:t>
            </w:r>
          </w:p>
          <w:p>
            <w:pPr>
              <w:spacing w:line="360" w:lineRule="auto"/>
              <w:ind w:firstLine="0" w:firstLineChars="0"/>
              <w:rPr>
                <w:b/>
                <w:sz w:val="28"/>
              </w:rPr>
            </w:pPr>
            <w:r>
              <w:rPr>
                <w:b/>
                <w:sz w:val="28"/>
              </w:rPr>
              <w:t>6</w:t>
            </w:r>
            <w:r>
              <w:rPr>
                <w:rFonts w:hint="eastAsia"/>
                <w:b/>
                <w:sz w:val="28"/>
              </w:rPr>
              <w:t>、项目主要设备情况</w:t>
            </w:r>
          </w:p>
          <w:p>
            <w:pPr>
              <w:spacing w:line="360" w:lineRule="auto"/>
              <w:ind w:firstLine="480"/>
            </w:pPr>
            <w:r>
              <w:rPr>
                <w:rFonts w:hint="eastAsia"/>
              </w:rPr>
              <w:t>本项目主要生产设备具体见下表。</w:t>
            </w:r>
          </w:p>
          <w:p>
            <w:pPr>
              <w:pStyle w:val="2"/>
              <w:spacing w:line="360" w:lineRule="auto"/>
              <w:rPr>
                <w:b w:val="0"/>
              </w:rPr>
            </w:pPr>
            <w:r>
              <w:rPr>
                <w:rFonts w:hint="eastAsia"/>
                <w:b w:val="0"/>
              </w:rPr>
              <w:t>表2</w:t>
            </w:r>
            <w:r>
              <w:rPr>
                <w:b w:val="0"/>
              </w:rPr>
              <w:t xml:space="preserve">-6 </w:t>
            </w:r>
            <w:r>
              <w:rPr>
                <w:rFonts w:hint="eastAsia"/>
                <w:b w:val="0"/>
              </w:rPr>
              <w:t>项目主要生产设备情况一览表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125"/>
              <w:gridCol w:w="3124"/>
              <w:gridCol w:w="851"/>
              <w:gridCol w:w="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467" w:type="pct"/>
                  <w:shd w:val="clear" w:color="000000" w:fill="FFFFFF"/>
                  <w:vAlign w:val="center"/>
                </w:tcPr>
                <w:p>
                  <w:pPr>
                    <w:pStyle w:val="13"/>
                    <w:rPr>
                      <w:u w:val="single"/>
                    </w:rPr>
                  </w:pPr>
                  <w:r>
                    <w:rPr>
                      <w:rFonts w:hint="eastAsia"/>
                      <w:u w:val="single"/>
                    </w:rPr>
                    <w:t>序号</w:t>
                  </w:r>
                </w:p>
              </w:tc>
              <w:tc>
                <w:tcPr>
                  <w:tcW w:w="1379" w:type="pct"/>
                  <w:shd w:val="clear" w:color="000000" w:fill="FFFFFF"/>
                  <w:vAlign w:val="center"/>
                </w:tcPr>
                <w:p>
                  <w:pPr>
                    <w:pStyle w:val="13"/>
                    <w:rPr>
                      <w:u w:val="single"/>
                    </w:rPr>
                  </w:pPr>
                  <w:r>
                    <w:rPr>
                      <w:rFonts w:hint="eastAsia"/>
                      <w:u w:val="single"/>
                    </w:rPr>
                    <w:t>设备名称</w:t>
                  </w:r>
                </w:p>
              </w:tc>
              <w:tc>
                <w:tcPr>
                  <w:tcW w:w="2027" w:type="pct"/>
                  <w:shd w:val="clear" w:color="000000" w:fill="FFFFFF"/>
                  <w:vAlign w:val="center"/>
                </w:tcPr>
                <w:p>
                  <w:pPr>
                    <w:pStyle w:val="13"/>
                    <w:rPr>
                      <w:u w:val="single"/>
                    </w:rPr>
                  </w:pPr>
                  <w:r>
                    <w:rPr>
                      <w:rFonts w:hint="eastAsia"/>
                      <w:u w:val="single"/>
                    </w:rPr>
                    <w:t>规格型号</w:t>
                  </w:r>
                </w:p>
              </w:tc>
              <w:tc>
                <w:tcPr>
                  <w:tcW w:w="552" w:type="pct"/>
                  <w:shd w:val="clear" w:color="000000" w:fill="FFFFFF"/>
                  <w:vAlign w:val="center"/>
                </w:tcPr>
                <w:p>
                  <w:pPr>
                    <w:pStyle w:val="13"/>
                    <w:rPr>
                      <w:u w:val="single"/>
                    </w:rPr>
                  </w:pPr>
                  <w:r>
                    <w:rPr>
                      <w:rFonts w:hint="eastAsia"/>
                      <w:u w:val="single"/>
                    </w:rPr>
                    <w:t>单位</w:t>
                  </w:r>
                </w:p>
              </w:tc>
              <w:tc>
                <w:tcPr>
                  <w:tcW w:w="575" w:type="pct"/>
                  <w:shd w:val="clear" w:color="000000" w:fill="FFFFFF"/>
                  <w:vAlign w:val="center"/>
                </w:tcPr>
                <w:p>
                  <w:pPr>
                    <w:pStyle w:val="13"/>
                    <w:rPr>
                      <w:u w:val="single"/>
                    </w:rPr>
                  </w:pPr>
                  <w:r>
                    <w:rPr>
                      <w:rFonts w:hint="eastAsia"/>
                      <w:u w:val="singl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shd w:val="clear" w:color="000000" w:fill="FFFFFF"/>
                  <w:vAlign w:val="center"/>
                </w:tcPr>
                <w:p>
                  <w:pPr>
                    <w:pStyle w:val="13"/>
                    <w:rPr>
                      <w:u w:val="single"/>
                    </w:rPr>
                  </w:pPr>
                  <w:r>
                    <w:rPr>
                      <w:rFonts w:hint="eastAsia"/>
                      <w:u w:val="single"/>
                    </w:rPr>
                    <w:t>矿区开采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67" w:type="pct"/>
                  <w:shd w:val="clear" w:color="000000" w:fill="FFFFFF"/>
                  <w:vAlign w:val="center"/>
                </w:tcPr>
                <w:p>
                  <w:pPr>
                    <w:pStyle w:val="13"/>
                    <w:rPr>
                      <w:u w:val="single"/>
                    </w:rPr>
                  </w:pPr>
                  <w:r>
                    <w:rPr>
                      <w:u w:val="single"/>
                    </w:rPr>
                    <w:t>1</w:t>
                  </w:r>
                </w:p>
              </w:tc>
              <w:tc>
                <w:tcPr>
                  <w:tcW w:w="1379" w:type="pct"/>
                  <w:shd w:val="clear" w:color="000000" w:fill="FFFFFF"/>
                  <w:vAlign w:val="center"/>
                </w:tcPr>
                <w:p>
                  <w:pPr>
                    <w:pStyle w:val="13"/>
                    <w:rPr>
                      <w:u w:val="single"/>
                    </w:rPr>
                  </w:pPr>
                  <w:r>
                    <w:rPr>
                      <w:rFonts w:hint="eastAsia"/>
                      <w:u w:val="single"/>
                    </w:rPr>
                    <w:t>挖掘机</w:t>
                  </w:r>
                </w:p>
              </w:tc>
              <w:tc>
                <w:tcPr>
                  <w:tcW w:w="2027" w:type="pct"/>
                  <w:shd w:val="clear" w:color="000000" w:fill="FFFFFF"/>
                  <w:vAlign w:val="center"/>
                </w:tcPr>
                <w:p>
                  <w:pPr>
                    <w:pStyle w:val="13"/>
                    <w:rPr>
                      <w:u w:val="single"/>
                    </w:rPr>
                  </w:pPr>
                  <w:r>
                    <w:rPr>
                      <w:rFonts w:hint="eastAsia"/>
                      <w:u w:val="single"/>
                    </w:rPr>
                    <w:t>小松 PC-300</w:t>
                  </w:r>
                </w:p>
              </w:tc>
              <w:tc>
                <w:tcPr>
                  <w:tcW w:w="552" w:type="pct"/>
                  <w:shd w:val="clear" w:color="000000" w:fill="FFFFFF"/>
                  <w:vAlign w:val="center"/>
                </w:tcPr>
                <w:p>
                  <w:pPr>
                    <w:pStyle w:val="13"/>
                    <w:rPr>
                      <w:u w:val="single"/>
                    </w:rPr>
                  </w:pPr>
                  <w:r>
                    <w:rPr>
                      <w:rFonts w:hint="eastAsia"/>
                      <w:u w:val="single"/>
                    </w:rPr>
                    <w:t>台</w:t>
                  </w:r>
                </w:p>
              </w:tc>
              <w:tc>
                <w:tcPr>
                  <w:tcW w:w="575" w:type="pct"/>
                  <w:shd w:val="clear" w:color="000000" w:fill="FFFFFF"/>
                  <w:vAlign w:val="center"/>
                </w:tcPr>
                <w:p>
                  <w:pPr>
                    <w:pStyle w:val="13"/>
                    <w:rPr>
                      <w:u w:val="single"/>
                    </w:rPr>
                  </w:pPr>
                  <w:r>
                    <w:rPr>
                      <w:rFonts w:hint="eastAsia"/>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u w:val="single"/>
                    </w:rPr>
                    <w:t>2</w:t>
                  </w:r>
                </w:p>
              </w:tc>
              <w:tc>
                <w:tcPr>
                  <w:tcW w:w="1379" w:type="pct"/>
                  <w:shd w:val="clear" w:color="000000" w:fill="FFFFFF"/>
                  <w:vAlign w:val="center"/>
                </w:tcPr>
                <w:p>
                  <w:pPr>
                    <w:pStyle w:val="13"/>
                    <w:rPr>
                      <w:u w:val="single"/>
                    </w:rPr>
                  </w:pPr>
                  <w:r>
                    <w:rPr>
                      <w:rFonts w:hint="eastAsia"/>
                      <w:u w:val="single"/>
                    </w:rPr>
                    <w:t>自卸车</w:t>
                  </w:r>
                </w:p>
              </w:tc>
              <w:tc>
                <w:tcPr>
                  <w:tcW w:w="2027" w:type="pct"/>
                  <w:shd w:val="clear" w:color="000000" w:fill="FFFFFF"/>
                  <w:vAlign w:val="center"/>
                </w:tcPr>
                <w:p>
                  <w:pPr>
                    <w:pStyle w:val="13"/>
                    <w:rPr>
                      <w:u w:val="single"/>
                      <w:lang w:val="zh-CN"/>
                    </w:rPr>
                  </w:pPr>
                  <w:r>
                    <w:rPr>
                      <w:u w:val="single"/>
                      <w:lang w:val="zh-CN"/>
                    </w:rPr>
                    <w:t>30T</w:t>
                  </w:r>
                </w:p>
              </w:tc>
              <w:tc>
                <w:tcPr>
                  <w:tcW w:w="552" w:type="pct"/>
                  <w:shd w:val="clear" w:color="000000" w:fill="FFFFFF"/>
                  <w:vAlign w:val="center"/>
                </w:tcPr>
                <w:p>
                  <w:pPr>
                    <w:pStyle w:val="13"/>
                    <w:rPr>
                      <w:u w:val="single"/>
                    </w:rPr>
                  </w:pPr>
                  <w:r>
                    <w:rPr>
                      <w:rFonts w:hint="eastAsia"/>
                      <w:u w:val="single"/>
                    </w:rPr>
                    <w:t>台</w:t>
                  </w:r>
                </w:p>
              </w:tc>
              <w:tc>
                <w:tcPr>
                  <w:tcW w:w="575" w:type="pct"/>
                  <w:shd w:val="clear" w:color="000000" w:fill="FFFFFF"/>
                  <w:vAlign w:val="center"/>
                </w:tcPr>
                <w:p>
                  <w:pPr>
                    <w:pStyle w:val="13"/>
                    <w:rPr>
                      <w:u w:val="single"/>
                    </w:rPr>
                  </w:pPr>
                  <w:r>
                    <w:rPr>
                      <w:rFonts w:hint="eastAsia"/>
                      <w:u w:val="singl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u w:val="single"/>
                    </w:rPr>
                    <w:t>3</w:t>
                  </w:r>
                </w:p>
              </w:tc>
              <w:tc>
                <w:tcPr>
                  <w:tcW w:w="1379" w:type="pct"/>
                  <w:shd w:val="clear" w:color="000000" w:fill="FFFFFF"/>
                  <w:vAlign w:val="center"/>
                </w:tcPr>
                <w:p>
                  <w:pPr>
                    <w:pStyle w:val="13"/>
                    <w:rPr>
                      <w:u w:val="single"/>
                    </w:rPr>
                  </w:pPr>
                  <w:r>
                    <w:rPr>
                      <w:rFonts w:hint="eastAsia"/>
                      <w:u w:val="single"/>
                    </w:rPr>
                    <w:t>皮带运输系统</w:t>
                  </w:r>
                </w:p>
              </w:tc>
              <w:tc>
                <w:tcPr>
                  <w:tcW w:w="2027" w:type="pct"/>
                  <w:shd w:val="clear" w:color="000000" w:fill="FFFFFF"/>
                  <w:vAlign w:val="center"/>
                </w:tcPr>
                <w:p>
                  <w:pPr>
                    <w:pStyle w:val="13"/>
                    <w:rPr>
                      <w:u w:val="single"/>
                    </w:rPr>
                  </w:pPr>
                  <w:r>
                    <w:rPr>
                      <w:rFonts w:hint="eastAsia"/>
                      <w:u w:val="single"/>
                    </w:rPr>
                    <w:t>/</w:t>
                  </w:r>
                </w:p>
              </w:tc>
              <w:tc>
                <w:tcPr>
                  <w:tcW w:w="552" w:type="pct"/>
                  <w:shd w:val="clear" w:color="000000" w:fill="FFFFFF"/>
                  <w:vAlign w:val="center"/>
                </w:tcPr>
                <w:p>
                  <w:pPr>
                    <w:pStyle w:val="13"/>
                    <w:rPr>
                      <w:u w:val="single"/>
                    </w:rPr>
                  </w:pPr>
                  <w:r>
                    <w:rPr>
                      <w:rFonts w:hint="eastAsia"/>
                      <w:u w:val="single"/>
                    </w:rPr>
                    <w:t>套</w:t>
                  </w:r>
                </w:p>
              </w:tc>
              <w:tc>
                <w:tcPr>
                  <w:tcW w:w="575" w:type="pct"/>
                  <w:shd w:val="clear" w:color="000000" w:fill="FFFFFF"/>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4</w:t>
                  </w:r>
                </w:p>
              </w:tc>
              <w:tc>
                <w:tcPr>
                  <w:tcW w:w="1379" w:type="pct"/>
                  <w:shd w:val="clear" w:color="000000" w:fill="FFFFFF"/>
                  <w:vAlign w:val="center"/>
                </w:tcPr>
                <w:p>
                  <w:pPr>
                    <w:pStyle w:val="13"/>
                    <w:rPr>
                      <w:u w:val="single"/>
                    </w:rPr>
                  </w:pPr>
                  <w:r>
                    <w:rPr>
                      <w:rFonts w:hint="eastAsia"/>
                      <w:u w:val="single"/>
                    </w:rPr>
                    <w:t>洒水车</w:t>
                  </w:r>
                </w:p>
              </w:tc>
              <w:tc>
                <w:tcPr>
                  <w:tcW w:w="2027" w:type="pct"/>
                  <w:shd w:val="clear" w:color="000000" w:fill="FFFFFF"/>
                  <w:vAlign w:val="center"/>
                </w:tcPr>
                <w:p>
                  <w:pPr>
                    <w:pStyle w:val="13"/>
                    <w:rPr>
                      <w:u w:val="single"/>
                    </w:rPr>
                  </w:pPr>
                  <w:r>
                    <w:rPr>
                      <w:rFonts w:hint="eastAsia"/>
                      <w:u w:val="single"/>
                    </w:rPr>
                    <w:t>/</w:t>
                  </w:r>
                </w:p>
              </w:tc>
              <w:tc>
                <w:tcPr>
                  <w:tcW w:w="552" w:type="pct"/>
                  <w:shd w:val="clear" w:color="000000" w:fill="FFFFFF"/>
                  <w:vAlign w:val="center"/>
                </w:tcPr>
                <w:p>
                  <w:pPr>
                    <w:pStyle w:val="13"/>
                    <w:rPr>
                      <w:u w:val="single"/>
                    </w:rPr>
                  </w:pPr>
                  <w:r>
                    <w:rPr>
                      <w:rFonts w:hint="eastAsia"/>
                      <w:u w:val="single"/>
                    </w:rPr>
                    <w:t>台</w:t>
                  </w:r>
                </w:p>
              </w:tc>
              <w:tc>
                <w:tcPr>
                  <w:tcW w:w="575" w:type="pct"/>
                  <w:shd w:val="clear" w:color="000000" w:fill="FFFFFF"/>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5</w:t>
                  </w:r>
                </w:p>
              </w:tc>
              <w:tc>
                <w:tcPr>
                  <w:tcW w:w="1379" w:type="pct"/>
                  <w:shd w:val="clear" w:color="000000" w:fill="FFFFFF"/>
                  <w:vAlign w:val="center"/>
                </w:tcPr>
                <w:p>
                  <w:pPr>
                    <w:pStyle w:val="13"/>
                    <w:rPr>
                      <w:u w:val="single"/>
                    </w:rPr>
                  </w:pPr>
                  <w:r>
                    <w:rPr>
                      <w:rFonts w:hint="eastAsia"/>
                      <w:u w:val="single"/>
                    </w:rPr>
                    <w:t>喷雾设施</w:t>
                  </w:r>
                </w:p>
              </w:tc>
              <w:tc>
                <w:tcPr>
                  <w:tcW w:w="2027" w:type="pct"/>
                  <w:shd w:val="clear" w:color="000000" w:fill="FFFFFF"/>
                  <w:vAlign w:val="center"/>
                </w:tcPr>
                <w:p>
                  <w:pPr>
                    <w:pStyle w:val="13"/>
                    <w:rPr>
                      <w:u w:val="single"/>
                    </w:rPr>
                  </w:pPr>
                  <w:r>
                    <w:rPr>
                      <w:rFonts w:hint="eastAsia"/>
                      <w:u w:val="single"/>
                    </w:rPr>
                    <w:t>/</w:t>
                  </w:r>
                </w:p>
              </w:tc>
              <w:tc>
                <w:tcPr>
                  <w:tcW w:w="552" w:type="pct"/>
                  <w:shd w:val="clear" w:color="000000" w:fill="FFFFFF"/>
                  <w:vAlign w:val="center"/>
                </w:tcPr>
                <w:p>
                  <w:pPr>
                    <w:pStyle w:val="13"/>
                    <w:rPr>
                      <w:u w:val="single"/>
                    </w:rPr>
                  </w:pPr>
                  <w:r>
                    <w:rPr>
                      <w:rFonts w:hint="eastAsia"/>
                      <w:u w:val="single"/>
                    </w:rPr>
                    <w:t>台</w:t>
                  </w:r>
                </w:p>
              </w:tc>
              <w:tc>
                <w:tcPr>
                  <w:tcW w:w="575" w:type="pct"/>
                  <w:shd w:val="clear" w:color="000000" w:fill="FFFFFF"/>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67" w:type="pct"/>
                  <w:shd w:val="clear" w:color="000000" w:fill="FFFFFF"/>
                  <w:vAlign w:val="center"/>
                </w:tcPr>
                <w:p>
                  <w:pPr>
                    <w:pStyle w:val="13"/>
                    <w:rPr>
                      <w:u w:val="single"/>
                    </w:rPr>
                  </w:pPr>
                  <w:r>
                    <w:rPr>
                      <w:rFonts w:hint="eastAsia"/>
                      <w:u w:val="single"/>
                    </w:rPr>
                    <w:t>6</w:t>
                  </w:r>
                </w:p>
              </w:tc>
              <w:tc>
                <w:tcPr>
                  <w:tcW w:w="1379" w:type="pct"/>
                  <w:shd w:val="clear" w:color="000000" w:fill="FFFFFF"/>
                  <w:vAlign w:val="center"/>
                </w:tcPr>
                <w:p>
                  <w:pPr>
                    <w:pStyle w:val="13"/>
                    <w:rPr>
                      <w:u w:val="single"/>
                    </w:rPr>
                  </w:pPr>
                  <w:r>
                    <w:rPr>
                      <w:rFonts w:hint="eastAsia"/>
                      <w:u w:val="single"/>
                    </w:rPr>
                    <w:t>移动式洒水喷淋设施</w:t>
                  </w:r>
                </w:p>
              </w:tc>
              <w:tc>
                <w:tcPr>
                  <w:tcW w:w="2027" w:type="pct"/>
                  <w:shd w:val="clear" w:color="000000" w:fill="FFFFFF"/>
                  <w:vAlign w:val="center"/>
                </w:tcPr>
                <w:p>
                  <w:pPr>
                    <w:pStyle w:val="13"/>
                    <w:rPr>
                      <w:u w:val="single"/>
                    </w:rPr>
                  </w:pPr>
                  <w:r>
                    <w:rPr>
                      <w:rFonts w:hint="eastAsia"/>
                      <w:u w:val="single"/>
                    </w:rPr>
                    <w:t>/</w:t>
                  </w:r>
                </w:p>
              </w:tc>
              <w:tc>
                <w:tcPr>
                  <w:tcW w:w="552" w:type="pct"/>
                  <w:shd w:val="clear" w:color="000000" w:fill="FFFFFF"/>
                  <w:vAlign w:val="center"/>
                </w:tcPr>
                <w:p>
                  <w:pPr>
                    <w:pStyle w:val="13"/>
                    <w:rPr>
                      <w:u w:val="single"/>
                    </w:rPr>
                  </w:pPr>
                  <w:r>
                    <w:rPr>
                      <w:rFonts w:hint="eastAsia"/>
                      <w:u w:val="single"/>
                    </w:rPr>
                    <w:t>台</w:t>
                  </w:r>
                </w:p>
              </w:tc>
              <w:tc>
                <w:tcPr>
                  <w:tcW w:w="575" w:type="pct"/>
                  <w:shd w:val="clear" w:color="000000" w:fill="FFFFFF"/>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7</w:t>
                  </w:r>
                </w:p>
              </w:tc>
              <w:tc>
                <w:tcPr>
                  <w:tcW w:w="1379" w:type="pct"/>
                  <w:shd w:val="clear" w:color="000000" w:fill="FFFFFF"/>
                  <w:vAlign w:val="center"/>
                </w:tcPr>
                <w:p>
                  <w:pPr>
                    <w:pStyle w:val="13"/>
                    <w:rPr>
                      <w:u w:val="single"/>
                    </w:rPr>
                  </w:pPr>
                  <w:r>
                    <w:rPr>
                      <w:rFonts w:hint="eastAsia"/>
                      <w:u w:val="single"/>
                    </w:rPr>
                    <w:t>沉砂池</w:t>
                  </w:r>
                </w:p>
              </w:tc>
              <w:tc>
                <w:tcPr>
                  <w:tcW w:w="2027" w:type="pct"/>
                  <w:shd w:val="clear" w:color="000000" w:fill="FFFFFF"/>
                  <w:vAlign w:val="center"/>
                </w:tcPr>
                <w:p>
                  <w:pPr>
                    <w:pStyle w:val="13"/>
                    <w:rPr>
                      <w:u w:val="single"/>
                    </w:rPr>
                  </w:pPr>
                  <w:r>
                    <w:rPr>
                      <w:rFonts w:hint="eastAsia"/>
                      <w:u w:val="single"/>
                    </w:rPr>
                    <w:t>每处至少80m</w:t>
                  </w:r>
                  <w:r>
                    <w:rPr>
                      <w:rFonts w:hint="eastAsia"/>
                      <w:u w:val="single"/>
                      <w:vertAlign w:val="superscript"/>
                    </w:rPr>
                    <w:t>3</w:t>
                  </w:r>
                </w:p>
              </w:tc>
              <w:tc>
                <w:tcPr>
                  <w:tcW w:w="552" w:type="pct"/>
                  <w:shd w:val="clear" w:color="000000" w:fill="FFFFFF"/>
                  <w:vAlign w:val="center"/>
                </w:tcPr>
                <w:p>
                  <w:pPr>
                    <w:pStyle w:val="13"/>
                    <w:rPr>
                      <w:u w:val="single"/>
                    </w:rPr>
                  </w:pPr>
                  <w:r>
                    <w:rPr>
                      <w:rFonts w:hint="eastAsia"/>
                      <w:u w:val="single"/>
                    </w:rPr>
                    <w:t>个</w:t>
                  </w:r>
                </w:p>
              </w:tc>
              <w:tc>
                <w:tcPr>
                  <w:tcW w:w="575" w:type="pct"/>
                  <w:shd w:val="clear" w:color="000000" w:fill="FFFFFF"/>
                  <w:vAlign w:val="center"/>
                </w:tcPr>
                <w:p>
                  <w:pPr>
                    <w:pStyle w:val="13"/>
                    <w:rPr>
                      <w:u w:val="single"/>
                    </w:rPr>
                  </w:pPr>
                  <w:r>
                    <w:rPr>
                      <w:rFonts w:hint="eastAsia"/>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67" w:type="pct"/>
                  <w:shd w:val="clear" w:color="000000" w:fill="FFFFFF"/>
                  <w:vAlign w:val="center"/>
                </w:tcPr>
                <w:p>
                  <w:pPr>
                    <w:pStyle w:val="13"/>
                    <w:rPr>
                      <w:u w:val="single"/>
                    </w:rPr>
                  </w:pPr>
                  <w:r>
                    <w:rPr>
                      <w:rFonts w:hint="eastAsia"/>
                      <w:u w:val="single"/>
                    </w:rPr>
                    <w:t>8</w:t>
                  </w:r>
                </w:p>
              </w:tc>
              <w:tc>
                <w:tcPr>
                  <w:tcW w:w="1379" w:type="pct"/>
                  <w:shd w:val="clear" w:color="000000" w:fill="FFFFFF"/>
                  <w:vAlign w:val="center"/>
                </w:tcPr>
                <w:p>
                  <w:pPr>
                    <w:pStyle w:val="13"/>
                    <w:rPr>
                      <w:u w:val="single"/>
                    </w:rPr>
                  </w:pPr>
                  <w:r>
                    <w:rPr>
                      <w:rFonts w:hint="eastAsia"/>
                      <w:u w:val="single"/>
                    </w:rPr>
                    <w:t>排水沟</w:t>
                  </w:r>
                </w:p>
              </w:tc>
              <w:tc>
                <w:tcPr>
                  <w:tcW w:w="2027" w:type="pct"/>
                  <w:shd w:val="clear" w:color="000000" w:fill="FFFFFF"/>
                  <w:vAlign w:val="center"/>
                </w:tcPr>
                <w:p>
                  <w:pPr>
                    <w:pStyle w:val="13"/>
                    <w:rPr>
                      <w:u w:val="single"/>
                    </w:rPr>
                  </w:pPr>
                  <w:r>
                    <w:rPr>
                      <w:rFonts w:hint="eastAsia"/>
                      <w:u w:val="single"/>
                    </w:rPr>
                    <w:t>/</w:t>
                  </w:r>
                </w:p>
              </w:tc>
              <w:tc>
                <w:tcPr>
                  <w:tcW w:w="552" w:type="pct"/>
                  <w:shd w:val="clear" w:color="000000" w:fill="FFFFFF"/>
                  <w:vAlign w:val="center"/>
                </w:tcPr>
                <w:p>
                  <w:pPr>
                    <w:pStyle w:val="13"/>
                    <w:rPr>
                      <w:u w:val="single"/>
                    </w:rPr>
                  </w:pPr>
                  <w:r>
                    <w:rPr>
                      <w:rFonts w:hint="eastAsia"/>
                      <w:u w:val="single"/>
                    </w:rPr>
                    <w:t>m</w:t>
                  </w:r>
                </w:p>
              </w:tc>
              <w:tc>
                <w:tcPr>
                  <w:tcW w:w="575" w:type="pct"/>
                  <w:shd w:val="clear" w:color="000000" w:fill="FFFFFF"/>
                  <w:vAlign w:val="center"/>
                </w:tcPr>
                <w:p>
                  <w:pPr>
                    <w:pStyle w:val="13"/>
                    <w:rPr>
                      <w:u w:val="single"/>
                    </w:rPr>
                  </w:pPr>
                  <w:r>
                    <w:rPr>
                      <w:rFonts w:hint="eastAsia"/>
                      <w:u w:val="single"/>
                    </w:rPr>
                    <w:t>2544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000" w:type="pct"/>
                  <w:gridSpan w:val="5"/>
                  <w:shd w:val="clear" w:color="000000" w:fill="FFFFFF"/>
                  <w:vAlign w:val="center"/>
                </w:tcPr>
                <w:p>
                  <w:pPr>
                    <w:pStyle w:val="13"/>
                    <w:rPr>
                      <w:u w:val="single"/>
                    </w:rPr>
                  </w:pPr>
                  <w:r>
                    <w:rPr>
                      <w:rFonts w:hint="eastAsia"/>
                      <w:u w:val="single"/>
                    </w:rPr>
                    <w:t>生产加工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67" w:type="pct"/>
                  <w:shd w:val="clear" w:color="000000" w:fill="FFFFFF"/>
                  <w:vAlign w:val="center"/>
                </w:tcPr>
                <w:p>
                  <w:pPr>
                    <w:pStyle w:val="13"/>
                    <w:rPr>
                      <w:u w:val="single"/>
                    </w:rPr>
                  </w:pPr>
                  <w:r>
                    <w:rPr>
                      <w:rFonts w:hint="eastAsia"/>
                      <w:u w:val="single"/>
                    </w:rPr>
                    <w:t>1</w:t>
                  </w:r>
                </w:p>
              </w:tc>
              <w:tc>
                <w:tcPr>
                  <w:tcW w:w="1379" w:type="pct"/>
                  <w:shd w:val="clear" w:color="auto" w:fill="auto"/>
                  <w:vAlign w:val="center"/>
                </w:tcPr>
                <w:p>
                  <w:pPr>
                    <w:pStyle w:val="13"/>
                    <w:rPr>
                      <w:u w:val="single"/>
                    </w:rPr>
                  </w:pPr>
                  <w:r>
                    <w:rPr>
                      <w:rFonts w:hint="eastAsia"/>
                      <w:u w:val="single"/>
                    </w:rPr>
                    <w:t>多缸液压圆锥破碎机</w:t>
                  </w:r>
                </w:p>
              </w:tc>
              <w:tc>
                <w:tcPr>
                  <w:tcW w:w="2027" w:type="pct"/>
                  <w:shd w:val="clear" w:color="000000" w:fill="FFFFFF"/>
                  <w:vAlign w:val="center"/>
                </w:tcPr>
                <w:p>
                  <w:pPr>
                    <w:pStyle w:val="13"/>
                    <w:rPr>
                      <w:u w:val="single"/>
                    </w:rPr>
                  </w:pPr>
                  <w:r>
                    <w:rPr>
                      <w:u w:val="single"/>
                    </w:rPr>
                    <w:t>HPT500</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2</w:t>
                  </w:r>
                </w:p>
              </w:tc>
              <w:tc>
                <w:tcPr>
                  <w:tcW w:w="1379" w:type="pct"/>
                  <w:shd w:val="clear" w:color="auto" w:fill="auto"/>
                  <w:vAlign w:val="center"/>
                </w:tcPr>
                <w:p>
                  <w:pPr>
                    <w:pStyle w:val="13"/>
                    <w:rPr>
                      <w:u w:val="single"/>
                    </w:rPr>
                  </w:pPr>
                  <w:r>
                    <w:rPr>
                      <w:rFonts w:hint="eastAsia"/>
                      <w:u w:val="single"/>
                    </w:rPr>
                    <w:t>立轴冲击式破碎机</w:t>
                  </w:r>
                </w:p>
              </w:tc>
              <w:tc>
                <w:tcPr>
                  <w:tcW w:w="2027" w:type="pct"/>
                  <w:shd w:val="clear" w:color="000000" w:fill="FFFFFF"/>
                  <w:vAlign w:val="center"/>
                </w:tcPr>
                <w:p>
                  <w:pPr>
                    <w:pStyle w:val="13"/>
                    <w:rPr>
                      <w:u w:val="single"/>
                    </w:rPr>
                  </w:pPr>
                  <w:r>
                    <w:rPr>
                      <w:u w:val="single"/>
                    </w:rPr>
                    <w:t>VSI6X1263</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67" w:type="pct"/>
                  <w:shd w:val="clear" w:color="000000" w:fill="FFFFFF"/>
                  <w:vAlign w:val="center"/>
                </w:tcPr>
                <w:p>
                  <w:pPr>
                    <w:pStyle w:val="13"/>
                    <w:rPr>
                      <w:u w:val="single"/>
                    </w:rPr>
                  </w:pPr>
                  <w:r>
                    <w:rPr>
                      <w:rFonts w:hint="eastAsia"/>
                      <w:u w:val="single"/>
                    </w:rPr>
                    <w:t>3</w:t>
                  </w:r>
                </w:p>
              </w:tc>
              <w:tc>
                <w:tcPr>
                  <w:tcW w:w="1379" w:type="pct"/>
                  <w:shd w:val="clear" w:color="auto" w:fill="auto"/>
                  <w:vAlign w:val="center"/>
                </w:tcPr>
                <w:p>
                  <w:pPr>
                    <w:pStyle w:val="13"/>
                    <w:rPr>
                      <w:u w:val="single"/>
                    </w:rPr>
                  </w:pPr>
                  <w:r>
                    <w:rPr>
                      <w:rFonts w:hint="eastAsia"/>
                      <w:u w:val="single"/>
                    </w:rPr>
                    <w:t>振动筛</w:t>
                  </w:r>
                </w:p>
              </w:tc>
              <w:tc>
                <w:tcPr>
                  <w:tcW w:w="2027" w:type="pct"/>
                  <w:shd w:val="clear" w:color="000000" w:fill="FFFFFF"/>
                  <w:vAlign w:val="center"/>
                </w:tcPr>
                <w:p>
                  <w:pPr>
                    <w:pStyle w:val="13"/>
                    <w:rPr>
                      <w:u w:val="single"/>
                    </w:rPr>
                  </w:pPr>
                  <w:r>
                    <w:rPr>
                      <w:u w:val="single"/>
                    </w:rPr>
                    <w:t>S5X3072-2</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67" w:type="pct"/>
                  <w:shd w:val="clear" w:color="000000" w:fill="FFFFFF"/>
                  <w:vAlign w:val="center"/>
                </w:tcPr>
                <w:p>
                  <w:pPr>
                    <w:pStyle w:val="13"/>
                    <w:rPr>
                      <w:u w:val="single"/>
                    </w:rPr>
                  </w:pPr>
                  <w:r>
                    <w:rPr>
                      <w:rFonts w:hint="eastAsia"/>
                      <w:u w:val="single"/>
                    </w:rPr>
                    <w:t>4</w:t>
                  </w:r>
                </w:p>
              </w:tc>
              <w:tc>
                <w:tcPr>
                  <w:tcW w:w="1379" w:type="pct"/>
                  <w:shd w:val="clear" w:color="auto" w:fill="auto"/>
                  <w:vAlign w:val="center"/>
                </w:tcPr>
                <w:p>
                  <w:pPr>
                    <w:pStyle w:val="13"/>
                    <w:rPr>
                      <w:u w:val="single"/>
                    </w:rPr>
                  </w:pPr>
                  <w:r>
                    <w:rPr>
                      <w:rFonts w:hint="eastAsia"/>
                      <w:u w:val="single"/>
                    </w:rPr>
                    <w:t>给料机</w:t>
                  </w:r>
                </w:p>
              </w:tc>
              <w:tc>
                <w:tcPr>
                  <w:tcW w:w="2027" w:type="pct"/>
                  <w:shd w:val="clear" w:color="000000" w:fill="FFFFFF"/>
                  <w:vAlign w:val="center"/>
                </w:tcPr>
                <w:p>
                  <w:pPr>
                    <w:pStyle w:val="13"/>
                    <w:rPr>
                      <w:u w:val="single"/>
                    </w:rPr>
                  </w:pPr>
                  <w:r>
                    <w:rPr>
                      <w:u w:val="single"/>
                    </w:rPr>
                    <w:t>SP1220</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u w:val="singl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5</w:t>
                  </w:r>
                </w:p>
              </w:tc>
              <w:tc>
                <w:tcPr>
                  <w:tcW w:w="1379" w:type="pct"/>
                  <w:shd w:val="clear" w:color="auto" w:fill="auto"/>
                  <w:vAlign w:val="center"/>
                </w:tcPr>
                <w:p>
                  <w:pPr>
                    <w:pStyle w:val="13"/>
                    <w:rPr>
                      <w:u w:val="single"/>
                    </w:rPr>
                  </w:pPr>
                  <w:r>
                    <w:rPr>
                      <w:rFonts w:hint="eastAsia"/>
                      <w:u w:val="single"/>
                    </w:rPr>
                    <w:t>洗砂回收一体机</w:t>
                  </w:r>
                </w:p>
              </w:tc>
              <w:tc>
                <w:tcPr>
                  <w:tcW w:w="2027" w:type="pct"/>
                  <w:shd w:val="clear" w:color="000000" w:fill="FFFFFF"/>
                  <w:vAlign w:val="center"/>
                </w:tcPr>
                <w:p>
                  <w:pPr>
                    <w:pStyle w:val="13"/>
                    <w:rPr>
                      <w:u w:val="single"/>
                    </w:rPr>
                  </w:pPr>
                  <w:r>
                    <w:rPr>
                      <w:u w:val="single"/>
                    </w:rPr>
                    <w:t>LZ30-65-1530J</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6</w:t>
                  </w:r>
                </w:p>
              </w:tc>
              <w:tc>
                <w:tcPr>
                  <w:tcW w:w="1379" w:type="pct"/>
                  <w:shd w:val="clear" w:color="auto" w:fill="auto"/>
                  <w:vAlign w:val="center"/>
                </w:tcPr>
                <w:p>
                  <w:pPr>
                    <w:pStyle w:val="13"/>
                    <w:rPr>
                      <w:u w:val="single"/>
                    </w:rPr>
                  </w:pPr>
                  <w:r>
                    <w:rPr>
                      <w:rFonts w:hint="eastAsia"/>
                      <w:u w:val="single"/>
                    </w:rPr>
                    <w:t>洗砂回收一体机</w:t>
                  </w:r>
                </w:p>
              </w:tc>
              <w:tc>
                <w:tcPr>
                  <w:tcW w:w="2027" w:type="pct"/>
                  <w:shd w:val="clear" w:color="000000" w:fill="FFFFFF"/>
                  <w:vAlign w:val="center"/>
                </w:tcPr>
                <w:p>
                  <w:pPr>
                    <w:pStyle w:val="13"/>
                    <w:rPr>
                      <w:u w:val="single"/>
                    </w:rPr>
                  </w:pPr>
                  <w:r>
                    <w:rPr>
                      <w:u w:val="single"/>
                    </w:rPr>
                    <w:t>LZ36-120-2448</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7</w:t>
                  </w:r>
                </w:p>
              </w:tc>
              <w:tc>
                <w:tcPr>
                  <w:tcW w:w="1379" w:type="pct"/>
                  <w:shd w:val="clear" w:color="auto" w:fill="auto"/>
                  <w:vAlign w:val="center"/>
                </w:tcPr>
                <w:p>
                  <w:pPr>
                    <w:pStyle w:val="13"/>
                    <w:rPr>
                      <w:u w:val="single"/>
                    </w:rPr>
                  </w:pPr>
                  <w:r>
                    <w:rPr>
                      <w:rFonts w:hint="eastAsia"/>
                      <w:u w:val="single"/>
                    </w:rPr>
                    <w:t>双螺旋洗砂机</w:t>
                  </w:r>
                </w:p>
              </w:tc>
              <w:tc>
                <w:tcPr>
                  <w:tcW w:w="2027" w:type="pct"/>
                  <w:shd w:val="clear" w:color="000000" w:fill="FFFFFF"/>
                  <w:vAlign w:val="center"/>
                </w:tcPr>
                <w:p>
                  <w:pPr>
                    <w:pStyle w:val="13"/>
                    <w:rPr>
                      <w:u w:val="single"/>
                    </w:rPr>
                  </w:pPr>
                  <w:r>
                    <w:rPr>
                      <w:u w:val="single"/>
                    </w:rPr>
                    <w:t>2LX-1570</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vMerge w:val="restart"/>
                  <w:shd w:val="clear" w:color="000000" w:fill="FFFFFF"/>
                  <w:vAlign w:val="center"/>
                </w:tcPr>
                <w:p>
                  <w:pPr>
                    <w:pStyle w:val="13"/>
                    <w:rPr>
                      <w:u w:val="single"/>
                    </w:rPr>
                  </w:pPr>
                  <w:r>
                    <w:rPr>
                      <w:rFonts w:hint="eastAsia"/>
                      <w:u w:val="single"/>
                    </w:rPr>
                    <w:t>8</w:t>
                  </w:r>
                </w:p>
              </w:tc>
              <w:tc>
                <w:tcPr>
                  <w:tcW w:w="1379" w:type="pct"/>
                  <w:vMerge w:val="restart"/>
                  <w:shd w:val="clear" w:color="auto" w:fill="auto"/>
                  <w:vAlign w:val="center"/>
                </w:tcPr>
                <w:p>
                  <w:pPr>
                    <w:pStyle w:val="13"/>
                    <w:rPr>
                      <w:u w:val="single"/>
                    </w:rPr>
                  </w:pPr>
                  <w:r>
                    <w:rPr>
                      <w:rFonts w:hint="eastAsia"/>
                      <w:u w:val="single"/>
                    </w:rPr>
                    <w:t>污水处理系统</w:t>
                  </w:r>
                </w:p>
              </w:tc>
              <w:tc>
                <w:tcPr>
                  <w:tcW w:w="2027" w:type="pct"/>
                  <w:shd w:val="clear" w:color="000000" w:fill="FFFFFF"/>
                  <w:vAlign w:val="center"/>
                </w:tcPr>
                <w:p>
                  <w:pPr>
                    <w:pStyle w:val="13"/>
                    <w:rPr>
                      <w:u w:val="single"/>
                    </w:rPr>
                  </w:pPr>
                  <w:r>
                    <w:rPr>
                      <w:u w:val="single"/>
                    </w:rPr>
                    <w:t>XMGFZ500/1500-</w:t>
                  </w:r>
                  <w:r>
                    <w:rPr>
                      <w:rFonts w:hint="eastAsia"/>
                      <w:u w:val="single"/>
                    </w:rPr>
                    <w:t>UB压滤机</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vMerge w:val="continue"/>
                  <w:shd w:val="clear" w:color="000000" w:fill="FFFFFF"/>
                  <w:vAlign w:val="center"/>
                </w:tcPr>
                <w:p>
                  <w:pPr>
                    <w:pStyle w:val="13"/>
                    <w:rPr>
                      <w:u w:val="single"/>
                    </w:rPr>
                  </w:pPr>
                </w:p>
              </w:tc>
              <w:tc>
                <w:tcPr>
                  <w:tcW w:w="1379" w:type="pct"/>
                  <w:vMerge w:val="continue"/>
                  <w:shd w:val="clear" w:color="auto" w:fill="auto"/>
                  <w:vAlign w:val="center"/>
                </w:tcPr>
                <w:p>
                  <w:pPr>
                    <w:pStyle w:val="13"/>
                    <w:rPr>
                      <w:u w:val="single"/>
                    </w:rPr>
                  </w:pPr>
                </w:p>
              </w:tc>
              <w:tc>
                <w:tcPr>
                  <w:tcW w:w="2027" w:type="pct"/>
                  <w:shd w:val="clear" w:color="000000" w:fill="FFFFFF"/>
                  <w:vAlign w:val="center"/>
                </w:tcPr>
                <w:p>
                  <w:pPr>
                    <w:pStyle w:val="13"/>
                    <w:rPr>
                      <w:u w:val="single"/>
                    </w:rPr>
                  </w:pPr>
                  <w:r>
                    <w:rPr>
                      <w:rFonts w:hint="eastAsia"/>
                      <w:u w:val="single"/>
                    </w:rPr>
                    <w:t>1000m</w:t>
                  </w:r>
                  <w:r>
                    <w:rPr>
                      <w:rFonts w:hint="eastAsia"/>
                      <w:u w:val="single"/>
                      <w:vertAlign w:val="superscript"/>
                    </w:rPr>
                    <w:t>3</w:t>
                  </w:r>
                  <w:r>
                    <w:rPr>
                      <w:rFonts w:hint="eastAsia"/>
                      <w:u w:val="single"/>
                    </w:rPr>
                    <w:t>浓缩罐</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u w:val="singl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vMerge w:val="continue"/>
                  <w:shd w:val="clear" w:color="000000" w:fill="FFFFFF"/>
                  <w:vAlign w:val="center"/>
                </w:tcPr>
                <w:p>
                  <w:pPr>
                    <w:pStyle w:val="13"/>
                    <w:rPr>
                      <w:u w:val="single"/>
                    </w:rPr>
                  </w:pPr>
                </w:p>
              </w:tc>
              <w:tc>
                <w:tcPr>
                  <w:tcW w:w="1379" w:type="pct"/>
                  <w:vMerge w:val="continue"/>
                  <w:shd w:val="clear" w:color="auto" w:fill="auto"/>
                  <w:vAlign w:val="center"/>
                </w:tcPr>
                <w:p>
                  <w:pPr>
                    <w:pStyle w:val="13"/>
                    <w:rPr>
                      <w:u w:val="single"/>
                    </w:rPr>
                  </w:pPr>
                </w:p>
              </w:tc>
              <w:tc>
                <w:tcPr>
                  <w:tcW w:w="2027" w:type="pct"/>
                  <w:shd w:val="clear" w:color="000000" w:fill="FFFFFF"/>
                  <w:vAlign w:val="center"/>
                </w:tcPr>
                <w:p>
                  <w:pPr>
                    <w:pStyle w:val="13"/>
                    <w:rPr>
                      <w:u w:val="single"/>
                    </w:rPr>
                  </w:pPr>
                  <w:r>
                    <w:rPr>
                      <w:rFonts w:hint="eastAsia"/>
                      <w:u w:val="single"/>
                    </w:rPr>
                    <w:t>930m</w:t>
                  </w:r>
                  <w:r>
                    <w:rPr>
                      <w:rFonts w:hint="eastAsia"/>
                      <w:u w:val="single"/>
                      <w:vertAlign w:val="superscript"/>
                    </w:rPr>
                    <w:t>3</w:t>
                  </w:r>
                  <w:r>
                    <w:rPr>
                      <w:rFonts w:hint="eastAsia"/>
                      <w:u w:val="single"/>
                    </w:rPr>
                    <w:t>清水罐</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vMerge w:val="continue"/>
                  <w:shd w:val="clear" w:color="000000" w:fill="FFFFFF"/>
                  <w:vAlign w:val="center"/>
                </w:tcPr>
                <w:p>
                  <w:pPr>
                    <w:pStyle w:val="13"/>
                    <w:rPr>
                      <w:u w:val="single"/>
                    </w:rPr>
                  </w:pPr>
                </w:p>
              </w:tc>
              <w:tc>
                <w:tcPr>
                  <w:tcW w:w="1379" w:type="pct"/>
                  <w:vMerge w:val="continue"/>
                  <w:shd w:val="clear" w:color="auto" w:fill="auto"/>
                  <w:vAlign w:val="center"/>
                </w:tcPr>
                <w:p>
                  <w:pPr>
                    <w:pStyle w:val="13"/>
                    <w:rPr>
                      <w:u w:val="single"/>
                    </w:rPr>
                  </w:pPr>
                </w:p>
              </w:tc>
              <w:tc>
                <w:tcPr>
                  <w:tcW w:w="2027" w:type="pct"/>
                  <w:shd w:val="clear" w:color="000000" w:fill="FFFFFF"/>
                  <w:vAlign w:val="center"/>
                </w:tcPr>
                <w:p>
                  <w:pPr>
                    <w:pStyle w:val="13"/>
                    <w:rPr>
                      <w:u w:val="single"/>
                    </w:rPr>
                  </w:pPr>
                  <w:r>
                    <w:rPr>
                      <w:rFonts w:hint="eastAsia"/>
                      <w:u w:val="single"/>
                    </w:rPr>
                    <w:t>二级沉淀回用水池（1000m</w:t>
                  </w:r>
                  <w:r>
                    <w:rPr>
                      <w:rFonts w:hint="eastAsia"/>
                      <w:u w:val="single"/>
                      <w:vertAlign w:val="superscript"/>
                    </w:rPr>
                    <w:t>3</w:t>
                  </w:r>
                  <w:r>
                    <w:rPr>
                      <w:rFonts w:hint="eastAsia"/>
                      <w:u w:val="single"/>
                    </w:rPr>
                    <w:t>）</w:t>
                  </w:r>
                </w:p>
              </w:tc>
              <w:tc>
                <w:tcPr>
                  <w:tcW w:w="552" w:type="pct"/>
                  <w:vAlign w:val="center"/>
                </w:tcPr>
                <w:p>
                  <w:pPr>
                    <w:pStyle w:val="13"/>
                    <w:rPr>
                      <w:u w:val="single"/>
                    </w:rPr>
                  </w:pPr>
                  <w:r>
                    <w:rPr>
                      <w:rFonts w:hint="eastAsia"/>
                      <w:u w:val="single"/>
                    </w:rPr>
                    <w:t>个</w:t>
                  </w:r>
                </w:p>
              </w:tc>
              <w:tc>
                <w:tcPr>
                  <w:tcW w:w="575" w:type="pct"/>
                  <w:shd w:val="clear" w:color="auto" w:fill="auto"/>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vMerge w:val="continue"/>
                  <w:shd w:val="clear" w:color="000000" w:fill="FFFFFF"/>
                  <w:vAlign w:val="center"/>
                </w:tcPr>
                <w:p>
                  <w:pPr>
                    <w:pStyle w:val="13"/>
                    <w:rPr>
                      <w:u w:val="single"/>
                    </w:rPr>
                  </w:pPr>
                </w:p>
              </w:tc>
              <w:tc>
                <w:tcPr>
                  <w:tcW w:w="1379" w:type="pct"/>
                  <w:vMerge w:val="continue"/>
                  <w:shd w:val="clear" w:color="auto" w:fill="auto"/>
                  <w:vAlign w:val="center"/>
                </w:tcPr>
                <w:p>
                  <w:pPr>
                    <w:pStyle w:val="13"/>
                    <w:rPr>
                      <w:u w:val="single"/>
                    </w:rPr>
                  </w:pPr>
                </w:p>
              </w:tc>
              <w:tc>
                <w:tcPr>
                  <w:tcW w:w="2027" w:type="pct"/>
                  <w:shd w:val="clear" w:color="000000" w:fill="FFFFFF"/>
                  <w:vAlign w:val="center"/>
                </w:tcPr>
                <w:p>
                  <w:pPr>
                    <w:pStyle w:val="13"/>
                    <w:rPr>
                      <w:u w:val="single"/>
                    </w:rPr>
                  </w:pPr>
                  <w:r>
                    <w:rPr>
                      <w:rFonts w:hint="eastAsia"/>
                      <w:u w:val="single"/>
                    </w:rPr>
                    <w:t>三级沉淀池（10m</w:t>
                  </w:r>
                  <w:r>
                    <w:rPr>
                      <w:rFonts w:hint="eastAsia"/>
                      <w:u w:val="single"/>
                      <w:vertAlign w:val="superscript"/>
                    </w:rPr>
                    <w:t>3</w:t>
                  </w:r>
                  <w:r>
                    <w:rPr>
                      <w:rFonts w:hint="eastAsia"/>
                      <w:u w:val="single"/>
                    </w:rPr>
                    <w:t>）</w:t>
                  </w:r>
                </w:p>
              </w:tc>
              <w:tc>
                <w:tcPr>
                  <w:tcW w:w="552" w:type="pct"/>
                  <w:vAlign w:val="center"/>
                </w:tcPr>
                <w:p>
                  <w:pPr>
                    <w:pStyle w:val="13"/>
                    <w:rPr>
                      <w:u w:val="single"/>
                    </w:rPr>
                  </w:pPr>
                  <w:r>
                    <w:rPr>
                      <w:rFonts w:hint="eastAsia"/>
                      <w:u w:val="single"/>
                    </w:rPr>
                    <w:t>个</w:t>
                  </w:r>
                </w:p>
              </w:tc>
              <w:tc>
                <w:tcPr>
                  <w:tcW w:w="575" w:type="pct"/>
                  <w:shd w:val="clear" w:color="auto" w:fill="auto"/>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9</w:t>
                  </w:r>
                </w:p>
              </w:tc>
              <w:tc>
                <w:tcPr>
                  <w:tcW w:w="1379" w:type="pct"/>
                  <w:shd w:val="clear" w:color="auto" w:fill="auto"/>
                  <w:vAlign w:val="center"/>
                </w:tcPr>
                <w:p>
                  <w:pPr>
                    <w:pStyle w:val="13"/>
                    <w:rPr>
                      <w:u w:val="single"/>
                    </w:rPr>
                  </w:pPr>
                  <w:r>
                    <w:rPr>
                      <w:rFonts w:hint="eastAsia"/>
                      <w:u w:val="single"/>
                    </w:rPr>
                    <w:t>皮带输送机</w:t>
                  </w:r>
                </w:p>
              </w:tc>
              <w:tc>
                <w:tcPr>
                  <w:tcW w:w="2027" w:type="pct"/>
                  <w:shd w:val="clear" w:color="000000" w:fill="FFFFFF"/>
                  <w:vAlign w:val="center"/>
                </w:tcPr>
                <w:p>
                  <w:pPr>
                    <w:pStyle w:val="13"/>
                    <w:rPr>
                      <w:u w:val="single"/>
                    </w:rPr>
                  </w:pPr>
                  <w:r>
                    <w:rPr>
                      <w:rFonts w:hint="eastAsia"/>
                      <w:u w:val="single"/>
                    </w:rPr>
                    <w:t>B500~1400</w:t>
                  </w:r>
                </w:p>
              </w:tc>
              <w:tc>
                <w:tcPr>
                  <w:tcW w:w="552" w:type="pct"/>
                  <w:vAlign w:val="center"/>
                </w:tcPr>
                <w:p>
                  <w:pPr>
                    <w:pStyle w:val="13"/>
                    <w:rPr>
                      <w:u w:val="single"/>
                    </w:rPr>
                  </w:pPr>
                  <w:r>
                    <w:rPr>
                      <w:rFonts w:hint="eastAsia"/>
                      <w:u w:val="single"/>
                    </w:rPr>
                    <w:t>条</w:t>
                  </w:r>
                </w:p>
              </w:tc>
              <w:tc>
                <w:tcPr>
                  <w:tcW w:w="575" w:type="pct"/>
                  <w:shd w:val="clear" w:color="auto" w:fill="auto"/>
                  <w:vAlign w:val="center"/>
                </w:tcPr>
                <w:p>
                  <w:pPr>
                    <w:pStyle w:val="13"/>
                    <w:rPr>
                      <w:u w:val="single"/>
                    </w:rPr>
                  </w:pPr>
                  <w:r>
                    <w:rPr>
                      <w:u w:val="singl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1</w:t>
                  </w:r>
                  <w:r>
                    <w:rPr>
                      <w:u w:val="single"/>
                    </w:rPr>
                    <w:t>0</w:t>
                  </w:r>
                </w:p>
              </w:tc>
              <w:tc>
                <w:tcPr>
                  <w:tcW w:w="1379" w:type="pct"/>
                  <w:shd w:val="clear" w:color="auto" w:fill="auto"/>
                  <w:vAlign w:val="center"/>
                </w:tcPr>
                <w:p>
                  <w:pPr>
                    <w:pStyle w:val="13"/>
                    <w:rPr>
                      <w:u w:val="single"/>
                    </w:rPr>
                  </w:pPr>
                  <w:r>
                    <w:rPr>
                      <w:rFonts w:hint="eastAsia"/>
                      <w:u w:val="single"/>
                    </w:rPr>
                    <w:t>变压器</w:t>
                  </w:r>
                </w:p>
              </w:tc>
              <w:tc>
                <w:tcPr>
                  <w:tcW w:w="2027" w:type="pct"/>
                  <w:shd w:val="clear" w:color="000000" w:fill="FFFFFF"/>
                  <w:vAlign w:val="center"/>
                </w:tcPr>
                <w:p>
                  <w:pPr>
                    <w:pStyle w:val="13"/>
                    <w:rPr>
                      <w:u w:val="single"/>
                    </w:rPr>
                  </w:pPr>
                  <w:r>
                    <w:rPr>
                      <w:u w:val="single"/>
                    </w:rPr>
                    <w:t>S11-400/10-0.4</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1</w:t>
                  </w:r>
                  <w:r>
                    <w:rPr>
                      <w:u w:val="single"/>
                    </w:rPr>
                    <w:t>1</w:t>
                  </w:r>
                </w:p>
              </w:tc>
              <w:tc>
                <w:tcPr>
                  <w:tcW w:w="1379" w:type="pct"/>
                  <w:shd w:val="clear" w:color="auto" w:fill="auto"/>
                  <w:vAlign w:val="center"/>
                </w:tcPr>
                <w:p>
                  <w:pPr>
                    <w:pStyle w:val="13"/>
                    <w:rPr>
                      <w:u w:val="single"/>
                    </w:rPr>
                  </w:pPr>
                  <w:r>
                    <w:rPr>
                      <w:rFonts w:hint="eastAsia"/>
                      <w:u w:val="single"/>
                    </w:rPr>
                    <w:t>配电控制装置</w:t>
                  </w:r>
                </w:p>
              </w:tc>
              <w:tc>
                <w:tcPr>
                  <w:tcW w:w="2027" w:type="pct"/>
                  <w:shd w:val="clear" w:color="000000" w:fill="FFFFFF"/>
                  <w:vAlign w:val="center"/>
                </w:tcPr>
                <w:p>
                  <w:pPr>
                    <w:pStyle w:val="13"/>
                    <w:rPr>
                      <w:u w:val="single"/>
                    </w:rPr>
                  </w:pPr>
                  <w:r>
                    <w:rPr>
                      <w:rFonts w:hint="eastAsia"/>
                      <w:u w:val="single"/>
                    </w:rPr>
                    <w:t>成套设备</w:t>
                  </w:r>
                </w:p>
              </w:tc>
              <w:tc>
                <w:tcPr>
                  <w:tcW w:w="552" w:type="pct"/>
                  <w:vAlign w:val="center"/>
                </w:tcPr>
                <w:p>
                  <w:pPr>
                    <w:pStyle w:val="13"/>
                    <w:rPr>
                      <w:u w:val="single"/>
                    </w:rPr>
                  </w:pPr>
                  <w:r>
                    <w:rPr>
                      <w:rFonts w:hint="eastAsia"/>
                      <w:u w:val="single"/>
                    </w:rPr>
                    <w:t>套</w:t>
                  </w:r>
                </w:p>
              </w:tc>
              <w:tc>
                <w:tcPr>
                  <w:tcW w:w="575" w:type="pct"/>
                  <w:shd w:val="clear" w:color="auto" w:fill="auto"/>
                  <w:vAlign w:val="center"/>
                </w:tcPr>
                <w:p>
                  <w:pPr>
                    <w:pStyle w:val="13"/>
                    <w:rPr>
                      <w:u w:val="single"/>
                    </w:rPr>
                  </w:pPr>
                  <w:r>
                    <w:rPr>
                      <w:rFonts w:hint="eastAsia"/>
                      <w:u w:val="singl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1</w:t>
                  </w:r>
                  <w:r>
                    <w:rPr>
                      <w:u w:val="single"/>
                    </w:rPr>
                    <w:t>2</w:t>
                  </w:r>
                </w:p>
              </w:tc>
              <w:tc>
                <w:tcPr>
                  <w:tcW w:w="1379" w:type="pct"/>
                  <w:shd w:val="clear" w:color="auto" w:fill="auto"/>
                  <w:vAlign w:val="center"/>
                </w:tcPr>
                <w:p>
                  <w:pPr>
                    <w:pStyle w:val="13"/>
                    <w:rPr>
                      <w:u w:val="single"/>
                    </w:rPr>
                  </w:pPr>
                  <w:r>
                    <w:rPr>
                      <w:rFonts w:hint="eastAsia"/>
                      <w:u w:val="single"/>
                    </w:rPr>
                    <w:t>喷淋设施</w:t>
                  </w:r>
                </w:p>
              </w:tc>
              <w:tc>
                <w:tcPr>
                  <w:tcW w:w="2027" w:type="pct"/>
                  <w:shd w:val="clear" w:color="000000" w:fill="FFFFFF"/>
                  <w:vAlign w:val="center"/>
                </w:tcPr>
                <w:p>
                  <w:pPr>
                    <w:pStyle w:val="13"/>
                    <w:rPr>
                      <w:u w:val="single"/>
                    </w:rPr>
                  </w:pPr>
                  <w:r>
                    <w:rPr>
                      <w:rFonts w:hint="eastAsia"/>
                      <w:u w:val="single"/>
                    </w:rPr>
                    <w:t>喷嘴</w:t>
                  </w:r>
                </w:p>
              </w:tc>
              <w:tc>
                <w:tcPr>
                  <w:tcW w:w="552" w:type="pct"/>
                  <w:vAlign w:val="center"/>
                </w:tcPr>
                <w:p>
                  <w:pPr>
                    <w:pStyle w:val="13"/>
                    <w:rPr>
                      <w:u w:val="single"/>
                    </w:rPr>
                  </w:pPr>
                  <w:r>
                    <w:rPr>
                      <w:rFonts w:hint="eastAsia"/>
                      <w:u w:val="single"/>
                    </w:rPr>
                    <w:t>个</w:t>
                  </w:r>
                </w:p>
              </w:tc>
              <w:tc>
                <w:tcPr>
                  <w:tcW w:w="575" w:type="pct"/>
                  <w:shd w:val="clear" w:color="auto" w:fill="auto"/>
                  <w:vAlign w:val="center"/>
                </w:tcPr>
                <w:p>
                  <w:pPr>
                    <w:pStyle w:val="13"/>
                    <w:rPr>
                      <w:u w:val="single"/>
                    </w:rPr>
                  </w:pPr>
                  <w:r>
                    <w:rPr>
                      <w:rFonts w:hint="eastAsia"/>
                      <w:u w:val="singl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7" w:type="pct"/>
                  <w:shd w:val="clear" w:color="000000" w:fill="FFFFFF"/>
                  <w:vAlign w:val="center"/>
                </w:tcPr>
                <w:p>
                  <w:pPr>
                    <w:pStyle w:val="13"/>
                    <w:rPr>
                      <w:u w:val="single"/>
                    </w:rPr>
                  </w:pPr>
                  <w:r>
                    <w:rPr>
                      <w:rFonts w:hint="eastAsia"/>
                      <w:u w:val="single"/>
                    </w:rPr>
                    <w:t>13</w:t>
                  </w:r>
                </w:p>
              </w:tc>
              <w:tc>
                <w:tcPr>
                  <w:tcW w:w="1379" w:type="pct"/>
                  <w:shd w:val="clear" w:color="auto" w:fill="auto"/>
                  <w:vAlign w:val="center"/>
                </w:tcPr>
                <w:p>
                  <w:pPr>
                    <w:pStyle w:val="13"/>
                    <w:rPr>
                      <w:u w:val="single"/>
                    </w:rPr>
                  </w:pPr>
                  <w:r>
                    <w:rPr>
                      <w:rFonts w:hint="eastAsia"/>
                      <w:u w:val="single"/>
                    </w:rPr>
                    <w:t>水泵</w:t>
                  </w:r>
                </w:p>
              </w:tc>
              <w:tc>
                <w:tcPr>
                  <w:tcW w:w="2027" w:type="pct"/>
                  <w:shd w:val="clear" w:color="000000" w:fill="FFFFFF"/>
                  <w:vAlign w:val="center"/>
                </w:tcPr>
                <w:p>
                  <w:pPr>
                    <w:pStyle w:val="13"/>
                    <w:rPr>
                      <w:u w:val="single"/>
                    </w:rPr>
                  </w:pPr>
                  <w:r>
                    <w:rPr>
                      <w:rFonts w:hint="eastAsia"/>
                      <w:u w:val="single"/>
                    </w:rPr>
                    <w:t>/</w:t>
                  </w:r>
                </w:p>
              </w:tc>
              <w:tc>
                <w:tcPr>
                  <w:tcW w:w="552" w:type="pct"/>
                  <w:vAlign w:val="center"/>
                </w:tcPr>
                <w:p>
                  <w:pPr>
                    <w:pStyle w:val="13"/>
                    <w:rPr>
                      <w:u w:val="single"/>
                    </w:rPr>
                  </w:pPr>
                  <w:r>
                    <w:rPr>
                      <w:rFonts w:hint="eastAsia"/>
                      <w:u w:val="single"/>
                    </w:rPr>
                    <w:t>台</w:t>
                  </w:r>
                </w:p>
              </w:tc>
              <w:tc>
                <w:tcPr>
                  <w:tcW w:w="575" w:type="pct"/>
                  <w:shd w:val="clear" w:color="auto" w:fill="auto"/>
                  <w:vAlign w:val="center"/>
                </w:tcPr>
                <w:p>
                  <w:pPr>
                    <w:pStyle w:val="13"/>
                    <w:rPr>
                      <w:u w:val="single"/>
                    </w:rPr>
                  </w:pPr>
                  <w:r>
                    <w:rPr>
                      <w:rFonts w:hint="eastAsia"/>
                      <w:u w:val="single"/>
                    </w:rPr>
                    <w:t>3</w:t>
                  </w:r>
                </w:p>
              </w:tc>
            </w:tr>
          </w:tbl>
          <w:p>
            <w:pPr>
              <w:spacing w:line="360" w:lineRule="auto"/>
              <w:ind w:firstLine="480"/>
              <w:rPr>
                <w:u w:val="single"/>
              </w:rPr>
            </w:pPr>
            <w:r>
              <w:rPr>
                <w:rFonts w:hint="eastAsia"/>
                <w:u w:val="single"/>
              </w:rPr>
              <w:t>经查阅相关资料，本项目设备不属于淘汰类及限制类；同时机械设备防护安全距离、机构设备防护罩和防护屏的安全要求以及设备安全卫生等按《生产设备安全卫生设计总则》（GB5083-1999）、《机械安全防护的实施准则》（GB/</w:t>
            </w:r>
            <w:r>
              <w:rPr>
                <w:u w:val="single"/>
              </w:rPr>
              <w:t>T</w:t>
            </w:r>
            <w:r>
              <w:rPr>
                <w:rFonts w:hint="eastAsia"/>
                <w:u w:val="single"/>
              </w:rPr>
              <w:t>30574-2021）、《机械设备防护罩安全要求》（GB8196-2003）要求设置；满足《湖南省经济和信息化委员会关于印发&lt;湖南省砂石骨料行业规范条件&gt;的通知》（湘经信原材料〔2018〕10号）中设备管理要求。</w:t>
            </w:r>
          </w:p>
          <w:p>
            <w:pPr>
              <w:spacing w:line="360" w:lineRule="auto"/>
              <w:ind w:firstLine="0" w:firstLineChars="0"/>
              <w:rPr>
                <w:b/>
                <w:sz w:val="28"/>
              </w:rPr>
            </w:pPr>
            <w:r>
              <w:rPr>
                <w:b/>
                <w:sz w:val="28"/>
              </w:rPr>
              <w:t>7</w:t>
            </w:r>
            <w:r>
              <w:rPr>
                <w:rFonts w:hint="eastAsia"/>
                <w:b/>
                <w:sz w:val="28"/>
              </w:rPr>
              <w:t>、矿石资源及质量</w:t>
            </w:r>
          </w:p>
          <w:p>
            <w:pPr>
              <w:spacing w:line="360" w:lineRule="auto"/>
              <w:ind w:firstLine="0" w:firstLineChars="0"/>
              <w:rPr>
                <w:b/>
              </w:rPr>
            </w:pPr>
            <w:r>
              <w:rPr>
                <w:b/>
              </w:rPr>
              <w:t>7.1</w:t>
            </w:r>
            <w:r>
              <w:rPr>
                <w:rFonts w:hint="eastAsia"/>
                <w:b/>
              </w:rPr>
              <w:t>矿山资源量</w:t>
            </w:r>
          </w:p>
          <w:p>
            <w:pPr>
              <w:spacing w:line="360" w:lineRule="auto"/>
              <w:ind w:firstLine="480"/>
            </w:pPr>
            <w:r>
              <w:rPr>
                <w:rFonts w:hint="eastAsia"/>
              </w:rPr>
              <w:t>根据《湖南省湘阴县共荣矿区建筑用砂矿勘查报告》经湖南省自然资源事务中心评审（评审文号：湘评审〔2022〕103号），矿区范围获取建筑用卵石矿控制资源量482.3万t、砂控制控制资源量475.4万t，合计建筑用砂、卵石矿控制资源量957.7万t。方案按1.0可信系数，设计利用卵石矿量为482.3万t、砂矿量为475.4万t，合计设计砂卵石矿量957.7万t；扣除边坡挂帮设计损失量63.9万t，按设计采矿回采率97%，矿区范围内可采砂卵石储量为：卵石矿可采储量436.6万t，砂矿可采储量430.4万t，累计砂卵石矿可采储量867.0万t。</w:t>
            </w:r>
          </w:p>
          <w:p>
            <w:pPr>
              <w:spacing w:line="360" w:lineRule="auto"/>
              <w:ind w:firstLine="0" w:firstLineChars="0"/>
              <w:rPr>
                <w:b/>
              </w:rPr>
            </w:pPr>
            <w:r>
              <w:rPr>
                <w:b/>
              </w:rPr>
              <w:t>7.2</w:t>
            </w:r>
            <w:r>
              <w:rPr>
                <w:rFonts w:hint="eastAsia"/>
                <w:b/>
              </w:rPr>
              <w:t>矿体特征</w:t>
            </w:r>
          </w:p>
          <w:p>
            <w:pPr>
              <w:spacing w:line="360" w:lineRule="auto"/>
              <w:ind w:firstLine="480"/>
            </w:pPr>
            <w:r>
              <w:rPr>
                <w:rFonts w:hint="eastAsia"/>
              </w:rPr>
              <w:t>矿床为河相沉积矿床，矿层赋存于第四系中更新统白沙井组下段（Q</w:t>
            </w:r>
            <w:r>
              <w:rPr>
                <w:rFonts w:hint="eastAsia"/>
                <w:vertAlign w:val="subscript"/>
              </w:rPr>
              <w:t>2b</w:t>
            </w:r>
            <w:r>
              <w:rPr>
                <w:rFonts w:hint="eastAsia"/>
                <w:vertAlign w:val="superscript"/>
              </w:rPr>
              <w:t>1</w:t>
            </w:r>
            <w:r>
              <w:rPr>
                <w:rFonts w:hint="eastAsia"/>
              </w:rPr>
              <w:t>），为黄褐、黄白色砂卵石层。</w:t>
            </w:r>
          </w:p>
          <w:p>
            <w:pPr>
              <w:spacing w:line="360" w:lineRule="auto"/>
              <w:ind w:firstLine="480"/>
            </w:pPr>
            <w:r>
              <w:rPr>
                <w:rFonts w:hint="eastAsia"/>
              </w:rPr>
              <w:t>矿床内部构造形态简单，矿层呈似层状产出，分布面积远大于矿区范围，矿区控制的范围内矿层南北长1000m~1070m，东西宽185m~750m，控制厚度为4.05~35.00m，平均厚20.43m。</w:t>
            </w:r>
          </w:p>
          <w:p>
            <w:pPr>
              <w:spacing w:line="360" w:lineRule="auto"/>
              <w:ind w:firstLine="0" w:firstLineChars="0"/>
              <w:rPr>
                <w:b/>
              </w:rPr>
            </w:pPr>
            <w:r>
              <w:rPr>
                <w:b/>
              </w:rPr>
              <w:t>7.2</w:t>
            </w:r>
            <w:r>
              <w:rPr>
                <w:rFonts w:hint="eastAsia"/>
                <w:b/>
              </w:rPr>
              <w:t>矿石质量</w:t>
            </w:r>
          </w:p>
          <w:p>
            <w:pPr>
              <w:spacing w:line="360" w:lineRule="auto"/>
              <w:ind w:firstLine="0" w:firstLineChars="0"/>
            </w:pPr>
            <w:r>
              <w:t>7.2.1</w:t>
            </w:r>
            <w:r>
              <w:rPr>
                <w:rFonts w:hint="eastAsia"/>
              </w:rPr>
              <w:t>矿石物质组成</w:t>
            </w:r>
          </w:p>
          <w:p>
            <w:pPr>
              <w:spacing w:line="360" w:lineRule="auto"/>
              <w:ind w:firstLine="480"/>
            </w:pPr>
            <w:r>
              <w:t>矿石为黄褐、黄白色砂卵石层，由砂、卵石及泥质组成。卵石成分主要为硅质岩、石英砂岩、石英岩、含炭硅质岩、长石石英砂岩及其他杂质，具有分选性好、磨圆度较好，强度高的特点，根据勘查钻孔统计结果：卵石含量30.3%-47.4%，平均含量42.1%；砂含量37.3%-47.0%，平均含量41.5%；其余为泥质，泥质含量14.6%-24.2%，平均含量16.4%，砂和卵石混杂泥质，无明显界限。</w:t>
            </w:r>
          </w:p>
          <w:p>
            <w:pPr>
              <w:spacing w:line="360" w:lineRule="auto"/>
              <w:ind w:firstLine="0" w:firstLineChars="0"/>
              <w:jc w:val="center"/>
            </w:pPr>
            <w:r>
              <w:rPr>
                <w:rFonts w:hint="eastAsia"/>
              </w:rPr>
              <w:t>表2-7</w:t>
            </w:r>
            <w:r>
              <w:t xml:space="preserve"> </w:t>
            </w:r>
            <w:r>
              <w:rPr>
                <w:rFonts w:hint="eastAsia"/>
              </w:rPr>
              <w:t>矿石物质组成一栏表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701"/>
              <w:gridCol w:w="2290"/>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dxa"/>
                  <w:gridSpan w:val="2"/>
                  <w:vAlign w:val="center"/>
                </w:tcPr>
                <w:p>
                  <w:pPr>
                    <w:spacing w:line="240" w:lineRule="auto"/>
                    <w:ind w:firstLine="0" w:firstLineChars="0"/>
                    <w:jc w:val="center"/>
                    <w:rPr>
                      <w:sz w:val="21"/>
                      <w:szCs w:val="21"/>
                    </w:rPr>
                  </w:pPr>
                  <w:r>
                    <w:rPr>
                      <w:rFonts w:hint="eastAsia"/>
                      <w:sz w:val="21"/>
                      <w:szCs w:val="21"/>
                    </w:rPr>
                    <w:t>名称</w:t>
                  </w:r>
                </w:p>
              </w:tc>
              <w:tc>
                <w:tcPr>
                  <w:tcW w:w="2290" w:type="dxa"/>
                  <w:vAlign w:val="center"/>
                </w:tcPr>
                <w:p>
                  <w:pPr>
                    <w:spacing w:line="240" w:lineRule="auto"/>
                    <w:ind w:firstLine="420"/>
                    <w:jc w:val="center"/>
                    <w:rPr>
                      <w:sz w:val="21"/>
                      <w:szCs w:val="21"/>
                    </w:rPr>
                  </w:pPr>
                  <w:r>
                    <w:rPr>
                      <w:rFonts w:hint="eastAsia"/>
                      <w:sz w:val="21"/>
                      <w:szCs w:val="21"/>
                    </w:rPr>
                    <w:t>含量</w:t>
                  </w:r>
                </w:p>
              </w:tc>
              <w:tc>
                <w:tcPr>
                  <w:tcW w:w="2569" w:type="dxa"/>
                  <w:vAlign w:val="center"/>
                </w:tcPr>
                <w:p>
                  <w:pPr>
                    <w:spacing w:line="240" w:lineRule="auto"/>
                    <w:ind w:firstLine="0" w:firstLineChars="0"/>
                    <w:jc w:val="center"/>
                    <w:rPr>
                      <w:sz w:val="21"/>
                      <w:szCs w:val="21"/>
                    </w:rPr>
                  </w:pPr>
                  <w:r>
                    <w:rPr>
                      <w:rFonts w:hint="eastAsia"/>
                      <w:sz w:val="21"/>
                      <w:szCs w:val="21"/>
                    </w:rPr>
                    <w:t>粒径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6" w:type="dxa"/>
                  <w:gridSpan w:val="2"/>
                  <w:vAlign w:val="center"/>
                </w:tcPr>
                <w:p>
                  <w:pPr>
                    <w:spacing w:line="240" w:lineRule="auto"/>
                    <w:ind w:firstLine="0" w:firstLineChars="0"/>
                    <w:jc w:val="center"/>
                    <w:rPr>
                      <w:sz w:val="21"/>
                      <w:szCs w:val="21"/>
                    </w:rPr>
                  </w:pPr>
                  <w:r>
                    <w:rPr>
                      <w:rFonts w:hint="eastAsia"/>
                      <w:sz w:val="21"/>
                      <w:szCs w:val="21"/>
                    </w:rPr>
                    <w:t>卵石</w:t>
                  </w:r>
                </w:p>
              </w:tc>
              <w:tc>
                <w:tcPr>
                  <w:tcW w:w="2290" w:type="dxa"/>
                  <w:vAlign w:val="center"/>
                </w:tcPr>
                <w:p>
                  <w:pPr>
                    <w:spacing w:line="240" w:lineRule="auto"/>
                    <w:ind w:firstLine="0" w:firstLineChars="0"/>
                    <w:jc w:val="center"/>
                    <w:rPr>
                      <w:sz w:val="21"/>
                      <w:szCs w:val="21"/>
                    </w:rPr>
                  </w:pPr>
                  <w:r>
                    <w:rPr>
                      <w:rFonts w:hint="eastAsia"/>
                      <w:sz w:val="21"/>
                      <w:szCs w:val="21"/>
                    </w:rPr>
                    <w:t>42.1%</w:t>
                  </w:r>
                </w:p>
              </w:tc>
              <w:tc>
                <w:tcPr>
                  <w:tcW w:w="2569" w:type="dxa"/>
                  <w:vAlign w:val="center"/>
                </w:tcPr>
                <w:p>
                  <w:pPr>
                    <w:spacing w:line="240" w:lineRule="auto"/>
                    <w:ind w:firstLine="0" w:firstLineChars="0"/>
                    <w:jc w:val="center"/>
                    <w:rPr>
                      <w:sz w:val="21"/>
                      <w:szCs w:val="21"/>
                    </w:rPr>
                  </w:pPr>
                  <w:r>
                    <w:rPr>
                      <w:sz w:val="21"/>
                      <w:szCs w:val="21"/>
                    </w:rPr>
                    <w:t>&gt;4.75mm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restart"/>
                  <w:vAlign w:val="center"/>
                </w:tcPr>
                <w:p>
                  <w:pPr>
                    <w:spacing w:line="240" w:lineRule="auto"/>
                    <w:ind w:firstLine="0" w:firstLineChars="0"/>
                    <w:jc w:val="center"/>
                    <w:rPr>
                      <w:sz w:val="21"/>
                      <w:szCs w:val="21"/>
                    </w:rPr>
                  </w:pPr>
                  <w:r>
                    <w:rPr>
                      <w:rFonts w:hint="eastAsia"/>
                      <w:sz w:val="21"/>
                      <w:szCs w:val="21"/>
                    </w:rPr>
                    <w:t>砂</w:t>
                  </w:r>
                </w:p>
              </w:tc>
              <w:tc>
                <w:tcPr>
                  <w:tcW w:w="1701" w:type="dxa"/>
                  <w:vAlign w:val="center"/>
                </w:tcPr>
                <w:p>
                  <w:pPr>
                    <w:spacing w:line="240" w:lineRule="auto"/>
                    <w:ind w:firstLine="0" w:firstLineChars="0"/>
                    <w:jc w:val="center"/>
                    <w:rPr>
                      <w:sz w:val="21"/>
                      <w:szCs w:val="21"/>
                    </w:rPr>
                  </w:pPr>
                  <w:r>
                    <w:rPr>
                      <w:rFonts w:hint="eastAsia"/>
                      <w:sz w:val="21"/>
                      <w:szCs w:val="21"/>
                    </w:rPr>
                    <w:t>粗粒砂</w:t>
                  </w:r>
                </w:p>
              </w:tc>
              <w:tc>
                <w:tcPr>
                  <w:tcW w:w="2290" w:type="dxa"/>
                  <w:vAlign w:val="center"/>
                </w:tcPr>
                <w:p>
                  <w:pPr>
                    <w:spacing w:line="240" w:lineRule="auto"/>
                    <w:ind w:firstLine="0" w:firstLineChars="0"/>
                    <w:jc w:val="center"/>
                    <w:rPr>
                      <w:sz w:val="21"/>
                      <w:szCs w:val="21"/>
                    </w:rPr>
                  </w:pPr>
                  <w:r>
                    <w:rPr>
                      <w:sz w:val="21"/>
                      <w:szCs w:val="21"/>
                    </w:rPr>
                    <w:t>8.2%</w:t>
                  </w:r>
                </w:p>
              </w:tc>
              <w:tc>
                <w:tcPr>
                  <w:tcW w:w="2569" w:type="dxa"/>
                  <w:vAlign w:val="center"/>
                </w:tcPr>
                <w:p>
                  <w:pPr>
                    <w:spacing w:line="240" w:lineRule="auto"/>
                    <w:ind w:firstLine="0" w:firstLineChars="0"/>
                    <w:jc w:val="center"/>
                    <w:rPr>
                      <w:sz w:val="21"/>
                      <w:szCs w:val="21"/>
                    </w:rPr>
                  </w:pPr>
                  <w:r>
                    <w:rPr>
                      <w:sz w:val="21"/>
                      <w:szCs w:val="21"/>
                    </w:rPr>
                    <w:t>4.75~2.36mm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continue"/>
                  <w:vAlign w:val="center"/>
                </w:tcPr>
                <w:p>
                  <w:pPr>
                    <w:spacing w:line="240" w:lineRule="auto"/>
                    <w:ind w:firstLine="0" w:firstLineChars="0"/>
                    <w:jc w:val="center"/>
                    <w:rPr>
                      <w:sz w:val="21"/>
                      <w:szCs w:val="21"/>
                    </w:rPr>
                  </w:pPr>
                </w:p>
              </w:tc>
              <w:tc>
                <w:tcPr>
                  <w:tcW w:w="1701" w:type="dxa"/>
                  <w:vAlign w:val="center"/>
                </w:tcPr>
                <w:p>
                  <w:pPr>
                    <w:spacing w:line="240" w:lineRule="auto"/>
                    <w:ind w:firstLine="0" w:firstLineChars="0"/>
                    <w:jc w:val="center"/>
                    <w:rPr>
                      <w:sz w:val="21"/>
                      <w:szCs w:val="21"/>
                    </w:rPr>
                  </w:pPr>
                  <w:r>
                    <w:rPr>
                      <w:rFonts w:hint="eastAsia"/>
                      <w:sz w:val="21"/>
                      <w:szCs w:val="21"/>
                    </w:rPr>
                    <w:t>中粒砂</w:t>
                  </w:r>
                </w:p>
              </w:tc>
              <w:tc>
                <w:tcPr>
                  <w:tcW w:w="2290" w:type="dxa"/>
                  <w:vAlign w:val="center"/>
                </w:tcPr>
                <w:p>
                  <w:pPr>
                    <w:spacing w:line="240" w:lineRule="auto"/>
                    <w:ind w:firstLine="0" w:firstLineChars="0"/>
                    <w:jc w:val="center"/>
                    <w:rPr>
                      <w:sz w:val="21"/>
                      <w:szCs w:val="21"/>
                    </w:rPr>
                  </w:pPr>
                  <w:r>
                    <w:rPr>
                      <w:sz w:val="21"/>
                      <w:szCs w:val="21"/>
                    </w:rPr>
                    <w:t>9.3%</w:t>
                  </w:r>
                </w:p>
              </w:tc>
              <w:tc>
                <w:tcPr>
                  <w:tcW w:w="2569" w:type="dxa"/>
                  <w:vAlign w:val="center"/>
                </w:tcPr>
                <w:p>
                  <w:pPr>
                    <w:spacing w:line="240" w:lineRule="auto"/>
                    <w:ind w:firstLine="0" w:firstLineChars="0"/>
                    <w:jc w:val="center"/>
                    <w:rPr>
                      <w:sz w:val="21"/>
                      <w:szCs w:val="21"/>
                    </w:rPr>
                  </w:pPr>
                  <w:r>
                    <w:rPr>
                      <w:sz w:val="21"/>
                      <w:szCs w:val="21"/>
                    </w:rPr>
                    <w:t>2.36~1.18mm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continue"/>
                  <w:vAlign w:val="center"/>
                </w:tcPr>
                <w:p>
                  <w:pPr>
                    <w:spacing w:line="240" w:lineRule="auto"/>
                    <w:ind w:firstLine="0" w:firstLineChars="0"/>
                    <w:jc w:val="center"/>
                    <w:rPr>
                      <w:sz w:val="21"/>
                      <w:szCs w:val="21"/>
                    </w:rPr>
                  </w:pPr>
                </w:p>
              </w:tc>
              <w:tc>
                <w:tcPr>
                  <w:tcW w:w="1701" w:type="dxa"/>
                  <w:vAlign w:val="center"/>
                </w:tcPr>
                <w:p>
                  <w:pPr>
                    <w:spacing w:line="240" w:lineRule="auto"/>
                    <w:ind w:firstLine="0" w:firstLineChars="0"/>
                    <w:jc w:val="center"/>
                    <w:rPr>
                      <w:sz w:val="21"/>
                      <w:szCs w:val="21"/>
                    </w:rPr>
                  </w:pPr>
                  <w:r>
                    <w:rPr>
                      <w:rFonts w:hint="eastAsia"/>
                      <w:sz w:val="21"/>
                      <w:szCs w:val="21"/>
                    </w:rPr>
                    <w:t>细粒砂</w:t>
                  </w:r>
                </w:p>
              </w:tc>
              <w:tc>
                <w:tcPr>
                  <w:tcW w:w="2290" w:type="dxa"/>
                  <w:vAlign w:val="center"/>
                </w:tcPr>
                <w:p>
                  <w:pPr>
                    <w:spacing w:line="240" w:lineRule="auto"/>
                    <w:ind w:firstLine="0" w:firstLineChars="0"/>
                    <w:jc w:val="center"/>
                    <w:rPr>
                      <w:sz w:val="21"/>
                      <w:szCs w:val="21"/>
                    </w:rPr>
                  </w:pPr>
                  <w:r>
                    <w:rPr>
                      <w:sz w:val="21"/>
                      <w:szCs w:val="21"/>
                    </w:rPr>
                    <w:t>9.2%</w:t>
                  </w:r>
                </w:p>
              </w:tc>
              <w:tc>
                <w:tcPr>
                  <w:tcW w:w="2569" w:type="dxa"/>
                  <w:vAlign w:val="center"/>
                </w:tcPr>
                <w:p>
                  <w:pPr>
                    <w:spacing w:line="240" w:lineRule="auto"/>
                    <w:ind w:firstLine="0" w:firstLineChars="0"/>
                    <w:jc w:val="center"/>
                    <w:rPr>
                      <w:sz w:val="21"/>
                      <w:szCs w:val="21"/>
                    </w:rPr>
                  </w:pPr>
                  <w:r>
                    <w:rPr>
                      <w:sz w:val="21"/>
                      <w:szCs w:val="21"/>
                    </w:rPr>
                    <w:t>1.18~0.6mm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dxa"/>
                  <w:vMerge w:val="continue"/>
                  <w:vAlign w:val="center"/>
                </w:tcPr>
                <w:p>
                  <w:pPr>
                    <w:spacing w:line="240" w:lineRule="auto"/>
                    <w:ind w:firstLine="0" w:firstLineChars="0"/>
                    <w:jc w:val="center"/>
                    <w:rPr>
                      <w:sz w:val="21"/>
                      <w:szCs w:val="21"/>
                    </w:rPr>
                  </w:pPr>
                </w:p>
              </w:tc>
              <w:tc>
                <w:tcPr>
                  <w:tcW w:w="1701" w:type="dxa"/>
                  <w:vAlign w:val="center"/>
                </w:tcPr>
                <w:p>
                  <w:pPr>
                    <w:spacing w:line="240" w:lineRule="auto"/>
                    <w:ind w:firstLine="0" w:firstLineChars="0"/>
                    <w:jc w:val="center"/>
                    <w:rPr>
                      <w:sz w:val="21"/>
                      <w:szCs w:val="21"/>
                    </w:rPr>
                  </w:pPr>
                  <w:r>
                    <w:rPr>
                      <w:rFonts w:hint="eastAsia"/>
                      <w:sz w:val="21"/>
                      <w:szCs w:val="21"/>
                    </w:rPr>
                    <w:t>粉砂</w:t>
                  </w:r>
                </w:p>
              </w:tc>
              <w:tc>
                <w:tcPr>
                  <w:tcW w:w="2290" w:type="dxa"/>
                  <w:vAlign w:val="center"/>
                </w:tcPr>
                <w:p>
                  <w:pPr>
                    <w:spacing w:line="240" w:lineRule="auto"/>
                    <w:ind w:firstLine="0" w:firstLineChars="0"/>
                    <w:jc w:val="center"/>
                    <w:rPr>
                      <w:sz w:val="21"/>
                      <w:szCs w:val="21"/>
                    </w:rPr>
                  </w:pPr>
                  <w:r>
                    <w:rPr>
                      <w:sz w:val="21"/>
                      <w:szCs w:val="21"/>
                    </w:rPr>
                    <w:t>14.</w:t>
                  </w:r>
                  <w:r>
                    <w:rPr>
                      <w:rFonts w:hint="eastAsia"/>
                      <w:sz w:val="21"/>
                      <w:szCs w:val="21"/>
                    </w:rPr>
                    <w:t>8</w:t>
                  </w:r>
                  <w:r>
                    <w:rPr>
                      <w:sz w:val="21"/>
                      <w:szCs w:val="21"/>
                    </w:rPr>
                    <w:t>%</w:t>
                  </w:r>
                </w:p>
              </w:tc>
              <w:tc>
                <w:tcPr>
                  <w:tcW w:w="2569" w:type="dxa"/>
                  <w:vAlign w:val="center"/>
                </w:tcPr>
                <w:p>
                  <w:pPr>
                    <w:spacing w:line="240" w:lineRule="auto"/>
                    <w:ind w:firstLine="0" w:firstLineChars="0"/>
                    <w:jc w:val="center"/>
                    <w:rPr>
                      <w:sz w:val="21"/>
                      <w:szCs w:val="21"/>
                    </w:rPr>
                  </w:pPr>
                  <w:r>
                    <w:rPr>
                      <w:sz w:val="21"/>
                      <w:szCs w:val="21"/>
                    </w:rPr>
                    <w:t>0.6~0.075mm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dxa"/>
                  <w:gridSpan w:val="2"/>
                  <w:vAlign w:val="center"/>
                </w:tcPr>
                <w:p>
                  <w:pPr>
                    <w:spacing w:line="240" w:lineRule="auto"/>
                    <w:ind w:firstLine="0" w:firstLineChars="0"/>
                    <w:jc w:val="center"/>
                    <w:rPr>
                      <w:sz w:val="21"/>
                      <w:szCs w:val="21"/>
                    </w:rPr>
                  </w:pPr>
                  <w:r>
                    <w:rPr>
                      <w:rFonts w:hint="eastAsia"/>
                      <w:sz w:val="21"/>
                      <w:szCs w:val="21"/>
                    </w:rPr>
                    <w:t>泥质</w:t>
                  </w:r>
                </w:p>
              </w:tc>
              <w:tc>
                <w:tcPr>
                  <w:tcW w:w="2290" w:type="dxa"/>
                  <w:vAlign w:val="center"/>
                </w:tcPr>
                <w:p>
                  <w:pPr>
                    <w:spacing w:line="240" w:lineRule="auto"/>
                    <w:ind w:firstLine="0" w:firstLineChars="0"/>
                    <w:jc w:val="center"/>
                    <w:rPr>
                      <w:sz w:val="21"/>
                      <w:szCs w:val="21"/>
                    </w:rPr>
                  </w:pPr>
                  <w:r>
                    <w:rPr>
                      <w:sz w:val="21"/>
                      <w:szCs w:val="21"/>
                    </w:rPr>
                    <w:t>16.4%</w:t>
                  </w:r>
                </w:p>
              </w:tc>
              <w:tc>
                <w:tcPr>
                  <w:tcW w:w="2569" w:type="dxa"/>
                  <w:vAlign w:val="center"/>
                </w:tcPr>
                <w:p>
                  <w:pPr>
                    <w:spacing w:line="240" w:lineRule="auto"/>
                    <w:ind w:firstLine="0" w:firstLineChars="0"/>
                    <w:jc w:val="center"/>
                    <w:rPr>
                      <w:sz w:val="21"/>
                      <w:szCs w:val="21"/>
                    </w:rPr>
                  </w:pPr>
                  <w:r>
                    <w:rPr>
                      <w:sz w:val="21"/>
                      <w:szCs w:val="21"/>
                    </w:rPr>
                    <w:t>&lt;0.075mm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6" w:type="dxa"/>
                  <w:gridSpan w:val="2"/>
                  <w:vAlign w:val="center"/>
                </w:tcPr>
                <w:p>
                  <w:pPr>
                    <w:spacing w:line="240" w:lineRule="auto"/>
                    <w:ind w:firstLine="0" w:firstLineChars="0"/>
                    <w:jc w:val="center"/>
                    <w:rPr>
                      <w:sz w:val="21"/>
                      <w:szCs w:val="21"/>
                    </w:rPr>
                  </w:pPr>
                  <w:r>
                    <w:rPr>
                      <w:rFonts w:hint="eastAsia"/>
                      <w:sz w:val="21"/>
                      <w:szCs w:val="21"/>
                    </w:rPr>
                    <w:t>合计</w:t>
                  </w:r>
                </w:p>
              </w:tc>
              <w:tc>
                <w:tcPr>
                  <w:tcW w:w="2290" w:type="dxa"/>
                  <w:vAlign w:val="center"/>
                </w:tcPr>
                <w:p>
                  <w:pPr>
                    <w:spacing w:line="240" w:lineRule="auto"/>
                    <w:ind w:firstLine="0" w:firstLineChars="0"/>
                    <w:jc w:val="center"/>
                    <w:rPr>
                      <w:sz w:val="21"/>
                      <w:szCs w:val="21"/>
                    </w:rPr>
                  </w:pPr>
                  <w:r>
                    <w:rPr>
                      <w:rFonts w:hint="eastAsia"/>
                      <w:sz w:val="21"/>
                      <w:szCs w:val="21"/>
                    </w:rPr>
                    <w:t>100%</w:t>
                  </w:r>
                </w:p>
              </w:tc>
              <w:tc>
                <w:tcPr>
                  <w:tcW w:w="2569" w:type="dxa"/>
                  <w:vAlign w:val="center"/>
                </w:tcPr>
                <w:p>
                  <w:pPr>
                    <w:spacing w:line="240" w:lineRule="auto"/>
                    <w:ind w:firstLine="0" w:firstLineChars="0"/>
                    <w:jc w:val="center"/>
                    <w:rPr>
                      <w:sz w:val="21"/>
                      <w:szCs w:val="21"/>
                    </w:rPr>
                  </w:pPr>
                  <w:r>
                    <w:rPr>
                      <w:rFonts w:hint="eastAsia"/>
                      <w:sz w:val="21"/>
                      <w:szCs w:val="21"/>
                    </w:rPr>
                    <w:t>/</w:t>
                  </w:r>
                </w:p>
              </w:tc>
            </w:tr>
          </w:tbl>
          <w:p>
            <w:pPr>
              <w:spacing w:line="360" w:lineRule="auto"/>
              <w:ind w:firstLine="0" w:firstLineChars="0"/>
            </w:pPr>
            <w:r>
              <w:t>7.2.2</w:t>
            </w:r>
            <w:r>
              <w:rPr>
                <w:rFonts w:hint="eastAsia"/>
              </w:rPr>
              <w:t>矿石化学成分</w:t>
            </w:r>
          </w:p>
          <w:p>
            <w:pPr>
              <w:spacing w:line="360" w:lineRule="auto"/>
              <w:ind w:firstLine="480"/>
            </w:pPr>
            <w:r>
              <w:rPr>
                <w:rFonts w:hint="eastAsia"/>
              </w:rPr>
              <w:t>据勘查报告采取的化学分析样品结果：建筑用卵石矿矿石主要组分 SiO</w:t>
            </w:r>
            <w:r>
              <w:rPr>
                <w:rFonts w:hint="eastAsia"/>
                <w:vertAlign w:val="subscript"/>
              </w:rPr>
              <w:t>2</w:t>
            </w:r>
            <w:r>
              <w:rPr>
                <w:rFonts w:hint="eastAsia"/>
              </w:rPr>
              <w:t>76.46%</w:t>
            </w:r>
            <w:r>
              <w:t>~</w:t>
            </w:r>
            <w:r>
              <w:rPr>
                <w:rFonts w:hint="eastAsia"/>
              </w:rPr>
              <w:t>91.62%、Al</w:t>
            </w:r>
            <w:r>
              <w:rPr>
                <w:rFonts w:hint="eastAsia"/>
                <w:vertAlign w:val="subscript"/>
              </w:rPr>
              <w:t>2</w:t>
            </w:r>
            <w:r>
              <w:rPr>
                <w:rFonts w:hint="eastAsia"/>
              </w:rPr>
              <w:t>O</w:t>
            </w:r>
            <w:r>
              <w:rPr>
                <w:rFonts w:hint="eastAsia"/>
                <w:vertAlign w:val="subscript"/>
              </w:rPr>
              <w:t>3</w:t>
            </w:r>
            <w:r>
              <w:rPr>
                <w:rFonts w:hint="eastAsia"/>
              </w:rPr>
              <w:t>5.07%</w:t>
            </w:r>
            <w:r>
              <w:t>~</w:t>
            </w:r>
            <w:r>
              <w:rPr>
                <w:rFonts w:hint="eastAsia"/>
              </w:rPr>
              <w:t>10.02%、Fe</w:t>
            </w:r>
            <w:r>
              <w:rPr>
                <w:rFonts w:hint="eastAsia"/>
                <w:vertAlign w:val="subscript"/>
              </w:rPr>
              <w:t>2</w:t>
            </w:r>
            <w:r>
              <w:rPr>
                <w:rFonts w:hint="eastAsia"/>
              </w:rPr>
              <w:t>O</w:t>
            </w:r>
            <w:r>
              <w:rPr>
                <w:rFonts w:hint="eastAsia"/>
                <w:vertAlign w:val="subscript"/>
              </w:rPr>
              <w:t>3</w:t>
            </w:r>
            <w:r>
              <w:rPr>
                <w:rFonts w:hint="eastAsia"/>
              </w:rPr>
              <w:t>0.92%</w:t>
            </w:r>
            <w:r>
              <w:t>~</w:t>
            </w:r>
            <w:r>
              <w:rPr>
                <w:rFonts w:hint="eastAsia"/>
              </w:rPr>
              <w:t>2.20%；有害杂质硫化物总量0.0045%</w:t>
            </w:r>
            <w:r>
              <w:t>~</w:t>
            </w:r>
            <w:r>
              <w:rPr>
                <w:rFonts w:hint="eastAsia"/>
              </w:rPr>
              <w:t>0.093%；氯化物0.002%</w:t>
            </w:r>
            <w:r>
              <w:t>~</w:t>
            </w:r>
            <w:r>
              <w:rPr>
                <w:rFonts w:hint="eastAsia"/>
              </w:rPr>
              <w:t>0.005%。建筑用砂矿矿石主要组分SiO</w:t>
            </w:r>
            <w:r>
              <w:rPr>
                <w:rFonts w:hint="eastAsia"/>
                <w:vertAlign w:val="subscript"/>
              </w:rPr>
              <w:t>2</w:t>
            </w:r>
            <w:r>
              <w:rPr>
                <w:rFonts w:hint="eastAsia"/>
              </w:rPr>
              <w:t>59.88%</w:t>
            </w:r>
            <w:r>
              <w:t>~</w:t>
            </w:r>
            <w:r>
              <w:rPr>
                <w:rFonts w:hint="eastAsia"/>
              </w:rPr>
              <w:t>92.08%、Al</w:t>
            </w:r>
            <w:r>
              <w:rPr>
                <w:rFonts w:hint="eastAsia"/>
                <w:vertAlign w:val="subscript"/>
              </w:rPr>
              <w:t>2</w:t>
            </w:r>
            <w:r>
              <w:rPr>
                <w:rFonts w:hint="eastAsia"/>
              </w:rPr>
              <w:t>O</w:t>
            </w:r>
            <w:r>
              <w:rPr>
                <w:rFonts w:hint="eastAsia"/>
                <w:vertAlign w:val="subscript"/>
              </w:rPr>
              <w:t>3</w:t>
            </w:r>
            <w:r>
              <w:rPr>
                <w:rFonts w:hint="eastAsia"/>
              </w:rPr>
              <w:t>4.47%</w:t>
            </w:r>
            <w:r>
              <w:t>~</w:t>
            </w:r>
            <w:r>
              <w:rPr>
                <w:rFonts w:hint="eastAsia"/>
              </w:rPr>
              <w:t>24.76%、Fe</w:t>
            </w:r>
            <w:r>
              <w:rPr>
                <w:rFonts w:hint="eastAsia"/>
                <w:vertAlign w:val="subscript"/>
              </w:rPr>
              <w:t>2</w:t>
            </w:r>
            <w:r>
              <w:rPr>
                <w:rFonts w:hint="eastAsia"/>
              </w:rPr>
              <w:t>O</w:t>
            </w:r>
            <w:r>
              <w:rPr>
                <w:rFonts w:hint="eastAsia"/>
                <w:vertAlign w:val="subscript"/>
              </w:rPr>
              <w:t>3</w:t>
            </w:r>
            <w:r>
              <w:rPr>
                <w:rFonts w:hint="eastAsia"/>
              </w:rPr>
              <w:t>0.80%</w:t>
            </w:r>
            <w:r>
              <w:t>~</w:t>
            </w:r>
            <w:r>
              <w:rPr>
                <w:rFonts w:hint="eastAsia"/>
              </w:rPr>
              <w:t>7.52%；有害杂质硫化物总量0.03%</w:t>
            </w:r>
            <w:r>
              <w:t>~</w:t>
            </w:r>
            <w:r>
              <w:rPr>
                <w:rFonts w:hint="eastAsia"/>
              </w:rPr>
              <w:t>0.099%；氯化物0.002%</w:t>
            </w:r>
            <w:r>
              <w:t>~</w:t>
            </w:r>
            <w:r>
              <w:rPr>
                <w:rFonts w:hint="eastAsia"/>
              </w:rPr>
              <w:t>0.030%。经分析对比，建筑用卵石矿矿石中的有害杂质硫化物总量、氯化物含量均符合《建设用卵石、碎石》（GB/T 14685-2011）中质量指标要求及建筑用砂矿矿石中有害杂质硫化物总量、氯化物含量均符合《建设用砂》（GB/T 14684-2011）中质量指标要求。</w:t>
            </w:r>
          </w:p>
          <w:p>
            <w:pPr>
              <w:spacing w:line="360" w:lineRule="auto"/>
              <w:ind w:firstLine="0" w:firstLineChars="0"/>
            </w:pPr>
            <w:r>
              <w:t>7.2.4</w:t>
            </w:r>
            <w:r>
              <w:rPr>
                <w:rFonts w:hint="eastAsia"/>
              </w:rPr>
              <w:t>矿石物理性能</w:t>
            </w:r>
          </w:p>
          <w:p>
            <w:pPr>
              <w:spacing w:line="360" w:lineRule="auto"/>
              <w:ind w:firstLine="480"/>
            </w:pPr>
            <w:r>
              <w:t>据勘查报告采取的物性测试样品测试结果对比分析，测试的样品卵石压碎值、松散堆积密度、坚固性均符合《建设用卵石、碎石》（GB/T 14685-2011）Ⅰ类质量标准要求，矿石质量较好。测试的样品砂压碎值、松散堆积密度、坚固性均符合《建设用砂》（GB/T 14684-2011）Ⅰ类质量标准要求，矿石质量较好。</w:t>
            </w:r>
          </w:p>
          <w:p>
            <w:pPr>
              <w:spacing w:line="360" w:lineRule="auto"/>
              <w:ind w:firstLine="0" w:firstLineChars="0"/>
              <w:rPr>
                <w:b/>
                <w:sz w:val="28"/>
              </w:rPr>
            </w:pPr>
            <w:r>
              <w:rPr>
                <w:b/>
                <w:sz w:val="28"/>
              </w:rPr>
              <w:t>8</w:t>
            </w:r>
            <w:r>
              <w:rPr>
                <w:rFonts w:hint="eastAsia"/>
                <w:b/>
                <w:sz w:val="28"/>
              </w:rPr>
              <w:t>、矿山开采方案</w:t>
            </w:r>
          </w:p>
          <w:p>
            <w:pPr>
              <w:spacing w:line="360" w:lineRule="auto"/>
              <w:ind w:firstLine="0" w:firstLineChars="0"/>
              <w:rPr>
                <w:b/>
              </w:rPr>
            </w:pPr>
            <w:r>
              <w:rPr>
                <w:b/>
              </w:rPr>
              <w:t>8.1</w:t>
            </w:r>
            <w:r>
              <w:rPr>
                <w:rFonts w:hint="eastAsia"/>
                <w:b/>
              </w:rPr>
              <w:t>矿床开采方式</w:t>
            </w:r>
          </w:p>
          <w:p>
            <w:pPr>
              <w:spacing w:line="360" w:lineRule="auto"/>
              <w:ind w:firstLine="480"/>
            </w:pPr>
            <w:r>
              <w:rPr>
                <w:rFonts w:hint="eastAsia"/>
              </w:rPr>
              <w:t>矿区地形地貌较简单，现状矿区范围内自然地形最高标高80.3m，最低标高约44m，而本次设计开采境界标高从+80.3~+38m，最大开采高差达42m，开采的矿层主体基本位于丘顶及丘坡上。根据矿区地形地质条件、可采高度和资源量分布情况，结合同类矿山的生产实际，矿山采用露天开采的开采方式，采用自上而下的水平分层和台阶开采法开采。</w:t>
            </w:r>
          </w:p>
          <w:p>
            <w:pPr>
              <w:spacing w:line="360" w:lineRule="auto"/>
              <w:ind w:firstLine="0" w:firstLineChars="0"/>
            </w:pPr>
            <w:r>
              <w:rPr>
                <w:b/>
              </w:rPr>
              <w:t>8.2</w:t>
            </w:r>
            <w:r>
              <w:rPr>
                <w:rFonts w:hint="eastAsia"/>
                <w:b/>
              </w:rPr>
              <w:t>开采境界圈定</w:t>
            </w:r>
          </w:p>
          <w:p>
            <w:pPr>
              <w:spacing w:line="360" w:lineRule="auto"/>
              <w:ind w:firstLine="0" w:firstLineChars="0"/>
            </w:pPr>
            <w:r>
              <w:rPr>
                <w:rFonts w:hint="eastAsia"/>
              </w:rPr>
              <w:t>8</w:t>
            </w:r>
            <w:r>
              <w:t>.2.1</w:t>
            </w:r>
            <w:r>
              <w:rPr>
                <w:rFonts w:hint="eastAsia"/>
              </w:rPr>
              <w:t>台阶高度</w:t>
            </w:r>
          </w:p>
          <w:p>
            <w:pPr>
              <w:spacing w:line="360" w:lineRule="auto"/>
              <w:ind w:firstLine="480"/>
            </w:pPr>
            <w:r>
              <w:rPr>
                <w:rFonts w:hint="eastAsia"/>
              </w:rPr>
              <w:t>本项目矿为砂卵石矿，为较松散状砂石土，可直接采用机械挖掘，无需进行爆破作业，本矿生产配置小松 PC-300 液压挖掘机进行作业，其最大挖掘高度为10m，按照安全规程中“不爆破的松软的岩土台阶高度不大于机械的最大挖掘高度”的要求，采用6m高的台段进行作业，满足安全规程要求。</w:t>
            </w:r>
          </w:p>
          <w:p>
            <w:pPr>
              <w:spacing w:line="360" w:lineRule="auto"/>
              <w:ind w:firstLine="0" w:firstLineChars="0"/>
            </w:pPr>
            <w:r>
              <w:t>8.2.2</w:t>
            </w:r>
            <w:r>
              <w:rPr>
                <w:rFonts w:hint="eastAsia"/>
              </w:rPr>
              <w:t>台阶边坡角</w:t>
            </w:r>
          </w:p>
          <w:p>
            <w:pPr>
              <w:spacing w:line="360" w:lineRule="auto"/>
              <w:ind w:firstLine="480"/>
            </w:pPr>
            <w:r>
              <w:rPr>
                <w:rFonts w:hint="eastAsia"/>
              </w:rPr>
              <w:t>由前述矿体特征可知，本矿砂卵石矿赋存于第四系中更新统白沙井组下段（Q</w:t>
            </w:r>
            <w:r>
              <w:rPr>
                <w:rFonts w:hint="eastAsia"/>
                <w:vertAlign w:val="subscript"/>
              </w:rPr>
              <w:t>2b</w:t>
            </w:r>
            <w:r>
              <w:rPr>
                <w:rFonts w:hint="eastAsia"/>
                <w:vertAlign w:val="superscript"/>
              </w:rPr>
              <w:t>1</w:t>
            </w:r>
            <w:r>
              <w:rPr>
                <w:rFonts w:hint="eastAsia"/>
              </w:rPr>
              <w:t>），为黄褐、黄白色砂卵石层，厚度为4.05~35.00m，平均厚20.43m。考虑矿体为较松散状砂土层。因此选用最终台阶边坡角为45°。</w:t>
            </w:r>
          </w:p>
          <w:p>
            <w:pPr>
              <w:spacing w:line="360" w:lineRule="auto"/>
              <w:ind w:firstLine="0" w:firstLineChars="0"/>
            </w:pPr>
            <w:r>
              <w:t>8.2.3</w:t>
            </w:r>
            <w:r>
              <w:rPr>
                <w:rFonts w:hint="eastAsia"/>
              </w:rPr>
              <w:t>采场内运输平台的宽度</w:t>
            </w:r>
          </w:p>
          <w:p>
            <w:pPr>
              <w:spacing w:line="360" w:lineRule="auto"/>
              <w:ind w:firstLine="480"/>
            </w:pPr>
            <w:r>
              <w:rPr>
                <w:rFonts w:hint="eastAsia"/>
              </w:rPr>
              <w:t>矿山采用30t矿用自卸车，计算车宽为2.3m，矿山出入沟采用单线布置，考虑到临坡一侧要设置土堆挡墙，汽车运输平台宽度设计选用6m。</w:t>
            </w:r>
          </w:p>
          <w:p>
            <w:pPr>
              <w:spacing w:line="360" w:lineRule="auto"/>
              <w:ind w:firstLine="0" w:firstLineChars="0"/>
            </w:pPr>
            <w:r>
              <w:t>8.2.4</w:t>
            </w:r>
            <w:r>
              <w:rPr>
                <w:rFonts w:hint="eastAsia"/>
              </w:rPr>
              <w:t>安全、清扫平台宽度</w:t>
            </w:r>
          </w:p>
          <w:p>
            <w:pPr>
              <w:spacing w:line="360" w:lineRule="auto"/>
              <w:ind w:firstLine="480"/>
            </w:pPr>
            <w:r>
              <w:rPr>
                <w:rFonts w:hint="eastAsia"/>
              </w:rPr>
              <w:t>按照相关规范矿山安全平台宽度不小于3m，参考周边同类矿山安全平台及清扫平台宽度，安全平台宽度3m，清扫平台宽度取5m，每隔2个安全平台设1个清扫平台。</w:t>
            </w:r>
          </w:p>
          <w:p>
            <w:pPr>
              <w:spacing w:line="360" w:lineRule="auto"/>
              <w:ind w:firstLine="480"/>
            </w:pPr>
            <w:r>
              <w:rPr>
                <w:rFonts w:hint="eastAsia"/>
              </w:rPr>
              <w:t>本矿山露天开采境界圈定结果见下表。</w:t>
            </w:r>
          </w:p>
          <w:p>
            <w:pPr>
              <w:pStyle w:val="2"/>
              <w:spacing w:line="360" w:lineRule="auto"/>
              <w:rPr>
                <w:b w:val="0"/>
              </w:rPr>
            </w:pPr>
            <w:r>
              <w:rPr>
                <w:rFonts w:hint="eastAsia"/>
                <w:b w:val="0"/>
              </w:rPr>
              <w:t>表</w:t>
            </w:r>
            <w:r>
              <w:rPr>
                <w:b w:val="0"/>
              </w:rPr>
              <w:t>2-7</w:t>
            </w:r>
            <w:r>
              <w:rPr>
                <w:rFonts w:hint="eastAsia"/>
                <w:b w:val="0"/>
              </w:rPr>
              <w:t xml:space="preserve"> 露天开采境界圈定结果表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19"/>
              <w:gridCol w:w="989"/>
              <w:gridCol w:w="851"/>
              <w:gridCol w:w="1862"/>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69" w:type="pct"/>
                  <w:shd w:val="clear" w:color="auto" w:fill="auto"/>
                  <w:vAlign w:val="center"/>
                </w:tcPr>
                <w:p>
                  <w:pPr>
                    <w:pStyle w:val="13"/>
                  </w:pPr>
                  <w:r>
                    <w:rPr>
                      <w:rFonts w:hint="eastAsia"/>
                    </w:rPr>
                    <w:t>序号</w:t>
                  </w:r>
                </w:p>
              </w:tc>
              <w:tc>
                <w:tcPr>
                  <w:tcW w:w="1563" w:type="pct"/>
                  <w:gridSpan w:val="2"/>
                  <w:shd w:val="clear" w:color="auto" w:fill="auto"/>
                  <w:vAlign w:val="center"/>
                </w:tcPr>
                <w:p>
                  <w:pPr>
                    <w:pStyle w:val="13"/>
                  </w:pPr>
                  <w:r>
                    <w:rPr>
                      <w:rFonts w:hint="eastAsia"/>
                    </w:rPr>
                    <w:t>参数名称</w:t>
                  </w:r>
                </w:p>
              </w:tc>
              <w:tc>
                <w:tcPr>
                  <w:tcW w:w="552" w:type="pct"/>
                  <w:shd w:val="clear" w:color="auto" w:fill="auto"/>
                  <w:vAlign w:val="center"/>
                </w:tcPr>
                <w:p>
                  <w:pPr>
                    <w:pStyle w:val="13"/>
                  </w:pPr>
                  <w:r>
                    <w:rPr>
                      <w:rFonts w:hint="eastAsia"/>
                    </w:rPr>
                    <w:t>单位</w:t>
                  </w:r>
                </w:p>
              </w:tc>
              <w:tc>
                <w:tcPr>
                  <w:tcW w:w="1208" w:type="pct"/>
                  <w:shd w:val="clear" w:color="auto" w:fill="auto"/>
                  <w:vAlign w:val="center"/>
                </w:tcPr>
                <w:p>
                  <w:pPr>
                    <w:pStyle w:val="13"/>
                  </w:pPr>
                  <w:r>
                    <w:rPr>
                      <w:rFonts w:hint="eastAsia"/>
                    </w:rPr>
                    <w:t>东~西</w:t>
                  </w:r>
                </w:p>
              </w:tc>
              <w:tc>
                <w:tcPr>
                  <w:tcW w:w="1208" w:type="pct"/>
                  <w:shd w:val="clear" w:color="auto" w:fill="auto"/>
                  <w:vAlign w:val="center"/>
                </w:tcPr>
                <w:p>
                  <w:pPr>
                    <w:pStyle w:val="13"/>
                  </w:pPr>
                  <w:r>
                    <w:rPr>
                      <w:rFonts w:hint="eastAsia"/>
                    </w:rPr>
                    <w:t>南~北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vMerge w:val="restart"/>
                  <w:shd w:val="clear" w:color="auto" w:fill="auto"/>
                  <w:vAlign w:val="center"/>
                </w:tcPr>
                <w:p>
                  <w:pPr>
                    <w:pStyle w:val="13"/>
                  </w:pPr>
                  <w:r>
                    <w:t>1</w:t>
                  </w:r>
                </w:p>
              </w:tc>
              <w:tc>
                <w:tcPr>
                  <w:tcW w:w="921" w:type="pct"/>
                  <w:vMerge w:val="restart"/>
                  <w:shd w:val="clear" w:color="auto" w:fill="auto"/>
                  <w:vAlign w:val="center"/>
                </w:tcPr>
                <w:p>
                  <w:pPr>
                    <w:pStyle w:val="13"/>
                  </w:pPr>
                  <w:r>
                    <w:rPr>
                      <w:rFonts w:hint="eastAsia"/>
                    </w:rPr>
                    <w:t>最大开采境界尺寸</w:t>
                  </w:r>
                </w:p>
              </w:tc>
              <w:tc>
                <w:tcPr>
                  <w:tcW w:w="642" w:type="pct"/>
                  <w:shd w:val="clear" w:color="auto" w:fill="auto"/>
                  <w:vAlign w:val="center"/>
                </w:tcPr>
                <w:p>
                  <w:pPr>
                    <w:pStyle w:val="13"/>
                  </w:pPr>
                  <w:r>
                    <w:rPr>
                      <w:rFonts w:hint="eastAsia"/>
                    </w:rPr>
                    <w:t>地表</w:t>
                  </w:r>
                </w:p>
              </w:tc>
              <w:tc>
                <w:tcPr>
                  <w:tcW w:w="552" w:type="pct"/>
                  <w:shd w:val="clear" w:color="auto" w:fill="auto"/>
                  <w:vAlign w:val="center"/>
                </w:tcPr>
                <w:p>
                  <w:pPr>
                    <w:pStyle w:val="13"/>
                  </w:pPr>
                  <w:r>
                    <w:rPr>
                      <w:rFonts w:hint="eastAsia"/>
                    </w:rPr>
                    <w:t>m</w:t>
                  </w:r>
                </w:p>
              </w:tc>
              <w:tc>
                <w:tcPr>
                  <w:tcW w:w="1208" w:type="pct"/>
                  <w:shd w:val="clear" w:color="auto" w:fill="auto"/>
                  <w:vAlign w:val="center"/>
                </w:tcPr>
                <w:p>
                  <w:pPr>
                    <w:pStyle w:val="13"/>
                  </w:pPr>
                  <w:r>
                    <w:rPr>
                      <w:rFonts w:hint="eastAsia"/>
                    </w:rPr>
                    <w:t>1</w:t>
                  </w:r>
                  <w:r>
                    <w:t>85~750</w:t>
                  </w:r>
                </w:p>
              </w:tc>
              <w:tc>
                <w:tcPr>
                  <w:tcW w:w="1208" w:type="pct"/>
                  <w:shd w:val="clear" w:color="auto" w:fill="auto"/>
                  <w:vAlign w:val="center"/>
                </w:tcPr>
                <w:p>
                  <w:pPr>
                    <w:pStyle w:val="13"/>
                  </w:pPr>
                  <w:r>
                    <w:rPr>
                      <w:rFonts w:hint="eastAsia"/>
                    </w:rPr>
                    <w:t>1</w:t>
                  </w:r>
                  <w:r>
                    <w:t>000~1070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vMerge w:val="continue"/>
                  <w:shd w:val="clear" w:color="auto" w:fill="auto"/>
                  <w:vAlign w:val="center"/>
                </w:tcPr>
                <w:p>
                  <w:pPr>
                    <w:pStyle w:val="13"/>
                  </w:pPr>
                </w:p>
              </w:tc>
              <w:tc>
                <w:tcPr>
                  <w:tcW w:w="921" w:type="pct"/>
                  <w:vMerge w:val="continue"/>
                  <w:shd w:val="clear" w:color="auto" w:fill="auto"/>
                  <w:vAlign w:val="center"/>
                </w:tcPr>
                <w:p>
                  <w:pPr>
                    <w:pStyle w:val="13"/>
                  </w:pPr>
                </w:p>
              </w:tc>
              <w:tc>
                <w:tcPr>
                  <w:tcW w:w="642" w:type="pct"/>
                  <w:shd w:val="clear" w:color="auto" w:fill="auto"/>
                  <w:vAlign w:val="center"/>
                </w:tcPr>
                <w:p>
                  <w:pPr>
                    <w:pStyle w:val="13"/>
                  </w:pPr>
                  <w:r>
                    <w:rPr>
                      <w:rFonts w:hint="eastAsia"/>
                    </w:rPr>
                    <w:t>底部</w:t>
                  </w:r>
                </w:p>
              </w:tc>
              <w:tc>
                <w:tcPr>
                  <w:tcW w:w="552" w:type="pct"/>
                  <w:shd w:val="clear" w:color="auto" w:fill="auto"/>
                  <w:vAlign w:val="center"/>
                </w:tcPr>
                <w:p>
                  <w:pPr>
                    <w:pStyle w:val="13"/>
                  </w:pPr>
                  <w:r>
                    <w:rPr>
                      <w:rFonts w:hint="eastAsia"/>
                    </w:rPr>
                    <w:t>m</w:t>
                  </w:r>
                </w:p>
              </w:tc>
              <w:tc>
                <w:tcPr>
                  <w:tcW w:w="1208" w:type="pct"/>
                  <w:shd w:val="clear" w:color="auto" w:fill="auto"/>
                  <w:vAlign w:val="center"/>
                </w:tcPr>
                <w:p>
                  <w:pPr>
                    <w:pStyle w:val="13"/>
                  </w:pPr>
                  <w:r>
                    <w:rPr>
                      <w:rFonts w:hint="eastAsia"/>
                    </w:rPr>
                    <w:t>1</w:t>
                  </w:r>
                  <w:r>
                    <w:t>00~700</w:t>
                  </w:r>
                </w:p>
              </w:tc>
              <w:tc>
                <w:tcPr>
                  <w:tcW w:w="1208" w:type="pct"/>
                  <w:shd w:val="clear" w:color="auto" w:fill="auto"/>
                  <w:vAlign w:val="center"/>
                </w:tcPr>
                <w:p>
                  <w:pPr>
                    <w:pStyle w:val="13"/>
                  </w:pPr>
                  <w:r>
                    <w:rPr>
                      <w:rFonts w:hint="eastAsia"/>
                    </w:rPr>
                    <w:t>9</w:t>
                  </w:r>
                  <w:r>
                    <w:t>30~1020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2</w:t>
                  </w:r>
                </w:p>
              </w:tc>
              <w:tc>
                <w:tcPr>
                  <w:tcW w:w="1563" w:type="pct"/>
                  <w:gridSpan w:val="2"/>
                  <w:shd w:val="clear" w:color="auto" w:fill="auto"/>
                  <w:vAlign w:val="center"/>
                </w:tcPr>
                <w:p>
                  <w:pPr>
                    <w:pStyle w:val="13"/>
                  </w:pPr>
                  <w:r>
                    <w:rPr>
                      <w:rFonts w:hint="eastAsia"/>
                    </w:rPr>
                    <w:t>最高开采水平</w:t>
                  </w:r>
                </w:p>
              </w:tc>
              <w:tc>
                <w:tcPr>
                  <w:tcW w:w="552" w:type="pct"/>
                  <w:shd w:val="clear" w:color="auto" w:fill="auto"/>
                  <w:vAlign w:val="center"/>
                </w:tcPr>
                <w:p>
                  <w:pPr>
                    <w:pStyle w:val="13"/>
                  </w:pPr>
                  <w:r>
                    <w:rPr>
                      <w:rFonts w:hint="eastAsia"/>
                    </w:rPr>
                    <w:t>m</w:t>
                  </w:r>
                </w:p>
              </w:tc>
              <w:tc>
                <w:tcPr>
                  <w:tcW w:w="2417" w:type="pct"/>
                  <w:gridSpan w:val="2"/>
                  <w:shd w:val="clear" w:color="auto" w:fill="auto"/>
                  <w:vAlign w:val="center"/>
                </w:tcPr>
                <w:p>
                  <w:pPr>
                    <w:pStyle w:val="13"/>
                  </w:pPr>
                  <w:r>
                    <w:rPr>
                      <w:rFonts w:hint="eastAsia"/>
                    </w:rPr>
                    <w:t>7</w:t>
                  </w: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69" w:type="pct"/>
                  <w:shd w:val="clear" w:color="auto" w:fill="auto"/>
                  <w:vAlign w:val="center"/>
                </w:tcPr>
                <w:p>
                  <w:pPr>
                    <w:pStyle w:val="13"/>
                  </w:pPr>
                  <w:r>
                    <w:t>3</w:t>
                  </w:r>
                </w:p>
              </w:tc>
              <w:tc>
                <w:tcPr>
                  <w:tcW w:w="1563" w:type="pct"/>
                  <w:gridSpan w:val="2"/>
                  <w:shd w:val="clear" w:color="auto" w:fill="auto"/>
                  <w:vAlign w:val="center"/>
                </w:tcPr>
                <w:p>
                  <w:pPr>
                    <w:pStyle w:val="13"/>
                  </w:pPr>
                  <w:r>
                    <w:rPr>
                      <w:rFonts w:hint="eastAsia"/>
                    </w:rPr>
                    <w:t>最低开采水平</w:t>
                  </w:r>
                </w:p>
              </w:tc>
              <w:tc>
                <w:tcPr>
                  <w:tcW w:w="552" w:type="pct"/>
                  <w:shd w:val="clear" w:color="auto" w:fill="auto"/>
                  <w:vAlign w:val="center"/>
                </w:tcPr>
                <w:p>
                  <w:pPr>
                    <w:pStyle w:val="13"/>
                  </w:pPr>
                  <w:r>
                    <w:rPr>
                      <w:rFonts w:hint="eastAsia"/>
                    </w:rPr>
                    <w:t>m</w:t>
                  </w:r>
                </w:p>
              </w:tc>
              <w:tc>
                <w:tcPr>
                  <w:tcW w:w="2417" w:type="pct"/>
                  <w:gridSpan w:val="2"/>
                  <w:shd w:val="clear" w:color="auto" w:fill="auto"/>
                  <w:vAlign w:val="center"/>
                </w:tcPr>
                <w:p>
                  <w:pPr>
                    <w:pStyle w:val="13"/>
                  </w:pPr>
                  <w:r>
                    <w:rPr>
                      <w:rFonts w:hint="eastAsia"/>
                    </w:rPr>
                    <w:t>3</w:t>
                  </w: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4</w:t>
                  </w:r>
                </w:p>
              </w:tc>
              <w:tc>
                <w:tcPr>
                  <w:tcW w:w="1563" w:type="pct"/>
                  <w:gridSpan w:val="2"/>
                  <w:shd w:val="clear" w:color="auto" w:fill="auto"/>
                  <w:vAlign w:val="center"/>
                </w:tcPr>
                <w:p>
                  <w:pPr>
                    <w:pStyle w:val="13"/>
                  </w:pPr>
                  <w:r>
                    <w:rPr>
                      <w:rFonts w:hint="eastAsia"/>
                    </w:rPr>
                    <w:t>最大边坡高度</w:t>
                  </w:r>
                </w:p>
              </w:tc>
              <w:tc>
                <w:tcPr>
                  <w:tcW w:w="552" w:type="pct"/>
                  <w:shd w:val="clear" w:color="auto" w:fill="auto"/>
                  <w:vAlign w:val="center"/>
                </w:tcPr>
                <w:p>
                  <w:pPr>
                    <w:pStyle w:val="13"/>
                  </w:pPr>
                  <w:r>
                    <w:rPr>
                      <w:rFonts w:hint="eastAsia"/>
                    </w:rPr>
                    <w:t>m</w:t>
                  </w:r>
                </w:p>
              </w:tc>
              <w:tc>
                <w:tcPr>
                  <w:tcW w:w="2417" w:type="pct"/>
                  <w:gridSpan w:val="2"/>
                  <w:shd w:val="clear" w:color="auto" w:fill="auto"/>
                  <w:vAlign w:val="center"/>
                </w:tcPr>
                <w:p>
                  <w:pPr>
                    <w:pStyle w:val="13"/>
                  </w:pPr>
                  <w:r>
                    <w:rPr>
                      <w:rFonts w:hint="eastAsia"/>
                    </w:rPr>
                    <w:t>4</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5</w:t>
                  </w:r>
                </w:p>
              </w:tc>
              <w:tc>
                <w:tcPr>
                  <w:tcW w:w="1563" w:type="pct"/>
                  <w:gridSpan w:val="2"/>
                  <w:shd w:val="clear" w:color="auto" w:fill="auto"/>
                  <w:vAlign w:val="center"/>
                </w:tcPr>
                <w:p>
                  <w:pPr>
                    <w:pStyle w:val="13"/>
                  </w:pPr>
                  <w:r>
                    <w:rPr>
                      <w:rFonts w:hint="eastAsia"/>
                    </w:rPr>
                    <w:t>台阶高度</w:t>
                  </w:r>
                </w:p>
              </w:tc>
              <w:tc>
                <w:tcPr>
                  <w:tcW w:w="552" w:type="pct"/>
                  <w:shd w:val="clear" w:color="auto" w:fill="auto"/>
                  <w:vAlign w:val="center"/>
                </w:tcPr>
                <w:p>
                  <w:pPr>
                    <w:pStyle w:val="13"/>
                  </w:pPr>
                  <w:r>
                    <w:rPr>
                      <w:rFonts w:hint="eastAsia"/>
                    </w:rPr>
                    <w:t>m</w:t>
                  </w:r>
                </w:p>
              </w:tc>
              <w:tc>
                <w:tcPr>
                  <w:tcW w:w="2417" w:type="pct"/>
                  <w:gridSpan w:val="2"/>
                  <w:shd w:val="clear" w:color="auto" w:fill="auto"/>
                  <w:vAlign w:val="center"/>
                </w:tcPr>
                <w:p>
                  <w:pPr>
                    <w:pStyle w:val="13"/>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6</w:t>
                  </w:r>
                </w:p>
              </w:tc>
              <w:tc>
                <w:tcPr>
                  <w:tcW w:w="1563" w:type="pct"/>
                  <w:gridSpan w:val="2"/>
                  <w:shd w:val="clear" w:color="auto" w:fill="auto"/>
                  <w:vAlign w:val="center"/>
                </w:tcPr>
                <w:p>
                  <w:pPr>
                    <w:pStyle w:val="13"/>
                  </w:pPr>
                  <w:r>
                    <w:rPr>
                      <w:rFonts w:hint="eastAsia"/>
                    </w:rPr>
                    <w:t>采坑封闭圈标高</w:t>
                  </w:r>
                </w:p>
              </w:tc>
              <w:tc>
                <w:tcPr>
                  <w:tcW w:w="552" w:type="pct"/>
                  <w:shd w:val="clear" w:color="auto" w:fill="auto"/>
                  <w:vAlign w:val="center"/>
                </w:tcPr>
                <w:p>
                  <w:pPr>
                    <w:pStyle w:val="13"/>
                  </w:pPr>
                  <w:r>
                    <w:rPr>
                      <w:rFonts w:hint="eastAsia"/>
                    </w:rPr>
                    <w:t>m</w:t>
                  </w:r>
                </w:p>
              </w:tc>
              <w:tc>
                <w:tcPr>
                  <w:tcW w:w="2417" w:type="pct"/>
                  <w:gridSpan w:val="2"/>
                  <w:shd w:val="clear" w:color="auto" w:fill="auto"/>
                  <w:vAlign w:val="center"/>
                </w:tcPr>
                <w:p>
                  <w:pPr>
                    <w:pStyle w:val="13"/>
                  </w:pPr>
                  <w:r>
                    <w:rPr>
                      <w:rFonts w:hint="eastAsia"/>
                    </w:rPr>
                    <w:t>4</w:t>
                  </w: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7</w:t>
                  </w:r>
                </w:p>
              </w:tc>
              <w:tc>
                <w:tcPr>
                  <w:tcW w:w="1563" w:type="pct"/>
                  <w:gridSpan w:val="2"/>
                  <w:shd w:val="clear" w:color="auto" w:fill="auto"/>
                  <w:vAlign w:val="center"/>
                </w:tcPr>
                <w:p>
                  <w:pPr>
                    <w:pStyle w:val="13"/>
                  </w:pPr>
                  <w:r>
                    <w:rPr>
                      <w:rFonts w:hint="eastAsia"/>
                    </w:rPr>
                    <w:t>台阶边坡角</w:t>
                  </w:r>
                </w:p>
              </w:tc>
              <w:tc>
                <w:tcPr>
                  <w:tcW w:w="552" w:type="pct"/>
                  <w:shd w:val="clear" w:color="auto" w:fill="auto"/>
                  <w:vAlign w:val="center"/>
                </w:tcPr>
                <w:p>
                  <w:pPr>
                    <w:pStyle w:val="13"/>
                  </w:pPr>
                  <w:r>
                    <w:rPr>
                      <w:rFonts w:hint="eastAsia"/>
                    </w:rPr>
                    <w:t>度</w:t>
                  </w:r>
                </w:p>
              </w:tc>
              <w:tc>
                <w:tcPr>
                  <w:tcW w:w="2417" w:type="pct"/>
                  <w:gridSpan w:val="2"/>
                  <w:shd w:val="clear" w:color="auto" w:fill="auto"/>
                  <w:vAlign w:val="center"/>
                </w:tcPr>
                <w:p>
                  <w:pPr>
                    <w:pStyle w:val="13"/>
                  </w:pPr>
                  <w:r>
                    <w:rPr>
                      <w:rFonts w:hint="eastAsia"/>
                    </w:rPr>
                    <w:t>4</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8</w:t>
                  </w:r>
                </w:p>
              </w:tc>
              <w:tc>
                <w:tcPr>
                  <w:tcW w:w="1563" w:type="pct"/>
                  <w:gridSpan w:val="2"/>
                  <w:shd w:val="clear" w:color="auto" w:fill="auto"/>
                  <w:vAlign w:val="center"/>
                </w:tcPr>
                <w:p>
                  <w:pPr>
                    <w:pStyle w:val="13"/>
                  </w:pPr>
                  <w:r>
                    <w:rPr>
                      <w:rFonts w:hint="eastAsia"/>
                    </w:rPr>
                    <w:t>最终边坡角</w:t>
                  </w:r>
                </w:p>
              </w:tc>
              <w:tc>
                <w:tcPr>
                  <w:tcW w:w="552" w:type="pct"/>
                  <w:shd w:val="clear" w:color="auto" w:fill="auto"/>
                  <w:vAlign w:val="center"/>
                </w:tcPr>
                <w:p>
                  <w:pPr>
                    <w:pStyle w:val="13"/>
                  </w:pPr>
                  <w:r>
                    <w:rPr>
                      <w:rFonts w:hint="eastAsia"/>
                    </w:rPr>
                    <w:t>度</w:t>
                  </w:r>
                </w:p>
              </w:tc>
              <w:tc>
                <w:tcPr>
                  <w:tcW w:w="2417" w:type="pct"/>
                  <w:gridSpan w:val="2"/>
                  <w:shd w:val="clear" w:color="auto" w:fill="auto"/>
                  <w:vAlign w:val="center"/>
                </w:tcPr>
                <w:p>
                  <w:pPr>
                    <w:pStyle w:val="13"/>
                  </w:pPr>
                  <w:r>
                    <w:rPr>
                      <w:rFonts w:hint="eastAsia"/>
                    </w:rPr>
                    <w:t>3</w:t>
                  </w:r>
                  <w:r>
                    <w:t>2~38</w:t>
                  </w:r>
                  <w:r>
                    <w:rPr>
                      <w:rFonts w:hint="eastAsia"/>
                    </w:rPr>
                    <w:t>，平均3</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9</w:t>
                  </w:r>
                </w:p>
              </w:tc>
              <w:tc>
                <w:tcPr>
                  <w:tcW w:w="1563" w:type="pct"/>
                  <w:gridSpan w:val="2"/>
                  <w:shd w:val="clear" w:color="auto" w:fill="auto"/>
                  <w:vAlign w:val="center"/>
                </w:tcPr>
                <w:p>
                  <w:pPr>
                    <w:pStyle w:val="13"/>
                  </w:pPr>
                  <w:r>
                    <w:rPr>
                      <w:rFonts w:hint="eastAsia"/>
                    </w:rPr>
                    <w:t>安全平台宽度</w:t>
                  </w:r>
                </w:p>
              </w:tc>
              <w:tc>
                <w:tcPr>
                  <w:tcW w:w="552" w:type="pct"/>
                  <w:shd w:val="clear" w:color="auto" w:fill="auto"/>
                  <w:vAlign w:val="center"/>
                </w:tcPr>
                <w:p>
                  <w:pPr>
                    <w:pStyle w:val="13"/>
                  </w:pPr>
                  <w:r>
                    <w:rPr>
                      <w:rFonts w:hint="eastAsia"/>
                    </w:rPr>
                    <w:t>m</w:t>
                  </w:r>
                </w:p>
              </w:tc>
              <w:tc>
                <w:tcPr>
                  <w:tcW w:w="2417" w:type="pct"/>
                  <w:gridSpan w:val="2"/>
                  <w:shd w:val="clear" w:color="auto" w:fill="auto"/>
                  <w:vAlign w:val="center"/>
                </w:tcPr>
                <w:p>
                  <w:pPr>
                    <w:pStyle w:val="13"/>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10</w:t>
                  </w:r>
                </w:p>
              </w:tc>
              <w:tc>
                <w:tcPr>
                  <w:tcW w:w="1563" w:type="pct"/>
                  <w:gridSpan w:val="2"/>
                  <w:shd w:val="clear" w:color="auto" w:fill="auto"/>
                  <w:vAlign w:val="center"/>
                </w:tcPr>
                <w:p>
                  <w:pPr>
                    <w:pStyle w:val="13"/>
                  </w:pPr>
                  <w:r>
                    <w:rPr>
                      <w:rFonts w:hint="eastAsia"/>
                    </w:rPr>
                    <w:t>清扫平台宽度</w:t>
                  </w:r>
                </w:p>
              </w:tc>
              <w:tc>
                <w:tcPr>
                  <w:tcW w:w="552" w:type="pct"/>
                  <w:shd w:val="clear" w:color="auto" w:fill="auto"/>
                  <w:vAlign w:val="center"/>
                </w:tcPr>
                <w:p>
                  <w:pPr>
                    <w:pStyle w:val="13"/>
                  </w:pPr>
                  <w:r>
                    <w:rPr>
                      <w:rFonts w:hint="eastAsia"/>
                    </w:rPr>
                    <w:t>m</w:t>
                  </w:r>
                </w:p>
              </w:tc>
              <w:tc>
                <w:tcPr>
                  <w:tcW w:w="2417" w:type="pct"/>
                  <w:gridSpan w:val="2"/>
                  <w:shd w:val="clear" w:color="auto" w:fill="auto"/>
                  <w:vAlign w:val="center"/>
                </w:tcPr>
                <w:p>
                  <w:pPr>
                    <w:pStyle w:val="13"/>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9" w:type="pct"/>
                  <w:shd w:val="clear" w:color="auto" w:fill="auto"/>
                  <w:vAlign w:val="center"/>
                </w:tcPr>
                <w:p>
                  <w:pPr>
                    <w:pStyle w:val="13"/>
                  </w:pPr>
                  <w:r>
                    <w:t>11</w:t>
                  </w:r>
                </w:p>
              </w:tc>
              <w:tc>
                <w:tcPr>
                  <w:tcW w:w="1563" w:type="pct"/>
                  <w:gridSpan w:val="2"/>
                  <w:shd w:val="clear" w:color="auto" w:fill="auto"/>
                  <w:vAlign w:val="center"/>
                </w:tcPr>
                <w:p>
                  <w:pPr>
                    <w:pStyle w:val="13"/>
                  </w:pPr>
                  <w:r>
                    <w:rPr>
                      <w:rFonts w:hint="eastAsia"/>
                    </w:rPr>
                    <w:t>出入沟宽度</w:t>
                  </w:r>
                </w:p>
              </w:tc>
              <w:tc>
                <w:tcPr>
                  <w:tcW w:w="552" w:type="pct"/>
                  <w:shd w:val="clear" w:color="auto" w:fill="auto"/>
                  <w:vAlign w:val="center"/>
                </w:tcPr>
                <w:p>
                  <w:pPr>
                    <w:pStyle w:val="13"/>
                  </w:pPr>
                  <w:r>
                    <w:rPr>
                      <w:rFonts w:hint="eastAsia"/>
                    </w:rPr>
                    <w:t>m</w:t>
                  </w:r>
                </w:p>
              </w:tc>
              <w:tc>
                <w:tcPr>
                  <w:tcW w:w="2417" w:type="pct"/>
                  <w:gridSpan w:val="2"/>
                  <w:shd w:val="clear" w:color="auto" w:fill="auto"/>
                  <w:vAlign w:val="center"/>
                </w:tcPr>
                <w:p>
                  <w:pPr>
                    <w:pStyle w:val="13"/>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469" w:type="pct"/>
                  <w:shd w:val="clear" w:color="auto" w:fill="auto"/>
                  <w:vAlign w:val="center"/>
                </w:tcPr>
                <w:p>
                  <w:pPr>
                    <w:pStyle w:val="13"/>
                  </w:pPr>
                  <w:r>
                    <w:t>12</w:t>
                  </w:r>
                </w:p>
              </w:tc>
              <w:tc>
                <w:tcPr>
                  <w:tcW w:w="1563" w:type="pct"/>
                  <w:gridSpan w:val="2"/>
                  <w:shd w:val="clear" w:color="auto" w:fill="auto"/>
                  <w:vAlign w:val="center"/>
                </w:tcPr>
                <w:p>
                  <w:pPr>
                    <w:pStyle w:val="13"/>
                  </w:pPr>
                  <w:r>
                    <w:rPr>
                      <w:rFonts w:hint="eastAsia"/>
                    </w:rPr>
                    <w:t>开采境界平均剥采比</w:t>
                  </w:r>
                </w:p>
              </w:tc>
              <w:tc>
                <w:tcPr>
                  <w:tcW w:w="552" w:type="pct"/>
                  <w:shd w:val="clear" w:color="auto" w:fill="auto"/>
                  <w:vAlign w:val="center"/>
                </w:tcPr>
                <w:p>
                  <w:pPr>
                    <w:pStyle w:val="13"/>
                  </w:pPr>
                  <w:r>
                    <w:rPr>
                      <w:rFonts w:hint="eastAsia"/>
                    </w:rPr>
                    <w:t>m</w:t>
                  </w:r>
                  <w:r>
                    <w:rPr>
                      <w:vertAlign w:val="superscript"/>
                    </w:rPr>
                    <w:t>3</w:t>
                  </w:r>
                  <w:r>
                    <w:t>/</w:t>
                  </w:r>
                  <w:r>
                    <w:rPr>
                      <w:rFonts w:hint="eastAsia"/>
                    </w:rPr>
                    <w:t>m</w:t>
                  </w:r>
                  <w:r>
                    <w:rPr>
                      <w:vertAlign w:val="superscript"/>
                    </w:rPr>
                    <w:t>3</w:t>
                  </w:r>
                </w:p>
              </w:tc>
              <w:tc>
                <w:tcPr>
                  <w:tcW w:w="2417" w:type="pct"/>
                  <w:gridSpan w:val="2"/>
                  <w:shd w:val="clear" w:color="auto" w:fill="auto"/>
                  <w:vAlign w:val="center"/>
                </w:tcPr>
                <w:p>
                  <w:pPr>
                    <w:pStyle w:val="13"/>
                  </w:pPr>
                  <w:r>
                    <w:rPr>
                      <w:rFonts w:hint="eastAsia"/>
                    </w:rPr>
                    <w:t>0</w:t>
                  </w:r>
                  <w:r>
                    <w:t>.4745</w:t>
                  </w:r>
                  <w:r>
                    <w:rPr>
                      <w:rFonts w:hint="eastAsia"/>
                    </w:rPr>
                    <w:t>：1</w:t>
                  </w:r>
                </w:p>
              </w:tc>
            </w:tr>
          </w:tbl>
          <w:p>
            <w:pPr>
              <w:spacing w:line="360" w:lineRule="auto"/>
              <w:ind w:firstLine="0" w:firstLineChars="0"/>
              <w:rPr>
                <w:b/>
              </w:rPr>
            </w:pPr>
            <w:r>
              <w:rPr>
                <w:b/>
              </w:rPr>
              <w:t>8.3</w:t>
            </w:r>
            <w:r>
              <w:rPr>
                <w:rFonts w:hint="eastAsia"/>
                <w:b/>
              </w:rPr>
              <w:t>开拓运输方案</w:t>
            </w:r>
          </w:p>
          <w:p>
            <w:pPr>
              <w:spacing w:line="360" w:lineRule="auto"/>
              <w:ind w:firstLine="480"/>
            </w:pPr>
            <w:r>
              <w:rPr>
                <w:rFonts w:hint="eastAsia"/>
              </w:rPr>
              <w:t>根据划定的采坑面积、矿界内各矿体的采高、开采境界、采剥总能力、拟采用的开采方式和附近的交通状况等地形地质条件和要求，同时考虑地形条件、矿体赋存特征，岩石的稳固性等矿床开采技术条件，本矿属露天开采，开采面积较大，矿区地形比高小，工作面较长，经类比并由行政主管部门规划，拟确定采用公路汽车—移动式皮带输送机开拓运输方案。</w:t>
            </w:r>
          </w:p>
          <w:p>
            <w:pPr>
              <w:spacing w:line="360" w:lineRule="auto"/>
              <w:ind w:firstLine="480"/>
            </w:pPr>
            <w:r>
              <w:rPr>
                <w:rFonts w:hint="eastAsia"/>
              </w:rPr>
              <w:t>根据矿山地形条件，矿山作业面设计采用公路开拓，矿石在工作面由汽车转运至设在工作面附近的卸矿平台通过移动式皮带输送机将矿石及时输送到设在矿区附近的工业广场的加工区内进行加工作业。</w:t>
            </w:r>
          </w:p>
          <w:p>
            <w:pPr>
              <w:spacing w:line="360" w:lineRule="auto"/>
              <w:ind w:firstLine="0" w:firstLineChars="0"/>
              <w:rPr>
                <w:b/>
              </w:rPr>
            </w:pPr>
            <w:r>
              <w:rPr>
                <w:b/>
              </w:rPr>
              <w:t>8.4</w:t>
            </w:r>
            <w:r>
              <w:rPr>
                <w:rFonts w:hint="eastAsia"/>
                <w:b/>
              </w:rPr>
              <w:t>表土临时堆置场</w:t>
            </w:r>
          </w:p>
          <w:p>
            <w:pPr>
              <w:spacing w:line="360" w:lineRule="auto"/>
              <w:ind w:firstLine="480"/>
              <w:rPr>
                <w:u w:val="single"/>
              </w:rPr>
            </w:pPr>
            <w:r>
              <w:rPr>
                <w:rFonts w:hint="eastAsia"/>
                <w:u w:val="single"/>
              </w:rPr>
              <w:t>根据《湖南省湘阴县共荣矿区建筑用砂矿开发利用方》：矿区内需排弃的废土石主要是采矿场内砂卵石矿上部的覆盖层剥离物及尾泥剥离物（污泥），本矿采石场开采境界内的总剥离量较大，覆盖层剥离物124.1万m</w:t>
            </w:r>
            <w:r>
              <w:rPr>
                <w:rFonts w:hint="eastAsia"/>
                <w:u w:val="single"/>
                <w:vertAlign w:val="superscript"/>
              </w:rPr>
              <w:t>3</w:t>
            </w:r>
            <w:r>
              <w:rPr>
                <w:rFonts w:hint="eastAsia"/>
                <w:u w:val="single"/>
              </w:rPr>
              <w:t>。结合矿山开采的特点及矿区周边的地形条件，矿区周边地形较平坦，而且周边大部分为基本农田，矿区外及周边不宜设排土场，考虑到覆盖层剥离土综合利用，表土用于绿色矿山复绿；其他剥离土方与矿石通过皮带输送机送至工业广场加工，产生的尾泥（污泥）主要外运用于湘阴县高新区建设用填方（详见附件9），故矿山不需设置专门的排土场，但矿山开采过程中，考虑边开采边治理恢复覆土用，因此在采矿区南侧和东北侧裸露平地设置表土临时堆置场进行临时堆置（见附图2-1），并做好临时覆盖、挡土墙、排水沟等防护措施，避免水土流失；根据《湖南省岳阳市湘阴县共荣矿区建筑用砂项目工业广场及附属工程初步设计报告》，设置表土临时堆置区约2.80hm</w:t>
            </w:r>
            <w:r>
              <w:rPr>
                <w:rFonts w:hint="eastAsia"/>
                <w:u w:val="single"/>
                <w:vertAlign w:val="superscript"/>
              </w:rPr>
              <w:t>2</w:t>
            </w:r>
            <w:r>
              <w:rPr>
                <w:rFonts w:hint="eastAsia"/>
                <w:u w:val="single"/>
              </w:rPr>
              <w:t>，堆高3-7米（以堆高5米左右计）。</w:t>
            </w:r>
          </w:p>
          <w:p>
            <w:pPr>
              <w:spacing w:line="360" w:lineRule="auto"/>
              <w:ind w:firstLine="0" w:firstLineChars="0"/>
              <w:rPr>
                <w:b/>
              </w:rPr>
            </w:pPr>
            <w:r>
              <w:rPr>
                <w:b/>
              </w:rPr>
              <w:t>8.5</w:t>
            </w:r>
            <w:r>
              <w:rPr>
                <w:rFonts w:hint="eastAsia"/>
                <w:b/>
              </w:rPr>
              <w:t>矿区防治水方案</w:t>
            </w:r>
          </w:p>
          <w:p>
            <w:pPr>
              <w:spacing w:line="360" w:lineRule="auto"/>
              <w:ind w:firstLine="480"/>
            </w:pPr>
            <w:r>
              <w:rPr>
                <w:rFonts w:hint="eastAsia"/>
              </w:rPr>
              <w:t>本矿山为丘陵地形，地表径流条件好。矿山为露天开采，矿界内的最低开采标高为38m，开采的矿体均位于当地侵蚀基准面以上，但由于在44m以下，现有设计的开采境界内矿山会形成露天凹陷采坑，矿区汇水基本以大气降水为主，本项目的矿床水文地质条件中等。</w:t>
            </w:r>
          </w:p>
          <w:p>
            <w:pPr>
              <w:spacing w:line="360" w:lineRule="auto"/>
              <w:ind w:firstLine="480"/>
            </w:pPr>
            <w:r>
              <w:rPr>
                <w:rFonts w:hint="eastAsia"/>
              </w:rPr>
              <w:t>但从安全角度考虑，特别是矿区距离洋沙湖景区上游（约3</w:t>
            </w:r>
            <w:r>
              <w:t>.2</w:t>
            </w:r>
            <w:r>
              <w:rPr>
                <w:rFonts w:hint="eastAsia"/>
              </w:rPr>
              <w:t>km），针对矿区开采会产生的水质污染，应采取必要的防水措施，同时禁止矿区内生产水外排。具体措施：</w:t>
            </w:r>
          </w:p>
          <w:p>
            <w:pPr>
              <w:spacing w:line="360" w:lineRule="auto"/>
              <w:ind w:firstLine="480"/>
              <w:rPr>
                <w:u w:val="single"/>
              </w:rPr>
            </w:pPr>
            <w:r>
              <w:rPr>
                <w:rFonts w:hint="eastAsia"/>
                <w:u w:val="single"/>
              </w:rPr>
              <w:t>a、在开采境界边坡上部山坡的局部地段属汇水区域，开挖截（引）水沟，通过租赁矿区东侧水塘作为沉淀池，设置二级沉淀池，防止矿坑水直接流出对洋沙湖产生污染。表土临时堆置场汇水区域和挡土墙泄水孔应通过排水沟集中流入沉砂池沉淀后用于抑尘用水。</w:t>
            </w:r>
          </w:p>
          <w:p>
            <w:pPr>
              <w:spacing w:line="360" w:lineRule="auto"/>
              <w:ind w:firstLine="480"/>
              <w:rPr>
                <w:u w:val="single"/>
              </w:rPr>
            </w:pPr>
            <w:r>
              <w:rPr>
                <w:rFonts w:hint="eastAsia"/>
                <w:u w:val="single"/>
              </w:rPr>
              <w:t>b、形成凹陷采坑后，对于矿坑涌水（降落于采坑内的大气降水和暴雨时少量的地表汇水），采取机械抽排方式排水，通过沉砂池沉淀后用于抑尘用水，以免对洋沙湖产生污染。</w:t>
            </w:r>
          </w:p>
          <w:p>
            <w:pPr>
              <w:spacing w:line="360" w:lineRule="auto"/>
              <w:ind w:firstLine="480"/>
            </w:pPr>
            <w:r>
              <w:rPr>
                <w:rFonts w:hint="eastAsia"/>
              </w:rPr>
              <w:t>c、雨季或暴雨时段停止作业，如遇大雨降临，应提前将设备转移至高处，人员撤离采场，同时加强采坑内涝排水措施。</w:t>
            </w:r>
          </w:p>
          <w:p>
            <w:pPr>
              <w:spacing w:line="360" w:lineRule="auto"/>
              <w:ind w:firstLine="480"/>
            </w:pPr>
            <w:r>
              <w:rPr>
                <w:rFonts w:hint="eastAsia"/>
              </w:rPr>
              <w:t>d、对修筑的截、排水沟应定期清理，保持截、排水沟的排水畅通。</w:t>
            </w:r>
          </w:p>
          <w:p>
            <w:pPr>
              <w:spacing w:line="360" w:lineRule="auto"/>
              <w:ind w:firstLine="0" w:firstLineChars="0"/>
              <w:rPr>
                <w:b/>
              </w:rPr>
            </w:pPr>
            <w:r>
              <w:rPr>
                <w:b/>
              </w:rPr>
              <w:t>8.6</w:t>
            </w:r>
            <w:r>
              <w:rPr>
                <w:rFonts w:hint="eastAsia"/>
                <w:b/>
              </w:rPr>
              <w:t>新建乡村道路</w:t>
            </w:r>
          </w:p>
          <w:p>
            <w:pPr>
              <w:spacing w:line="360" w:lineRule="auto"/>
              <w:ind w:firstLine="480"/>
            </w:pPr>
            <w:r>
              <w:rPr>
                <w:rFonts w:hint="eastAsia"/>
              </w:rPr>
              <w:t>因矿山露天开采区占用了部分原有村道，本矿拟在矿区北侧新建一条村级道路。</w:t>
            </w:r>
          </w:p>
          <w:p>
            <w:pPr>
              <w:spacing w:line="360" w:lineRule="auto"/>
              <w:ind w:firstLine="0" w:firstLineChars="0"/>
              <w:rPr>
                <w:b/>
                <w:sz w:val="28"/>
              </w:rPr>
            </w:pPr>
            <w:r>
              <w:rPr>
                <w:b/>
                <w:sz w:val="28"/>
              </w:rPr>
              <w:t>9</w:t>
            </w:r>
            <w:r>
              <w:rPr>
                <w:rFonts w:hint="eastAsia"/>
                <w:b/>
                <w:sz w:val="28"/>
              </w:rPr>
              <w:t>、项目占地情况</w:t>
            </w:r>
          </w:p>
          <w:p>
            <w:pPr>
              <w:spacing w:line="360" w:lineRule="auto"/>
              <w:ind w:firstLine="480"/>
            </w:pPr>
            <w:r>
              <w:rPr>
                <w:rFonts w:hint="eastAsia"/>
              </w:rPr>
              <w:t>根据《湖南省湘阴县静河镇共荣建筑用砂矿土地使用方案（最终稿）》，项目总用地46.6094公顷，包括拟设矿权（露天开采区）面积43.0051公顷，工业广场3.1353公顷，拟建村道0.4690公顷；具体详见下表。</w:t>
            </w:r>
          </w:p>
          <w:p>
            <w:pPr>
              <w:pStyle w:val="2"/>
              <w:spacing w:line="360" w:lineRule="auto"/>
              <w:rPr>
                <w:b w:val="0"/>
              </w:rPr>
            </w:pPr>
            <w:r>
              <w:rPr>
                <w:rFonts w:hint="eastAsia"/>
                <w:b w:val="0"/>
              </w:rPr>
              <w:t>表2</w:t>
            </w:r>
            <w:r>
              <w:rPr>
                <w:b w:val="0"/>
              </w:rPr>
              <w:t xml:space="preserve">-8 </w:t>
            </w:r>
            <w:r>
              <w:rPr>
                <w:rFonts w:hint="eastAsia"/>
                <w:b w:val="0"/>
              </w:rPr>
              <w:t>项目占地情况一览表</w:t>
            </w:r>
          </w:p>
          <w:p>
            <w:pPr>
              <w:spacing w:line="240" w:lineRule="auto"/>
              <w:ind w:firstLine="0" w:firstLineChars="0"/>
              <w:jc w:val="right"/>
            </w:pPr>
            <w:r>
              <w:rPr>
                <w:rFonts w:hint="eastAsia"/>
              </w:rPr>
              <w:t>单位：公顷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09"/>
              <w:gridCol w:w="1559"/>
              <w:gridCol w:w="992"/>
              <w:gridCol w:w="1418"/>
              <w:gridCol w:w="1124"/>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gridSpan w:val="3"/>
                  <w:vAlign w:val="center"/>
                </w:tcPr>
                <w:p>
                  <w:pPr>
                    <w:pStyle w:val="42"/>
                    <w:jc w:val="center"/>
                  </w:pPr>
                  <w:r>
                    <w:rPr>
                      <w:rFonts w:hint="eastAsia"/>
                    </w:rPr>
                    <w:t>地类</w:t>
                  </w:r>
                </w:p>
              </w:tc>
              <w:tc>
                <w:tcPr>
                  <w:tcW w:w="992" w:type="dxa"/>
                  <w:vAlign w:val="center"/>
                </w:tcPr>
                <w:p>
                  <w:pPr>
                    <w:pStyle w:val="42"/>
                    <w:jc w:val="center"/>
                  </w:pPr>
                  <w:r>
                    <w:rPr>
                      <w:rFonts w:hint="eastAsia"/>
                    </w:rPr>
                    <w:t>合计</w:t>
                  </w:r>
                </w:p>
              </w:tc>
              <w:tc>
                <w:tcPr>
                  <w:tcW w:w="1418" w:type="dxa"/>
                  <w:vAlign w:val="center"/>
                </w:tcPr>
                <w:p>
                  <w:pPr>
                    <w:pStyle w:val="42"/>
                    <w:jc w:val="center"/>
                  </w:pPr>
                  <w:r>
                    <w:rPr>
                      <w:rFonts w:hint="eastAsia"/>
                    </w:rPr>
                    <w:t>露天开采区</w:t>
                  </w:r>
                </w:p>
              </w:tc>
              <w:tc>
                <w:tcPr>
                  <w:tcW w:w="1124" w:type="dxa"/>
                  <w:vAlign w:val="center"/>
                </w:tcPr>
                <w:p>
                  <w:pPr>
                    <w:pStyle w:val="42"/>
                    <w:jc w:val="center"/>
                  </w:pPr>
                  <w:r>
                    <w:rPr>
                      <w:rFonts w:hint="eastAsia"/>
                    </w:rPr>
                    <w:t>工业广场</w:t>
                  </w:r>
                </w:p>
              </w:tc>
              <w:tc>
                <w:tcPr>
                  <w:tcW w:w="1179" w:type="dxa"/>
                  <w:vAlign w:val="center"/>
                </w:tcPr>
                <w:p>
                  <w:pPr>
                    <w:pStyle w:val="42"/>
                    <w:jc w:val="center"/>
                  </w:pPr>
                  <w:r>
                    <w:rPr>
                      <w:rFonts w:hint="eastAsia"/>
                    </w:rPr>
                    <w:t>拟建村道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2" w:type="dxa"/>
                  <w:gridSpan w:val="3"/>
                  <w:vAlign w:val="center"/>
                </w:tcPr>
                <w:p>
                  <w:pPr>
                    <w:pStyle w:val="42"/>
                    <w:jc w:val="center"/>
                  </w:pPr>
                  <w:r>
                    <w:rPr>
                      <w:rFonts w:hint="eastAsia"/>
                    </w:rPr>
                    <w:t>合计</w:t>
                  </w:r>
                </w:p>
              </w:tc>
              <w:tc>
                <w:tcPr>
                  <w:tcW w:w="992" w:type="dxa"/>
                  <w:vAlign w:val="center"/>
                </w:tcPr>
                <w:p>
                  <w:pPr>
                    <w:pStyle w:val="42"/>
                    <w:jc w:val="center"/>
                  </w:pPr>
                  <w:r>
                    <w:rPr>
                      <w:rFonts w:hint="eastAsia"/>
                    </w:rPr>
                    <w:t>4</w:t>
                  </w:r>
                  <w:r>
                    <w:t>6.6094</w:t>
                  </w:r>
                </w:p>
              </w:tc>
              <w:tc>
                <w:tcPr>
                  <w:tcW w:w="1418" w:type="dxa"/>
                  <w:vAlign w:val="center"/>
                </w:tcPr>
                <w:p>
                  <w:pPr>
                    <w:pStyle w:val="42"/>
                    <w:jc w:val="center"/>
                  </w:pPr>
                  <w:r>
                    <w:t>43.0051</w:t>
                  </w:r>
                </w:p>
              </w:tc>
              <w:tc>
                <w:tcPr>
                  <w:tcW w:w="1124" w:type="dxa"/>
                  <w:vAlign w:val="center"/>
                </w:tcPr>
                <w:p>
                  <w:pPr>
                    <w:pStyle w:val="42"/>
                    <w:jc w:val="center"/>
                  </w:pPr>
                  <w:r>
                    <w:t>3.1353</w:t>
                  </w:r>
                </w:p>
              </w:tc>
              <w:tc>
                <w:tcPr>
                  <w:tcW w:w="1179" w:type="dxa"/>
                  <w:vAlign w:val="center"/>
                </w:tcPr>
                <w:p>
                  <w:pPr>
                    <w:pStyle w:val="42"/>
                    <w:jc w:val="center"/>
                  </w:pPr>
                  <w:r>
                    <w:t>0.4690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pPr>
                    <w:pStyle w:val="42"/>
                    <w:jc w:val="center"/>
                  </w:pPr>
                  <w:r>
                    <w:rPr>
                      <w:rFonts w:hint="eastAsia"/>
                    </w:rPr>
                    <w:t>农用地</w:t>
                  </w:r>
                </w:p>
              </w:tc>
              <w:tc>
                <w:tcPr>
                  <w:tcW w:w="2268" w:type="dxa"/>
                  <w:gridSpan w:val="2"/>
                  <w:vAlign w:val="center"/>
                </w:tcPr>
                <w:p>
                  <w:pPr>
                    <w:pStyle w:val="42"/>
                    <w:jc w:val="center"/>
                  </w:pPr>
                  <w:r>
                    <w:rPr>
                      <w:rFonts w:hint="eastAsia"/>
                    </w:rPr>
                    <w:t>小计</w:t>
                  </w:r>
                </w:p>
              </w:tc>
              <w:tc>
                <w:tcPr>
                  <w:tcW w:w="992" w:type="dxa"/>
                  <w:vAlign w:val="center"/>
                </w:tcPr>
                <w:p>
                  <w:pPr>
                    <w:pStyle w:val="42"/>
                    <w:jc w:val="center"/>
                  </w:pPr>
                  <w:r>
                    <w:rPr>
                      <w:rFonts w:hint="eastAsia"/>
                    </w:rPr>
                    <w:t>4</w:t>
                  </w:r>
                  <w:r>
                    <w:t>6.5984</w:t>
                  </w:r>
                </w:p>
              </w:tc>
              <w:tc>
                <w:tcPr>
                  <w:tcW w:w="1418" w:type="dxa"/>
                  <w:vAlign w:val="center"/>
                </w:tcPr>
                <w:p>
                  <w:pPr>
                    <w:pStyle w:val="42"/>
                    <w:jc w:val="center"/>
                  </w:pPr>
                  <w:r>
                    <w:t>42.9941</w:t>
                  </w:r>
                </w:p>
              </w:tc>
              <w:tc>
                <w:tcPr>
                  <w:tcW w:w="1124" w:type="dxa"/>
                  <w:vAlign w:val="center"/>
                </w:tcPr>
                <w:p>
                  <w:pPr>
                    <w:pStyle w:val="42"/>
                    <w:jc w:val="center"/>
                  </w:pPr>
                  <w:r>
                    <w:t>3.1353</w:t>
                  </w:r>
                </w:p>
              </w:tc>
              <w:tc>
                <w:tcPr>
                  <w:tcW w:w="1179" w:type="dxa"/>
                  <w:vAlign w:val="center"/>
                </w:tcPr>
                <w:p>
                  <w:pPr>
                    <w:pStyle w:val="42"/>
                    <w:jc w:val="center"/>
                  </w:pPr>
                  <w:r>
                    <w:t>0.4690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耕地</w:t>
                  </w:r>
                </w:p>
              </w:tc>
              <w:tc>
                <w:tcPr>
                  <w:tcW w:w="992" w:type="dxa"/>
                  <w:vAlign w:val="center"/>
                </w:tcPr>
                <w:p>
                  <w:pPr>
                    <w:pStyle w:val="42"/>
                    <w:jc w:val="center"/>
                  </w:pPr>
                  <w:r>
                    <w:t>0.2282</w:t>
                  </w:r>
                </w:p>
              </w:tc>
              <w:tc>
                <w:tcPr>
                  <w:tcW w:w="1418" w:type="dxa"/>
                  <w:vAlign w:val="center"/>
                </w:tcPr>
                <w:p>
                  <w:pPr>
                    <w:pStyle w:val="42"/>
                    <w:jc w:val="center"/>
                  </w:pPr>
                  <w:r>
                    <w:t>0.2282</w:t>
                  </w:r>
                </w:p>
              </w:tc>
              <w:tc>
                <w:tcPr>
                  <w:tcW w:w="1124" w:type="dxa"/>
                  <w:vAlign w:val="center"/>
                </w:tcPr>
                <w:p>
                  <w:pPr>
                    <w:pStyle w:val="42"/>
                    <w:jc w:val="center"/>
                  </w:pPr>
                  <w: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水田</w:t>
                  </w:r>
                </w:p>
              </w:tc>
              <w:tc>
                <w:tcPr>
                  <w:tcW w:w="992" w:type="dxa"/>
                  <w:vAlign w:val="center"/>
                </w:tcPr>
                <w:p>
                  <w:pPr>
                    <w:pStyle w:val="42"/>
                    <w:jc w:val="center"/>
                  </w:pPr>
                  <w:r>
                    <w:t>0.0204</w:t>
                  </w:r>
                </w:p>
              </w:tc>
              <w:tc>
                <w:tcPr>
                  <w:tcW w:w="1418" w:type="dxa"/>
                  <w:vAlign w:val="center"/>
                </w:tcPr>
                <w:p>
                  <w:pPr>
                    <w:pStyle w:val="42"/>
                    <w:jc w:val="center"/>
                  </w:pPr>
                  <w:r>
                    <w:t>0.0204</w:t>
                  </w:r>
                </w:p>
              </w:tc>
              <w:tc>
                <w:tcPr>
                  <w:tcW w:w="1124" w:type="dxa"/>
                  <w:vAlign w:val="center"/>
                </w:tcPr>
                <w:p>
                  <w:pPr>
                    <w:pStyle w:val="42"/>
                    <w:jc w:val="center"/>
                  </w:pPr>
                  <w: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旱地</w:t>
                  </w:r>
                </w:p>
              </w:tc>
              <w:tc>
                <w:tcPr>
                  <w:tcW w:w="992" w:type="dxa"/>
                  <w:vAlign w:val="center"/>
                </w:tcPr>
                <w:p>
                  <w:pPr>
                    <w:pStyle w:val="42"/>
                    <w:jc w:val="center"/>
                  </w:pPr>
                  <w:r>
                    <w:t>0.2078</w:t>
                  </w:r>
                </w:p>
              </w:tc>
              <w:tc>
                <w:tcPr>
                  <w:tcW w:w="1418" w:type="dxa"/>
                  <w:vAlign w:val="center"/>
                </w:tcPr>
                <w:p>
                  <w:pPr>
                    <w:pStyle w:val="42"/>
                    <w:jc w:val="center"/>
                  </w:pPr>
                  <w:r>
                    <w:t>0.2078</w:t>
                  </w:r>
                </w:p>
              </w:tc>
              <w:tc>
                <w:tcPr>
                  <w:tcW w:w="1124" w:type="dxa"/>
                  <w:vAlign w:val="center"/>
                </w:tcPr>
                <w:p>
                  <w:pPr>
                    <w:pStyle w:val="42"/>
                    <w:jc w:val="center"/>
                  </w:pPr>
                  <w: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园地</w:t>
                  </w:r>
                </w:p>
              </w:tc>
              <w:tc>
                <w:tcPr>
                  <w:tcW w:w="992" w:type="dxa"/>
                  <w:vAlign w:val="center"/>
                </w:tcPr>
                <w:p>
                  <w:pPr>
                    <w:pStyle w:val="42"/>
                    <w:jc w:val="center"/>
                  </w:pPr>
                  <w:r>
                    <w:t>0</w:t>
                  </w:r>
                </w:p>
              </w:tc>
              <w:tc>
                <w:tcPr>
                  <w:tcW w:w="1418" w:type="dxa"/>
                  <w:vAlign w:val="center"/>
                </w:tcPr>
                <w:p>
                  <w:pPr>
                    <w:pStyle w:val="42"/>
                    <w:jc w:val="center"/>
                  </w:pPr>
                  <w:r>
                    <w:t>0</w:t>
                  </w:r>
                </w:p>
              </w:tc>
              <w:tc>
                <w:tcPr>
                  <w:tcW w:w="1124" w:type="dxa"/>
                  <w:vAlign w:val="center"/>
                </w:tcPr>
                <w:p>
                  <w:pPr>
                    <w:pStyle w:val="42"/>
                    <w:jc w:val="center"/>
                  </w:pPr>
                  <w: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林地</w:t>
                  </w:r>
                </w:p>
              </w:tc>
              <w:tc>
                <w:tcPr>
                  <w:tcW w:w="992" w:type="dxa"/>
                  <w:vAlign w:val="center"/>
                </w:tcPr>
                <w:p>
                  <w:pPr>
                    <w:pStyle w:val="42"/>
                    <w:jc w:val="center"/>
                  </w:pPr>
                  <w:r>
                    <w:t>44.7578</w:t>
                  </w:r>
                </w:p>
              </w:tc>
              <w:tc>
                <w:tcPr>
                  <w:tcW w:w="1418" w:type="dxa"/>
                  <w:vAlign w:val="center"/>
                </w:tcPr>
                <w:p>
                  <w:pPr>
                    <w:pStyle w:val="42"/>
                    <w:jc w:val="center"/>
                  </w:pPr>
                  <w:r>
                    <w:t>41.4973</w:t>
                  </w:r>
                </w:p>
              </w:tc>
              <w:tc>
                <w:tcPr>
                  <w:tcW w:w="1124" w:type="dxa"/>
                  <w:vAlign w:val="center"/>
                </w:tcPr>
                <w:p>
                  <w:pPr>
                    <w:pStyle w:val="42"/>
                    <w:jc w:val="center"/>
                  </w:pPr>
                  <w:r>
                    <w:t>3.0815</w:t>
                  </w:r>
                </w:p>
              </w:tc>
              <w:tc>
                <w:tcPr>
                  <w:tcW w:w="1179" w:type="dxa"/>
                  <w:vAlign w:val="center"/>
                </w:tcPr>
                <w:p>
                  <w:pPr>
                    <w:pStyle w:val="42"/>
                    <w:jc w:val="center"/>
                  </w:pPr>
                  <w:r>
                    <w:t>0.1790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其他农用地</w:t>
                  </w:r>
                </w:p>
              </w:tc>
              <w:tc>
                <w:tcPr>
                  <w:tcW w:w="992" w:type="dxa"/>
                  <w:vAlign w:val="center"/>
                </w:tcPr>
                <w:p>
                  <w:pPr>
                    <w:pStyle w:val="42"/>
                    <w:jc w:val="center"/>
                  </w:pPr>
                  <w:r>
                    <w:t>1.6124</w:t>
                  </w:r>
                </w:p>
              </w:tc>
              <w:tc>
                <w:tcPr>
                  <w:tcW w:w="1418" w:type="dxa"/>
                  <w:vAlign w:val="center"/>
                </w:tcPr>
                <w:p>
                  <w:pPr>
                    <w:pStyle w:val="42"/>
                    <w:jc w:val="center"/>
                  </w:pPr>
                  <w:r>
                    <w:t>1.2686</w:t>
                  </w:r>
                </w:p>
              </w:tc>
              <w:tc>
                <w:tcPr>
                  <w:tcW w:w="1124" w:type="dxa"/>
                  <w:vAlign w:val="center"/>
                </w:tcPr>
                <w:p>
                  <w:pPr>
                    <w:pStyle w:val="42"/>
                    <w:jc w:val="center"/>
                  </w:pPr>
                  <w:r>
                    <w:t>0.0538</w:t>
                  </w:r>
                </w:p>
              </w:tc>
              <w:tc>
                <w:tcPr>
                  <w:tcW w:w="1179" w:type="dxa"/>
                  <w:vAlign w:val="center"/>
                </w:tcPr>
                <w:p>
                  <w:pPr>
                    <w:pStyle w:val="42"/>
                    <w:jc w:val="center"/>
                  </w:pPr>
                  <w:r>
                    <w:t>0.2900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pPr>
                    <w:pStyle w:val="42"/>
                    <w:jc w:val="center"/>
                  </w:pPr>
                  <w:r>
                    <w:rPr>
                      <w:rFonts w:hint="eastAsia"/>
                    </w:rPr>
                    <w:t>建设用地</w:t>
                  </w:r>
                </w:p>
              </w:tc>
              <w:tc>
                <w:tcPr>
                  <w:tcW w:w="2268" w:type="dxa"/>
                  <w:gridSpan w:val="2"/>
                  <w:vAlign w:val="center"/>
                </w:tcPr>
                <w:p>
                  <w:pPr>
                    <w:pStyle w:val="42"/>
                    <w:jc w:val="center"/>
                  </w:pPr>
                  <w:r>
                    <w:rPr>
                      <w:rFonts w:hint="eastAsia"/>
                    </w:rPr>
                    <w:t>小计</w:t>
                  </w:r>
                </w:p>
              </w:tc>
              <w:tc>
                <w:tcPr>
                  <w:tcW w:w="992" w:type="dxa"/>
                  <w:vAlign w:val="center"/>
                </w:tcPr>
                <w:p>
                  <w:pPr>
                    <w:pStyle w:val="42"/>
                    <w:jc w:val="center"/>
                  </w:pPr>
                  <w:r>
                    <w:t>0.0110</w:t>
                  </w:r>
                </w:p>
              </w:tc>
              <w:tc>
                <w:tcPr>
                  <w:tcW w:w="1418" w:type="dxa"/>
                  <w:vAlign w:val="center"/>
                </w:tcPr>
                <w:p>
                  <w:pPr>
                    <w:pStyle w:val="42"/>
                    <w:jc w:val="center"/>
                  </w:pPr>
                  <w:r>
                    <w:t>0.0110</w:t>
                  </w:r>
                </w:p>
              </w:tc>
              <w:tc>
                <w:tcPr>
                  <w:tcW w:w="1124" w:type="dxa"/>
                  <w:vAlign w:val="center"/>
                </w:tcPr>
                <w:p>
                  <w:pPr>
                    <w:pStyle w:val="42"/>
                    <w:jc w:val="center"/>
                  </w:pPr>
                  <w:r>
                    <w:rPr>
                      <w:rFonts w:hint="eastAsia"/>
                    </w:rP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vMerge w:val="continue"/>
                  <w:vAlign w:val="center"/>
                </w:tcPr>
                <w:p>
                  <w:pPr>
                    <w:pStyle w:val="42"/>
                    <w:jc w:val="center"/>
                  </w:pPr>
                </w:p>
              </w:tc>
              <w:tc>
                <w:tcPr>
                  <w:tcW w:w="709" w:type="dxa"/>
                  <w:vMerge w:val="restart"/>
                  <w:vAlign w:val="center"/>
                </w:tcPr>
                <w:p>
                  <w:pPr>
                    <w:pStyle w:val="42"/>
                    <w:jc w:val="center"/>
                  </w:pPr>
                  <w:r>
                    <w:rPr>
                      <w:rFonts w:hint="eastAsia"/>
                    </w:rPr>
                    <w:t>城乡建设用地</w:t>
                  </w:r>
                </w:p>
              </w:tc>
              <w:tc>
                <w:tcPr>
                  <w:tcW w:w="1559" w:type="dxa"/>
                  <w:vAlign w:val="center"/>
                </w:tcPr>
                <w:p>
                  <w:pPr>
                    <w:pStyle w:val="42"/>
                    <w:jc w:val="center"/>
                  </w:pPr>
                  <w:r>
                    <w:rPr>
                      <w:rFonts w:hint="eastAsia"/>
                    </w:rPr>
                    <w:t>小计</w:t>
                  </w:r>
                </w:p>
              </w:tc>
              <w:tc>
                <w:tcPr>
                  <w:tcW w:w="992" w:type="dxa"/>
                  <w:vAlign w:val="center"/>
                </w:tcPr>
                <w:p>
                  <w:pPr>
                    <w:pStyle w:val="42"/>
                    <w:jc w:val="center"/>
                  </w:pPr>
                  <w:r>
                    <w:t>0.0110</w:t>
                  </w:r>
                </w:p>
              </w:tc>
              <w:tc>
                <w:tcPr>
                  <w:tcW w:w="1418" w:type="dxa"/>
                  <w:vAlign w:val="center"/>
                </w:tcPr>
                <w:p>
                  <w:pPr>
                    <w:pStyle w:val="42"/>
                    <w:jc w:val="center"/>
                  </w:pPr>
                  <w:r>
                    <w:t>0.0110</w:t>
                  </w:r>
                </w:p>
              </w:tc>
              <w:tc>
                <w:tcPr>
                  <w:tcW w:w="1124" w:type="dxa"/>
                  <w:vAlign w:val="center"/>
                </w:tcPr>
                <w:p>
                  <w:pPr>
                    <w:pStyle w:val="42"/>
                    <w:jc w:val="center"/>
                  </w:pPr>
                  <w:r>
                    <w:rPr>
                      <w:rFonts w:hint="eastAsia"/>
                    </w:rP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709" w:type="dxa"/>
                  <w:vMerge w:val="continue"/>
                  <w:vAlign w:val="center"/>
                </w:tcPr>
                <w:p>
                  <w:pPr>
                    <w:pStyle w:val="42"/>
                    <w:jc w:val="center"/>
                  </w:pPr>
                </w:p>
              </w:tc>
              <w:tc>
                <w:tcPr>
                  <w:tcW w:w="1559" w:type="dxa"/>
                  <w:vAlign w:val="center"/>
                </w:tcPr>
                <w:p>
                  <w:pPr>
                    <w:pStyle w:val="42"/>
                    <w:jc w:val="center"/>
                  </w:pPr>
                  <w:r>
                    <w:rPr>
                      <w:rFonts w:hint="eastAsia"/>
                    </w:rPr>
                    <w:t>工业用地</w:t>
                  </w:r>
                </w:p>
              </w:tc>
              <w:tc>
                <w:tcPr>
                  <w:tcW w:w="992" w:type="dxa"/>
                  <w:vAlign w:val="center"/>
                </w:tcPr>
                <w:p>
                  <w:pPr>
                    <w:pStyle w:val="42"/>
                    <w:jc w:val="center"/>
                  </w:pPr>
                  <w:r>
                    <w:t>0.0110</w:t>
                  </w:r>
                </w:p>
              </w:tc>
              <w:tc>
                <w:tcPr>
                  <w:tcW w:w="1418" w:type="dxa"/>
                  <w:vAlign w:val="center"/>
                </w:tcPr>
                <w:p>
                  <w:pPr>
                    <w:pStyle w:val="42"/>
                    <w:jc w:val="center"/>
                  </w:pPr>
                  <w:r>
                    <w:t>0.0110</w:t>
                  </w:r>
                </w:p>
              </w:tc>
              <w:tc>
                <w:tcPr>
                  <w:tcW w:w="1124" w:type="dxa"/>
                  <w:vAlign w:val="center"/>
                </w:tcPr>
                <w:p>
                  <w:pPr>
                    <w:pStyle w:val="42"/>
                    <w:jc w:val="center"/>
                  </w:pPr>
                  <w:r>
                    <w:rPr>
                      <w:rFonts w:hint="eastAsia"/>
                    </w:rP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709" w:type="dxa"/>
                  <w:vMerge w:val="continue"/>
                  <w:vAlign w:val="center"/>
                </w:tcPr>
                <w:p>
                  <w:pPr>
                    <w:pStyle w:val="42"/>
                    <w:jc w:val="center"/>
                  </w:pPr>
                </w:p>
              </w:tc>
              <w:tc>
                <w:tcPr>
                  <w:tcW w:w="1559" w:type="dxa"/>
                  <w:vAlign w:val="center"/>
                </w:tcPr>
                <w:p>
                  <w:pPr>
                    <w:pStyle w:val="42"/>
                    <w:jc w:val="center"/>
                  </w:pPr>
                  <w:r>
                    <w:rPr>
                      <w:rFonts w:hint="eastAsia"/>
                    </w:rPr>
                    <w:t>农村居民点</w:t>
                  </w:r>
                </w:p>
              </w:tc>
              <w:tc>
                <w:tcPr>
                  <w:tcW w:w="992" w:type="dxa"/>
                  <w:vAlign w:val="center"/>
                </w:tcPr>
                <w:p>
                  <w:pPr>
                    <w:pStyle w:val="42"/>
                    <w:jc w:val="center"/>
                  </w:pPr>
                  <w:r>
                    <w:rPr>
                      <w:rFonts w:hint="eastAsia"/>
                    </w:rPr>
                    <w:t>0</w:t>
                  </w:r>
                </w:p>
              </w:tc>
              <w:tc>
                <w:tcPr>
                  <w:tcW w:w="1418" w:type="dxa"/>
                  <w:vAlign w:val="center"/>
                </w:tcPr>
                <w:p>
                  <w:pPr>
                    <w:pStyle w:val="42"/>
                    <w:jc w:val="center"/>
                  </w:pPr>
                  <w:r>
                    <w:rPr>
                      <w:rFonts w:hint="eastAsia"/>
                    </w:rPr>
                    <w:t>0</w:t>
                  </w:r>
                </w:p>
              </w:tc>
              <w:tc>
                <w:tcPr>
                  <w:tcW w:w="1124" w:type="dxa"/>
                  <w:vAlign w:val="center"/>
                </w:tcPr>
                <w:p>
                  <w:pPr>
                    <w:pStyle w:val="42"/>
                    <w:jc w:val="center"/>
                  </w:pPr>
                  <w:r>
                    <w:rPr>
                      <w:rFonts w:hint="eastAsia"/>
                    </w:rPr>
                    <w:t>0</w:t>
                  </w:r>
                </w:p>
              </w:tc>
              <w:tc>
                <w:tcPr>
                  <w:tcW w:w="1179" w:type="dxa"/>
                  <w:vAlign w:val="center"/>
                </w:tcPr>
                <w:p>
                  <w:pPr>
                    <w:pStyle w:val="42"/>
                    <w:jc w:val="center"/>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709" w:type="dxa"/>
                  <w:vMerge w:val="continue"/>
                  <w:vAlign w:val="center"/>
                </w:tcPr>
                <w:p>
                  <w:pPr>
                    <w:pStyle w:val="42"/>
                    <w:jc w:val="center"/>
                  </w:pPr>
                </w:p>
              </w:tc>
              <w:tc>
                <w:tcPr>
                  <w:tcW w:w="1559" w:type="dxa"/>
                  <w:vAlign w:val="center"/>
                </w:tcPr>
                <w:p>
                  <w:pPr>
                    <w:pStyle w:val="42"/>
                    <w:jc w:val="center"/>
                  </w:pPr>
                  <w:r>
                    <w:rPr>
                      <w:rFonts w:hint="eastAsia"/>
                    </w:rPr>
                    <w:t>采矿及其他独立建设用地</w:t>
                  </w:r>
                </w:p>
              </w:tc>
              <w:tc>
                <w:tcPr>
                  <w:tcW w:w="992" w:type="dxa"/>
                  <w:vAlign w:val="center"/>
                </w:tcPr>
                <w:p>
                  <w:pPr>
                    <w:pStyle w:val="42"/>
                    <w:jc w:val="center"/>
                  </w:pPr>
                  <w:r>
                    <w:rPr>
                      <w:rFonts w:hint="eastAsia"/>
                    </w:rPr>
                    <w:t>0</w:t>
                  </w:r>
                </w:p>
              </w:tc>
              <w:tc>
                <w:tcPr>
                  <w:tcW w:w="1418" w:type="dxa"/>
                  <w:vAlign w:val="center"/>
                </w:tcPr>
                <w:p>
                  <w:pPr>
                    <w:pStyle w:val="42"/>
                    <w:jc w:val="center"/>
                  </w:pPr>
                  <w:r>
                    <w:rPr>
                      <w:rFonts w:hint="eastAsia"/>
                    </w:rPr>
                    <w:t>0</w:t>
                  </w:r>
                </w:p>
              </w:tc>
              <w:tc>
                <w:tcPr>
                  <w:tcW w:w="1124" w:type="dxa"/>
                  <w:vAlign w:val="center"/>
                </w:tcPr>
                <w:p>
                  <w:pPr>
                    <w:pStyle w:val="42"/>
                    <w:jc w:val="center"/>
                  </w:pPr>
                  <w:r>
                    <w:t>0</w:t>
                  </w:r>
                </w:p>
              </w:tc>
              <w:tc>
                <w:tcPr>
                  <w:tcW w:w="1179" w:type="dxa"/>
                  <w:vAlign w:val="center"/>
                </w:tcPr>
                <w:p>
                  <w:pPr>
                    <w:pStyle w:val="42"/>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交通水利用地</w:t>
                  </w:r>
                </w:p>
              </w:tc>
              <w:tc>
                <w:tcPr>
                  <w:tcW w:w="992" w:type="dxa"/>
                  <w:vAlign w:val="center"/>
                </w:tcPr>
                <w:p>
                  <w:pPr>
                    <w:pStyle w:val="42"/>
                    <w:jc w:val="center"/>
                  </w:pPr>
                  <w:r>
                    <w:t>0</w:t>
                  </w:r>
                </w:p>
              </w:tc>
              <w:tc>
                <w:tcPr>
                  <w:tcW w:w="1418" w:type="dxa"/>
                  <w:vAlign w:val="center"/>
                </w:tcPr>
                <w:p>
                  <w:pPr>
                    <w:pStyle w:val="42"/>
                    <w:jc w:val="center"/>
                  </w:pPr>
                  <w:r>
                    <w:t>0</w:t>
                  </w:r>
                </w:p>
              </w:tc>
              <w:tc>
                <w:tcPr>
                  <w:tcW w:w="1124" w:type="dxa"/>
                  <w:vAlign w:val="center"/>
                </w:tcPr>
                <w:p>
                  <w:pPr>
                    <w:pStyle w:val="42"/>
                    <w:jc w:val="center"/>
                  </w:pPr>
                  <w: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其他建设用地</w:t>
                  </w:r>
                </w:p>
              </w:tc>
              <w:tc>
                <w:tcPr>
                  <w:tcW w:w="992" w:type="dxa"/>
                  <w:vAlign w:val="center"/>
                </w:tcPr>
                <w:p>
                  <w:pPr>
                    <w:pStyle w:val="42"/>
                    <w:jc w:val="center"/>
                  </w:pPr>
                  <w:r>
                    <w:t>0</w:t>
                  </w:r>
                </w:p>
              </w:tc>
              <w:tc>
                <w:tcPr>
                  <w:tcW w:w="1418" w:type="dxa"/>
                  <w:vAlign w:val="center"/>
                </w:tcPr>
                <w:p>
                  <w:pPr>
                    <w:pStyle w:val="42"/>
                    <w:jc w:val="center"/>
                  </w:pPr>
                  <w:r>
                    <w:t>0</w:t>
                  </w:r>
                </w:p>
              </w:tc>
              <w:tc>
                <w:tcPr>
                  <w:tcW w:w="1124" w:type="dxa"/>
                  <w:vAlign w:val="center"/>
                </w:tcPr>
                <w:p>
                  <w:pPr>
                    <w:pStyle w:val="42"/>
                    <w:jc w:val="center"/>
                  </w:pPr>
                  <w: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restart"/>
                  <w:vAlign w:val="center"/>
                </w:tcPr>
                <w:p>
                  <w:pPr>
                    <w:pStyle w:val="42"/>
                    <w:jc w:val="center"/>
                  </w:pPr>
                  <w:r>
                    <w:rPr>
                      <w:rFonts w:hint="eastAsia"/>
                    </w:rPr>
                    <w:t>其他土地</w:t>
                  </w:r>
                </w:p>
              </w:tc>
              <w:tc>
                <w:tcPr>
                  <w:tcW w:w="2268" w:type="dxa"/>
                  <w:gridSpan w:val="2"/>
                  <w:vAlign w:val="center"/>
                </w:tcPr>
                <w:p>
                  <w:pPr>
                    <w:pStyle w:val="42"/>
                    <w:jc w:val="center"/>
                  </w:pPr>
                  <w:r>
                    <w:rPr>
                      <w:rFonts w:hint="eastAsia"/>
                    </w:rPr>
                    <w:t>小计</w:t>
                  </w:r>
                </w:p>
              </w:tc>
              <w:tc>
                <w:tcPr>
                  <w:tcW w:w="992" w:type="dxa"/>
                  <w:vAlign w:val="center"/>
                </w:tcPr>
                <w:p>
                  <w:pPr>
                    <w:pStyle w:val="42"/>
                    <w:jc w:val="center"/>
                  </w:pPr>
                  <w:r>
                    <w:t>0</w:t>
                  </w:r>
                </w:p>
              </w:tc>
              <w:tc>
                <w:tcPr>
                  <w:tcW w:w="1418" w:type="dxa"/>
                  <w:vAlign w:val="center"/>
                </w:tcPr>
                <w:p>
                  <w:pPr>
                    <w:pStyle w:val="42"/>
                    <w:jc w:val="center"/>
                  </w:pPr>
                  <w:r>
                    <w:t>0</w:t>
                  </w:r>
                </w:p>
              </w:tc>
              <w:tc>
                <w:tcPr>
                  <w:tcW w:w="1124" w:type="dxa"/>
                  <w:vAlign w:val="center"/>
                </w:tcPr>
                <w:p>
                  <w:pPr>
                    <w:pStyle w:val="42"/>
                    <w:jc w:val="center"/>
                  </w:pPr>
                  <w: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水域</w:t>
                  </w:r>
                </w:p>
              </w:tc>
              <w:tc>
                <w:tcPr>
                  <w:tcW w:w="992" w:type="dxa"/>
                  <w:vAlign w:val="center"/>
                </w:tcPr>
                <w:p>
                  <w:pPr>
                    <w:pStyle w:val="42"/>
                    <w:jc w:val="center"/>
                  </w:pPr>
                  <w:r>
                    <w:t>0</w:t>
                  </w:r>
                </w:p>
              </w:tc>
              <w:tc>
                <w:tcPr>
                  <w:tcW w:w="1418" w:type="dxa"/>
                  <w:vAlign w:val="center"/>
                </w:tcPr>
                <w:p>
                  <w:pPr>
                    <w:pStyle w:val="42"/>
                    <w:jc w:val="center"/>
                  </w:pPr>
                  <w:r>
                    <w:t>0</w:t>
                  </w:r>
                </w:p>
              </w:tc>
              <w:tc>
                <w:tcPr>
                  <w:tcW w:w="1124" w:type="dxa"/>
                  <w:vAlign w:val="center"/>
                </w:tcPr>
                <w:p>
                  <w:pPr>
                    <w:pStyle w:val="42"/>
                    <w:jc w:val="center"/>
                  </w:pPr>
                  <w:r>
                    <w:t>0</w:t>
                  </w:r>
                </w:p>
              </w:tc>
              <w:tc>
                <w:tcPr>
                  <w:tcW w:w="1179" w:type="dxa"/>
                  <w:vAlign w:val="center"/>
                </w:tcPr>
                <w:p>
                  <w:pPr>
                    <w:pStyle w:val="42"/>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Merge w:val="continue"/>
                  <w:vAlign w:val="center"/>
                </w:tcPr>
                <w:p>
                  <w:pPr>
                    <w:pStyle w:val="42"/>
                    <w:jc w:val="center"/>
                  </w:pPr>
                </w:p>
              </w:tc>
              <w:tc>
                <w:tcPr>
                  <w:tcW w:w="2268" w:type="dxa"/>
                  <w:gridSpan w:val="2"/>
                  <w:vAlign w:val="center"/>
                </w:tcPr>
                <w:p>
                  <w:pPr>
                    <w:pStyle w:val="42"/>
                    <w:jc w:val="center"/>
                  </w:pPr>
                  <w:r>
                    <w:rPr>
                      <w:rFonts w:hint="eastAsia"/>
                    </w:rPr>
                    <w:t>其他草地</w:t>
                  </w:r>
                </w:p>
              </w:tc>
              <w:tc>
                <w:tcPr>
                  <w:tcW w:w="992" w:type="dxa"/>
                  <w:vAlign w:val="center"/>
                </w:tcPr>
                <w:p>
                  <w:pPr>
                    <w:pStyle w:val="42"/>
                    <w:jc w:val="center"/>
                  </w:pPr>
                  <w:r>
                    <w:t>0</w:t>
                  </w:r>
                </w:p>
              </w:tc>
              <w:tc>
                <w:tcPr>
                  <w:tcW w:w="1418" w:type="dxa"/>
                  <w:vAlign w:val="center"/>
                </w:tcPr>
                <w:p>
                  <w:pPr>
                    <w:pStyle w:val="42"/>
                    <w:jc w:val="center"/>
                  </w:pPr>
                  <w:r>
                    <w:t>0</w:t>
                  </w:r>
                </w:p>
              </w:tc>
              <w:tc>
                <w:tcPr>
                  <w:tcW w:w="1124" w:type="dxa"/>
                  <w:vAlign w:val="center"/>
                </w:tcPr>
                <w:p>
                  <w:pPr>
                    <w:pStyle w:val="42"/>
                    <w:jc w:val="center"/>
                  </w:pPr>
                  <w:r>
                    <w:t>0</w:t>
                  </w:r>
                </w:p>
              </w:tc>
              <w:tc>
                <w:tcPr>
                  <w:tcW w:w="1179" w:type="dxa"/>
                  <w:vAlign w:val="center"/>
                </w:tcPr>
                <w:p>
                  <w:pPr>
                    <w:pStyle w:val="42"/>
                    <w:jc w:val="center"/>
                  </w:pPr>
                  <w:r>
                    <w:t>0</w:t>
                  </w:r>
                </w:p>
              </w:tc>
            </w:tr>
          </w:tbl>
          <w:p>
            <w:pPr>
              <w:spacing w:line="360" w:lineRule="auto"/>
              <w:ind w:firstLine="0" w:firstLineChars="0"/>
              <w:rPr>
                <w:b/>
                <w:sz w:val="28"/>
              </w:rPr>
            </w:pPr>
            <w:r>
              <w:rPr>
                <w:b/>
                <w:sz w:val="28"/>
              </w:rPr>
              <w:t>10</w:t>
            </w:r>
            <w:r>
              <w:rPr>
                <w:rFonts w:hint="eastAsia"/>
                <w:b/>
                <w:sz w:val="28"/>
              </w:rPr>
              <w:t>、劳动定员及工作制度</w:t>
            </w:r>
          </w:p>
          <w:p>
            <w:pPr>
              <w:spacing w:line="360" w:lineRule="auto"/>
              <w:ind w:firstLine="480"/>
            </w:pPr>
            <w:r>
              <w:rPr>
                <w:rFonts w:hint="eastAsia"/>
              </w:rPr>
              <w:t>本项目劳动定员</w:t>
            </w:r>
            <w:r>
              <w:t>30</w:t>
            </w:r>
            <w:r>
              <w:rPr>
                <w:rFonts w:hint="eastAsia"/>
              </w:rPr>
              <w:t>人，年工作300天，每天工作</w:t>
            </w:r>
            <w:r>
              <w:t>1</w:t>
            </w:r>
            <w:r>
              <w:rPr>
                <w:rFonts w:hint="eastAsia"/>
              </w:rPr>
              <w:t>班，每班工作8小时，均在厂内食宿。</w:t>
            </w:r>
          </w:p>
          <w:p>
            <w:pPr>
              <w:spacing w:line="360" w:lineRule="auto"/>
              <w:ind w:firstLine="0" w:firstLineChars="0"/>
              <w:rPr>
                <w:b/>
                <w:sz w:val="28"/>
              </w:rPr>
            </w:pPr>
            <w:r>
              <w:rPr>
                <w:b/>
                <w:sz w:val="28"/>
              </w:rPr>
              <w:t>11</w:t>
            </w:r>
            <w:r>
              <w:rPr>
                <w:rFonts w:hint="eastAsia"/>
                <w:b/>
                <w:sz w:val="28"/>
              </w:rPr>
              <w:t>、给排水情况</w:t>
            </w:r>
          </w:p>
          <w:p>
            <w:pPr>
              <w:spacing w:line="360" w:lineRule="auto"/>
              <w:ind w:firstLine="0" w:firstLineChars="0"/>
              <w:rPr>
                <w:b/>
              </w:rPr>
            </w:pPr>
            <w:r>
              <w:rPr>
                <w:b/>
              </w:rPr>
              <w:t>11.1</w:t>
            </w:r>
            <w:r>
              <w:rPr>
                <w:rFonts w:hint="eastAsia"/>
                <w:b/>
              </w:rPr>
              <w:t>施工期</w:t>
            </w:r>
          </w:p>
          <w:p>
            <w:pPr>
              <w:spacing w:line="360" w:lineRule="auto"/>
              <w:ind w:firstLine="480"/>
            </w:pPr>
            <w:r>
              <w:rPr>
                <w:rFonts w:hint="eastAsia"/>
              </w:rPr>
              <w:t>施工期给水来源于项目所在区域自来水（湘江水厂镇政府口供水）。</w:t>
            </w:r>
          </w:p>
          <w:p>
            <w:pPr>
              <w:spacing w:line="360" w:lineRule="auto"/>
              <w:ind w:firstLine="480"/>
            </w:pPr>
            <w:r>
              <w:rPr>
                <w:rFonts w:hint="eastAsia"/>
              </w:rPr>
              <w:t>施工期新建临时生活区，生活污水经化粪池处理用于林地施肥；施工废水经沉淀后回用于厂区洒水抑尘。</w:t>
            </w:r>
          </w:p>
          <w:p>
            <w:pPr>
              <w:spacing w:line="360" w:lineRule="auto"/>
              <w:ind w:firstLine="0" w:firstLineChars="0"/>
              <w:rPr>
                <w:b/>
              </w:rPr>
            </w:pPr>
            <w:r>
              <w:rPr>
                <w:b/>
              </w:rPr>
              <w:t>11.2</w:t>
            </w:r>
            <w:r>
              <w:rPr>
                <w:rFonts w:hint="eastAsia"/>
                <w:b/>
              </w:rPr>
              <w:t>运营期</w:t>
            </w:r>
          </w:p>
          <w:p>
            <w:pPr>
              <w:spacing w:line="360" w:lineRule="auto"/>
              <w:ind w:firstLine="480"/>
            </w:pPr>
            <w:r>
              <w:rPr>
                <w:rFonts w:hint="eastAsia"/>
              </w:rPr>
              <w:t>运营期用水主要包括员工生活用水、生产用水和绿化用水；项目生活用水来源于自来水（湘江水厂镇政府口供水），生产水源拟从洋沙湖撇洪渠提水（根据《湖南省水利厅关于进一步加强水资源论证工作的通知》湘水办〔2015〕85号需办理水资源论证行政许可文件）。</w:t>
            </w:r>
          </w:p>
          <w:p>
            <w:pPr>
              <w:spacing w:line="360" w:lineRule="auto"/>
              <w:ind w:firstLine="480"/>
              <w:rPr>
                <w:u w:val="single"/>
              </w:rPr>
            </w:pPr>
            <w:r>
              <w:rPr>
                <w:rFonts w:hint="eastAsia"/>
                <w:u w:val="single"/>
              </w:rPr>
              <w:t>运营期排水采用“雨污分流、污污分流”制，考虑到初期雨水含砂量较高，本次将初期雨水纳入废水进行考虑；同时，为了降低本项目对周围地表水体环境的影响，建议矿区边界南北、东北、南部排水沟分别设切换阀，将初期雨水和后期雨水分开，并且后期雨水经沉淀池处理后，随地势流入周边自然水系。</w:t>
            </w:r>
          </w:p>
          <w:p>
            <w:pPr>
              <w:spacing w:line="360" w:lineRule="auto"/>
              <w:ind w:firstLine="480"/>
              <w:rPr>
                <w:u w:val="single"/>
              </w:rPr>
            </w:pPr>
            <w:r>
              <w:rPr>
                <w:rFonts w:hint="eastAsia"/>
                <w:u w:val="single"/>
              </w:rPr>
              <w:t>本项目采矿区内开采工艺不涉及生产工艺用水；工业广场加工区涉及洗砂，产生洗砂废水，主要通过浓缩罐+清水罐+二级沉淀回用水池处理后回用于洗砂，不外排；加工区车辆冲洗产生的废水经三级沉淀池沉淀后回用于洗车，不外排；矿区开采及加工过程中喷雾洒水抑尘用全部自然蒸发；本项目矿石卸料平台和表土临时堆置场均设置在露天采矿区范围内，则本次将堆场淋滤废水纳入露天采场初期雨水一并考虑。</w:t>
            </w:r>
          </w:p>
          <w:p>
            <w:pPr>
              <w:spacing w:line="360" w:lineRule="auto"/>
              <w:ind w:firstLine="0" w:firstLineChars="0"/>
            </w:pPr>
            <w:r>
              <w:rPr>
                <w:rFonts w:hint="eastAsia"/>
              </w:rPr>
              <w:t>1</w:t>
            </w:r>
            <w:r>
              <w:t>1.2.1</w:t>
            </w:r>
            <w:r>
              <w:rPr>
                <w:rFonts w:hint="eastAsia"/>
              </w:rPr>
              <w:t>生活用水</w:t>
            </w:r>
          </w:p>
          <w:p>
            <w:pPr>
              <w:spacing w:line="360" w:lineRule="auto"/>
              <w:ind w:firstLine="480"/>
            </w:pPr>
            <w:r>
              <w:rPr>
                <w:rFonts w:hint="eastAsia"/>
              </w:rPr>
              <w:t>运营期</w:t>
            </w:r>
            <w:r>
              <w:t>员工总人数为30人，均在厂区食宿，</w:t>
            </w:r>
            <w:r>
              <w:rPr>
                <w:rFonts w:hint="eastAsia"/>
              </w:rPr>
              <w:t>参考</w:t>
            </w:r>
            <w:r>
              <w:t>湖南省地方标准《用水定额》（DB43/T388-2020）农村居民生活用水定额—集中式供水（水源供水能力≥1000m</w:t>
            </w:r>
            <w:r>
              <w:rPr>
                <w:vertAlign w:val="superscript"/>
              </w:rPr>
              <w:t>3</w:t>
            </w:r>
            <w:r>
              <w:t>/d）通用值140L/人·d</w:t>
            </w:r>
            <w:r>
              <w:rPr>
                <w:rFonts w:hint="eastAsia"/>
              </w:rPr>
              <w:t>，则项目生活用水量为约</w:t>
            </w:r>
            <w:r>
              <w:t>4.2m</w:t>
            </w:r>
            <w:r>
              <w:rPr>
                <w:vertAlign w:val="superscript"/>
              </w:rPr>
              <w:t>3</w:t>
            </w:r>
            <w:r>
              <w:t>/d</w:t>
            </w:r>
            <w:r>
              <w:rPr>
                <w:rFonts w:hint="eastAsia"/>
              </w:rPr>
              <w:t>（</w:t>
            </w:r>
            <w:r>
              <w:t>1260</w:t>
            </w:r>
            <w:r>
              <w:rPr>
                <w:rFonts w:hint="eastAsia"/>
              </w:rPr>
              <w:t>m</w:t>
            </w:r>
            <w:r>
              <w:rPr>
                <w:vertAlign w:val="superscript"/>
              </w:rPr>
              <w:t>3</w:t>
            </w:r>
            <w:r>
              <w:t>/a</w:t>
            </w:r>
            <w:r>
              <w:rPr>
                <w:rFonts w:hint="eastAsia"/>
              </w:rPr>
              <w:t>）。</w:t>
            </w:r>
          </w:p>
          <w:p>
            <w:pPr>
              <w:spacing w:line="360" w:lineRule="auto"/>
              <w:ind w:firstLine="480"/>
            </w:pPr>
            <w:r>
              <w:rPr>
                <w:rFonts w:hint="eastAsia"/>
              </w:rPr>
              <w:t>生活污水产污系数按照8</w:t>
            </w:r>
            <w:r>
              <w:t>0%</w:t>
            </w:r>
            <w:r>
              <w:rPr>
                <w:rFonts w:hint="eastAsia"/>
              </w:rPr>
              <w:t>计，则生活污水产生量为</w:t>
            </w:r>
            <w:r>
              <w:t>3.36m</w:t>
            </w:r>
            <w:r>
              <w:rPr>
                <w:vertAlign w:val="superscript"/>
              </w:rPr>
              <w:t>3</w:t>
            </w:r>
            <w:r>
              <w:t>/d</w:t>
            </w:r>
            <w:r>
              <w:rPr>
                <w:rFonts w:hint="eastAsia"/>
              </w:rPr>
              <w:t>（</w:t>
            </w:r>
            <w:r>
              <w:t>1008</w:t>
            </w:r>
            <w:r>
              <w:rPr>
                <w:rFonts w:hint="eastAsia"/>
              </w:rPr>
              <w:t>m</w:t>
            </w:r>
            <w:r>
              <w:rPr>
                <w:vertAlign w:val="superscript"/>
              </w:rPr>
              <w:t>3</w:t>
            </w:r>
            <w:r>
              <w:t>/a</w:t>
            </w:r>
            <w:r>
              <w:rPr>
                <w:rFonts w:hint="eastAsia"/>
              </w:rPr>
              <w:t>），经隔油池、化粪池处理后用于矿区绿化、周边林地、菜地等施肥。</w:t>
            </w:r>
          </w:p>
          <w:p>
            <w:pPr>
              <w:spacing w:line="360" w:lineRule="auto"/>
              <w:ind w:firstLine="0" w:firstLineChars="0"/>
            </w:pPr>
            <w:r>
              <w:rPr>
                <w:rFonts w:hint="eastAsia"/>
              </w:rPr>
              <w:t>1</w:t>
            </w:r>
            <w:r>
              <w:t>1.2.2</w:t>
            </w:r>
            <w:r>
              <w:rPr>
                <w:rFonts w:hint="eastAsia"/>
              </w:rPr>
              <w:t>生产用水</w:t>
            </w:r>
          </w:p>
          <w:p>
            <w:pPr>
              <w:spacing w:line="360" w:lineRule="auto"/>
              <w:ind w:firstLine="480"/>
            </w:pPr>
            <w:r>
              <w:rPr>
                <w:rFonts w:hint="eastAsia"/>
              </w:rPr>
              <w:t>运营期生产用水主要包括采矿作业区及加工区抑尘用水、洗砂用水、运输车辆冲洗用水、道路除尘喷洒用水等。</w:t>
            </w:r>
          </w:p>
          <w:p>
            <w:pPr>
              <w:spacing w:line="360" w:lineRule="auto"/>
              <w:ind w:firstLine="480"/>
              <w:rPr>
                <w:rFonts w:ascii="宋体" w:hAnsi="宋体"/>
              </w:rPr>
            </w:pPr>
            <w:r>
              <w:rPr>
                <w:rFonts w:hint="eastAsia" w:ascii="宋体" w:hAnsi="宋体"/>
              </w:rPr>
              <w:t>①抑尘用水</w:t>
            </w:r>
          </w:p>
          <w:p>
            <w:pPr>
              <w:spacing w:line="360" w:lineRule="auto"/>
              <w:ind w:firstLine="480"/>
            </w:pPr>
            <w:r>
              <w:rPr>
                <w:rFonts w:hint="eastAsia"/>
              </w:rPr>
              <w:t>本项目抑尘用水分为采矿区抑尘、加工区抑尘；采矿区抑尘</w:t>
            </w:r>
            <w:r>
              <w:t>类比同类</w:t>
            </w:r>
            <w:r>
              <w:rPr>
                <w:rFonts w:hint="eastAsia"/>
              </w:rPr>
              <w:t>矿山</w:t>
            </w:r>
            <w:r>
              <w:t>项目，抑尘用水按0.002m</w:t>
            </w:r>
            <w:r>
              <w:rPr>
                <w:vertAlign w:val="superscript"/>
              </w:rPr>
              <w:t>3</w:t>
            </w:r>
            <w:r>
              <w:t>/m</w:t>
            </w:r>
            <w:r>
              <w:rPr>
                <w:vertAlign w:val="superscript"/>
              </w:rPr>
              <w:t>2</w:t>
            </w:r>
            <w:r>
              <w:t>·d计算，采矿区实时扰动面积按其半年内矿区工作面积计算，约22398.5m</w:t>
            </w:r>
            <w:r>
              <w:rPr>
                <w:vertAlign w:val="superscript"/>
              </w:rPr>
              <w:t>2</w:t>
            </w:r>
            <w:r>
              <w:t>（矿山开采</w:t>
            </w:r>
            <w:r>
              <w:rPr>
                <w:rFonts w:hint="eastAsia"/>
              </w:rPr>
              <w:t>区</w:t>
            </w:r>
            <w:r>
              <w:t>面积为430051m</w:t>
            </w:r>
            <w:r>
              <w:rPr>
                <w:vertAlign w:val="superscript"/>
              </w:rPr>
              <w:t>2</w:t>
            </w:r>
            <w:r>
              <w:t>，矿山生产服务年限为9.6年），则采矿作业区抑尘用水量为44.797m</w:t>
            </w:r>
            <w:r>
              <w:rPr>
                <w:vertAlign w:val="superscript"/>
              </w:rPr>
              <w:t>3</w:t>
            </w:r>
            <w:r>
              <w:t>/d</w:t>
            </w:r>
            <w:r>
              <w:rPr>
                <w:rFonts w:hint="eastAsia"/>
              </w:rPr>
              <w:t>（1</w:t>
            </w:r>
            <w:r>
              <w:t>3439.1</w:t>
            </w:r>
            <w:r>
              <w:rPr>
                <w:rFonts w:hint="eastAsia"/>
              </w:rPr>
              <w:t>m</w:t>
            </w:r>
            <w:r>
              <w:rPr>
                <w:vertAlign w:val="superscript"/>
              </w:rPr>
              <w:t>3</w:t>
            </w:r>
            <w:r>
              <w:t>/</w:t>
            </w:r>
            <w:r>
              <w:rPr>
                <w:rFonts w:hint="eastAsia"/>
              </w:rPr>
              <w:t>a）</w:t>
            </w:r>
            <w:r>
              <w:t>。</w:t>
            </w:r>
          </w:p>
          <w:p>
            <w:pPr>
              <w:spacing w:line="360" w:lineRule="auto"/>
              <w:ind w:firstLine="480"/>
            </w:pPr>
            <w:r>
              <w:rPr>
                <w:rFonts w:hint="eastAsia"/>
              </w:rPr>
              <w:t>根据工程初步设计文件，</w:t>
            </w:r>
            <w:r>
              <w:t>加工区抑尘主要针对振动筛、破碎机、运输系统等设置喷淋设施，厂区内设置</w:t>
            </w:r>
            <w:r>
              <w:rPr>
                <w:rFonts w:hint="eastAsia"/>
              </w:rPr>
              <w:t>约</w:t>
            </w:r>
            <w:r>
              <w:t>450个喷嘴，用水量0.2L/个</w:t>
            </w:r>
            <w:r>
              <w:rPr>
                <w:rFonts w:hint="eastAsia"/>
              </w:rPr>
              <w:t>（喷嘴为间歇性工作，本次按4h/d计）</w:t>
            </w:r>
            <w:r>
              <w:t>，</w:t>
            </w:r>
            <w:r>
              <w:rPr>
                <w:rFonts w:hint="eastAsia"/>
              </w:rPr>
              <w:t>则加工区抑尘用水量为0</w:t>
            </w:r>
            <w:r>
              <w:t>.36</w:t>
            </w:r>
            <w:r>
              <w:rPr>
                <w:rFonts w:hint="eastAsia"/>
              </w:rPr>
              <w:t>m</w:t>
            </w:r>
            <w:r>
              <w:rPr>
                <w:vertAlign w:val="superscript"/>
              </w:rPr>
              <w:t>3</w:t>
            </w:r>
            <w:r>
              <w:t>/</w:t>
            </w:r>
            <w:r>
              <w:rPr>
                <w:rFonts w:hint="eastAsia"/>
              </w:rPr>
              <w:t>d（1</w:t>
            </w:r>
            <w:r>
              <w:t>08</w:t>
            </w:r>
            <w:r>
              <w:rPr>
                <w:rFonts w:hint="eastAsia"/>
              </w:rPr>
              <w:t>m</w:t>
            </w:r>
            <w:r>
              <w:rPr>
                <w:vertAlign w:val="superscript"/>
              </w:rPr>
              <w:t>3</w:t>
            </w:r>
            <w:r>
              <w:t>/</w:t>
            </w:r>
            <w:r>
              <w:rPr>
                <w:rFonts w:hint="eastAsia"/>
              </w:rPr>
              <w:t>a）。</w:t>
            </w:r>
          </w:p>
          <w:p>
            <w:pPr>
              <w:spacing w:line="360" w:lineRule="auto"/>
              <w:ind w:firstLine="480"/>
            </w:pPr>
            <w:r>
              <w:rPr>
                <w:rFonts w:hint="eastAsia"/>
              </w:rPr>
              <w:t>项目抑尘用水均挥发散失，无废水产生。</w:t>
            </w:r>
          </w:p>
          <w:p>
            <w:pPr>
              <w:spacing w:line="360" w:lineRule="auto"/>
              <w:ind w:firstLine="480"/>
              <w:rPr>
                <w:rFonts w:ascii="宋体" w:hAnsi="宋体"/>
              </w:rPr>
            </w:pPr>
            <w:r>
              <w:rPr>
                <w:rFonts w:hint="eastAsia" w:ascii="宋体" w:hAnsi="宋体"/>
              </w:rPr>
              <w:t>②洗砂用水</w:t>
            </w:r>
          </w:p>
          <w:p>
            <w:pPr>
              <w:spacing w:line="360" w:lineRule="auto"/>
              <w:ind w:firstLine="480"/>
              <w:rPr>
                <w:color w:val="000000"/>
                <w:u w:val="single"/>
              </w:rPr>
            </w:pPr>
            <w:r>
              <w:rPr>
                <w:u w:val="single"/>
              </w:rPr>
              <w:t>本项目砂石加工采用湿法工艺，根据</w:t>
            </w:r>
            <w:r>
              <w:rPr>
                <w:rFonts w:hint="eastAsia"/>
                <w:u w:val="single"/>
              </w:rPr>
              <w:t>经验系数</w:t>
            </w:r>
            <w:r>
              <w:rPr>
                <w:u w:val="single"/>
              </w:rPr>
              <w:t>，洗砂用水约为</w:t>
            </w:r>
            <w:r>
              <w:rPr>
                <w:rFonts w:hint="eastAsia"/>
                <w:u w:val="single"/>
              </w:rPr>
              <w:t>1</w:t>
            </w:r>
            <w:r>
              <w:rPr>
                <w:u w:val="single"/>
              </w:rPr>
              <w:t>m</w:t>
            </w:r>
            <w:r>
              <w:rPr>
                <w:u w:val="single"/>
                <w:vertAlign w:val="superscript"/>
              </w:rPr>
              <w:t>3</w:t>
            </w:r>
            <w:r>
              <w:rPr>
                <w:u w:val="single"/>
              </w:rPr>
              <w:t>/t-</w:t>
            </w:r>
            <w:r>
              <w:rPr>
                <w:rFonts w:hint="eastAsia"/>
                <w:u w:val="single"/>
              </w:rPr>
              <w:t>产品</w:t>
            </w:r>
            <w:r>
              <w:rPr>
                <w:u w:val="single"/>
              </w:rPr>
              <w:t>，</w:t>
            </w:r>
            <w:r>
              <w:rPr>
                <w:rFonts w:hint="eastAsia"/>
                <w:u w:val="single"/>
              </w:rPr>
              <w:t>项目洗砂规模约为1494t</w:t>
            </w:r>
            <w:r>
              <w:rPr>
                <w:u w:val="single"/>
              </w:rPr>
              <w:t>/</w:t>
            </w:r>
            <w:r>
              <w:rPr>
                <w:rFonts w:hint="eastAsia"/>
                <w:u w:val="single"/>
              </w:rPr>
              <w:t>d（448200t/a），则洗砂用水量为1494m</w:t>
            </w:r>
            <w:r>
              <w:rPr>
                <w:u w:val="single"/>
                <w:vertAlign w:val="superscript"/>
              </w:rPr>
              <w:t>3</w:t>
            </w:r>
            <w:r>
              <w:rPr>
                <w:u w:val="single"/>
              </w:rPr>
              <w:t>/</w:t>
            </w:r>
            <w:r>
              <w:rPr>
                <w:rFonts w:hint="eastAsia"/>
                <w:u w:val="single"/>
              </w:rPr>
              <w:t>d（448200m</w:t>
            </w:r>
            <w:r>
              <w:rPr>
                <w:u w:val="single"/>
                <w:vertAlign w:val="superscript"/>
              </w:rPr>
              <w:t>3</w:t>
            </w:r>
            <w:r>
              <w:rPr>
                <w:u w:val="single"/>
              </w:rPr>
              <w:t>/</w:t>
            </w:r>
            <w:r>
              <w:rPr>
                <w:rFonts w:hint="eastAsia"/>
                <w:u w:val="single"/>
              </w:rPr>
              <w:t>a）；</w:t>
            </w:r>
            <w:r>
              <w:rPr>
                <w:rFonts w:hint="eastAsia"/>
                <w:color w:val="000000"/>
                <w:u w:val="single"/>
              </w:rPr>
              <w:t>洗砂时用水</w:t>
            </w:r>
            <w:r>
              <w:rPr>
                <w:color w:val="000000"/>
                <w:u w:val="single"/>
              </w:rPr>
              <w:t>蒸发量约5%</w:t>
            </w:r>
            <w:r>
              <w:rPr>
                <w:rFonts w:hint="eastAsia"/>
                <w:color w:val="000000"/>
                <w:u w:val="single"/>
              </w:rPr>
              <w:t>，则蒸发量为74.7</w:t>
            </w:r>
            <w:r>
              <w:rPr>
                <w:color w:val="000000"/>
                <w:u w:val="single"/>
              </w:rPr>
              <w:t>m</w:t>
            </w:r>
            <w:r>
              <w:rPr>
                <w:color w:val="000000"/>
                <w:u w:val="single"/>
                <w:vertAlign w:val="superscript"/>
              </w:rPr>
              <w:t>3</w:t>
            </w:r>
            <w:r>
              <w:rPr>
                <w:color w:val="000000"/>
                <w:u w:val="single"/>
              </w:rPr>
              <w:t>/d</w:t>
            </w:r>
            <w:r>
              <w:rPr>
                <w:rFonts w:hint="eastAsia"/>
                <w:color w:val="000000"/>
                <w:u w:val="single"/>
              </w:rPr>
              <w:t>（22410</w:t>
            </w:r>
            <w:r>
              <w:rPr>
                <w:color w:val="000000"/>
                <w:u w:val="single"/>
              </w:rPr>
              <w:t>m</w:t>
            </w:r>
            <w:r>
              <w:rPr>
                <w:color w:val="000000"/>
                <w:u w:val="single"/>
                <w:vertAlign w:val="superscript"/>
              </w:rPr>
              <w:t>3</w:t>
            </w:r>
            <w:r>
              <w:rPr>
                <w:color w:val="000000"/>
                <w:u w:val="single"/>
              </w:rPr>
              <w:t>/a）</w:t>
            </w:r>
            <w:r>
              <w:rPr>
                <w:rFonts w:hint="eastAsia"/>
                <w:color w:val="000000"/>
                <w:u w:val="single"/>
              </w:rPr>
              <w:t>；</w:t>
            </w:r>
            <w:r>
              <w:rPr>
                <w:rFonts w:hint="eastAsia"/>
                <w:u w:val="single"/>
              </w:rPr>
              <w:t>成品洗砂石含水率约为6</w:t>
            </w:r>
            <w:r>
              <w:rPr>
                <w:u w:val="single"/>
              </w:rPr>
              <w:t>%</w:t>
            </w:r>
            <w:r>
              <w:rPr>
                <w:rFonts w:hint="eastAsia"/>
                <w:u w:val="single"/>
              </w:rPr>
              <w:t>，则成品洗砂石中含水量为26892m</w:t>
            </w:r>
            <w:r>
              <w:rPr>
                <w:u w:val="single"/>
                <w:vertAlign w:val="superscript"/>
              </w:rPr>
              <w:t>3</w:t>
            </w:r>
            <w:r>
              <w:rPr>
                <w:rFonts w:hint="eastAsia"/>
                <w:u w:val="single"/>
              </w:rPr>
              <w:t>；经计算，洗砂废水产生量为1329.66m</w:t>
            </w:r>
            <w:r>
              <w:rPr>
                <w:u w:val="single"/>
                <w:vertAlign w:val="superscript"/>
              </w:rPr>
              <w:t>3</w:t>
            </w:r>
            <w:r>
              <w:rPr>
                <w:u w:val="single"/>
              </w:rPr>
              <w:t>/</w:t>
            </w:r>
            <w:r>
              <w:rPr>
                <w:rFonts w:hint="eastAsia"/>
                <w:u w:val="single"/>
              </w:rPr>
              <w:t>d（398898m</w:t>
            </w:r>
            <w:r>
              <w:rPr>
                <w:u w:val="single"/>
                <w:vertAlign w:val="superscript"/>
              </w:rPr>
              <w:t>3</w:t>
            </w:r>
            <w:r>
              <w:rPr>
                <w:u w:val="single"/>
              </w:rPr>
              <w:t>/</w:t>
            </w:r>
            <w:r>
              <w:rPr>
                <w:rFonts w:hint="eastAsia"/>
                <w:u w:val="single"/>
              </w:rPr>
              <w:t>a），</w:t>
            </w:r>
            <w:r>
              <w:rPr>
                <w:rFonts w:hint="eastAsia"/>
                <w:color w:val="000000"/>
                <w:u w:val="single"/>
              </w:rPr>
              <w:t>该部分水经处理后回用于洗砂工序。</w:t>
            </w:r>
          </w:p>
          <w:p>
            <w:pPr>
              <w:spacing w:line="360" w:lineRule="auto"/>
              <w:ind w:firstLine="480"/>
              <w:rPr>
                <w:color w:val="000000"/>
                <w:u w:val="single"/>
              </w:rPr>
            </w:pPr>
            <w:r>
              <w:rPr>
                <w:rFonts w:hint="eastAsia"/>
                <w:color w:val="000000"/>
                <w:u w:val="single"/>
              </w:rPr>
              <w:t>由于项目洗砂废水中会夹带泥，污泥经脱水后含水率约为30%，则污泥含水量约为53136</w:t>
            </w:r>
            <w:r>
              <w:rPr>
                <w:rFonts w:hint="eastAsia"/>
                <w:u w:val="single"/>
              </w:rPr>
              <w:t>m</w:t>
            </w:r>
            <w:r>
              <w:rPr>
                <w:u w:val="single"/>
                <w:vertAlign w:val="superscript"/>
              </w:rPr>
              <w:t>3</w:t>
            </w:r>
            <w:r>
              <w:rPr>
                <w:u w:val="single"/>
              </w:rPr>
              <w:t>/</w:t>
            </w:r>
            <w:r>
              <w:rPr>
                <w:rFonts w:hint="eastAsia"/>
                <w:u w:val="single"/>
              </w:rPr>
              <w:t>a</w:t>
            </w:r>
            <w:r>
              <w:rPr>
                <w:rFonts w:hint="eastAsia"/>
                <w:color w:val="000000"/>
                <w:u w:val="single"/>
              </w:rPr>
              <w:t>，据此项目洗砂回用水量约为345762m</w:t>
            </w:r>
            <w:r>
              <w:rPr>
                <w:rFonts w:hint="eastAsia"/>
                <w:color w:val="000000"/>
                <w:u w:val="single"/>
                <w:vertAlign w:val="superscript"/>
              </w:rPr>
              <w:t>3</w:t>
            </w:r>
            <w:r>
              <w:rPr>
                <w:rFonts w:hint="eastAsia"/>
                <w:color w:val="000000"/>
                <w:u w:val="single"/>
              </w:rPr>
              <w:t>/a。</w:t>
            </w:r>
          </w:p>
          <w:p>
            <w:pPr>
              <w:spacing w:line="360" w:lineRule="auto"/>
              <w:ind w:firstLine="480"/>
              <w:rPr>
                <w:rFonts w:ascii="宋体" w:hAnsi="宋体"/>
              </w:rPr>
            </w:pPr>
            <w:r>
              <w:rPr>
                <w:rFonts w:hint="eastAsia" w:ascii="宋体" w:hAnsi="宋体"/>
              </w:rPr>
              <w:t>③运输车辆冲洗用水</w:t>
            </w:r>
          </w:p>
          <w:p>
            <w:pPr>
              <w:spacing w:line="360" w:lineRule="auto"/>
              <w:ind w:firstLine="480"/>
            </w:pPr>
            <w:r>
              <w:t>项目砂</w:t>
            </w:r>
            <w:r>
              <w:rPr>
                <w:rFonts w:hint="eastAsia"/>
              </w:rPr>
              <w:t>卵</w:t>
            </w:r>
            <w:r>
              <w:t>石</w:t>
            </w:r>
            <w:r>
              <w:rPr>
                <w:rFonts w:hint="eastAsia"/>
              </w:rPr>
              <w:t>运输量为</w:t>
            </w:r>
            <w:r>
              <w:t>90</w:t>
            </w:r>
            <w:r>
              <w:rPr>
                <w:rFonts w:hint="eastAsia"/>
              </w:rPr>
              <w:t>万t</w:t>
            </w:r>
            <w:r>
              <w:t>/</w:t>
            </w:r>
            <w:r>
              <w:rPr>
                <w:rFonts w:hint="eastAsia"/>
              </w:rPr>
              <w:t>a</w:t>
            </w:r>
            <w:r>
              <w:t>。</w:t>
            </w:r>
            <w:r>
              <w:rPr>
                <w:rFonts w:hint="eastAsia"/>
              </w:rPr>
              <w:t>根据项目初步设计资料，</w:t>
            </w:r>
            <w:r>
              <w:t>货车载重量</w:t>
            </w:r>
            <w:r>
              <w:rPr>
                <w:rFonts w:hint="eastAsia"/>
              </w:rPr>
              <w:t>为</w:t>
            </w:r>
            <w:r>
              <w:t>100t，则运输车辆出厂频次为9000辆·次/a。为降低原料运输车辆运输过程中对道路的污染，本项目在厂区门口设置</w:t>
            </w:r>
            <w:r>
              <w:rPr>
                <w:rFonts w:hint="eastAsia"/>
              </w:rPr>
              <w:t>洗车平台</w:t>
            </w:r>
            <w:r>
              <w:t>，对</w:t>
            </w:r>
            <w:r>
              <w:rPr>
                <w:rFonts w:hint="eastAsia"/>
              </w:rPr>
              <w:t>运输车辆车轮进行冲洗，车辆冲洗水水量约为</w:t>
            </w:r>
            <w:r>
              <w:t>0.1m</w:t>
            </w:r>
            <w:r>
              <w:rPr>
                <w:vertAlign w:val="superscript"/>
              </w:rPr>
              <w:t>3</w:t>
            </w:r>
            <w:r>
              <w:t>/辆·次</w:t>
            </w:r>
            <w:r>
              <w:rPr>
                <w:rFonts w:hint="eastAsia"/>
              </w:rPr>
              <w:t>，因此车辆冲洗年用水量为</w:t>
            </w:r>
            <w:r>
              <w:t>900</w:t>
            </w:r>
            <w:r>
              <w:rPr>
                <w:rFonts w:hint="eastAsia"/>
              </w:rPr>
              <w:t>m</w:t>
            </w:r>
            <w:r>
              <w:rPr>
                <w:vertAlign w:val="superscript"/>
              </w:rPr>
              <w:t>3</w:t>
            </w:r>
            <w:r>
              <w:t>/</w:t>
            </w:r>
            <w:r>
              <w:rPr>
                <w:rFonts w:hint="eastAsia"/>
              </w:rPr>
              <w:t>a（</w:t>
            </w:r>
            <w:r>
              <w:t>3</w:t>
            </w:r>
            <w:r>
              <w:rPr>
                <w:rFonts w:hint="eastAsia"/>
              </w:rPr>
              <w:t>m</w:t>
            </w:r>
            <w:r>
              <w:rPr>
                <w:vertAlign w:val="superscript"/>
              </w:rPr>
              <w:t>3</w:t>
            </w:r>
            <w:r>
              <w:t>/</w:t>
            </w:r>
            <w:r>
              <w:rPr>
                <w:rFonts w:hint="eastAsia"/>
              </w:rPr>
              <w:t>d）；</w:t>
            </w:r>
            <w:r>
              <w:t>冲洗废水损耗以10%计，可收集废水为2.7</w:t>
            </w:r>
            <w:r>
              <w:rPr>
                <w:rFonts w:hint="eastAsia"/>
              </w:rPr>
              <w:t>m</w:t>
            </w:r>
            <w:r>
              <w:rPr>
                <w:vertAlign w:val="superscript"/>
              </w:rPr>
              <w:t>3</w:t>
            </w:r>
            <w:r>
              <w:t>/</w:t>
            </w:r>
            <w:r>
              <w:rPr>
                <w:rFonts w:hint="eastAsia"/>
              </w:rPr>
              <w:t>d（</w:t>
            </w:r>
            <w:r>
              <w:t>810</w:t>
            </w:r>
            <w:r>
              <w:rPr>
                <w:rFonts w:hint="eastAsia"/>
              </w:rPr>
              <w:t>m</w:t>
            </w:r>
            <w:r>
              <w:rPr>
                <w:vertAlign w:val="superscript"/>
              </w:rPr>
              <w:t>3</w:t>
            </w:r>
            <w:r>
              <w:t>/a</w:t>
            </w:r>
            <w:r>
              <w:rPr>
                <w:rFonts w:hint="eastAsia"/>
              </w:rPr>
              <w:t>），该部分废水经沉淀后回用于车辆冲洗。</w:t>
            </w:r>
          </w:p>
          <w:p>
            <w:pPr>
              <w:spacing w:line="360" w:lineRule="auto"/>
              <w:ind w:firstLine="480"/>
              <w:rPr>
                <w:rFonts w:ascii="宋体" w:hAnsi="宋体"/>
              </w:rPr>
            </w:pPr>
            <w:r>
              <w:rPr>
                <w:rFonts w:hint="eastAsia" w:ascii="宋体" w:hAnsi="宋体"/>
              </w:rPr>
              <w:t>④道路除尘喷洒用水</w:t>
            </w:r>
          </w:p>
          <w:p>
            <w:pPr>
              <w:spacing w:line="360" w:lineRule="auto"/>
              <w:ind w:firstLine="480"/>
              <w:rPr>
                <w:color w:val="000000"/>
              </w:rPr>
            </w:pPr>
            <w:r>
              <w:rPr>
                <w:rFonts w:hint="eastAsia"/>
                <w:color w:val="000000"/>
              </w:rPr>
              <w:t>本</w:t>
            </w:r>
            <w:r>
              <w:rPr>
                <w:color w:val="000000"/>
              </w:rPr>
              <w:t>项目</w:t>
            </w:r>
            <w:r>
              <w:rPr>
                <w:rFonts w:hint="eastAsia"/>
                <w:color w:val="000000"/>
              </w:rPr>
              <w:t>厂内</w:t>
            </w:r>
            <w:r>
              <w:rPr>
                <w:color w:val="000000"/>
              </w:rPr>
              <w:t>道路面积约5640m</w:t>
            </w:r>
            <w:r>
              <w:rPr>
                <w:color w:val="000000"/>
                <w:vertAlign w:val="superscript"/>
              </w:rPr>
              <w:t>2</w:t>
            </w:r>
            <w:r>
              <w:rPr>
                <w:color w:val="000000"/>
              </w:rPr>
              <w:t>，</w:t>
            </w:r>
            <w:r>
              <w:rPr>
                <w:rFonts w:hint="eastAsia"/>
                <w:color w:val="000000"/>
              </w:rPr>
              <w:t>参考使用湖南省地方标准《用水定额》（DB43/T388-2020）公共设施用水定额—道路、场地浇洒中先进值</w:t>
            </w:r>
            <w:r>
              <w:rPr>
                <w:color w:val="000000"/>
              </w:rPr>
              <w:t>1.5L/m</w:t>
            </w:r>
            <w:r>
              <w:rPr>
                <w:color w:val="000000"/>
                <w:vertAlign w:val="superscript"/>
              </w:rPr>
              <w:t>2</w:t>
            </w:r>
            <w:r>
              <w:rPr>
                <w:color w:val="000000"/>
              </w:rPr>
              <w:t>·</w:t>
            </w:r>
            <w:r>
              <w:rPr>
                <w:rFonts w:hint="eastAsia"/>
                <w:color w:val="000000"/>
              </w:rPr>
              <w:t>d</w:t>
            </w:r>
            <w:r>
              <w:rPr>
                <w:color w:val="000000"/>
              </w:rPr>
              <w:t>。本项目工作日为300天</w:t>
            </w:r>
            <w:r>
              <w:rPr>
                <w:rFonts w:hint="eastAsia"/>
                <w:color w:val="000000"/>
              </w:rPr>
              <w:t>，雨天不进行喷洒</w:t>
            </w:r>
            <w:r>
              <w:rPr>
                <w:color w:val="000000"/>
              </w:rPr>
              <w:t>，非雨天</w:t>
            </w:r>
            <w:r>
              <w:rPr>
                <w:rFonts w:hint="eastAsia"/>
                <w:color w:val="000000"/>
              </w:rPr>
              <w:t>以</w:t>
            </w:r>
            <w:r>
              <w:rPr>
                <w:color w:val="000000"/>
              </w:rPr>
              <w:t>180天计，则道路洒水抑尘用水量为8.46m</w:t>
            </w:r>
            <w:r>
              <w:rPr>
                <w:color w:val="000000"/>
                <w:vertAlign w:val="superscript"/>
              </w:rPr>
              <w:t>3</w:t>
            </w:r>
            <w:r>
              <w:rPr>
                <w:color w:val="000000"/>
              </w:rPr>
              <w:t>/d</w:t>
            </w:r>
            <w:r>
              <w:rPr>
                <w:rFonts w:hint="eastAsia"/>
                <w:color w:val="000000"/>
              </w:rPr>
              <w:t>（</w:t>
            </w:r>
            <w:r>
              <w:rPr>
                <w:color w:val="000000"/>
              </w:rPr>
              <w:t>1522.8m</w:t>
            </w:r>
            <w:r>
              <w:rPr>
                <w:color w:val="000000"/>
                <w:vertAlign w:val="superscript"/>
              </w:rPr>
              <w:t>3</w:t>
            </w:r>
            <w:r>
              <w:rPr>
                <w:color w:val="000000"/>
              </w:rPr>
              <w:t>/a</w:t>
            </w:r>
            <w:r>
              <w:rPr>
                <w:rFonts w:hint="eastAsia"/>
                <w:color w:val="000000"/>
              </w:rPr>
              <w:t>）</w:t>
            </w:r>
            <w:r>
              <w:rPr>
                <w:color w:val="000000"/>
              </w:rPr>
              <w:t>。这部分水</w:t>
            </w:r>
            <w:r>
              <w:rPr>
                <w:rFonts w:hint="eastAsia"/>
                <w:color w:val="000000"/>
              </w:rPr>
              <w:t>为</w:t>
            </w:r>
            <w:r>
              <w:rPr>
                <w:color w:val="000000"/>
              </w:rPr>
              <w:t>自然风干，无废水产生。</w:t>
            </w:r>
          </w:p>
          <w:p>
            <w:pPr>
              <w:spacing w:line="360" w:lineRule="auto"/>
              <w:ind w:firstLine="0" w:firstLineChars="0"/>
            </w:pPr>
            <w:r>
              <w:rPr>
                <w:rFonts w:hint="eastAsia"/>
              </w:rPr>
              <w:t>1</w:t>
            </w:r>
            <w:r>
              <w:t>1.2.3</w:t>
            </w:r>
            <w:r>
              <w:rPr>
                <w:rFonts w:hint="eastAsia"/>
              </w:rPr>
              <w:t>绿化用水</w:t>
            </w:r>
          </w:p>
          <w:p>
            <w:pPr>
              <w:adjustRightInd w:val="0"/>
              <w:snapToGrid w:val="0"/>
              <w:spacing w:line="360" w:lineRule="auto"/>
              <w:ind w:firstLine="480"/>
            </w:pPr>
            <w:r>
              <w:rPr>
                <w:rFonts w:hint="eastAsia"/>
              </w:rPr>
              <w:t>本项目绿化浇洒用水</w:t>
            </w:r>
            <w:r>
              <w:t>参考湖南省地方标准《用水定额》（DB43/T388-2020）</w:t>
            </w:r>
            <w:r>
              <w:rPr>
                <w:rFonts w:hint="eastAsia"/>
              </w:rPr>
              <w:t>绿化管理—绿化通用值60L/月</w:t>
            </w:r>
            <w:r>
              <w:t>·</w:t>
            </w:r>
            <w:r>
              <w:rPr>
                <w:rFonts w:hint="eastAsia"/>
              </w:rPr>
              <w:t>m</w:t>
            </w:r>
            <w:r>
              <w:rPr>
                <w:rFonts w:hint="eastAsia"/>
                <w:vertAlign w:val="superscript"/>
              </w:rPr>
              <w:t>2</w:t>
            </w:r>
            <w:r>
              <w:rPr>
                <w:rFonts w:hint="eastAsia"/>
              </w:rPr>
              <w:t>，需要浇水的时间一年按3个月计，绿化面积约</w:t>
            </w:r>
            <w:r>
              <w:t>4703</w:t>
            </w:r>
            <w:r>
              <w:rPr>
                <w:rFonts w:hint="eastAsia"/>
              </w:rPr>
              <w:t>m</w:t>
            </w:r>
            <w:r>
              <w:rPr>
                <w:vertAlign w:val="superscript"/>
              </w:rPr>
              <w:t>2</w:t>
            </w:r>
            <w:r>
              <w:rPr>
                <w:rFonts w:hint="eastAsia"/>
              </w:rPr>
              <w:t>，则厂区绿化浇洒用水量为</w:t>
            </w:r>
            <w:r>
              <w:t>846.54</w:t>
            </w:r>
            <w:r>
              <w:rPr>
                <w:rFonts w:hint="eastAsia"/>
              </w:rPr>
              <w:t>m</w:t>
            </w:r>
            <w:r>
              <w:rPr>
                <w:rFonts w:hint="eastAsia"/>
                <w:vertAlign w:val="superscript"/>
              </w:rPr>
              <w:t>3</w:t>
            </w:r>
            <w:r>
              <w:rPr>
                <w:rFonts w:hint="eastAsia"/>
              </w:rPr>
              <w:t>/a；该部分用水均被绿化植被吸收消纳，无废水产生。</w:t>
            </w:r>
          </w:p>
          <w:p>
            <w:pPr>
              <w:spacing w:line="360" w:lineRule="auto"/>
              <w:ind w:firstLine="0" w:firstLineChars="0"/>
            </w:pPr>
            <w:r>
              <w:rPr>
                <w:rFonts w:hint="eastAsia"/>
              </w:rPr>
              <w:t>1</w:t>
            </w:r>
            <w:r>
              <w:t>1.2.4初期雨水</w:t>
            </w:r>
          </w:p>
          <w:p>
            <w:pPr>
              <w:snapToGrid w:val="0"/>
              <w:spacing w:line="360" w:lineRule="auto"/>
              <w:ind w:firstLine="480"/>
            </w:pPr>
            <w:r>
              <w:t>初期雨水主要为露天采场范围内的初期雨水，一般取降雨期间的前15分钟作为初期雨水，15分钟之后为后期雨水。</w:t>
            </w:r>
          </w:p>
          <w:p>
            <w:pPr>
              <w:spacing w:line="360" w:lineRule="auto"/>
              <w:ind w:firstLine="480"/>
            </w:pPr>
            <w:r>
              <w:rPr>
                <w:rFonts w:hint="eastAsia"/>
              </w:rPr>
              <w:t>本次参考岳阳市暴雨强度公式，其公式为：</w:t>
            </w:r>
          </w:p>
          <w:p>
            <w:pPr>
              <w:spacing w:line="360" w:lineRule="auto"/>
              <w:ind w:firstLine="0" w:firstLineChars="0"/>
            </w:pPr>
            <m:oMathPara>
              <m:oMath>
                <m:r>
                  <m:rPr>
                    <m:sty m:val="p"/>
                  </m:rPr>
                  <w:rPr>
                    <w:rFonts w:ascii="Cambria Math" w:hAnsi="Cambria Math"/>
                  </w:rPr>
                  <m:t>q=</m:t>
                </m:r>
                <m:f>
                  <m:fPr>
                    <m:ctrlPr>
                      <w:rPr>
                        <w:rFonts w:ascii="Cambria Math" w:hAnsi="Cambria Math"/>
                      </w:rPr>
                    </m:ctrlPr>
                  </m:fPr>
                  <m:num>
                    <m:r>
                      <w:rPr>
                        <w:rFonts w:hint="eastAsia" w:ascii="Cambria Math" w:hAnsi="Cambria Math"/>
                      </w:rPr>
                      <m:t>1215.289</m:t>
                    </m:r>
                    <m:d>
                      <m:dPr>
                        <m:ctrlPr>
                          <w:rPr>
                            <w:rFonts w:ascii="Cambria Math" w:hAnsi="Cambria Math"/>
                            <w:i/>
                          </w:rPr>
                        </m:ctrlPr>
                      </m:dPr>
                      <m:e>
                        <m:r>
                          <w:rPr>
                            <w:rFonts w:ascii="Cambria Math" w:hAnsi="Cambria Math"/>
                          </w:rPr>
                          <m:t>1+0.</m:t>
                        </m:r>
                        <m:r>
                          <w:rPr>
                            <w:rFonts w:hint="eastAsia" w:ascii="Cambria Math" w:hAnsi="Cambria Math"/>
                          </w:rPr>
                          <m:t>711</m:t>
                        </m:r>
                        <m:func>
                          <m:funcPr>
                            <m:ctrlPr>
                              <w:rPr>
                                <w:rFonts w:ascii="Cambria Math" w:hAnsi="Cambria Math"/>
                                <w:i/>
                              </w:rPr>
                            </m:ctrlPr>
                          </m:funcPr>
                          <m:fName>
                            <m:r>
                              <m:rPr>
                                <m:sty m:val="p"/>
                              </m:rPr>
                              <w:rPr>
                                <w:rFonts w:ascii="Cambria Math" w:hAnsi="Cambria Math"/>
                              </w:rPr>
                              <m:t>lg</m:t>
                            </m:r>
                            <m:ctrlPr>
                              <w:rPr>
                                <w:rFonts w:ascii="Cambria Math" w:hAnsi="Cambria Math"/>
                                <w:i/>
                              </w:rPr>
                            </m:ctrlPr>
                          </m:fName>
                          <m:e>
                            <m:r>
                              <w:rPr>
                                <w:rFonts w:ascii="Cambria Math" w:hAnsi="Cambria Math"/>
                              </w:rPr>
                              <m:t>P</m:t>
                            </m:r>
                            <m:ctrlPr>
                              <w:rPr>
                                <w:rFonts w:ascii="Cambria Math" w:hAnsi="Cambria Math"/>
                                <w:i/>
                              </w:rPr>
                            </m:ctrlPr>
                          </m:e>
                        </m:func>
                        <m:ctrlPr>
                          <w:rPr>
                            <w:rFonts w:ascii="Cambria Math" w:hAnsi="Cambria Math"/>
                            <w:i/>
                          </w:rPr>
                        </m:ctrlPr>
                      </m:e>
                    </m:d>
                    <m:ctrlPr>
                      <w:rPr>
                        <w:rFonts w:ascii="Cambria Math" w:hAnsi="Cambria Math"/>
                      </w:rPr>
                    </m:ctrlPr>
                  </m:num>
                  <m:den>
                    <m:sSup>
                      <m:sSupPr>
                        <m:ctrlPr>
                          <w:rPr>
                            <w:rFonts w:ascii="Cambria Math" w:hAnsi="Cambria Math"/>
                            <w:i/>
                          </w:rPr>
                        </m:ctrlPr>
                      </m:sSupPr>
                      <m:e>
                        <m:d>
                          <m:dPr>
                            <m:ctrlPr>
                              <w:rPr>
                                <w:rFonts w:ascii="Cambria Math" w:hAnsi="Cambria Math"/>
                                <w:i/>
                              </w:rPr>
                            </m:ctrlPr>
                          </m:dPr>
                          <m:e>
                            <m:r>
                              <w:rPr>
                                <w:rFonts w:ascii="Cambria Math" w:hAnsi="Cambria Math"/>
                              </w:rPr>
                              <m:t>t+</m:t>
                            </m:r>
                            <m:r>
                              <w:rPr>
                                <w:rFonts w:hint="eastAsia" w:ascii="Cambria Math" w:hAnsi="Cambria Math"/>
                              </w:rPr>
                              <m:t>6.397</m:t>
                            </m:r>
                            <m:ctrlPr>
                              <w:rPr>
                                <w:rFonts w:ascii="Cambria Math" w:hAnsi="Cambria Math"/>
                                <w:i/>
                              </w:rPr>
                            </m:ctrlPr>
                          </m:e>
                        </m:d>
                        <m:ctrlPr>
                          <w:rPr>
                            <w:rFonts w:ascii="Cambria Math" w:hAnsi="Cambria Math"/>
                            <w:i/>
                          </w:rPr>
                        </m:ctrlPr>
                      </m:e>
                      <m:sup>
                        <m:r>
                          <w:rPr>
                            <w:rFonts w:ascii="Cambria Math" w:hAnsi="Cambria Math"/>
                          </w:rPr>
                          <m:t>0.5</m:t>
                        </m:r>
                        <m:r>
                          <w:rPr>
                            <w:rFonts w:hint="eastAsia" w:ascii="Cambria Math" w:hAnsi="Cambria Math"/>
                          </w:rPr>
                          <m:t>21</m:t>
                        </m:r>
                        <m:ctrlPr>
                          <w:rPr>
                            <w:rFonts w:ascii="Cambria Math" w:hAnsi="Cambria Math"/>
                            <w:i/>
                          </w:rPr>
                        </m:ctrlPr>
                      </m:sup>
                    </m:sSup>
                    <m:ctrlPr>
                      <w:rPr>
                        <w:rFonts w:ascii="Cambria Math" w:hAnsi="Cambria Math"/>
                      </w:rPr>
                    </m:ctrlPr>
                  </m:den>
                </m:f>
                <m:d>
                  <m:dPr>
                    <m:ctrlPr>
                      <w:rPr>
                        <w:rFonts w:ascii="Cambria Math" w:hAnsi="Cambria Math"/>
                        <w:i/>
                      </w:rPr>
                    </m:ctrlPr>
                  </m:dPr>
                  <m:e>
                    <m:r>
                      <w:rPr>
                        <w:rFonts w:ascii="Cambria Math" w:hAnsi="Cambria Math"/>
                      </w:rPr>
                      <m:t>L/S·</m:t>
                    </m:r>
                    <m:sSup>
                      <m:sSupPr>
                        <m:ctrlPr>
                          <w:rPr>
                            <w:rFonts w:ascii="Cambria Math" w:hAnsi="Cambria Math"/>
                            <w:i/>
                          </w:rPr>
                        </m:ctrlPr>
                      </m:sSupPr>
                      <m:e>
                        <m:r>
                          <w:rPr>
                            <w:rFonts w:ascii="Cambria Math" w:hAnsi="Cambria Math"/>
                          </w:rPr>
                          <m:t>10</m:t>
                        </m:r>
                        <m:ctrlPr>
                          <w:rPr>
                            <w:rFonts w:ascii="Cambria Math" w:hAnsi="Cambria Math"/>
                            <w:i/>
                          </w:rPr>
                        </m:ctrlPr>
                      </m:e>
                      <m:sup>
                        <m:r>
                          <w:rPr>
                            <w:rFonts w:ascii="Cambria Math" w:hAnsi="Cambria Math"/>
                          </w:rPr>
                          <m:t>4</m:t>
                        </m:r>
                        <m:ctrlPr>
                          <w:rPr>
                            <w:rFonts w:ascii="Cambria Math" w:hAnsi="Cambria Math"/>
                            <w:i/>
                          </w:rPr>
                        </m:ctrlPr>
                      </m:sup>
                    </m:sSup>
                    <m:sSup>
                      <m:sSupPr>
                        <m:ctrlPr>
                          <w:rPr>
                            <w:rFonts w:ascii="Cambria Math" w:hAnsi="Cambria Math"/>
                            <w:i/>
                          </w:rPr>
                        </m:ctrlPr>
                      </m:sSupPr>
                      <m:e>
                        <m:r>
                          <w:rPr>
                            <w:rFonts w:ascii="Cambria Math" w:hAnsi="Cambria Math"/>
                          </w:rPr>
                          <m:t>m</m:t>
                        </m:r>
                        <m:ctrlPr>
                          <w:rPr>
                            <w:rFonts w:ascii="Cambria Math" w:hAnsi="Cambria Math"/>
                            <w:i/>
                          </w:rPr>
                        </m:ctrlPr>
                      </m:e>
                      <m:sup>
                        <m:r>
                          <w:rPr>
                            <w:rFonts w:ascii="Cambria Math" w:hAnsi="Cambria Math"/>
                          </w:rPr>
                          <m:t>2</m:t>
                        </m:r>
                        <m:ctrlPr>
                          <w:rPr>
                            <w:rFonts w:ascii="Cambria Math" w:hAnsi="Cambria Math"/>
                            <w:i/>
                          </w:rPr>
                        </m:ctrlPr>
                      </m:sup>
                    </m:sSup>
                    <m:ctrlPr>
                      <w:rPr>
                        <w:rFonts w:ascii="Cambria Math" w:hAnsi="Cambria Math"/>
                        <w:i/>
                      </w:rPr>
                    </m:ctrlPr>
                  </m:e>
                </m:d>
              </m:oMath>
            </m:oMathPara>
          </w:p>
          <w:p>
            <w:pPr>
              <w:spacing w:line="360" w:lineRule="auto"/>
              <w:ind w:firstLine="480"/>
            </w:pPr>
            <w:r>
              <w:t>式中：q——暴雨强度，L/s·10</w:t>
            </w:r>
            <w:r>
              <w:rPr>
                <w:vertAlign w:val="superscript"/>
              </w:rPr>
              <w:t>4</w:t>
            </w:r>
            <w:r>
              <w:rPr>
                <w:rFonts w:hint="eastAsia"/>
              </w:rPr>
              <w:t>m</w:t>
            </w:r>
            <w:r>
              <w:rPr>
                <w:vertAlign w:val="superscript"/>
              </w:rPr>
              <w:t>2</w:t>
            </w:r>
            <w:r>
              <w:t>；</w:t>
            </w:r>
          </w:p>
          <w:p>
            <w:pPr>
              <w:spacing w:line="360" w:lineRule="auto"/>
              <w:ind w:firstLine="1200" w:firstLineChars="500"/>
            </w:pPr>
            <w:r>
              <w:t>P——设计重现期，a；</w:t>
            </w:r>
          </w:p>
          <w:p>
            <w:pPr>
              <w:spacing w:line="360" w:lineRule="auto"/>
              <w:ind w:firstLine="1200" w:firstLineChars="500"/>
            </w:pPr>
            <w:r>
              <w:t>t——设计降雨历时，min。</w:t>
            </w:r>
          </w:p>
          <w:p>
            <w:pPr>
              <w:spacing w:line="360" w:lineRule="auto"/>
              <w:ind w:firstLine="480"/>
            </w:pPr>
            <w:r>
              <w:t>结合</w:t>
            </w:r>
            <w:r>
              <w:rPr>
                <w:rFonts w:hint="eastAsia"/>
              </w:rPr>
              <w:t>湘阴</w:t>
            </w:r>
            <w:r>
              <w:t>县当地降雨特征，雨水设计重现期P取2；设计降雨历时t取20min；计算可得，暴雨强度q=</w:t>
            </w:r>
            <w:r>
              <w:rPr>
                <w:rFonts w:hint="eastAsia"/>
              </w:rPr>
              <w:t>220.83</w:t>
            </w:r>
            <w:r>
              <w:t>L/s·10</w:t>
            </w:r>
            <w:r>
              <w:rPr>
                <w:vertAlign w:val="superscript"/>
              </w:rPr>
              <w:t>4</w:t>
            </w:r>
            <w:r>
              <w:rPr>
                <w:rFonts w:hint="eastAsia"/>
              </w:rPr>
              <w:t>m</w:t>
            </w:r>
            <w:r>
              <w:rPr>
                <w:vertAlign w:val="superscript"/>
              </w:rPr>
              <w:t>2</w:t>
            </w:r>
            <w:r>
              <w:t>。</w:t>
            </w:r>
          </w:p>
          <w:p>
            <w:pPr>
              <w:spacing w:line="360" w:lineRule="auto"/>
              <w:ind w:firstLine="480"/>
            </w:pPr>
            <w:r>
              <w:t>参照《室外排水设计规范（2016</w:t>
            </w:r>
            <w:r>
              <w:rPr>
                <w:rFonts w:hint="eastAsia"/>
              </w:rPr>
              <w:t>年版</w:t>
            </w:r>
            <w:r>
              <w:t>）》（GB50014-2006），初期雨水流量计算公式为：</w:t>
            </w:r>
          </w:p>
          <w:p>
            <w:pPr>
              <w:spacing w:line="360" w:lineRule="auto"/>
              <w:ind w:firstLine="0" w:firstLineChars="0"/>
              <w:jc w:val="center"/>
            </w:pPr>
            <w:r>
              <w:t>Q=Ψfq</w:t>
            </w:r>
          </w:p>
          <w:p>
            <w:pPr>
              <w:spacing w:line="360" w:lineRule="auto"/>
              <w:ind w:firstLine="480"/>
            </w:pPr>
            <w:r>
              <w:t>式中：Q——雨水流量，L/s；</w:t>
            </w:r>
          </w:p>
          <w:p>
            <w:pPr>
              <w:spacing w:line="360" w:lineRule="auto"/>
              <w:ind w:firstLine="1200" w:firstLineChars="500"/>
            </w:pPr>
            <w:r>
              <w:t>Ψ——径流系数，无量纲；取0.9</w:t>
            </w:r>
            <w:r>
              <w:rPr>
                <w:rFonts w:hint="eastAsia"/>
              </w:rPr>
              <w:t>；</w:t>
            </w:r>
          </w:p>
          <w:p>
            <w:pPr>
              <w:spacing w:line="360" w:lineRule="auto"/>
              <w:ind w:firstLine="1200" w:firstLineChars="500"/>
            </w:pPr>
            <w:r>
              <w:t>f——汇水面积，</w:t>
            </w:r>
            <w:r>
              <w:rPr>
                <w:rFonts w:hint="eastAsia"/>
              </w:rPr>
              <w:t>hm</w:t>
            </w:r>
            <w:r>
              <w:rPr>
                <w:vertAlign w:val="superscript"/>
              </w:rPr>
              <w:t>2</w:t>
            </w:r>
            <w:r>
              <w:rPr>
                <w:rFonts w:hint="eastAsia"/>
              </w:rPr>
              <w:t>；由于本项目矿区分阶段逐年开采，且分阶梯设置截排水边沟，在场地外围阻挡外围地表径流进入场内，同时对场内未扰动地面、绿化等占地也按照相关规范设置截排水沟导流，能够有效的减少初期雨水的SS产生量，根据同类项目经验结合本项目实际情况，露天矿区实时扰动面积按其半年内矿区工作面积计算，约</w:t>
            </w:r>
            <w:r>
              <w:t>2.23985</w:t>
            </w:r>
            <w:r>
              <w:rPr>
                <w:rFonts w:hint="eastAsia"/>
              </w:rPr>
              <w:t>hm</w:t>
            </w:r>
            <w:r>
              <w:rPr>
                <w:rFonts w:hint="eastAsia"/>
                <w:vertAlign w:val="superscript"/>
              </w:rPr>
              <w:t>2</w:t>
            </w:r>
            <w:r>
              <w:rPr>
                <w:rFonts w:hint="eastAsia"/>
              </w:rPr>
              <w:t>（矿山开采区面积为43</w:t>
            </w:r>
            <w:r>
              <w:t>.</w:t>
            </w:r>
            <w:r>
              <w:rPr>
                <w:rFonts w:hint="eastAsia"/>
              </w:rPr>
              <w:t>0051hm</w:t>
            </w:r>
            <w:r>
              <w:rPr>
                <w:rFonts w:hint="eastAsia"/>
                <w:vertAlign w:val="superscript"/>
              </w:rPr>
              <w:t>2</w:t>
            </w:r>
            <w:r>
              <w:rPr>
                <w:rFonts w:hint="eastAsia"/>
              </w:rPr>
              <w:t>，矿山生产服务年限为9.6年）。</w:t>
            </w:r>
          </w:p>
          <w:p>
            <w:pPr>
              <w:spacing w:line="360" w:lineRule="auto"/>
              <w:ind w:firstLine="480"/>
              <w:rPr>
                <w:u w:val="single"/>
              </w:rPr>
            </w:pPr>
            <w:r>
              <w:rPr>
                <w:u w:val="single"/>
              </w:rPr>
              <w:t>计算可得，项目雨水流量Q=</w:t>
            </w:r>
            <w:r>
              <w:rPr>
                <w:rFonts w:hint="eastAsia"/>
                <w:u w:val="single"/>
              </w:rPr>
              <w:t>445.155</w:t>
            </w:r>
            <w:r>
              <w:rPr>
                <w:u w:val="single"/>
              </w:rPr>
              <w:t>L/s。初期雨水按前15min计算，折合</w:t>
            </w:r>
            <w:r>
              <w:rPr>
                <w:rFonts w:hint="eastAsia"/>
                <w:u w:val="single"/>
              </w:rPr>
              <w:t>400.64</w:t>
            </w:r>
            <w:r>
              <w:rPr>
                <w:u w:val="single"/>
              </w:rPr>
              <w:t>m</w:t>
            </w:r>
            <w:r>
              <w:rPr>
                <w:u w:val="single"/>
                <w:vertAlign w:val="superscript"/>
              </w:rPr>
              <w:t>3</w:t>
            </w:r>
            <w:r>
              <w:rPr>
                <w:u w:val="single"/>
              </w:rPr>
              <w:t>/次</w:t>
            </w:r>
            <w:r>
              <w:rPr>
                <w:rFonts w:hint="eastAsia"/>
                <w:u w:val="single"/>
              </w:rPr>
              <w:t>，由于项目所在地降雨常为连续性降雨，故初期雨水量约为8012.8</w:t>
            </w:r>
            <w:r>
              <w:rPr>
                <w:u w:val="single"/>
              </w:rPr>
              <w:t>m</w:t>
            </w:r>
            <w:r>
              <w:rPr>
                <w:u w:val="single"/>
                <w:vertAlign w:val="superscript"/>
              </w:rPr>
              <w:t>3</w:t>
            </w:r>
            <w:r>
              <w:rPr>
                <w:u w:val="single"/>
              </w:rPr>
              <w:t>/a</w:t>
            </w:r>
            <w:r>
              <w:rPr>
                <w:rFonts w:hint="eastAsia"/>
                <w:u w:val="single"/>
              </w:rPr>
              <w:t>。受用地和采矿工作限制，为了达到沉淀效果，拟在矿区边界处设置约2544m排水沟及6处沉砂池，建议每处沉砂池容积至少为80m</w:t>
            </w:r>
            <w:r>
              <w:rPr>
                <w:rFonts w:hint="eastAsia"/>
                <w:u w:val="single"/>
                <w:vertAlign w:val="superscript"/>
              </w:rPr>
              <w:t>3</w:t>
            </w:r>
            <w:r>
              <w:rPr>
                <w:rFonts w:hint="eastAsia"/>
                <w:u w:val="single"/>
              </w:rPr>
              <w:t>，合计容积480m</w:t>
            </w:r>
            <w:r>
              <w:rPr>
                <w:rFonts w:hint="eastAsia"/>
                <w:u w:val="single"/>
                <w:vertAlign w:val="superscript"/>
              </w:rPr>
              <w:t>3</w:t>
            </w:r>
            <w:r>
              <w:rPr>
                <w:rFonts w:hint="eastAsia"/>
                <w:u w:val="single"/>
              </w:rPr>
              <w:t>，初期雨水400.64</w:t>
            </w:r>
            <w:r>
              <w:rPr>
                <w:u w:val="single"/>
              </w:rPr>
              <w:t>m</w:t>
            </w:r>
            <w:r>
              <w:rPr>
                <w:u w:val="single"/>
                <w:vertAlign w:val="superscript"/>
              </w:rPr>
              <w:t>3</w:t>
            </w:r>
            <w:r>
              <w:rPr>
                <w:u w:val="single"/>
              </w:rPr>
              <w:t>/次</w:t>
            </w:r>
            <w:r>
              <w:rPr>
                <w:rFonts w:hint="eastAsia"/>
                <w:u w:val="single"/>
              </w:rPr>
              <w:t>，沉砂池可以接收初期雨水，并经充分沉淀用于矿区地面降尘。</w:t>
            </w:r>
          </w:p>
          <w:p>
            <w:pPr>
              <w:topLinePunct/>
              <w:spacing w:line="360" w:lineRule="auto"/>
              <w:ind w:firstLine="0" w:firstLineChars="0"/>
              <w:jc w:val="center"/>
              <w:rPr>
                <w:u w:val="single"/>
              </w:rPr>
            </w:pPr>
            <w:r>
              <w:rPr>
                <w:u w:val="single"/>
              </w:rPr>
              <w:t>表2-9 项目用水量统计表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688"/>
              <w:gridCol w:w="2503"/>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Merge w:val="restart"/>
                  <w:vAlign w:val="center"/>
                </w:tcPr>
                <w:p>
                  <w:pPr>
                    <w:spacing w:line="240" w:lineRule="auto"/>
                    <w:ind w:firstLine="0" w:firstLineChars="0"/>
                    <w:jc w:val="center"/>
                    <w:rPr>
                      <w:color w:val="000000"/>
                      <w:sz w:val="21"/>
                      <w:szCs w:val="21"/>
                      <w:u w:val="single"/>
                    </w:rPr>
                  </w:pPr>
                  <w:r>
                    <w:rPr>
                      <w:color w:val="000000"/>
                      <w:sz w:val="21"/>
                      <w:szCs w:val="21"/>
                      <w:u w:val="single"/>
                    </w:rPr>
                    <w:t>序号</w:t>
                  </w:r>
                </w:p>
              </w:tc>
              <w:tc>
                <w:tcPr>
                  <w:tcW w:w="1744" w:type="pct"/>
                  <w:vMerge w:val="restart"/>
                  <w:vAlign w:val="center"/>
                </w:tcPr>
                <w:p>
                  <w:pPr>
                    <w:spacing w:line="240" w:lineRule="auto"/>
                    <w:ind w:firstLine="0" w:firstLineChars="0"/>
                    <w:jc w:val="center"/>
                    <w:rPr>
                      <w:color w:val="000000"/>
                      <w:sz w:val="21"/>
                      <w:szCs w:val="21"/>
                      <w:u w:val="single"/>
                    </w:rPr>
                  </w:pPr>
                  <w:r>
                    <w:rPr>
                      <w:color w:val="000000"/>
                      <w:sz w:val="21"/>
                      <w:szCs w:val="21"/>
                      <w:u w:val="single"/>
                    </w:rPr>
                    <w:t>项目名称</w:t>
                  </w:r>
                </w:p>
              </w:tc>
              <w:tc>
                <w:tcPr>
                  <w:tcW w:w="162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总</w:t>
                  </w:r>
                  <w:r>
                    <w:rPr>
                      <w:color w:val="000000"/>
                      <w:sz w:val="21"/>
                      <w:szCs w:val="21"/>
                      <w:u w:val="single"/>
                    </w:rPr>
                    <w:t>用水量</w:t>
                  </w:r>
                </w:p>
              </w:tc>
              <w:tc>
                <w:tcPr>
                  <w:tcW w:w="1120"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废水</w:t>
                  </w:r>
                  <w:r>
                    <w:rPr>
                      <w:color w:val="000000"/>
                      <w:sz w:val="21"/>
                      <w:szCs w:val="21"/>
                      <w:u w:val="single"/>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Merge w:val="continue"/>
                  <w:vAlign w:val="center"/>
                </w:tcPr>
                <w:p>
                  <w:pPr>
                    <w:spacing w:line="240" w:lineRule="auto"/>
                    <w:ind w:firstLine="0" w:firstLineChars="0"/>
                    <w:jc w:val="center"/>
                    <w:rPr>
                      <w:color w:val="000000"/>
                      <w:sz w:val="21"/>
                      <w:szCs w:val="21"/>
                      <w:u w:val="single"/>
                    </w:rPr>
                  </w:pPr>
                </w:p>
              </w:tc>
              <w:tc>
                <w:tcPr>
                  <w:tcW w:w="1744" w:type="pct"/>
                  <w:vMerge w:val="continue"/>
                  <w:vAlign w:val="center"/>
                </w:tcPr>
                <w:p>
                  <w:pPr>
                    <w:spacing w:line="240" w:lineRule="auto"/>
                    <w:ind w:firstLine="0" w:firstLineChars="0"/>
                    <w:jc w:val="center"/>
                    <w:rPr>
                      <w:color w:val="000000"/>
                      <w:sz w:val="21"/>
                      <w:szCs w:val="21"/>
                      <w:u w:val="single"/>
                    </w:rPr>
                  </w:pPr>
                </w:p>
              </w:tc>
              <w:tc>
                <w:tcPr>
                  <w:tcW w:w="1624" w:type="pct"/>
                  <w:vAlign w:val="center"/>
                </w:tcPr>
                <w:p>
                  <w:pPr>
                    <w:spacing w:line="240" w:lineRule="auto"/>
                    <w:ind w:firstLine="0" w:firstLineChars="0"/>
                    <w:jc w:val="center"/>
                    <w:rPr>
                      <w:color w:val="000000"/>
                      <w:sz w:val="21"/>
                      <w:szCs w:val="21"/>
                      <w:u w:val="single"/>
                    </w:rPr>
                  </w:pPr>
                  <w:r>
                    <w:rPr>
                      <w:color w:val="000000"/>
                      <w:sz w:val="21"/>
                      <w:szCs w:val="21"/>
                      <w:u w:val="single"/>
                    </w:rPr>
                    <w:t>m</w:t>
                  </w:r>
                  <w:r>
                    <w:rPr>
                      <w:color w:val="000000"/>
                      <w:sz w:val="21"/>
                      <w:szCs w:val="21"/>
                      <w:u w:val="single"/>
                      <w:vertAlign w:val="superscript"/>
                    </w:rPr>
                    <w:t>3</w:t>
                  </w:r>
                  <w:r>
                    <w:rPr>
                      <w:color w:val="000000"/>
                      <w:sz w:val="21"/>
                      <w:szCs w:val="21"/>
                      <w:u w:val="single"/>
                    </w:rPr>
                    <w:t>/a</w:t>
                  </w:r>
                </w:p>
              </w:tc>
              <w:tc>
                <w:tcPr>
                  <w:tcW w:w="1120" w:type="pct"/>
                  <w:vAlign w:val="center"/>
                </w:tcPr>
                <w:p>
                  <w:pPr>
                    <w:spacing w:line="240" w:lineRule="auto"/>
                    <w:ind w:firstLine="0" w:firstLineChars="0"/>
                    <w:jc w:val="center"/>
                    <w:rPr>
                      <w:color w:val="000000"/>
                      <w:sz w:val="21"/>
                      <w:szCs w:val="21"/>
                      <w:u w:val="single"/>
                    </w:rPr>
                  </w:pPr>
                  <w:r>
                    <w:rPr>
                      <w:color w:val="000000"/>
                      <w:sz w:val="21"/>
                      <w:szCs w:val="21"/>
                      <w:u w:val="single"/>
                    </w:rPr>
                    <w:t>m</w:t>
                  </w:r>
                  <w:r>
                    <w:rPr>
                      <w:color w:val="000000"/>
                      <w:sz w:val="21"/>
                      <w:szCs w:val="21"/>
                      <w:u w:val="single"/>
                      <w:vertAlign w:val="superscript"/>
                    </w:rPr>
                    <w:t>3</w:t>
                  </w:r>
                  <w:r>
                    <w:rPr>
                      <w:color w:val="000000"/>
                      <w:sz w:val="21"/>
                      <w:szCs w:val="21"/>
                      <w:u w:val="singl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pPr>
                    <w:spacing w:line="240" w:lineRule="auto"/>
                    <w:ind w:firstLine="0" w:firstLineChars="0"/>
                    <w:jc w:val="center"/>
                    <w:rPr>
                      <w:color w:val="000000"/>
                      <w:sz w:val="21"/>
                      <w:szCs w:val="21"/>
                      <w:u w:val="single"/>
                    </w:rPr>
                  </w:pPr>
                  <w:r>
                    <w:rPr>
                      <w:color w:val="000000"/>
                      <w:sz w:val="21"/>
                      <w:szCs w:val="21"/>
                      <w:u w:val="single"/>
                    </w:rPr>
                    <w:t>1</w:t>
                  </w:r>
                </w:p>
              </w:tc>
              <w:tc>
                <w:tcPr>
                  <w:tcW w:w="1744" w:type="pct"/>
                  <w:vAlign w:val="center"/>
                </w:tcPr>
                <w:p>
                  <w:pPr>
                    <w:spacing w:line="240" w:lineRule="auto"/>
                    <w:ind w:firstLine="0" w:firstLineChars="0"/>
                    <w:jc w:val="center"/>
                    <w:rPr>
                      <w:color w:val="000000"/>
                      <w:sz w:val="21"/>
                      <w:szCs w:val="21"/>
                      <w:u w:val="single"/>
                    </w:rPr>
                  </w:pPr>
                  <w:r>
                    <w:rPr>
                      <w:color w:val="000000"/>
                      <w:sz w:val="21"/>
                      <w:szCs w:val="21"/>
                      <w:u w:val="single"/>
                    </w:rPr>
                    <w:t>生活用水</w:t>
                  </w:r>
                </w:p>
              </w:tc>
              <w:tc>
                <w:tcPr>
                  <w:tcW w:w="162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1</w:t>
                  </w:r>
                  <w:r>
                    <w:rPr>
                      <w:color w:val="000000"/>
                      <w:sz w:val="21"/>
                      <w:szCs w:val="21"/>
                      <w:u w:val="single"/>
                    </w:rPr>
                    <w:t>260</w:t>
                  </w:r>
                </w:p>
              </w:tc>
              <w:tc>
                <w:tcPr>
                  <w:tcW w:w="1120"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1</w:t>
                  </w:r>
                  <w:r>
                    <w:rPr>
                      <w:color w:val="000000"/>
                      <w:sz w:val="21"/>
                      <w:szCs w:val="21"/>
                      <w:u w:val="single"/>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pPr>
                    <w:spacing w:line="240" w:lineRule="auto"/>
                    <w:ind w:firstLine="0" w:firstLineChars="0"/>
                    <w:jc w:val="center"/>
                    <w:rPr>
                      <w:color w:val="000000"/>
                      <w:sz w:val="21"/>
                      <w:szCs w:val="21"/>
                      <w:u w:val="single"/>
                    </w:rPr>
                  </w:pPr>
                  <w:r>
                    <w:rPr>
                      <w:color w:val="000000"/>
                      <w:sz w:val="21"/>
                      <w:szCs w:val="21"/>
                      <w:u w:val="single"/>
                    </w:rPr>
                    <w:t>2</w:t>
                  </w:r>
                </w:p>
              </w:tc>
              <w:tc>
                <w:tcPr>
                  <w:tcW w:w="174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抑尘用水</w:t>
                  </w:r>
                </w:p>
              </w:tc>
              <w:tc>
                <w:tcPr>
                  <w:tcW w:w="1624" w:type="pct"/>
                  <w:vAlign w:val="center"/>
                </w:tcPr>
                <w:p>
                  <w:pPr>
                    <w:spacing w:line="240" w:lineRule="auto"/>
                    <w:ind w:firstLine="0" w:firstLineChars="0"/>
                    <w:jc w:val="center"/>
                    <w:rPr>
                      <w:color w:val="000000"/>
                      <w:sz w:val="21"/>
                      <w:szCs w:val="21"/>
                      <w:u w:val="single"/>
                    </w:rPr>
                  </w:pPr>
                  <w:r>
                    <w:rPr>
                      <w:color w:val="000000"/>
                      <w:sz w:val="21"/>
                      <w:szCs w:val="21"/>
                      <w:u w:val="single"/>
                    </w:rPr>
                    <w:t>13547.1</w:t>
                  </w:r>
                </w:p>
              </w:tc>
              <w:tc>
                <w:tcPr>
                  <w:tcW w:w="1120"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pPr>
                    <w:spacing w:line="240" w:lineRule="auto"/>
                    <w:ind w:firstLine="0" w:firstLineChars="0"/>
                    <w:jc w:val="center"/>
                    <w:rPr>
                      <w:color w:val="000000"/>
                      <w:sz w:val="21"/>
                      <w:szCs w:val="21"/>
                      <w:u w:val="single"/>
                    </w:rPr>
                  </w:pPr>
                  <w:r>
                    <w:rPr>
                      <w:color w:val="000000"/>
                      <w:sz w:val="21"/>
                      <w:szCs w:val="21"/>
                      <w:u w:val="single"/>
                    </w:rPr>
                    <w:t>3</w:t>
                  </w:r>
                </w:p>
              </w:tc>
              <w:tc>
                <w:tcPr>
                  <w:tcW w:w="174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洗砂用水</w:t>
                  </w:r>
                </w:p>
              </w:tc>
              <w:tc>
                <w:tcPr>
                  <w:tcW w:w="162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448200</w:t>
                  </w:r>
                </w:p>
              </w:tc>
              <w:tc>
                <w:tcPr>
                  <w:tcW w:w="1120"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398898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pPr>
                    <w:spacing w:line="240" w:lineRule="auto"/>
                    <w:ind w:firstLine="0" w:firstLineChars="0"/>
                    <w:jc w:val="center"/>
                    <w:rPr>
                      <w:color w:val="000000"/>
                      <w:sz w:val="21"/>
                      <w:szCs w:val="21"/>
                      <w:u w:val="single"/>
                    </w:rPr>
                  </w:pPr>
                  <w:r>
                    <w:rPr>
                      <w:color w:val="000000"/>
                      <w:sz w:val="21"/>
                      <w:szCs w:val="21"/>
                      <w:u w:val="single"/>
                    </w:rPr>
                    <w:t>4</w:t>
                  </w:r>
                </w:p>
              </w:tc>
              <w:tc>
                <w:tcPr>
                  <w:tcW w:w="174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运输车辆冲洗用水</w:t>
                  </w:r>
                </w:p>
              </w:tc>
              <w:tc>
                <w:tcPr>
                  <w:tcW w:w="162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9</w:t>
                  </w:r>
                  <w:r>
                    <w:rPr>
                      <w:color w:val="000000"/>
                      <w:sz w:val="21"/>
                      <w:szCs w:val="21"/>
                      <w:u w:val="single"/>
                    </w:rPr>
                    <w:t>00</w:t>
                  </w:r>
                </w:p>
              </w:tc>
              <w:tc>
                <w:tcPr>
                  <w:tcW w:w="1120" w:type="pct"/>
                  <w:vAlign w:val="center"/>
                </w:tcPr>
                <w:p>
                  <w:pPr>
                    <w:spacing w:line="240" w:lineRule="auto"/>
                    <w:ind w:firstLine="0" w:firstLineChars="0"/>
                    <w:jc w:val="center"/>
                    <w:rPr>
                      <w:color w:val="000000"/>
                      <w:sz w:val="21"/>
                      <w:szCs w:val="21"/>
                      <w:u w:val="single"/>
                    </w:rPr>
                  </w:pPr>
                  <w:r>
                    <w:rPr>
                      <w:color w:val="000000"/>
                      <w:sz w:val="21"/>
                      <w:szCs w:val="21"/>
                      <w:u w:val="singl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pPr>
                    <w:spacing w:line="240" w:lineRule="auto"/>
                    <w:ind w:firstLine="0" w:firstLineChars="0"/>
                    <w:jc w:val="center"/>
                    <w:rPr>
                      <w:color w:val="000000"/>
                      <w:sz w:val="21"/>
                      <w:szCs w:val="21"/>
                      <w:u w:val="single"/>
                    </w:rPr>
                  </w:pPr>
                  <w:r>
                    <w:rPr>
                      <w:color w:val="000000"/>
                      <w:sz w:val="21"/>
                      <w:szCs w:val="21"/>
                      <w:u w:val="single"/>
                    </w:rPr>
                    <w:t>5</w:t>
                  </w:r>
                </w:p>
              </w:tc>
              <w:tc>
                <w:tcPr>
                  <w:tcW w:w="174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道路除尘喷洒用水</w:t>
                  </w:r>
                </w:p>
              </w:tc>
              <w:tc>
                <w:tcPr>
                  <w:tcW w:w="162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1</w:t>
                  </w:r>
                  <w:r>
                    <w:rPr>
                      <w:color w:val="000000"/>
                      <w:sz w:val="21"/>
                      <w:szCs w:val="21"/>
                      <w:u w:val="single"/>
                    </w:rPr>
                    <w:t>522.8</w:t>
                  </w:r>
                </w:p>
              </w:tc>
              <w:tc>
                <w:tcPr>
                  <w:tcW w:w="1120"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vAlign w:val="center"/>
                </w:tcPr>
                <w:p>
                  <w:pPr>
                    <w:spacing w:line="240" w:lineRule="auto"/>
                    <w:ind w:firstLine="0" w:firstLineChars="0"/>
                    <w:jc w:val="center"/>
                    <w:rPr>
                      <w:color w:val="000000"/>
                      <w:sz w:val="21"/>
                      <w:szCs w:val="21"/>
                      <w:u w:val="single"/>
                    </w:rPr>
                  </w:pPr>
                  <w:r>
                    <w:rPr>
                      <w:color w:val="000000"/>
                      <w:sz w:val="21"/>
                      <w:szCs w:val="21"/>
                      <w:u w:val="single"/>
                    </w:rPr>
                    <w:t>6</w:t>
                  </w:r>
                </w:p>
              </w:tc>
              <w:tc>
                <w:tcPr>
                  <w:tcW w:w="174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绿化用水</w:t>
                  </w:r>
                </w:p>
              </w:tc>
              <w:tc>
                <w:tcPr>
                  <w:tcW w:w="1624"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8</w:t>
                  </w:r>
                  <w:r>
                    <w:rPr>
                      <w:color w:val="000000"/>
                      <w:sz w:val="21"/>
                      <w:szCs w:val="21"/>
                      <w:u w:val="single"/>
                    </w:rPr>
                    <w:t>46.54</w:t>
                  </w:r>
                </w:p>
              </w:tc>
              <w:tc>
                <w:tcPr>
                  <w:tcW w:w="1120" w:type="pct"/>
                  <w:vAlign w:val="center"/>
                </w:tcPr>
                <w:p>
                  <w:pPr>
                    <w:spacing w:line="240" w:lineRule="auto"/>
                    <w:ind w:firstLine="0" w:firstLineChars="0"/>
                    <w:jc w:val="center"/>
                    <w:rPr>
                      <w:color w:val="000000"/>
                      <w:sz w:val="21"/>
                      <w:szCs w:val="21"/>
                      <w:u w:val="single"/>
                    </w:rPr>
                  </w:pPr>
                  <w:r>
                    <w:rPr>
                      <w:rFonts w:hint="eastAsia"/>
                      <w:color w:val="000000"/>
                      <w:sz w:val="21"/>
                      <w:szCs w:val="21"/>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56" w:type="pct"/>
                  <w:gridSpan w:val="2"/>
                  <w:vAlign w:val="center"/>
                </w:tcPr>
                <w:p>
                  <w:pPr>
                    <w:spacing w:line="240" w:lineRule="auto"/>
                    <w:ind w:firstLine="0" w:firstLineChars="0"/>
                    <w:jc w:val="center"/>
                    <w:rPr>
                      <w:color w:val="000000"/>
                      <w:sz w:val="21"/>
                      <w:szCs w:val="21"/>
                      <w:u w:val="single"/>
                    </w:rPr>
                  </w:pPr>
                  <w:r>
                    <w:rPr>
                      <w:color w:val="000000"/>
                      <w:sz w:val="21"/>
                      <w:szCs w:val="21"/>
                      <w:u w:val="single"/>
                    </w:rPr>
                    <w:t>合计</w:t>
                  </w:r>
                </w:p>
              </w:tc>
              <w:tc>
                <w:tcPr>
                  <w:tcW w:w="1624" w:type="pct"/>
                  <w:vAlign w:val="center"/>
                </w:tcPr>
                <w:p>
                  <w:pPr>
                    <w:spacing w:line="240" w:lineRule="auto"/>
                    <w:ind w:firstLine="0" w:firstLineChars="0"/>
                    <w:jc w:val="center"/>
                    <w:rPr>
                      <w:rFonts w:eastAsia="等线"/>
                      <w:color w:val="000000"/>
                      <w:sz w:val="21"/>
                      <w:szCs w:val="21"/>
                      <w:u w:val="single"/>
                    </w:rPr>
                  </w:pPr>
                  <w:r>
                    <w:rPr>
                      <w:rFonts w:hint="eastAsia" w:eastAsia="等线"/>
                      <w:color w:val="000000"/>
                      <w:sz w:val="21"/>
                      <w:szCs w:val="21"/>
                      <w:u w:val="single"/>
                    </w:rPr>
                    <w:t>466276.44</w:t>
                  </w:r>
                </w:p>
              </w:tc>
              <w:tc>
                <w:tcPr>
                  <w:tcW w:w="1120" w:type="pct"/>
                  <w:vAlign w:val="center"/>
                </w:tcPr>
                <w:p>
                  <w:pPr>
                    <w:spacing w:line="240" w:lineRule="auto"/>
                    <w:ind w:firstLine="0" w:firstLineChars="0"/>
                    <w:jc w:val="center"/>
                    <w:rPr>
                      <w:rFonts w:eastAsia="等线"/>
                      <w:color w:val="000000"/>
                      <w:sz w:val="21"/>
                      <w:szCs w:val="21"/>
                      <w:u w:val="single"/>
                    </w:rPr>
                  </w:pPr>
                  <w:r>
                    <w:rPr>
                      <w:rFonts w:hint="eastAsia" w:eastAsia="等线"/>
                      <w:color w:val="000000"/>
                      <w:sz w:val="21"/>
                      <w:szCs w:val="21"/>
                      <w:u w:val="single"/>
                    </w:rPr>
                    <w:t>400716</w:t>
                  </w:r>
                </w:p>
              </w:tc>
            </w:tr>
          </w:tbl>
          <w:p>
            <w:pPr>
              <w:spacing w:line="240" w:lineRule="auto"/>
              <w:ind w:firstLine="0" w:firstLineChars="0"/>
              <w:jc w:val="center"/>
            </w:pPr>
            <w:r>
              <w:object>
                <v:shape id="_x0000_i1025" o:spt="75" type="#_x0000_t75" style="height:323.3pt;width:385.15pt;" o:ole="t" filled="f" o:preferrelative="t" stroked="f" coordsize="21600,21600">
                  <v:path/>
                  <v:fill on="f" focussize="0,0"/>
                  <v:stroke on="f" joinstyle="miter"/>
                  <v:imagedata r:id="rId16" o:title=""/>
                  <o:lock v:ext="edit" aspectratio="t"/>
                  <w10:wrap type="none"/>
                  <w10:anchorlock/>
                </v:shape>
                <o:OLEObject Type="Embed" ProgID="Visio.Drawing.15" ShapeID="_x0000_i1025" DrawAspect="Content" ObjectID="_1468075725" r:id="rId15">
                  <o:LockedField>false</o:LockedField>
                </o:OLEObject>
              </w:object>
            </w:r>
          </w:p>
          <w:p>
            <w:pPr>
              <w:spacing w:line="240" w:lineRule="auto"/>
              <w:ind w:firstLine="0" w:firstLineChars="0"/>
              <w:jc w:val="center"/>
              <w:rPr>
                <w:u w:val="single"/>
              </w:rPr>
            </w:pPr>
            <w:r>
              <w:rPr>
                <w:u w:val="single"/>
              </w:rPr>
              <w:t>图</w:t>
            </w:r>
            <w:r>
              <w:rPr>
                <w:rFonts w:hint="eastAsia"/>
                <w:u w:val="single"/>
              </w:rPr>
              <w:t>2</w:t>
            </w:r>
            <w:r>
              <w:rPr>
                <w:u w:val="single"/>
              </w:rPr>
              <w:t>-1 水平衡图（m</w:t>
            </w:r>
            <w:r>
              <w:rPr>
                <w:u w:val="single"/>
                <w:vertAlign w:val="superscript"/>
              </w:rPr>
              <w:t>3</w:t>
            </w:r>
            <w:r>
              <w:rPr>
                <w:u w:val="single"/>
              </w:rPr>
              <w:t>/a）</w:t>
            </w:r>
          </w:p>
          <w:p>
            <w:pPr>
              <w:spacing w:line="360" w:lineRule="auto"/>
              <w:ind w:firstLine="0" w:firstLineChars="0"/>
              <w:rPr>
                <w:u w:val="single"/>
              </w:rPr>
            </w:pPr>
          </w:p>
          <w:p>
            <w:pPr>
              <w:spacing w:line="360" w:lineRule="auto"/>
              <w:ind w:firstLine="0" w:firstLineChars="0"/>
              <w:rPr>
                <w:u w:val="single"/>
              </w:rPr>
            </w:pPr>
          </w:p>
          <w:p>
            <w:pPr>
              <w:spacing w:line="360" w:lineRule="auto"/>
              <w:ind w:firstLine="0" w:firstLineChars="0"/>
              <w:rPr>
                <w:u w:val="single"/>
              </w:rPr>
            </w:pPr>
          </w:p>
          <w:p>
            <w:pPr>
              <w:spacing w:line="360" w:lineRule="auto"/>
              <w:ind w:firstLine="0" w:firstLineChars="0"/>
              <w:rPr>
                <w:u w:val="single"/>
              </w:rPr>
            </w:pPr>
          </w:p>
          <w:p>
            <w:pPr>
              <w:spacing w:line="240" w:lineRule="auto"/>
              <w:ind w:firstLine="0" w:firstLineChars="0"/>
              <w:rPr>
                <w:u w:val="single"/>
              </w:rPr>
            </w:pPr>
          </w:p>
          <w:p>
            <w:pPr>
              <w:spacing w:line="240" w:lineRule="auto"/>
              <w:ind w:firstLine="0" w:firstLineChars="0"/>
              <w:rPr>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73" w:type="dxa"/>
            <w:vAlign w:val="center"/>
          </w:tcPr>
          <w:p>
            <w:pPr>
              <w:adjustRightInd w:val="0"/>
              <w:snapToGrid w:val="0"/>
              <w:spacing w:line="240" w:lineRule="auto"/>
              <w:ind w:firstLine="0" w:firstLineChars="0"/>
              <w:jc w:val="center"/>
            </w:pPr>
            <w:r>
              <w:t>总平面及现场布置</w:t>
            </w:r>
          </w:p>
        </w:tc>
        <w:tc>
          <w:tcPr>
            <w:tcW w:w="7931" w:type="dxa"/>
            <w:vAlign w:val="center"/>
          </w:tcPr>
          <w:p>
            <w:pPr>
              <w:spacing w:line="360" w:lineRule="auto"/>
              <w:ind w:firstLine="0" w:firstLineChars="0"/>
              <w:rPr>
                <w:b/>
                <w:sz w:val="28"/>
              </w:rPr>
            </w:pPr>
            <w:r>
              <w:rPr>
                <w:rFonts w:hint="eastAsia"/>
                <w:b/>
                <w:sz w:val="28"/>
              </w:rPr>
              <w:t>1、矿区总平面布置</w:t>
            </w:r>
          </w:p>
          <w:p>
            <w:pPr>
              <w:spacing w:line="360" w:lineRule="auto"/>
              <w:ind w:firstLine="480"/>
            </w:pPr>
            <w:r>
              <w:rPr>
                <w:rFonts w:hint="eastAsia"/>
              </w:rPr>
              <w:t>根据矿山区域环境、地形地貌和建设条件，矿山总图布置包括采矿区、工业场区。</w:t>
            </w:r>
          </w:p>
          <w:p>
            <w:pPr>
              <w:spacing w:line="360" w:lineRule="auto"/>
              <w:ind w:firstLine="480"/>
            </w:pPr>
            <w:r>
              <w:rPr>
                <w:rFonts w:hint="eastAsia"/>
              </w:rPr>
              <w:t>（1）采矿场</w:t>
            </w:r>
          </w:p>
          <w:p>
            <w:pPr>
              <w:spacing w:line="360" w:lineRule="auto"/>
              <w:ind w:firstLine="480"/>
            </w:pPr>
            <w:r>
              <w:t>露天采场位于矿区范围内，矿山采用露天开采方式。</w:t>
            </w:r>
            <w:r>
              <w:rPr>
                <w:rFonts w:hint="eastAsia"/>
              </w:rPr>
              <w:t>矿山</w:t>
            </w:r>
            <w:r>
              <w:t>开采的矿石为砂砾石，属结构较松散的岩土，不需爆破，可采用机械直接挖掘，因此采用液压挖掘机和装载机完成开采作业</w:t>
            </w:r>
            <w:r>
              <w:rPr>
                <w:rFonts w:hint="eastAsia"/>
              </w:rPr>
              <w:t>，</w:t>
            </w:r>
            <w:r>
              <w:t>采用公路——</w:t>
            </w:r>
            <w:r>
              <w:rPr>
                <w:rFonts w:hint="eastAsia"/>
              </w:rPr>
              <w:t>皮</w:t>
            </w:r>
            <w:r>
              <w:t>带输送机开拓运输方案，矿山作业面采用公路开拓，矿石在工作面由汽车转运至设在工作面附近的卸矿平台通过移动式</w:t>
            </w:r>
            <w:r>
              <w:rPr>
                <w:rFonts w:hint="eastAsia"/>
              </w:rPr>
              <w:t>皮带</w:t>
            </w:r>
            <w:r>
              <w:t>输送机将矿石及时输送到设在矿区附近的</w:t>
            </w:r>
            <w:r>
              <w:rPr>
                <w:rFonts w:hint="eastAsia"/>
              </w:rPr>
              <w:t>工业广场的加工区内</w:t>
            </w:r>
            <w:r>
              <w:t>进行</w:t>
            </w:r>
            <w:r>
              <w:rPr>
                <w:rFonts w:hint="eastAsia"/>
              </w:rPr>
              <w:t>加工</w:t>
            </w:r>
            <w:r>
              <w:t>作业。</w:t>
            </w:r>
          </w:p>
          <w:p>
            <w:pPr>
              <w:spacing w:line="360" w:lineRule="auto"/>
              <w:ind w:firstLine="480"/>
            </w:pPr>
            <w:r>
              <w:t>矿山开采最高平台为+74m，按6m高一个台阶向下逐层开采，总共划分台阶7个，其开采平台标高分别为+74m、+68m、+62m、+56m、+50m、+44m、+38m，其中+74m为削顶平台。</w:t>
            </w:r>
          </w:p>
          <w:p>
            <w:pPr>
              <w:spacing w:line="360" w:lineRule="auto"/>
              <w:ind w:firstLine="480"/>
            </w:pPr>
            <w:r>
              <w:rPr>
                <w:rFonts w:hint="eastAsia"/>
              </w:rPr>
              <w:t>（2）工业场区</w:t>
            </w:r>
          </w:p>
          <w:p>
            <w:pPr>
              <w:spacing w:line="360" w:lineRule="auto"/>
              <w:ind w:firstLine="480"/>
            </w:pPr>
            <w:r>
              <w:rPr>
                <w:rFonts w:hint="eastAsia"/>
              </w:rPr>
              <w:t>本项目工业场区主要由工业厂房、砂矿仓储库、带式输送系统、场内道路、围墙大门及环保设施、职工宿舍及综合楼等几部分组成。</w:t>
            </w:r>
          </w:p>
          <w:p>
            <w:pPr>
              <w:spacing w:line="360" w:lineRule="auto"/>
              <w:ind w:firstLine="480"/>
            </w:pPr>
            <w:r>
              <w:rPr>
                <w:rFonts w:hint="eastAsia"/>
              </w:rPr>
              <w:t>场区总占地面积3.1353公顷。场区整个地块大致成四边形布置，场区中间布置一条25m宽的装载道路。装载道路右侧为砂矿仓储库，砂矿仓储库分为洗砂仓储库、天然卵石仓储库、机制砂仓储库、机制碎石仓储库，装载道路左侧为工业厂房，工业厂房分为筛分、洗砂车间及机制砂工业厂房。此道路直接与大门外进场道路相连接，呈T字形布置。</w:t>
            </w:r>
          </w:p>
          <w:p>
            <w:pPr>
              <w:spacing w:line="360" w:lineRule="auto"/>
              <w:ind w:firstLine="480"/>
            </w:pPr>
            <w:r>
              <w:rPr>
                <w:rFonts w:hint="eastAsia"/>
              </w:rPr>
              <w:t>场区大门入口右侧设置值班室、左侧设置场牌；洗车平台与计量间和地磅均布置堆场在进入口处，便于计量结算与车辆清洗。综合楼及职工宿舍均位于厂区最东侧，新建一条6m宽道路与装载道路相连接后，贯穿了整个厂区，连接了综合楼与员工宿舍及工业厂房的交通。砂矿从矿山经皮带机有组织地运送至工业厂房。</w:t>
            </w:r>
          </w:p>
          <w:p>
            <w:pPr>
              <w:spacing w:line="360" w:lineRule="auto"/>
              <w:ind w:firstLine="0" w:firstLineChars="0"/>
              <w:rPr>
                <w:b/>
                <w:sz w:val="28"/>
              </w:rPr>
            </w:pPr>
            <w:r>
              <w:rPr>
                <w:rFonts w:hint="eastAsia"/>
                <w:b/>
                <w:sz w:val="28"/>
              </w:rPr>
              <w:t>2、施工总平面布置</w:t>
            </w:r>
          </w:p>
          <w:p>
            <w:pPr>
              <w:spacing w:line="360" w:lineRule="auto"/>
              <w:ind w:firstLine="480"/>
            </w:pPr>
            <w:r>
              <w:rPr>
                <w:rFonts w:hint="eastAsia"/>
              </w:rPr>
              <w:t>（1）施工用水</w:t>
            </w:r>
          </w:p>
          <w:p>
            <w:pPr>
              <w:spacing w:line="360" w:lineRule="auto"/>
              <w:ind w:firstLine="480"/>
            </w:pPr>
            <w:r>
              <w:rPr>
                <w:rFonts w:hint="eastAsia"/>
              </w:rPr>
              <w:t>施工用水主要为生产和生活用水。生产用水主要为土方填筑洒水、机械设备用水等，采用自来水；施工期施工人员租赁周边现有民房，废水依托现有废水处理设施。</w:t>
            </w:r>
          </w:p>
          <w:p>
            <w:pPr>
              <w:spacing w:line="360" w:lineRule="auto"/>
              <w:ind w:firstLine="480"/>
            </w:pPr>
            <w:r>
              <w:rPr>
                <w:rFonts w:hint="eastAsia"/>
              </w:rPr>
              <w:t>（2）工程用电</w:t>
            </w:r>
          </w:p>
          <w:p>
            <w:pPr>
              <w:spacing w:line="360" w:lineRule="auto"/>
              <w:ind w:firstLine="480"/>
            </w:pPr>
            <w:r>
              <w:rPr>
                <w:rFonts w:hint="eastAsia"/>
              </w:rPr>
              <w:t>施工用电采用电网供电，就近接低压线。</w:t>
            </w:r>
          </w:p>
          <w:p>
            <w:pPr>
              <w:spacing w:line="360" w:lineRule="auto"/>
              <w:ind w:firstLine="480"/>
            </w:pPr>
            <w:r>
              <w:rPr>
                <w:rFonts w:hint="eastAsia"/>
              </w:rPr>
              <w:t>（3）施工用风</w:t>
            </w:r>
          </w:p>
          <w:p>
            <w:pPr>
              <w:spacing w:line="360" w:lineRule="auto"/>
              <w:ind w:firstLine="480"/>
            </w:pPr>
            <w:r>
              <w:rPr>
                <w:rFonts w:hint="eastAsia"/>
              </w:rPr>
              <w:t>施工用风主要为机修与钢筋加工生产用风，选用1台3m</w:t>
            </w:r>
            <w:r>
              <w:rPr>
                <w:rFonts w:hint="eastAsia"/>
                <w:vertAlign w:val="superscript"/>
              </w:rPr>
              <w:t>3</w:t>
            </w:r>
            <w:r>
              <w:rPr>
                <w:rFonts w:hint="eastAsia"/>
              </w:rPr>
              <w:t>/min移动式空压机供风。</w:t>
            </w:r>
          </w:p>
          <w:p>
            <w:pPr>
              <w:spacing w:line="360" w:lineRule="auto"/>
              <w:ind w:firstLine="480"/>
            </w:pPr>
            <w:r>
              <w:rPr>
                <w:rFonts w:hint="eastAsia"/>
              </w:rPr>
              <w:t>（</w:t>
            </w:r>
            <w:r>
              <w:t>4</w:t>
            </w:r>
            <w:r>
              <w:rPr>
                <w:rFonts w:hint="eastAsia"/>
              </w:rPr>
              <w:t>）施工材料</w:t>
            </w:r>
          </w:p>
          <w:p>
            <w:pPr>
              <w:spacing w:line="360" w:lineRule="auto"/>
              <w:ind w:firstLine="480"/>
            </w:pPr>
            <w:r>
              <w:rPr>
                <w:rFonts w:hint="eastAsia"/>
              </w:rPr>
              <w:t>施工工程所需建筑材料包括钢材、水泥、砖、砂石、木材全部从湘阴县及邻近地区的建筑材料市场采购。碎石、块石等石料由本矿场提供，不再另行采购。</w:t>
            </w:r>
          </w:p>
          <w:p>
            <w:pPr>
              <w:spacing w:line="360" w:lineRule="auto"/>
              <w:ind w:firstLine="480"/>
            </w:pPr>
            <w:r>
              <w:rPr>
                <w:rFonts w:hint="eastAsia"/>
              </w:rPr>
              <w:t>（</w:t>
            </w:r>
            <w:r>
              <w:t>5</w:t>
            </w:r>
            <w:r>
              <w:rPr>
                <w:rFonts w:hint="eastAsia"/>
              </w:rPr>
              <w:t>）通讯：工程施工期间通讯可直接利用已形成通讯网络，不另设置通讯系统。</w:t>
            </w:r>
          </w:p>
          <w:p>
            <w:pPr>
              <w:spacing w:line="360" w:lineRule="auto"/>
              <w:ind w:firstLine="480"/>
            </w:pPr>
            <w:r>
              <w:rPr>
                <w:rFonts w:hint="eastAsia"/>
              </w:rPr>
              <w:t>（</w:t>
            </w:r>
            <w:r>
              <w:t>6</w:t>
            </w:r>
            <w:r>
              <w:rPr>
                <w:rFonts w:hint="eastAsia"/>
              </w:rPr>
              <w:t>）施工场地条件</w:t>
            </w:r>
          </w:p>
          <w:p>
            <w:pPr>
              <w:spacing w:line="360" w:lineRule="auto"/>
              <w:ind w:firstLine="480"/>
            </w:pPr>
            <w:r>
              <w:rPr>
                <w:rFonts w:hint="eastAsia"/>
              </w:rPr>
              <w:t>本项目施工期施工人员租赁当地民房，不统一设置施工生活营地。施工临建设施布置采用集中布置方式，主要为施工仓库，其它附属设施尽量简化；施工辅助设施主要考虑：砂石料堆场等，均为简易工棚。</w:t>
            </w: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73" w:type="dxa"/>
            <w:vAlign w:val="center"/>
          </w:tcPr>
          <w:p>
            <w:pPr>
              <w:adjustRightInd w:val="0"/>
              <w:snapToGrid w:val="0"/>
              <w:spacing w:line="240" w:lineRule="auto"/>
              <w:ind w:firstLine="0" w:firstLineChars="0"/>
              <w:jc w:val="center"/>
            </w:pPr>
            <w:r>
              <w:t>施工方案</w:t>
            </w:r>
          </w:p>
        </w:tc>
        <w:tc>
          <w:tcPr>
            <w:tcW w:w="7931" w:type="dxa"/>
            <w:vAlign w:val="center"/>
          </w:tcPr>
          <w:p>
            <w:pPr>
              <w:spacing w:line="360" w:lineRule="auto"/>
              <w:ind w:firstLine="0" w:firstLineChars="0"/>
              <w:rPr>
                <w:b/>
                <w:sz w:val="28"/>
              </w:rPr>
            </w:pPr>
            <w:r>
              <w:rPr>
                <w:rFonts w:hint="eastAsia"/>
                <w:b/>
                <w:sz w:val="28"/>
              </w:rPr>
              <w:t>1、施工期</w:t>
            </w:r>
          </w:p>
          <w:p>
            <w:pPr>
              <w:spacing w:line="360" w:lineRule="auto"/>
              <w:ind w:firstLine="480"/>
            </w:pPr>
            <w:r>
              <w:rPr>
                <w:rFonts w:hint="eastAsia"/>
              </w:rPr>
              <w:t>（1）工程规模</w:t>
            </w:r>
          </w:p>
          <w:p>
            <w:pPr>
              <w:spacing w:line="360" w:lineRule="auto"/>
              <w:ind w:firstLine="480"/>
            </w:pPr>
            <w:r>
              <w:rPr>
                <w:rFonts w:hint="eastAsia"/>
              </w:rPr>
              <w:t>项目施工期主要建设内容为移动式皮带输送机开拓系统、少量矿山道路建设、排水沟建设及工业广场建设等。</w:t>
            </w:r>
          </w:p>
          <w:p>
            <w:pPr>
              <w:spacing w:line="360" w:lineRule="auto"/>
              <w:ind w:firstLine="480"/>
            </w:pPr>
            <w:r>
              <w:rPr>
                <w:rFonts w:hint="eastAsia"/>
              </w:rPr>
              <w:t>（</w:t>
            </w:r>
            <w:r>
              <w:t>2</w:t>
            </w:r>
            <w:r>
              <w:rPr>
                <w:rFonts w:hint="eastAsia"/>
              </w:rPr>
              <w:t>）施工方法</w:t>
            </w:r>
          </w:p>
          <w:p>
            <w:pPr>
              <w:spacing w:line="360" w:lineRule="auto"/>
              <w:ind w:firstLine="480"/>
            </w:pPr>
            <w:r>
              <w:rPr>
                <w:rFonts w:hint="eastAsia"/>
              </w:rPr>
              <w:t>本项目施工方法主要有：机械开挖、机械平整、机械碾压、汽车运输、人工开挖、人工砌筑等。</w:t>
            </w:r>
          </w:p>
          <w:p>
            <w:pPr>
              <w:spacing w:line="360" w:lineRule="auto"/>
              <w:ind w:firstLine="480"/>
            </w:pPr>
            <w:r>
              <w:rPr>
                <w:rFonts w:hint="eastAsia"/>
              </w:rPr>
              <w:t>（</w:t>
            </w:r>
            <w:r>
              <w:t>3</w:t>
            </w:r>
            <w:r>
              <w:rPr>
                <w:rFonts w:hint="eastAsia"/>
              </w:rPr>
              <w:t>）施工时序安排</w:t>
            </w:r>
          </w:p>
          <w:p>
            <w:pPr>
              <w:spacing w:line="360" w:lineRule="auto"/>
              <w:ind w:firstLine="480"/>
            </w:pPr>
            <w:r>
              <w:rPr>
                <w:rFonts w:hint="eastAsia"/>
              </w:rPr>
              <w:t>计划项目建设工期6个月（2023年5月~2023年10月）。</w:t>
            </w:r>
          </w:p>
          <w:p>
            <w:pPr>
              <w:spacing w:line="360" w:lineRule="auto"/>
              <w:ind w:firstLine="0" w:firstLineChars="0"/>
              <w:jc w:val="left"/>
              <w:rPr>
                <w:b/>
                <w:sz w:val="28"/>
              </w:rPr>
            </w:pPr>
            <w:r>
              <w:rPr>
                <w:b/>
                <w:sz w:val="28"/>
              </w:rPr>
              <w:t>2</w:t>
            </w:r>
            <w:r>
              <w:rPr>
                <w:rFonts w:hint="eastAsia"/>
                <w:b/>
                <w:sz w:val="28"/>
              </w:rPr>
              <w:t>、运营期</w:t>
            </w:r>
          </w:p>
          <w:p>
            <w:pPr>
              <w:spacing w:line="360" w:lineRule="auto"/>
              <w:ind w:firstLine="0" w:firstLineChars="0"/>
              <w:jc w:val="left"/>
              <w:rPr>
                <w:b/>
              </w:rPr>
            </w:pPr>
            <w:r>
              <w:rPr>
                <w:rFonts w:hint="eastAsia"/>
                <w:b/>
              </w:rPr>
              <w:t>2</w:t>
            </w:r>
            <w:r>
              <w:rPr>
                <w:b/>
              </w:rPr>
              <w:t>.1</w:t>
            </w:r>
            <w:r>
              <w:rPr>
                <w:rFonts w:hint="eastAsia"/>
                <w:b/>
              </w:rPr>
              <w:t>工艺流程及产污节点</w:t>
            </w:r>
          </w:p>
          <w:p>
            <w:pPr>
              <w:spacing w:line="360" w:lineRule="auto"/>
              <w:ind w:firstLine="480"/>
            </w:pPr>
            <w:r>
              <w:rPr>
                <w:rFonts w:hint="eastAsia"/>
              </w:rPr>
              <w:t>本项目运营期主要工程内容为矿石剥离、挖掘开采、皮带运输、筛分、洗砂、破碎、洗砂等。矿山采用露天开采的开采方式，采用自上而下的水平分层和台阶开采法开采。项目工艺流程及产污节点详见下图。</w:t>
            </w:r>
          </w:p>
          <w:p>
            <w:pPr>
              <w:pStyle w:val="42"/>
              <w:spacing w:line="360" w:lineRule="auto"/>
              <w:jc w:val="center"/>
            </w:pPr>
            <w:r>
              <w:object>
                <v:shape id="_x0000_i1026" o:spt="75" type="#_x0000_t75" style="height:165.75pt;width:388.55pt;" o:ole="t" filled="f" o:preferrelative="t" stroked="f" coordsize="21600,21600">
                  <v:path/>
                  <v:fill on="f" focussize="0,0"/>
                  <v:stroke on="f" joinstyle="miter"/>
                  <v:imagedata r:id="rId18" o:title=""/>
                  <o:lock v:ext="edit" aspectratio="t"/>
                  <w10:wrap type="none"/>
                  <w10:anchorlock/>
                </v:shape>
                <o:OLEObject Type="Embed" ProgID="Visio.Drawing.15" ShapeID="_x0000_i1026" DrawAspect="Content" ObjectID="_1468075726" r:id="rId17">
                  <o:LockedField>false</o:LockedField>
                </o:OLEObject>
              </w:object>
            </w:r>
          </w:p>
          <w:p>
            <w:pPr>
              <w:pStyle w:val="2"/>
              <w:spacing w:line="360" w:lineRule="auto"/>
              <w:rPr>
                <w:b w:val="0"/>
              </w:rPr>
            </w:pPr>
            <w:r>
              <w:rPr>
                <w:rFonts w:hint="eastAsia"/>
                <w:b w:val="0"/>
              </w:rPr>
              <w:t>图2</w:t>
            </w:r>
            <w:r>
              <w:rPr>
                <w:b w:val="0"/>
              </w:rPr>
              <w:t xml:space="preserve">-2 </w:t>
            </w:r>
            <w:r>
              <w:rPr>
                <w:rFonts w:hint="eastAsia"/>
                <w:b w:val="0"/>
              </w:rPr>
              <w:t>工艺流程及产污节点图</w:t>
            </w:r>
          </w:p>
          <w:p>
            <w:pPr>
              <w:spacing w:line="360" w:lineRule="auto"/>
              <w:ind w:firstLine="482"/>
              <w:rPr>
                <w:b/>
              </w:rPr>
            </w:pPr>
            <w:r>
              <w:rPr>
                <w:rFonts w:hint="eastAsia"/>
                <w:b/>
              </w:rPr>
              <w:t>工艺流程简述：</w:t>
            </w:r>
          </w:p>
          <w:p>
            <w:pPr>
              <w:spacing w:line="360" w:lineRule="auto"/>
              <w:ind w:firstLine="480"/>
              <w:rPr>
                <w:u w:val="single"/>
              </w:rPr>
            </w:pPr>
            <w:r>
              <w:rPr>
                <w:rFonts w:hint="eastAsia"/>
                <w:u w:val="single"/>
              </w:rPr>
              <w:t>①表土剥离、挖掘开采</w:t>
            </w:r>
          </w:p>
          <w:p>
            <w:pPr>
              <w:spacing w:line="360" w:lineRule="auto"/>
              <w:ind w:firstLine="480"/>
              <w:rPr>
                <w:u w:val="single"/>
              </w:rPr>
            </w:pPr>
            <w:r>
              <w:rPr>
                <w:rFonts w:hint="eastAsia"/>
                <w:u w:val="single"/>
              </w:rPr>
              <w:t>矿山开采过程中按“采剥并举，剥离先行”的原则进行。先剥离表土，然后利用挖掘机将山体表层的浮土及废石挖除，本项目开采的矿层全部为古河道（或阶梯）的沉积物，为较松散状砂石土，剥离层也为结构松散的土层，无需进行爆破作业，采用液压挖掘机自上而下分层挖掘开采，同时利用挖掘机/装载机卸料。该工序主要产生粉尘、噪声和弃土。</w:t>
            </w:r>
          </w:p>
          <w:p>
            <w:pPr>
              <w:spacing w:line="360" w:lineRule="auto"/>
              <w:ind w:firstLine="480"/>
              <w:rPr>
                <w:u w:val="single"/>
              </w:rPr>
            </w:pPr>
            <w:r>
              <w:rPr>
                <w:rFonts w:hint="eastAsia" w:ascii="宋体" w:hAnsi="宋体" w:cs="宋体"/>
                <w:u w:val="single"/>
              </w:rPr>
              <w:t>②</w:t>
            </w:r>
            <w:r>
              <w:rPr>
                <w:rFonts w:hint="eastAsia"/>
                <w:u w:val="single"/>
              </w:rPr>
              <w:t>皮带输送、振动筛分、破碎、洗砂</w:t>
            </w:r>
          </w:p>
          <w:p>
            <w:pPr>
              <w:spacing w:line="360" w:lineRule="auto"/>
              <w:ind w:firstLine="480"/>
              <w:rPr>
                <w:u w:val="single"/>
              </w:rPr>
            </w:pPr>
            <w:r>
              <w:rPr>
                <w:rFonts w:hint="eastAsia"/>
                <w:u w:val="single"/>
              </w:rPr>
              <w:t>皮带输送系统基础分为五种，分为卸料斗基础、砂砾输送系统基础样式1、砂砾输送系统基础样式2、砂砾输送系统转角平台基础和砂砾输送系统头部平台基础。基础都采用钢筋混凝土+灌注桩基础结构。</w:t>
            </w:r>
          </w:p>
          <w:p>
            <w:pPr>
              <w:spacing w:line="360" w:lineRule="auto"/>
              <w:ind w:firstLine="480"/>
              <w:rPr>
                <w:u w:val="single"/>
              </w:rPr>
            </w:pPr>
            <w:r>
              <w:rPr>
                <w:rFonts w:hint="eastAsia"/>
                <w:u w:val="single"/>
              </w:rPr>
              <w:t>开采原矿经过皮带输送机输送至工业场区内的加工车间，然后通过给料机输送至振动筛分机进行筛分。经过筛分之后，振动筛分机最下层的原砂由洗砂机处理，处理后再输送至洗砂仓（天然砂）进行储存；振动筛分机中间层合格的成品卵石输送至天然卵石仓进行储存。振动筛分机最上层的稍大物料，再输送至破碎机进行破碎后，再经筛分，振动筛分后下层的机制砂由洗砂机处理，输送至机制砂仓进行储存；振动筛分机中间层合格的成品输送至破碎机对应的中转料仓；振动筛分机最上层的稍大物料，再返回至破碎机进行二次破碎，构成一个闭路循环系统。</w:t>
            </w:r>
          </w:p>
          <w:p>
            <w:pPr>
              <w:spacing w:line="360" w:lineRule="auto"/>
              <w:ind w:firstLine="480"/>
              <w:rPr>
                <w:u w:val="single"/>
              </w:rPr>
            </w:pPr>
            <w:r>
              <w:rPr>
                <w:rFonts w:hint="eastAsia"/>
                <w:u w:val="single"/>
              </w:rPr>
              <w:t>中转料仓中的成品通过中转料仓仓下给料机输送至破碎机处理后再进行筛分，筛分后最下层的机制砂由洗砂机处理后输送至机制砂仓进行储存；振动筛分机中间层合格的成品机制碎石输送至机制碎石仓进行储存；振动筛分机最上层的物料，返回至中转料仓中，从而构成一个闭路循环系统。该工序主要产生粉尘、噪声，其中洗砂工序会产生废水，洗砂废水经沉淀处理后回用于洗砂，不外排。</w:t>
            </w:r>
          </w:p>
          <w:p>
            <w:pPr>
              <w:spacing w:line="360" w:lineRule="auto"/>
              <w:ind w:firstLine="0" w:firstLineChars="0"/>
              <w:rPr>
                <w:b/>
                <w:sz w:val="28"/>
              </w:rPr>
            </w:pPr>
            <w:r>
              <w:rPr>
                <w:rFonts w:hint="eastAsia"/>
                <w:b/>
                <w:sz w:val="28"/>
              </w:rPr>
              <w:t>3、土石方平衡</w:t>
            </w:r>
          </w:p>
          <w:p>
            <w:pPr>
              <w:spacing w:line="360" w:lineRule="auto"/>
              <w:ind w:firstLine="480"/>
              <w:rPr>
                <w:u w:val="single"/>
              </w:rPr>
            </w:pPr>
            <w:r>
              <w:rPr>
                <w:rFonts w:hint="eastAsia"/>
                <w:u w:val="single"/>
              </w:rPr>
              <w:t>根据《湘阴县共荣矿区建筑用砂矿项目工业广场及附属工程初步设计报告》，矿山共计需开挖土石方240.53万m</w:t>
            </w:r>
            <w:r>
              <w:rPr>
                <w:rFonts w:hint="eastAsia"/>
                <w:u w:val="single"/>
                <w:vertAlign w:val="superscript"/>
              </w:rPr>
              <w:t>3</w:t>
            </w:r>
            <w:r>
              <w:rPr>
                <w:rFonts w:hint="eastAsia"/>
                <w:u w:val="single"/>
              </w:rPr>
              <w:t>（其中表土13.83万m</w:t>
            </w:r>
            <w:r>
              <w:rPr>
                <w:rFonts w:hint="eastAsia"/>
                <w:u w:val="single"/>
                <w:vertAlign w:val="superscript"/>
              </w:rPr>
              <w:t>3</w:t>
            </w:r>
            <w:r>
              <w:rPr>
                <w:rFonts w:hint="eastAsia"/>
                <w:u w:val="single"/>
              </w:rPr>
              <w:t>，土方213.32万m</w:t>
            </w:r>
            <w:r>
              <w:rPr>
                <w:rFonts w:hint="eastAsia"/>
                <w:u w:val="single"/>
                <w:vertAlign w:val="superscript"/>
              </w:rPr>
              <w:t>3</w:t>
            </w:r>
            <w:r>
              <w:rPr>
                <w:rFonts w:hint="eastAsia"/>
                <w:u w:val="single"/>
              </w:rPr>
              <w:t>，旧路面建筑拆除0.33万m</w:t>
            </w:r>
            <w:r>
              <w:rPr>
                <w:rFonts w:hint="eastAsia"/>
                <w:u w:val="single"/>
                <w:vertAlign w:val="superscript"/>
              </w:rPr>
              <w:t>3</w:t>
            </w:r>
            <w:r>
              <w:rPr>
                <w:rFonts w:hint="eastAsia"/>
                <w:u w:val="single"/>
              </w:rPr>
              <w:t>），回填土石方17.01万m</w:t>
            </w:r>
            <w:r>
              <w:rPr>
                <w:rFonts w:hint="eastAsia"/>
                <w:u w:val="single"/>
                <w:vertAlign w:val="superscript"/>
              </w:rPr>
              <w:t>3</w:t>
            </w:r>
            <w:r>
              <w:rPr>
                <w:rFonts w:hint="eastAsia"/>
                <w:u w:val="single"/>
              </w:rPr>
              <w:t>（其中表土13.83万m</w:t>
            </w:r>
            <w:r>
              <w:rPr>
                <w:rFonts w:hint="eastAsia"/>
                <w:u w:val="single"/>
                <w:vertAlign w:val="superscript"/>
              </w:rPr>
              <w:t>3</w:t>
            </w:r>
            <w:r>
              <w:rPr>
                <w:rFonts w:hint="eastAsia"/>
                <w:u w:val="single"/>
              </w:rPr>
              <w:t>，土方回填2.76万m</w:t>
            </w:r>
            <w:r>
              <w:rPr>
                <w:rFonts w:hint="eastAsia"/>
                <w:u w:val="single"/>
                <w:vertAlign w:val="superscript"/>
              </w:rPr>
              <w:t>3</w:t>
            </w:r>
            <w:r>
              <w:rPr>
                <w:rFonts w:hint="eastAsia"/>
                <w:u w:val="single"/>
              </w:rPr>
              <w:t>），余（弃）方223.52万m</w:t>
            </w:r>
            <w:r>
              <w:rPr>
                <w:rFonts w:hint="eastAsia"/>
                <w:u w:val="single"/>
                <w:vertAlign w:val="superscript"/>
              </w:rPr>
              <w:t>3</w:t>
            </w:r>
            <w:r>
              <w:rPr>
                <w:rFonts w:hint="eastAsia"/>
                <w:u w:val="single"/>
              </w:rPr>
              <w:t>。工业场区总挖方量为</w:t>
            </w:r>
            <w:r>
              <w:rPr>
                <w:u w:val="single"/>
              </w:rPr>
              <w:t>21.0685</w:t>
            </w:r>
            <w:r>
              <w:rPr>
                <w:rFonts w:hint="eastAsia"/>
                <w:u w:val="single"/>
              </w:rPr>
              <w:t>万m</w:t>
            </w:r>
            <w:r>
              <w:rPr>
                <w:u w:val="single"/>
                <w:vertAlign w:val="superscript"/>
              </w:rPr>
              <w:t>3</w:t>
            </w:r>
            <w:r>
              <w:rPr>
                <w:rFonts w:hint="eastAsia"/>
                <w:u w:val="single"/>
              </w:rPr>
              <w:t>，总填方量为</w:t>
            </w:r>
            <w:r>
              <w:rPr>
                <w:snapToGrid/>
                <w:color w:val="000000"/>
                <w:u w:val="single"/>
              </w:rPr>
              <w:t>2.303</w:t>
            </w:r>
            <w:r>
              <w:rPr>
                <w:rFonts w:hint="eastAsia"/>
                <w:snapToGrid/>
                <w:color w:val="000000"/>
                <w:u w:val="single"/>
              </w:rPr>
              <w:t>万</w:t>
            </w:r>
            <w:r>
              <w:rPr>
                <w:rFonts w:hint="eastAsia"/>
                <w:u w:val="single"/>
              </w:rPr>
              <w:t>m</w:t>
            </w:r>
            <w:r>
              <w:rPr>
                <w:u w:val="single"/>
                <w:vertAlign w:val="superscript"/>
              </w:rPr>
              <w:t>3</w:t>
            </w:r>
            <w:r>
              <w:rPr>
                <w:rFonts w:hint="eastAsia"/>
                <w:u w:val="single"/>
              </w:rPr>
              <w:t>，余（弃）方</w:t>
            </w:r>
            <w:r>
              <w:rPr>
                <w:snapToGrid/>
                <w:color w:val="000000"/>
                <w:u w:val="single"/>
              </w:rPr>
              <w:t>18.7655万</w:t>
            </w:r>
            <w:r>
              <w:rPr>
                <w:u w:val="single"/>
              </w:rPr>
              <w:t>m</w:t>
            </w:r>
            <w:r>
              <w:rPr>
                <w:u w:val="single"/>
                <w:vertAlign w:val="superscript"/>
              </w:rPr>
              <w:t>3</w:t>
            </w:r>
            <w:r>
              <w:rPr>
                <w:rFonts w:hint="eastAsia"/>
                <w:u w:val="single"/>
              </w:rPr>
              <w:t>；土石方平衡图见附图16</w:t>
            </w:r>
            <w:r>
              <w:rPr>
                <w:u w:val="single"/>
              </w:rPr>
              <w:t>。</w:t>
            </w:r>
          </w:p>
          <w:p>
            <w:pPr>
              <w:spacing w:line="360" w:lineRule="auto"/>
              <w:ind w:firstLine="480"/>
            </w:pPr>
            <w:r>
              <w:rPr>
                <w:rFonts w:hint="eastAsia"/>
              </w:rPr>
              <w:t>矿山表层腐殖层熟土（表土）用于矿山后续土地复垦生态修复用，深部粉砂土及沉淀池沉渣主要用于湘阴县未来道路建设、高新区开发等路基填方用填料、开发场地平整用；矿山开采矿石全部加工外售，不纳入土石方平衡计算。</w:t>
            </w:r>
          </w:p>
          <w:p>
            <w:pPr>
              <w:spacing w:line="360" w:lineRule="auto"/>
              <w:ind w:firstLine="0" w:firstLineChars="0"/>
              <w:jc w:val="center"/>
              <w:rPr>
                <w:u w:val="single"/>
              </w:rPr>
            </w:pPr>
            <w:r>
              <w:rPr>
                <w:rFonts w:hint="eastAsia"/>
                <w:u w:val="single"/>
              </w:rPr>
              <w:t>表2-10</w:t>
            </w:r>
            <w:r>
              <w:rPr>
                <w:u w:val="single"/>
              </w:rPr>
              <w:t xml:space="preserve"> </w:t>
            </w:r>
            <w:r>
              <w:rPr>
                <w:rFonts w:hint="eastAsia"/>
                <w:u w:val="single"/>
              </w:rPr>
              <w:t>项目土石方平衡一栏表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157"/>
              <w:gridCol w:w="1561"/>
              <w:gridCol w:w="1700"/>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序号</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名称</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单位</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数值</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一</w:t>
                  </w:r>
                </w:p>
              </w:tc>
              <w:tc>
                <w:tcPr>
                  <w:tcW w:w="6875" w:type="dxa"/>
                  <w:gridSpan w:val="4"/>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露天开采区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土石方开挖</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240.53</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1.1</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表土</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13.83</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1.2</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土方</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213.32</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1.3</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旧路面建筑拆除</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0.33</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土石方回填</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17.01</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2.1</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表土</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13.83</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2.2</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土方</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2.76</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3</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余（弃）方</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223.52</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二</w:t>
                  </w:r>
                </w:p>
              </w:tc>
              <w:tc>
                <w:tcPr>
                  <w:tcW w:w="6875" w:type="dxa"/>
                  <w:gridSpan w:val="4"/>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工业广场区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rFonts w:hint="eastAsia"/>
                      <w:snapToGrid/>
                      <w:color w:val="000000"/>
                      <w:sz w:val="21"/>
                      <w:szCs w:val="21"/>
                      <w:u w:val="single"/>
                    </w:rPr>
                    <w:t>4</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土石方开挖</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21.0685</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rFonts w:hint="eastAsia"/>
                      <w:snapToGrid/>
                      <w:color w:val="000000"/>
                      <w:sz w:val="21"/>
                      <w:szCs w:val="21"/>
                      <w:u w:val="single"/>
                    </w:rPr>
                    <w:t>5</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土石方回填</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2.303</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rFonts w:hint="eastAsia"/>
                      <w:snapToGrid/>
                      <w:color w:val="000000"/>
                      <w:sz w:val="21"/>
                      <w:szCs w:val="21"/>
                      <w:u w:val="single"/>
                    </w:rPr>
                    <w:t>6</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余（弃）方</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18.7655</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（4-</w:t>
                  </w:r>
                  <w:r>
                    <w:rPr>
                      <w:rFonts w:hint="eastAsia"/>
                      <w:snapToGrid/>
                      <w:color w:val="000000"/>
                      <w:sz w:val="21"/>
                      <w:szCs w:val="21"/>
                      <w:u w:val="single"/>
                    </w:rPr>
                    <w:t>5</w:t>
                  </w:r>
                  <w:r>
                    <w:rPr>
                      <w:snapToGrid/>
                      <w:color w:val="00000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三</w:t>
                  </w:r>
                </w:p>
              </w:tc>
              <w:tc>
                <w:tcPr>
                  <w:tcW w:w="6875" w:type="dxa"/>
                  <w:gridSpan w:val="4"/>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0" w:type="dxa"/>
                  <w:shd w:val="clear" w:color="auto" w:fill="auto"/>
                  <w:vAlign w:val="center"/>
                </w:tcPr>
                <w:p>
                  <w:pPr>
                    <w:widowControl/>
                    <w:spacing w:line="240" w:lineRule="auto"/>
                    <w:ind w:firstLine="0" w:firstLineChars="0"/>
                    <w:jc w:val="center"/>
                    <w:rPr>
                      <w:snapToGrid/>
                      <w:color w:val="000000"/>
                      <w:sz w:val="21"/>
                      <w:szCs w:val="21"/>
                      <w:u w:val="single"/>
                    </w:rPr>
                  </w:pPr>
                  <w:r>
                    <w:rPr>
                      <w:rFonts w:hint="eastAsia"/>
                      <w:snapToGrid/>
                      <w:color w:val="000000"/>
                      <w:sz w:val="21"/>
                      <w:szCs w:val="21"/>
                      <w:u w:val="single"/>
                    </w:rPr>
                    <w:t>7</w:t>
                  </w:r>
                </w:p>
              </w:tc>
              <w:tc>
                <w:tcPr>
                  <w:tcW w:w="2157"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总余（弃）方</w:t>
                  </w:r>
                </w:p>
              </w:tc>
              <w:tc>
                <w:tcPr>
                  <w:tcW w:w="1561"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万m</w:t>
                  </w:r>
                  <w:r>
                    <w:rPr>
                      <w:snapToGrid/>
                      <w:color w:val="000000"/>
                      <w:sz w:val="21"/>
                      <w:szCs w:val="21"/>
                      <w:u w:val="single"/>
                      <w:vertAlign w:val="superscript"/>
                    </w:rPr>
                    <w:t>3</w:t>
                  </w:r>
                </w:p>
              </w:tc>
              <w:tc>
                <w:tcPr>
                  <w:tcW w:w="1700" w:type="dxa"/>
                  <w:shd w:val="clear" w:color="auto" w:fill="auto"/>
                  <w:vAlign w:val="center"/>
                </w:tcPr>
                <w:p>
                  <w:pPr>
                    <w:widowControl/>
                    <w:spacing w:line="240" w:lineRule="auto"/>
                    <w:ind w:firstLine="0" w:firstLineChars="0"/>
                    <w:jc w:val="center"/>
                    <w:rPr>
                      <w:snapToGrid/>
                      <w:color w:val="000000"/>
                      <w:sz w:val="21"/>
                      <w:szCs w:val="21"/>
                      <w:u w:val="single"/>
                    </w:rPr>
                  </w:pPr>
                  <w:r>
                    <w:rPr>
                      <w:snapToGrid/>
                      <w:color w:val="000000"/>
                      <w:sz w:val="21"/>
                      <w:szCs w:val="21"/>
                      <w:u w:val="single"/>
                    </w:rPr>
                    <w:t>242.2855</w:t>
                  </w:r>
                </w:p>
              </w:tc>
              <w:tc>
                <w:tcPr>
                  <w:tcW w:w="1457" w:type="dxa"/>
                  <w:shd w:val="clear" w:color="auto" w:fill="auto"/>
                  <w:vAlign w:val="center"/>
                </w:tcPr>
                <w:p>
                  <w:pPr>
                    <w:widowControl/>
                    <w:spacing w:line="240" w:lineRule="auto"/>
                    <w:ind w:firstLine="0" w:firstLineChars="0"/>
                    <w:jc w:val="center"/>
                    <w:rPr>
                      <w:snapToGrid/>
                      <w:color w:val="000000"/>
                      <w:sz w:val="21"/>
                      <w:szCs w:val="21"/>
                      <w:u w:val="single"/>
                    </w:rPr>
                  </w:pPr>
                  <w:r>
                    <w:rPr>
                      <w:rFonts w:hint="eastAsia"/>
                      <w:snapToGrid/>
                      <w:color w:val="000000"/>
                      <w:sz w:val="21"/>
                      <w:szCs w:val="21"/>
                      <w:u w:val="single"/>
                    </w:rPr>
                    <w:t>（3+6）</w:t>
                  </w:r>
                </w:p>
              </w:tc>
            </w:tr>
          </w:tbl>
          <w:p>
            <w:pPr>
              <w:spacing w:line="360" w:lineRule="auto"/>
              <w:ind w:firstLine="0" w:firstLineChars="0"/>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94" w:hRule="atLeast"/>
          <w:jc w:val="center"/>
        </w:trPr>
        <w:tc>
          <w:tcPr>
            <w:tcW w:w="573" w:type="dxa"/>
            <w:vAlign w:val="center"/>
          </w:tcPr>
          <w:p>
            <w:pPr>
              <w:adjustRightInd w:val="0"/>
              <w:snapToGrid w:val="0"/>
              <w:spacing w:line="240" w:lineRule="auto"/>
              <w:ind w:firstLine="0" w:firstLineChars="0"/>
              <w:jc w:val="center"/>
            </w:pPr>
            <w:r>
              <w:t>其他</w:t>
            </w:r>
          </w:p>
        </w:tc>
        <w:tc>
          <w:tcPr>
            <w:tcW w:w="7931" w:type="dxa"/>
            <w:vAlign w:val="center"/>
          </w:tcPr>
          <w:p>
            <w:pPr>
              <w:spacing w:line="360" w:lineRule="auto"/>
              <w:ind w:firstLine="0" w:firstLineChars="0"/>
              <w:jc w:val="center"/>
            </w:pPr>
            <w:r>
              <w:rPr>
                <w:rFonts w:hint="eastAsia"/>
              </w:rPr>
              <w:t>无。</w:t>
            </w:r>
          </w:p>
        </w:tc>
      </w:tr>
    </w:tbl>
    <w:p>
      <w:pPr>
        <w:pStyle w:val="12"/>
        <w:adjustRightInd w:val="0"/>
        <w:snapToGrid w:val="0"/>
        <w:spacing w:before="0" w:beforeAutospacing="0" w:after="0" w:afterAutospacing="0"/>
        <w:ind w:firstLine="480"/>
        <w:jc w:val="center"/>
        <w:outlineLvl w:val="0"/>
        <w:rPr>
          <w:rFonts w:eastAsia="仿宋_GB2312"/>
          <w:b/>
          <w:bCs/>
        </w:rPr>
        <w:sectPr>
          <w:pgSz w:w="11906" w:h="16838"/>
          <w:pgMar w:top="1378" w:right="1531" w:bottom="1378" w:left="1559" w:header="709" w:footer="907" w:gutter="0"/>
          <w:pgNumType w:fmt="numberInDash"/>
          <w:cols w:space="720" w:num="1"/>
          <w:docGrid w:linePitch="326" w:charSpace="0"/>
        </w:sectPr>
      </w:pPr>
    </w:p>
    <w:p>
      <w:pPr>
        <w:pStyle w:val="12"/>
        <w:adjustRightInd w:val="0"/>
        <w:snapToGrid w:val="0"/>
        <w:spacing w:before="0" w:beforeAutospacing="0" w:after="0" w:afterAutospacing="0"/>
        <w:ind w:firstLine="600"/>
        <w:jc w:val="center"/>
        <w:outlineLvl w:val="0"/>
        <w:rPr>
          <w:rFonts w:ascii="黑体" w:hAnsi="黑体" w:eastAsia="黑体"/>
          <w:sz w:val="30"/>
          <w:szCs w:val="30"/>
        </w:rPr>
      </w:pPr>
      <w:bookmarkStart w:id="18" w:name="_Toc120544635"/>
      <w:r>
        <w:rPr>
          <w:rFonts w:hint="eastAsia" w:ascii="黑体" w:hAnsi="黑体" w:eastAsia="黑体"/>
          <w:sz w:val="30"/>
          <w:szCs w:val="30"/>
        </w:rPr>
        <w:t>三、生态环境现状、保护目标及评价标准</w:t>
      </w:r>
      <w:bookmarkEnd w:id="18"/>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83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99" w:type="dxa"/>
            <w:vAlign w:val="center"/>
          </w:tcPr>
          <w:p>
            <w:pPr>
              <w:spacing w:line="240" w:lineRule="auto"/>
              <w:ind w:firstLine="0" w:firstLineChars="0"/>
              <w:jc w:val="center"/>
            </w:pPr>
            <w:r>
              <w:rPr>
                <w:rFonts w:hint="eastAsia"/>
              </w:rPr>
              <w:t>生态环境现状</w:t>
            </w:r>
          </w:p>
        </w:tc>
        <w:tc>
          <w:tcPr>
            <w:tcW w:w="7805" w:type="dxa"/>
            <w:vAlign w:val="center"/>
          </w:tcPr>
          <w:p>
            <w:pPr>
              <w:spacing w:line="360" w:lineRule="auto"/>
              <w:ind w:firstLine="0" w:firstLineChars="0"/>
              <w:rPr>
                <w:b/>
                <w:sz w:val="28"/>
              </w:rPr>
            </w:pPr>
            <w:r>
              <w:rPr>
                <w:rFonts w:hint="eastAsia"/>
                <w:b/>
                <w:sz w:val="28"/>
              </w:rPr>
              <w:t>1、功能区划</w:t>
            </w:r>
          </w:p>
          <w:p>
            <w:pPr>
              <w:spacing w:line="360" w:lineRule="auto"/>
              <w:ind w:firstLine="0" w:firstLineChars="0"/>
              <w:rPr>
                <w:b/>
              </w:rPr>
            </w:pPr>
            <w:r>
              <w:rPr>
                <w:rFonts w:hint="eastAsia"/>
                <w:b/>
              </w:rPr>
              <w:t>1</w:t>
            </w:r>
            <w:r>
              <w:rPr>
                <w:b/>
              </w:rPr>
              <w:t>.1</w:t>
            </w:r>
            <w:r>
              <w:rPr>
                <w:rFonts w:hint="eastAsia"/>
                <w:b/>
              </w:rPr>
              <w:t>主体功能区规划</w:t>
            </w:r>
          </w:p>
          <w:p>
            <w:pPr>
              <w:spacing w:line="360" w:lineRule="auto"/>
              <w:ind w:firstLine="480"/>
            </w:pPr>
            <w:r>
              <w:rPr>
                <w:rFonts w:hint="eastAsia"/>
              </w:rPr>
              <w:t>本项目位于湖南省岳阳市湘阴县，根据《湖南省主体功能区规划》，项目所在地属于国家级农产品主产区。</w:t>
            </w:r>
          </w:p>
          <w:p>
            <w:pPr>
              <w:spacing w:line="360" w:lineRule="auto"/>
              <w:ind w:firstLine="0" w:firstLineChars="0"/>
              <w:rPr>
                <w:b/>
              </w:rPr>
            </w:pPr>
            <w:r>
              <w:rPr>
                <w:rFonts w:hint="eastAsia"/>
                <w:b/>
              </w:rPr>
              <w:t>1</w:t>
            </w:r>
            <w:r>
              <w:rPr>
                <w:b/>
              </w:rPr>
              <w:t>.2</w:t>
            </w:r>
            <w:r>
              <w:rPr>
                <w:rFonts w:hint="eastAsia"/>
                <w:b/>
              </w:rPr>
              <w:t>生态功能区划</w:t>
            </w:r>
          </w:p>
          <w:p>
            <w:pPr>
              <w:spacing w:line="360" w:lineRule="auto"/>
              <w:ind w:firstLine="480"/>
            </w:pPr>
            <w:r>
              <w:t>本项目位于湖南省岳阳市湘阴县，根据《全国生态功能区划（修编版）》，项目所在地属于生态调节功能区-洪水调蓄功能区-洞庭湖洪水调蓄与生物多样性保护功能区（I-05-02）。</w:t>
            </w:r>
          </w:p>
          <w:p>
            <w:pPr>
              <w:spacing w:line="360" w:lineRule="auto"/>
              <w:ind w:firstLine="0" w:firstLineChars="0"/>
              <w:rPr>
                <w:b/>
                <w:sz w:val="28"/>
              </w:rPr>
            </w:pPr>
            <w:r>
              <w:rPr>
                <w:rFonts w:hint="eastAsia"/>
                <w:b/>
                <w:sz w:val="28"/>
              </w:rPr>
              <w:t>2、大气环境现状</w:t>
            </w:r>
          </w:p>
          <w:p>
            <w:pPr>
              <w:spacing w:line="360" w:lineRule="auto"/>
              <w:ind w:firstLine="480"/>
            </w:pPr>
            <w:r>
              <w:rPr>
                <w:rFonts w:hint="eastAsia"/>
              </w:rPr>
              <w:t>本项目位于</w:t>
            </w:r>
            <w:r>
              <w:t>湖南省岳阳市湘阴县</w:t>
            </w:r>
            <w:r>
              <w:rPr>
                <w:rFonts w:hint="eastAsia"/>
              </w:rPr>
              <w:t>，项目所在地属于环境空气质量二类功能区，环境空气质量执行《环境空气质量标准》（GB3095-2012）二级标准及其修改单（生态环境部公告2018年第29号）。</w:t>
            </w:r>
          </w:p>
          <w:p>
            <w:pPr>
              <w:spacing w:line="360" w:lineRule="auto"/>
              <w:ind w:firstLine="0" w:firstLineChars="0"/>
              <w:rPr>
                <w:b/>
              </w:rPr>
            </w:pPr>
            <w:r>
              <w:rPr>
                <w:rFonts w:hint="eastAsia"/>
                <w:b/>
              </w:rPr>
              <w:t>2</w:t>
            </w:r>
            <w:r>
              <w:rPr>
                <w:b/>
              </w:rPr>
              <w:t>.1</w:t>
            </w:r>
            <w:r>
              <w:rPr>
                <w:rFonts w:hint="eastAsia"/>
                <w:b/>
              </w:rPr>
              <w:t>基本污染物</w:t>
            </w:r>
          </w:p>
          <w:p>
            <w:pPr>
              <w:spacing w:line="360" w:lineRule="auto"/>
              <w:ind w:firstLine="480"/>
            </w:pPr>
            <w:r>
              <w:rPr>
                <w:rFonts w:hint="eastAsia"/>
              </w:rPr>
              <w:t>为了解本项目所在地环境空气质量现状，本次收集了岳阳市生态环境局湘阴分局发布的《</w:t>
            </w:r>
            <w:r>
              <w:t>2022</w:t>
            </w:r>
            <w:r>
              <w:rPr>
                <w:rFonts w:hint="eastAsia"/>
              </w:rPr>
              <w:t>年环境空气1</w:t>
            </w:r>
            <w:r>
              <w:t>~12</w:t>
            </w:r>
            <w:r>
              <w:rPr>
                <w:rFonts w:hint="eastAsia"/>
              </w:rPr>
              <w:t>月报表》中空气质量监测数据，具体详见下表。</w:t>
            </w:r>
          </w:p>
          <w:p>
            <w:pPr>
              <w:pStyle w:val="2"/>
              <w:spacing w:line="360" w:lineRule="auto"/>
              <w:rPr>
                <w:b w:val="0"/>
              </w:rPr>
            </w:pPr>
            <w:r>
              <w:rPr>
                <w:rFonts w:hint="eastAsia"/>
                <w:b w:val="0"/>
              </w:rPr>
              <w:t>表3</w:t>
            </w:r>
            <w:r>
              <w:rPr>
                <w:b w:val="0"/>
              </w:rPr>
              <w:t xml:space="preserve">-1 </w:t>
            </w:r>
            <w:r>
              <w:rPr>
                <w:rFonts w:hint="eastAsia"/>
                <w:b w:val="0"/>
              </w:rPr>
              <w:t>湘阴县2</w:t>
            </w:r>
            <w:r>
              <w:rPr>
                <w:b w:val="0"/>
              </w:rPr>
              <w:t>022</w:t>
            </w:r>
            <w:r>
              <w:rPr>
                <w:rFonts w:hint="eastAsia"/>
                <w:b w:val="0"/>
              </w:rPr>
              <w:t>年空气质量现状评价一览表</w:t>
            </w:r>
          </w:p>
          <w:p>
            <w:pPr>
              <w:pStyle w:val="2"/>
              <w:spacing w:line="240" w:lineRule="auto"/>
              <w:jc w:val="right"/>
              <w:rPr>
                <w:b w:val="0"/>
                <w:vertAlign w:val="superscript"/>
              </w:rPr>
            </w:pPr>
            <w:r>
              <w:rPr>
                <w:b w:val="0"/>
              </w:rPr>
              <w:t>单位：CO为mg/m</w:t>
            </w:r>
            <w:r>
              <w:rPr>
                <w:b w:val="0"/>
                <w:vertAlign w:val="superscript"/>
              </w:rPr>
              <w:t>3</w:t>
            </w:r>
            <w:r>
              <w:rPr>
                <w:b w:val="0"/>
              </w:rPr>
              <w:t>，其余为μg/m</w:t>
            </w:r>
            <w:r>
              <w:rPr>
                <w:b w:val="0"/>
                <w:vertAlign w:val="superscript"/>
              </w:rPr>
              <w:t>3</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2005"/>
              <w:gridCol w:w="1233"/>
              <w:gridCol w:w="1387"/>
              <w:gridCol w:w="1233"/>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 w:type="dxa"/>
                  <w:shd w:val="clear" w:color="auto" w:fill="auto"/>
                  <w:vAlign w:val="center"/>
                </w:tcPr>
                <w:p>
                  <w:pPr>
                    <w:pStyle w:val="13"/>
                  </w:pPr>
                  <w:r>
                    <w:rPr>
                      <w:rFonts w:hint="eastAsia"/>
                    </w:rPr>
                    <w:t>污染物</w:t>
                  </w:r>
                </w:p>
              </w:tc>
              <w:tc>
                <w:tcPr>
                  <w:tcW w:w="1843" w:type="dxa"/>
                  <w:shd w:val="clear" w:color="auto" w:fill="auto"/>
                  <w:vAlign w:val="center"/>
                </w:tcPr>
                <w:p>
                  <w:pPr>
                    <w:pStyle w:val="13"/>
                  </w:pPr>
                  <w:r>
                    <w:rPr>
                      <w:rFonts w:hint="eastAsia"/>
                    </w:rPr>
                    <w:t>评价指标</w:t>
                  </w:r>
                </w:p>
              </w:tc>
              <w:tc>
                <w:tcPr>
                  <w:tcW w:w="1134" w:type="dxa"/>
                  <w:shd w:val="clear" w:color="auto" w:fill="auto"/>
                  <w:vAlign w:val="center"/>
                </w:tcPr>
                <w:p>
                  <w:pPr>
                    <w:pStyle w:val="13"/>
                  </w:pPr>
                  <w:r>
                    <w:rPr>
                      <w:rFonts w:hint="eastAsia"/>
                    </w:rPr>
                    <w:t>现状浓度</w:t>
                  </w:r>
                </w:p>
              </w:tc>
              <w:tc>
                <w:tcPr>
                  <w:tcW w:w="1275" w:type="dxa"/>
                  <w:shd w:val="clear" w:color="auto" w:fill="auto"/>
                  <w:vAlign w:val="center"/>
                </w:tcPr>
                <w:p>
                  <w:pPr>
                    <w:pStyle w:val="13"/>
                  </w:pPr>
                  <w:r>
                    <w:rPr>
                      <w:rFonts w:hint="eastAsia"/>
                    </w:rPr>
                    <w:t>评价标准</w:t>
                  </w:r>
                </w:p>
              </w:tc>
              <w:tc>
                <w:tcPr>
                  <w:tcW w:w="1134" w:type="dxa"/>
                  <w:shd w:val="clear" w:color="auto" w:fill="auto"/>
                  <w:vAlign w:val="center"/>
                </w:tcPr>
                <w:p>
                  <w:pPr>
                    <w:pStyle w:val="13"/>
                  </w:pPr>
                  <w:r>
                    <w:rPr>
                      <w:rFonts w:hint="eastAsia"/>
                    </w:rPr>
                    <w:t>占标率%</w:t>
                  </w:r>
                </w:p>
              </w:tc>
              <w:tc>
                <w:tcPr>
                  <w:tcW w:w="1165" w:type="dxa"/>
                  <w:shd w:val="clear" w:color="auto" w:fill="auto"/>
                  <w:vAlign w:val="center"/>
                </w:tcPr>
                <w:p>
                  <w:pPr>
                    <w:pStyle w:val="13"/>
                  </w:pPr>
                  <w:r>
                    <w:rPr>
                      <w:rFonts w:hint="eastAsia"/>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 w:type="dxa"/>
                  <w:shd w:val="clear" w:color="auto" w:fill="auto"/>
                  <w:vAlign w:val="center"/>
                </w:tcPr>
                <w:p>
                  <w:pPr>
                    <w:pStyle w:val="13"/>
                  </w:pPr>
                  <w:r>
                    <w:rPr>
                      <w:rFonts w:hint="eastAsia"/>
                    </w:rPr>
                    <w:t>P</w:t>
                  </w:r>
                  <w:r>
                    <w:t>M</w:t>
                  </w:r>
                  <w:r>
                    <w:rPr>
                      <w:vertAlign w:val="subscript"/>
                    </w:rPr>
                    <w:t>2.5</w:t>
                  </w:r>
                </w:p>
              </w:tc>
              <w:tc>
                <w:tcPr>
                  <w:tcW w:w="1843" w:type="dxa"/>
                  <w:shd w:val="clear" w:color="auto" w:fill="auto"/>
                  <w:vAlign w:val="center"/>
                </w:tcPr>
                <w:p>
                  <w:pPr>
                    <w:pStyle w:val="13"/>
                  </w:pPr>
                  <w:r>
                    <w:rPr>
                      <w:rFonts w:hint="eastAsia"/>
                    </w:rPr>
                    <w:t>年均值</w:t>
                  </w:r>
                </w:p>
              </w:tc>
              <w:tc>
                <w:tcPr>
                  <w:tcW w:w="1134" w:type="dxa"/>
                  <w:shd w:val="clear" w:color="auto" w:fill="auto"/>
                  <w:vAlign w:val="center"/>
                </w:tcPr>
                <w:p>
                  <w:pPr>
                    <w:pStyle w:val="13"/>
                  </w:pPr>
                  <w:r>
                    <w:rPr>
                      <w:rFonts w:hint="eastAsia"/>
                    </w:rPr>
                    <w:t>3</w:t>
                  </w:r>
                  <w:r>
                    <w:t>3.5</w:t>
                  </w:r>
                </w:p>
              </w:tc>
              <w:tc>
                <w:tcPr>
                  <w:tcW w:w="1275" w:type="dxa"/>
                  <w:shd w:val="clear" w:color="auto" w:fill="auto"/>
                  <w:vAlign w:val="center"/>
                </w:tcPr>
                <w:p>
                  <w:pPr>
                    <w:pStyle w:val="13"/>
                  </w:pPr>
                  <w:r>
                    <w:rPr>
                      <w:rFonts w:hint="eastAsia"/>
                    </w:rPr>
                    <w:t>3</w:t>
                  </w:r>
                  <w:r>
                    <w:t>5</w:t>
                  </w:r>
                </w:p>
              </w:tc>
              <w:tc>
                <w:tcPr>
                  <w:tcW w:w="1134" w:type="dxa"/>
                  <w:shd w:val="clear" w:color="auto" w:fill="auto"/>
                  <w:vAlign w:val="center"/>
                </w:tcPr>
                <w:p>
                  <w:pPr>
                    <w:pStyle w:val="13"/>
                  </w:pPr>
                  <w:r>
                    <w:rPr>
                      <w:rFonts w:eastAsia="等线"/>
                      <w:color w:val="000000"/>
                      <w:szCs w:val="21"/>
                    </w:rPr>
                    <w:t xml:space="preserve">95.7 </w:t>
                  </w:r>
                </w:p>
              </w:tc>
              <w:tc>
                <w:tcPr>
                  <w:tcW w:w="1165" w:type="dxa"/>
                  <w:shd w:val="clear" w:color="auto" w:fill="auto"/>
                  <w:vAlign w:val="center"/>
                </w:tcPr>
                <w:p>
                  <w:pPr>
                    <w:pStyle w:val="13"/>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 w:type="dxa"/>
                  <w:shd w:val="clear" w:color="auto" w:fill="auto"/>
                  <w:vAlign w:val="center"/>
                </w:tcPr>
                <w:p>
                  <w:pPr>
                    <w:pStyle w:val="13"/>
                  </w:pPr>
                  <w:r>
                    <w:rPr>
                      <w:rFonts w:hint="eastAsia"/>
                    </w:rPr>
                    <w:t>P</w:t>
                  </w:r>
                  <w:r>
                    <w:t>M</w:t>
                  </w:r>
                  <w:r>
                    <w:rPr>
                      <w:vertAlign w:val="subscript"/>
                    </w:rPr>
                    <w:t>10</w:t>
                  </w:r>
                </w:p>
              </w:tc>
              <w:tc>
                <w:tcPr>
                  <w:tcW w:w="1843" w:type="dxa"/>
                  <w:shd w:val="clear" w:color="auto" w:fill="auto"/>
                  <w:vAlign w:val="center"/>
                </w:tcPr>
                <w:p>
                  <w:pPr>
                    <w:pStyle w:val="13"/>
                  </w:pPr>
                  <w:r>
                    <w:rPr>
                      <w:rFonts w:hint="eastAsia"/>
                    </w:rPr>
                    <w:t>年均值</w:t>
                  </w:r>
                </w:p>
              </w:tc>
              <w:tc>
                <w:tcPr>
                  <w:tcW w:w="1134" w:type="dxa"/>
                  <w:shd w:val="clear" w:color="auto" w:fill="auto"/>
                  <w:vAlign w:val="center"/>
                </w:tcPr>
                <w:p>
                  <w:pPr>
                    <w:pStyle w:val="13"/>
                  </w:pPr>
                  <w:r>
                    <w:rPr>
                      <w:rFonts w:hint="eastAsia"/>
                    </w:rPr>
                    <w:t>4</w:t>
                  </w:r>
                  <w:r>
                    <w:t>8.3</w:t>
                  </w:r>
                </w:p>
              </w:tc>
              <w:tc>
                <w:tcPr>
                  <w:tcW w:w="1275" w:type="dxa"/>
                  <w:shd w:val="clear" w:color="auto" w:fill="auto"/>
                  <w:vAlign w:val="center"/>
                </w:tcPr>
                <w:p>
                  <w:pPr>
                    <w:pStyle w:val="13"/>
                  </w:pPr>
                  <w:r>
                    <w:rPr>
                      <w:rFonts w:hint="eastAsia"/>
                    </w:rPr>
                    <w:t>7</w:t>
                  </w:r>
                  <w:r>
                    <w:t>0</w:t>
                  </w:r>
                </w:p>
              </w:tc>
              <w:tc>
                <w:tcPr>
                  <w:tcW w:w="1134" w:type="dxa"/>
                  <w:shd w:val="clear" w:color="auto" w:fill="auto"/>
                  <w:vAlign w:val="center"/>
                </w:tcPr>
                <w:p>
                  <w:pPr>
                    <w:pStyle w:val="13"/>
                  </w:pPr>
                  <w:r>
                    <w:rPr>
                      <w:rFonts w:eastAsia="等线"/>
                      <w:color w:val="000000"/>
                      <w:szCs w:val="21"/>
                    </w:rPr>
                    <w:t xml:space="preserve">69.0 </w:t>
                  </w:r>
                </w:p>
              </w:tc>
              <w:tc>
                <w:tcPr>
                  <w:tcW w:w="1165" w:type="dxa"/>
                  <w:shd w:val="clear" w:color="auto" w:fill="auto"/>
                  <w:vAlign w:val="center"/>
                </w:tcPr>
                <w:p>
                  <w:pPr>
                    <w:pStyle w:val="13"/>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 w:type="dxa"/>
                  <w:shd w:val="clear" w:color="auto" w:fill="auto"/>
                  <w:vAlign w:val="center"/>
                </w:tcPr>
                <w:p>
                  <w:pPr>
                    <w:pStyle w:val="13"/>
                  </w:pPr>
                  <w:r>
                    <w:rPr>
                      <w:rFonts w:hint="eastAsia"/>
                    </w:rPr>
                    <w:t>S</w:t>
                  </w:r>
                  <w:r>
                    <w:t>O</w:t>
                  </w:r>
                  <w:r>
                    <w:rPr>
                      <w:vertAlign w:val="subscript"/>
                    </w:rPr>
                    <w:t>2</w:t>
                  </w:r>
                </w:p>
              </w:tc>
              <w:tc>
                <w:tcPr>
                  <w:tcW w:w="1843" w:type="dxa"/>
                  <w:shd w:val="clear" w:color="auto" w:fill="auto"/>
                  <w:vAlign w:val="center"/>
                </w:tcPr>
                <w:p>
                  <w:pPr>
                    <w:pStyle w:val="13"/>
                  </w:pPr>
                  <w:r>
                    <w:rPr>
                      <w:rFonts w:hint="eastAsia"/>
                    </w:rPr>
                    <w:t>年均值</w:t>
                  </w:r>
                </w:p>
              </w:tc>
              <w:tc>
                <w:tcPr>
                  <w:tcW w:w="1134" w:type="dxa"/>
                  <w:shd w:val="clear" w:color="auto" w:fill="auto"/>
                  <w:vAlign w:val="center"/>
                </w:tcPr>
                <w:p>
                  <w:pPr>
                    <w:pStyle w:val="13"/>
                  </w:pPr>
                  <w:r>
                    <w:rPr>
                      <w:rFonts w:hint="eastAsia"/>
                    </w:rPr>
                    <w:t>5</w:t>
                  </w:r>
                  <w:r>
                    <w:t>.0</w:t>
                  </w:r>
                </w:p>
              </w:tc>
              <w:tc>
                <w:tcPr>
                  <w:tcW w:w="1275" w:type="dxa"/>
                  <w:shd w:val="clear" w:color="auto" w:fill="auto"/>
                  <w:vAlign w:val="center"/>
                </w:tcPr>
                <w:p>
                  <w:pPr>
                    <w:pStyle w:val="13"/>
                  </w:pPr>
                  <w:r>
                    <w:rPr>
                      <w:rFonts w:hint="eastAsia"/>
                    </w:rPr>
                    <w:t>6</w:t>
                  </w:r>
                  <w:r>
                    <w:t>0</w:t>
                  </w:r>
                </w:p>
              </w:tc>
              <w:tc>
                <w:tcPr>
                  <w:tcW w:w="1134" w:type="dxa"/>
                  <w:shd w:val="clear" w:color="auto" w:fill="auto"/>
                  <w:vAlign w:val="center"/>
                </w:tcPr>
                <w:p>
                  <w:pPr>
                    <w:pStyle w:val="13"/>
                  </w:pPr>
                  <w:r>
                    <w:rPr>
                      <w:rFonts w:eastAsia="等线"/>
                      <w:color w:val="000000"/>
                      <w:szCs w:val="21"/>
                    </w:rPr>
                    <w:t xml:space="preserve">8.3 </w:t>
                  </w:r>
                </w:p>
              </w:tc>
              <w:tc>
                <w:tcPr>
                  <w:tcW w:w="1165" w:type="dxa"/>
                  <w:shd w:val="clear" w:color="auto" w:fill="auto"/>
                  <w:vAlign w:val="center"/>
                </w:tcPr>
                <w:p>
                  <w:pPr>
                    <w:pStyle w:val="13"/>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 w:type="dxa"/>
                  <w:shd w:val="clear" w:color="auto" w:fill="auto"/>
                  <w:vAlign w:val="center"/>
                </w:tcPr>
                <w:p>
                  <w:pPr>
                    <w:pStyle w:val="13"/>
                  </w:pPr>
                  <w:r>
                    <w:rPr>
                      <w:rFonts w:hint="eastAsia"/>
                    </w:rPr>
                    <w:t>N</w:t>
                  </w:r>
                  <w:r>
                    <w:t>O</w:t>
                  </w:r>
                  <w:r>
                    <w:rPr>
                      <w:vertAlign w:val="subscript"/>
                    </w:rPr>
                    <w:t>2</w:t>
                  </w:r>
                </w:p>
              </w:tc>
              <w:tc>
                <w:tcPr>
                  <w:tcW w:w="1843" w:type="dxa"/>
                  <w:shd w:val="clear" w:color="auto" w:fill="auto"/>
                  <w:vAlign w:val="center"/>
                </w:tcPr>
                <w:p>
                  <w:pPr>
                    <w:pStyle w:val="13"/>
                  </w:pPr>
                  <w:r>
                    <w:rPr>
                      <w:rFonts w:hint="eastAsia"/>
                    </w:rPr>
                    <w:t>年均值</w:t>
                  </w:r>
                </w:p>
              </w:tc>
              <w:tc>
                <w:tcPr>
                  <w:tcW w:w="1134" w:type="dxa"/>
                  <w:shd w:val="clear" w:color="auto" w:fill="auto"/>
                  <w:vAlign w:val="center"/>
                </w:tcPr>
                <w:p>
                  <w:pPr>
                    <w:pStyle w:val="13"/>
                  </w:pPr>
                  <w:r>
                    <w:rPr>
                      <w:rFonts w:hint="eastAsia"/>
                    </w:rPr>
                    <w:t>1</w:t>
                  </w:r>
                  <w:r>
                    <w:t>8.8</w:t>
                  </w:r>
                </w:p>
              </w:tc>
              <w:tc>
                <w:tcPr>
                  <w:tcW w:w="1275" w:type="dxa"/>
                  <w:shd w:val="clear" w:color="auto" w:fill="auto"/>
                  <w:vAlign w:val="center"/>
                </w:tcPr>
                <w:p>
                  <w:pPr>
                    <w:pStyle w:val="13"/>
                  </w:pPr>
                  <w:r>
                    <w:rPr>
                      <w:rFonts w:hint="eastAsia"/>
                    </w:rPr>
                    <w:t>4</w:t>
                  </w:r>
                  <w:r>
                    <w:t>0</w:t>
                  </w:r>
                </w:p>
              </w:tc>
              <w:tc>
                <w:tcPr>
                  <w:tcW w:w="1134" w:type="dxa"/>
                  <w:shd w:val="clear" w:color="auto" w:fill="auto"/>
                  <w:vAlign w:val="center"/>
                </w:tcPr>
                <w:p>
                  <w:pPr>
                    <w:pStyle w:val="13"/>
                  </w:pPr>
                  <w:r>
                    <w:rPr>
                      <w:rFonts w:eastAsia="等线"/>
                      <w:color w:val="000000"/>
                      <w:szCs w:val="21"/>
                    </w:rPr>
                    <w:t xml:space="preserve">47.0 </w:t>
                  </w:r>
                </w:p>
              </w:tc>
              <w:tc>
                <w:tcPr>
                  <w:tcW w:w="1165" w:type="dxa"/>
                  <w:shd w:val="clear" w:color="auto" w:fill="auto"/>
                  <w:vAlign w:val="center"/>
                </w:tcPr>
                <w:p>
                  <w:pPr>
                    <w:pStyle w:val="13"/>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 w:type="dxa"/>
                  <w:shd w:val="clear" w:color="auto" w:fill="auto"/>
                  <w:vAlign w:val="center"/>
                </w:tcPr>
                <w:p>
                  <w:pPr>
                    <w:pStyle w:val="13"/>
                  </w:pPr>
                  <w:r>
                    <w:rPr>
                      <w:rFonts w:hint="eastAsia"/>
                    </w:rPr>
                    <w:t>C</w:t>
                  </w:r>
                  <w:r>
                    <w:t>O</w:t>
                  </w:r>
                </w:p>
              </w:tc>
              <w:tc>
                <w:tcPr>
                  <w:tcW w:w="1843" w:type="dxa"/>
                  <w:shd w:val="clear" w:color="auto" w:fill="auto"/>
                  <w:vAlign w:val="center"/>
                </w:tcPr>
                <w:p>
                  <w:pPr>
                    <w:pStyle w:val="13"/>
                  </w:pPr>
                  <w:r>
                    <w:rPr>
                      <w:rFonts w:hint="eastAsia"/>
                    </w:rPr>
                    <w:t>2</w:t>
                  </w:r>
                  <w:r>
                    <w:t>4</w:t>
                  </w:r>
                  <w:r>
                    <w:rPr>
                      <w:rFonts w:hint="eastAsia"/>
                    </w:rPr>
                    <w:t>小时平均值第9</w:t>
                  </w:r>
                  <w:r>
                    <w:t>5</w:t>
                  </w:r>
                  <w:r>
                    <w:rPr>
                      <w:rFonts w:hint="eastAsia"/>
                    </w:rPr>
                    <w:t>百分数</w:t>
                  </w:r>
                </w:p>
              </w:tc>
              <w:tc>
                <w:tcPr>
                  <w:tcW w:w="1134" w:type="dxa"/>
                  <w:shd w:val="clear" w:color="auto" w:fill="auto"/>
                  <w:vAlign w:val="center"/>
                </w:tcPr>
                <w:p>
                  <w:pPr>
                    <w:pStyle w:val="13"/>
                  </w:pPr>
                  <w:r>
                    <w:rPr>
                      <w:rFonts w:hint="eastAsia"/>
                    </w:rPr>
                    <w:t>0</w:t>
                  </w:r>
                  <w:r>
                    <w:t>.8</w:t>
                  </w:r>
                </w:p>
              </w:tc>
              <w:tc>
                <w:tcPr>
                  <w:tcW w:w="1275" w:type="dxa"/>
                  <w:shd w:val="clear" w:color="auto" w:fill="auto"/>
                  <w:vAlign w:val="center"/>
                </w:tcPr>
                <w:p>
                  <w:pPr>
                    <w:pStyle w:val="13"/>
                  </w:pPr>
                  <w:r>
                    <w:rPr>
                      <w:rFonts w:hint="eastAsia"/>
                    </w:rPr>
                    <w:t>4</w:t>
                  </w:r>
                  <w:r>
                    <w:t>.0</w:t>
                  </w:r>
                </w:p>
              </w:tc>
              <w:tc>
                <w:tcPr>
                  <w:tcW w:w="1134" w:type="dxa"/>
                  <w:shd w:val="clear" w:color="auto" w:fill="auto"/>
                  <w:vAlign w:val="center"/>
                </w:tcPr>
                <w:p>
                  <w:pPr>
                    <w:pStyle w:val="13"/>
                  </w:pPr>
                  <w:r>
                    <w:rPr>
                      <w:rFonts w:eastAsia="等线"/>
                      <w:color w:val="000000"/>
                      <w:szCs w:val="21"/>
                    </w:rPr>
                    <w:t xml:space="preserve">20.0 </w:t>
                  </w:r>
                </w:p>
              </w:tc>
              <w:tc>
                <w:tcPr>
                  <w:tcW w:w="1165" w:type="dxa"/>
                  <w:shd w:val="clear" w:color="auto" w:fill="auto"/>
                  <w:vAlign w:val="center"/>
                </w:tcPr>
                <w:p>
                  <w:pPr>
                    <w:pStyle w:val="13"/>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 w:type="dxa"/>
                  <w:shd w:val="clear" w:color="auto" w:fill="auto"/>
                  <w:vAlign w:val="center"/>
                </w:tcPr>
                <w:p>
                  <w:pPr>
                    <w:pStyle w:val="13"/>
                  </w:pPr>
                  <w:r>
                    <w:rPr>
                      <w:rFonts w:hint="eastAsia"/>
                    </w:rPr>
                    <w:t>O</w:t>
                  </w:r>
                  <w:r>
                    <w:rPr>
                      <w:vertAlign w:val="subscript"/>
                    </w:rPr>
                    <w:t>3</w:t>
                  </w:r>
                </w:p>
              </w:tc>
              <w:tc>
                <w:tcPr>
                  <w:tcW w:w="1843" w:type="dxa"/>
                  <w:shd w:val="clear" w:color="auto" w:fill="auto"/>
                  <w:vAlign w:val="center"/>
                </w:tcPr>
                <w:p>
                  <w:pPr>
                    <w:pStyle w:val="13"/>
                  </w:pPr>
                  <w:r>
                    <w:rPr>
                      <w:rFonts w:hint="eastAsia"/>
                    </w:rPr>
                    <w:t>最大8小时平均值第9</w:t>
                  </w:r>
                  <w:r>
                    <w:t>0</w:t>
                  </w:r>
                  <w:r>
                    <w:rPr>
                      <w:rFonts w:hint="eastAsia"/>
                    </w:rPr>
                    <w:t>百分位数</w:t>
                  </w:r>
                </w:p>
              </w:tc>
              <w:tc>
                <w:tcPr>
                  <w:tcW w:w="1134" w:type="dxa"/>
                  <w:shd w:val="clear" w:color="auto" w:fill="auto"/>
                  <w:vAlign w:val="center"/>
                </w:tcPr>
                <w:p>
                  <w:pPr>
                    <w:pStyle w:val="13"/>
                  </w:pPr>
                  <w:r>
                    <w:rPr>
                      <w:rFonts w:hint="eastAsia"/>
                    </w:rPr>
                    <w:t>1</w:t>
                  </w:r>
                  <w:r>
                    <w:t>29.6</w:t>
                  </w:r>
                </w:p>
              </w:tc>
              <w:tc>
                <w:tcPr>
                  <w:tcW w:w="1275" w:type="dxa"/>
                  <w:shd w:val="clear" w:color="auto" w:fill="auto"/>
                  <w:vAlign w:val="center"/>
                </w:tcPr>
                <w:p>
                  <w:pPr>
                    <w:pStyle w:val="13"/>
                  </w:pPr>
                  <w:r>
                    <w:rPr>
                      <w:rFonts w:hint="eastAsia"/>
                    </w:rPr>
                    <w:t>1</w:t>
                  </w:r>
                  <w:r>
                    <w:t>60</w:t>
                  </w:r>
                </w:p>
              </w:tc>
              <w:tc>
                <w:tcPr>
                  <w:tcW w:w="1134" w:type="dxa"/>
                  <w:shd w:val="clear" w:color="auto" w:fill="auto"/>
                  <w:vAlign w:val="center"/>
                </w:tcPr>
                <w:p>
                  <w:pPr>
                    <w:pStyle w:val="13"/>
                  </w:pPr>
                  <w:r>
                    <w:rPr>
                      <w:rFonts w:eastAsia="等线"/>
                      <w:color w:val="000000"/>
                      <w:szCs w:val="21"/>
                    </w:rPr>
                    <w:t xml:space="preserve">81.0 </w:t>
                  </w:r>
                </w:p>
              </w:tc>
              <w:tc>
                <w:tcPr>
                  <w:tcW w:w="1165" w:type="dxa"/>
                  <w:shd w:val="clear" w:color="auto" w:fill="auto"/>
                  <w:vAlign w:val="center"/>
                </w:tcPr>
                <w:p>
                  <w:pPr>
                    <w:pStyle w:val="13"/>
                  </w:pPr>
                  <w:r>
                    <w:rPr>
                      <w:rFonts w:hint="eastAsia"/>
                    </w:rPr>
                    <w:t>达标</w:t>
                  </w:r>
                </w:p>
              </w:tc>
            </w:tr>
          </w:tbl>
          <w:p>
            <w:pPr>
              <w:spacing w:line="360" w:lineRule="auto"/>
              <w:ind w:firstLine="480"/>
            </w:pPr>
            <w:r>
              <w:rPr>
                <w:rFonts w:hint="eastAsia"/>
              </w:rPr>
              <w:t>根据上表，202</w:t>
            </w:r>
            <w:r>
              <w:t>2</w:t>
            </w:r>
            <w:r>
              <w:rPr>
                <w:rFonts w:hint="eastAsia"/>
              </w:rPr>
              <w:t>年湘阴县环境空气六项基本污染物均能达到《环境空气质量标准》（GB3095-2012）及其2018年修改单二级标准，属环境空气质量达标区。</w:t>
            </w:r>
          </w:p>
          <w:p>
            <w:pPr>
              <w:spacing w:line="360" w:lineRule="auto"/>
              <w:ind w:firstLine="480"/>
            </w:pPr>
          </w:p>
          <w:p>
            <w:pPr>
              <w:spacing w:line="360" w:lineRule="auto"/>
              <w:ind w:firstLine="0" w:firstLineChars="0"/>
              <w:rPr>
                <w:b/>
              </w:rPr>
            </w:pPr>
            <w:r>
              <w:rPr>
                <w:rFonts w:hint="eastAsia"/>
                <w:b/>
              </w:rPr>
              <w:t>2</w:t>
            </w:r>
            <w:r>
              <w:rPr>
                <w:b/>
              </w:rPr>
              <w:t>.2</w:t>
            </w:r>
            <w:r>
              <w:rPr>
                <w:rFonts w:hint="eastAsia"/>
                <w:b/>
              </w:rPr>
              <w:t>特征污染物</w:t>
            </w:r>
          </w:p>
          <w:p>
            <w:pPr>
              <w:spacing w:line="360" w:lineRule="auto"/>
              <w:ind w:firstLine="480"/>
            </w:pPr>
            <w:r>
              <w:rPr>
                <w:rFonts w:hint="eastAsia"/>
              </w:rPr>
              <w:t>为了解其他污染物颗粒物的环境空气质量现状，本次评价委托湖南乾诚检测有限公司于202</w:t>
            </w:r>
            <w:r>
              <w:t>3</w:t>
            </w:r>
            <w:r>
              <w:rPr>
                <w:rFonts w:hint="eastAsia"/>
              </w:rPr>
              <w:t>年</w:t>
            </w:r>
            <w:r>
              <w:t>0</w:t>
            </w:r>
            <w:r>
              <w:rPr>
                <w:rFonts w:hint="eastAsia"/>
              </w:rPr>
              <w:t>3月07日-202</w:t>
            </w:r>
            <w:r>
              <w:t>3</w:t>
            </w:r>
            <w:r>
              <w:rPr>
                <w:rFonts w:hint="eastAsia"/>
              </w:rPr>
              <w:t>年</w:t>
            </w:r>
            <w:r>
              <w:t>03</w:t>
            </w:r>
            <w:r>
              <w:rPr>
                <w:rFonts w:hint="eastAsia"/>
              </w:rPr>
              <w:t>月</w:t>
            </w:r>
            <w:r>
              <w:t>0</w:t>
            </w:r>
            <w:r>
              <w:rPr>
                <w:rFonts w:hint="eastAsia"/>
              </w:rPr>
              <w:t>9日对项目所在地当季主导风向下风向设置1处监测点开展现状监测，监测点位基本信息见下表。</w:t>
            </w:r>
          </w:p>
          <w:p>
            <w:pPr>
              <w:pStyle w:val="2"/>
              <w:spacing w:line="360" w:lineRule="auto"/>
              <w:rPr>
                <w:b w:val="0"/>
              </w:rPr>
            </w:pPr>
            <w:r>
              <w:rPr>
                <w:rFonts w:hint="eastAsia"/>
                <w:b w:val="0"/>
              </w:rPr>
              <w:t>表3</w:t>
            </w:r>
            <w:r>
              <w:rPr>
                <w:b w:val="0"/>
              </w:rPr>
              <w:t xml:space="preserve">-2 </w:t>
            </w:r>
            <w:r>
              <w:rPr>
                <w:rFonts w:hint="eastAsia"/>
                <w:b w:val="0"/>
              </w:rPr>
              <w:t>环境空气补充监测方案</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154"/>
              <w:gridCol w:w="1154"/>
              <w:gridCol w:w="1154"/>
              <w:gridCol w:w="1155"/>
              <w:gridCol w:w="1157"/>
              <w:gridCol w:w="1157"/>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 w:hRule="atLeast"/>
                <w:jc w:val="center"/>
              </w:trPr>
              <w:tc>
                <w:tcPr>
                  <w:tcW w:w="1062" w:type="dxa"/>
                  <w:vMerge w:val="restart"/>
                  <w:shd w:val="clear" w:color="auto" w:fill="auto"/>
                  <w:vAlign w:val="center"/>
                </w:tcPr>
                <w:p>
                  <w:pPr>
                    <w:pStyle w:val="13"/>
                  </w:pPr>
                  <w:r>
                    <w:rPr>
                      <w:rFonts w:hint="eastAsia"/>
                    </w:rPr>
                    <w:t>监测点名称</w:t>
                  </w:r>
                </w:p>
              </w:tc>
              <w:tc>
                <w:tcPr>
                  <w:tcW w:w="2124" w:type="dxa"/>
                  <w:gridSpan w:val="2"/>
                  <w:shd w:val="clear" w:color="auto" w:fill="auto"/>
                  <w:vAlign w:val="center"/>
                </w:tcPr>
                <w:p>
                  <w:pPr>
                    <w:pStyle w:val="13"/>
                  </w:pPr>
                  <w:r>
                    <w:rPr>
                      <w:rFonts w:hint="eastAsia"/>
                    </w:rPr>
                    <w:t>监测点坐标/</w:t>
                  </w:r>
                  <w:r>
                    <w:t>m</w:t>
                  </w:r>
                </w:p>
              </w:tc>
              <w:tc>
                <w:tcPr>
                  <w:tcW w:w="1063" w:type="dxa"/>
                  <w:vMerge w:val="restart"/>
                  <w:shd w:val="clear" w:color="auto" w:fill="auto"/>
                  <w:vAlign w:val="center"/>
                </w:tcPr>
                <w:p>
                  <w:pPr>
                    <w:pStyle w:val="13"/>
                  </w:pPr>
                  <w:r>
                    <w:rPr>
                      <w:rFonts w:hint="eastAsia"/>
                    </w:rPr>
                    <w:t>监测因子</w:t>
                  </w:r>
                </w:p>
              </w:tc>
              <w:tc>
                <w:tcPr>
                  <w:tcW w:w="1064" w:type="dxa"/>
                  <w:vMerge w:val="restart"/>
                  <w:shd w:val="clear" w:color="auto" w:fill="auto"/>
                  <w:vAlign w:val="center"/>
                </w:tcPr>
                <w:p>
                  <w:pPr>
                    <w:pStyle w:val="13"/>
                  </w:pPr>
                  <w:r>
                    <w:rPr>
                      <w:rFonts w:hint="eastAsia"/>
                    </w:rPr>
                    <w:t>监测时段</w:t>
                  </w:r>
                </w:p>
              </w:tc>
              <w:tc>
                <w:tcPr>
                  <w:tcW w:w="1064" w:type="dxa"/>
                  <w:vMerge w:val="restart"/>
                  <w:shd w:val="clear" w:color="auto" w:fill="auto"/>
                  <w:vAlign w:val="center"/>
                </w:tcPr>
                <w:p>
                  <w:pPr>
                    <w:pStyle w:val="13"/>
                  </w:pPr>
                  <w:r>
                    <w:rPr>
                      <w:rFonts w:hint="eastAsia"/>
                    </w:rPr>
                    <w:t>相对厂址方位</w:t>
                  </w:r>
                </w:p>
              </w:tc>
              <w:tc>
                <w:tcPr>
                  <w:tcW w:w="1064" w:type="dxa"/>
                  <w:vMerge w:val="restart"/>
                  <w:shd w:val="clear" w:color="auto" w:fill="auto"/>
                  <w:vAlign w:val="center"/>
                </w:tcPr>
                <w:p>
                  <w:pPr>
                    <w:pStyle w:val="13"/>
                  </w:pPr>
                  <w:r>
                    <w:rPr>
                      <w:rFonts w:hint="eastAsia"/>
                    </w:rPr>
                    <w:t>相对厂界距离/</w:t>
                  </w:r>
                  <w: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 w:hRule="atLeast"/>
                <w:jc w:val="center"/>
              </w:trPr>
              <w:tc>
                <w:tcPr>
                  <w:tcW w:w="1062" w:type="dxa"/>
                  <w:vMerge w:val="continue"/>
                  <w:shd w:val="clear" w:color="auto" w:fill="auto"/>
                  <w:vAlign w:val="center"/>
                </w:tcPr>
                <w:p>
                  <w:pPr>
                    <w:pStyle w:val="13"/>
                  </w:pPr>
                </w:p>
              </w:tc>
              <w:tc>
                <w:tcPr>
                  <w:tcW w:w="1062" w:type="dxa"/>
                  <w:shd w:val="clear" w:color="auto" w:fill="auto"/>
                  <w:vAlign w:val="center"/>
                </w:tcPr>
                <w:p>
                  <w:pPr>
                    <w:pStyle w:val="13"/>
                  </w:pPr>
                  <w:r>
                    <w:rPr>
                      <w:rFonts w:hint="eastAsia"/>
                    </w:rPr>
                    <w:t>X</w:t>
                  </w:r>
                </w:p>
              </w:tc>
              <w:tc>
                <w:tcPr>
                  <w:tcW w:w="1062" w:type="dxa"/>
                  <w:shd w:val="clear" w:color="auto" w:fill="auto"/>
                  <w:vAlign w:val="center"/>
                </w:tcPr>
                <w:p>
                  <w:pPr>
                    <w:pStyle w:val="13"/>
                  </w:pPr>
                  <w:r>
                    <w:rPr>
                      <w:rFonts w:hint="eastAsia"/>
                    </w:rPr>
                    <w:t>Y</w:t>
                  </w:r>
                </w:p>
              </w:tc>
              <w:tc>
                <w:tcPr>
                  <w:tcW w:w="1063" w:type="dxa"/>
                  <w:vMerge w:val="continue"/>
                  <w:shd w:val="clear" w:color="auto" w:fill="auto"/>
                  <w:vAlign w:val="center"/>
                </w:tcPr>
                <w:p>
                  <w:pPr>
                    <w:pStyle w:val="13"/>
                  </w:pPr>
                </w:p>
              </w:tc>
              <w:tc>
                <w:tcPr>
                  <w:tcW w:w="1064" w:type="dxa"/>
                  <w:vMerge w:val="continue"/>
                  <w:shd w:val="clear" w:color="auto" w:fill="auto"/>
                  <w:vAlign w:val="center"/>
                </w:tcPr>
                <w:p>
                  <w:pPr>
                    <w:pStyle w:val="13"/>
                  </w:pPr>
                </w:p>
              </w:tc>
              <w:tc>
                <w:tcPr>
                  <w:tcW w:w="1064" w:type="dxa"/>
                  <w:vMerge w:val="continue"/>
                  <w:shd w:val="clear" w:color="auto" w:fill="auto"/>
                  <w:vAlign w:val="center"/>
                </w:tcPr>
                <w:p>
                  <w:pPr>
                    <w:pStyle w:val="13"/>
                  </w:pPr>
                </w:p>
              </w:tc>
              <w:tc>
                <w:tcPr>
                  <w:tcW w:w="1064" w:type="dxa"/>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062" w:type="dxa"/>
                  <w:shd w:val="clear" w:color="auto" w:fill="auto"/>
                  <w:vAlign w:val="center"/>
                </w:tcPr>
                <w:p>
                  <w:pPr>
                    <w:pStyle w:val="13"/>
                  </w:pPr>
                  <w:r>
                    <w:rPr>
                      <w:rFonts w:hint="eastAsia"/>
                    </w:rPr>
                    <w:t>G</w:t>
                  </w:r>
                  <w:r>
                    <w:t>1</w:t>
                  </w:r>
                </w:p>
              </w:tc>
              <w:tc>
                <w:tcPr>
                  <w:tcW w:w="1062" w:type="dxa"/>
                  <w:shd w:val="clear" w:color="auto" w:fill="auto"/>
                  <w:vAlign w:val="center"/>
                </w:tcPr>
                <w:p>
                  <w:pPr>
                    <w:pStyle w:val="13"/>
                  </w:pPr>
                  <w:r>
                    <w:rPr>
                      <w:rFonts w:hint="eastAsia"/>
                    </w:rPr>
                    <w:t>0</w:t>
                  </w:r>
                </w:p>
              </w:tc>
              <w:tc>
                <w:tcPr>
                  <w:tcW w:w="1062" w:type="dxa"/>
                  <w:shd w:val="clear" w:color="auto" w:fill="auto"/>
                  <w:vAlign w:val="center"/>
                </w:tcPr>
                <w:p>
                  <w:pPr>
                    <w:pStyle w:val="13"/>
                  </w:pPr>
                  <w:r>
                    <w:rPr>
                      <w:rFonts w:hint="eastAsia"/>
                    </w:rPr>
                    <w:t>-</w:t>
                  </w:r>
                  <w:r>
                    <w:t>25</w:t>
                  </w:r>
                </w:p>
              </w:tc>
              <w:tc>
                <w:tcPr>
                  <w:tcW w:w="1063" w:type="dxa"/>
                  <w:shd w:val="clear" w:color="auto" w:fill="auto"/>
                  <w:vAlign w:val="center"/>
                </w:tcPr>
                <w:p>
                  <w:pPr>
                    <w:pStyle w:val="13"/>
                  </w:pPr>
                  <w:r>
                    <w:rPr>
                      <w:rFonts w:hint="eastAsia"/>
                    </w:rPr>
                    <w:t>T</w:t>
                  </w:r>
                  <w:r>
                    <w:t>SP</w:t>
                  </w:r>
                </w:p>
              </w:tc>
              <w:tc>
                <w:tcPr>
                  <w:tcW w:w="1064" w:type="dxa"/>
                  <w:shd w:val="clear" w:color="auto" w:fill="auto"/>
                  <w:vAlign w:val="center"/>
                </w:tcPr>
                <w:p>
                  <w:pPr>
                    <w:pStyle w:val="13"/>
                  </w:pPr>
                  <w:r>
                    <w:t>0</w:t>
                  </w:r>
                  <w:r>
                    <w:rPr>
                      <w:rFonts w:hint="eastAsia"/>
                    </w:rPr>
                    <w:t>:</w:t>
                  </w:r>
                  <w:r>
                    <w:t>00~24</w:t>
                  </w:r>
                  <w:r>
                    <w:rPr>
                      <w:rFonts w:hint="eastAsia"/>
                    </w:rPr>
                    <w:t>:</w:t>
                  </w:r>
                  <w:r>
                    <w:t>00</w:t>
                  </w:r>
                </w:p>
              </w:tc>
              <w:tc>
                <w:tcPr>
                  <w:tcW w:w="1064" w:type="dxa"/>
                  <w:shd w:val="clear" w:color="auto" w:fill="auto"/>
                  <w:vAlign w:val="center"/>
                </w:tcPr>
                <w:p>
                  <w:pPr>
                    <w:pStyle w:val="13"/>
                  </w:pPr>
                  <w:r>
                    <w:rPr>
                      <w:rFonts w:hint="eastAsia"/>
                    </w:rPr>
                    <w:t>南</w:t>
                  </w:r>
                </w:p>
              </w:tc>
              <w:tc>
                <w:tcPr>
                  <w:tcW w:w="1064" w:type="dxa"/>
                  <w:shd w:val="clear" w:color="auto" w:fill="auto"/>
                  <w:vAlign w:val="center"/>
                </w:tcPr>
                <w:p>
                  <w:pPr>
                    <w:pStyle w:val="13"/>
                  </w:pPr>
                  <w:r>
                    <w:t>30</w:t>
                  </w:r>
                </w:p>
              </w:tc>
            </w:tr>
          </w:tbl>
          <w:p>
            <w:pPr>
              <w:spacing w:line="360" w:lineRule="auto"/>
              <w:ind w:firstLine="480"/>
            </w:pPr>
            <w:r>
              <w:rPr>
                <w:rFonts w:hint="eastAsia"/>
              </w:rPr>
              <w:t>监测结果见下表。</w:t>
            </w:r>
          </w:p>
          <w:p>
            <w:pPr>
              <w:pStyle w:val="2"/>
              <w:spacing w:line="360" w:lineRule="auto"/>
              <w:rPr>
                <w:b w:val="0"/>
              </w:rPr>
            </w:pPr>
            <w:r>
              <w:rPr>
                <w:rFonts w:hint="eastAsia"/>
                <w:b w:val="0"/>
              </w:rPr>
              <w:t>表3</w:t>
            </w:r>
            <w:r>
              <w:rPr>
                <w:b w:val="0"/>
              </w:rPr>
              <w:t xml:space="preserve">-3 </w:t>
            </w:r>
            <w:r>
              <w:rPr>
                <w:rFonts w:hint="eastAsia"/>
                <w:b w:val="0"/>
              </w:rPr>
              <w:t>环境空气监测结果一览表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07"/>
              <w:gridCol w:w="807"/>
              <w:gridCol w:w="808"/>
              <w:gridCol w:w="696"/>
              <w:gridCol w:w="771"/>
              <w:gridCol w:w="961"/>
              <w:gridCol w:w="888"/>
              <w:gridCol w:w="1078"/>
              <w:gridCol w:w="61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3" w:type="dxa"/>
                  <w:vMerge w:val="restart"/>
                  <w:shd w:val="clear" w:color="auto" w:fill="auto"/>
                  <w:vAlign w:val="center"/>
                </w:tcPr>
                <w:p>
                  <w:pPr>
                    <w:pStyle w:val="13"/>
                  </w:pPr>
                  <w:r>
                    <w:t>监测点名称</w:t>
                  </w:r>
                </w:p>
              </w:tc>
              <w:tc>
                <w:tcPr>
                  <w:tcW w:w="1567" w:type="dxa"/>
                  <w:gridSpan w:val="2"/>
                  <w:shd w:val="clear" w:color="auto" w:fill="auto"/>
                  <w:vAlign w:val="center"/>
                </w:tcPr>
                <w:p>
                  <w:pPr>
                    <w:pStyle w:val="13"/>
                  </w:pPr>
                  <w:r>
                    <w:rPr>
                      <w:rFonts w:hint="eastAsia"/>
                    </w:rPr>
                    <w:t>监测点坐标/</w:t>
                  </w:r>
                  <w:r>
                    <w:t>m</w:t>
                  </w:r>
                </w:p>
              </w:tc>
              <w:tc>
                <w:tcPr>
                  <w:tcW w:w="675" w:type="dxa"/>
                  <w:vMerge w:val="restart"/>
                  <w:shd w:val="clear" w:color="auto" w:fill="auto"/>
                  <w:vAlign w:val="center"/>
                </w:tcPr>
                <w:p>
                  <w:pPr>
                    <w:pStyle w:val="13"/>
                  </w:pPr>
                  <w:r>
                    <w:t>监测因子</w:t>
                  </w:r>
                </w:p>
              </w:tc>
              <w:tc>
                <w:tcPr>
                  <w:tcW w:w="748" w:type="dxa"/>
                  <w:vMerge w:val="restart"/>
                  <w:shd w:val="clear" w:color="auto" w:fill="auto"/>
                  <w:vAlign w:val="center"/>
                </w:tcPr>
                <w:p>
                  <w:pPr>
                    <w:pStyle w:val="13"/>
                  </w:pPr>
                  <w:r>
                    <w:t>平均时段</w:t>
                  </w:r>
                </w:p>
              </w:tc>
              <w:tc>
                <w:tcPr>
                  <w:tcW w:w="932" w:type="dxa"/>
                  <w:vMerge w:val="restart"/>
                  <w:shd w:val="clear" w:color="auto" w:fill="auto"/>
                  <w:vAlign w:val="center"/>
                </w:tcPr>
                <w:p>
                  <w:pPr>
                    <w:pStyle w:val="13"/>
                  </w:pPr>
                  <w:r>
                    <w:t>平均标准</w:t>
                  </w:r>
                  <w:r>
                    <w:rPr>
                      <w:rFonts w:hint="eastAsia"/>
                    </w:rPr>
                    <w:t>(</w:t>
                  </w:r>
                  <w:r>
                    <w:t>μg/m</w:t>
                  </w:r>
                  <w:r>
                    <w:rPr>
                      <w:vertAlign w:val="superscript"/>
                    </w:rPr>
                    <w:t>3</w:t>
                  </w:r>
                  <w:r>
                    <w:rPr>
                      <w:rFonts w:hint="eastAsia"/>
                    </w:rPr>
                    <w:t>)</w:t>
                  </w:r>
                </w:p>
              </w:tc>
              <w:tc>
                <w:tcPr>
                  <w:tcW w:w="862" w:type="dxa"/>
                  <w:vMerge w:val="restart"/>
                  <w:shd w:val="clear" w:color="auto" w:fill="auto"/>
                  <w:vAlign w:val="center"/>
                </w:tcPr>
                <w:p>
                  <w:pPr>
                    <w:pStyle w:val="13"/>
                  </w:pPr>
                  <w:r>
                    <w:rPr>
                      <w:rFonts w:hint="eastAsia"/>
                    </w:rPr>
                    <w:t>监测浓度范围(</w:t>
                  </w:r>
                  <w:r>
                    <w:t>μg/m</w:t>
                  </w:r>
                  <w:r>
                    <w:rPr>
                      <w:vertAlign w:val="superscript"/>
                    </w:rPr>
                    <w:t>3</w:t>
                  </w:r>
                  <w:r>
                    <w:rPr>
                      <w:rFonts w:hint="eastAsia"/>
                    </w:rPr>
                    <w:t>)</w:t>
                  </w:r>
                </w:p>
              </w:tc>
              <w:tc>
                <w:tcPr>
                  <w:tcW w:w="1046" w:type="dxa"/>
                  <w:vMerge w:val="restart"/>
                  <w:shd w:val="clear" w:color="auto" w:fill="auto"/>
                  <w:vAlign w:val="center"/>
                </w:tcPr>
                <w:p>
                  <w:pPr>
                    <w:pStyle w:val="13"/>
                  </w:pPr>
                  <w:r>
                    <w:t>最大浓度占</w:t>
                  </w:r>
                  <w:r>
                    <w:rPr>
                      <w:rFonts w:hint="eastAsia"/>
                    </w:rPr>
                    <w:t>标率%</w:t>
                  </w:r>
                </w:p>
              </w:tc>
              <w:tc>
                <w:tcPr>
                  <w:tcW w:w="598" w:type="dxa"/>
                  <w:vMerge w:val="restart"/>
                  <w:shd w:val="clear" w:color="auto" w:fill="auto"/>
                  <w:vAlign w:val="center"/>
                </w:tcPr>
                <w:p>
                  <w:pPr>
                    <w:pStyle w:val="13"/>
                  </w:pPr>
                  <w:r>
                    <w:t>超标</w:t>
                  </w:r>
                  <w:r>
                    <w:rPr>
                      <w:rFonts w:hint="eastAsia"/>
                    </w:rPr>
                    <w:t>率%</w:t>
                  </w:r>
                </w:p>
              </w:tc>
              <w:tc>
                <w:tcPr>
                  <w:tcW w:w="636" w:type="dxa"/>
                  <w:vMerge w:val="restart"/>
                  <w:shd w:val="clear" w:color="auto" w:fill="auto"/>
                  <w:vAlign w:val="center"/>
                </w:tcPr>
                <w:p>
                  <w:pPr>
                    <w:pStyle w:val="13"/>
                  </w:pPr>
                  <w:r>
                    <w:rPr>
                      <w:rFonts w:hint="eastAsia"/>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83" w:type="dxa"/>
                  <w:vMerge w:val="continue"/>
                  <w:shd w:val="clear" w:color="auto" w:fill="auto"/>
                  <w:vAlign w:val="center"/>
                </w:tcPr>
                <w:p>
                  <w:pPr>
                    <w:pStyle w:val="13"/>
                  </w:pPr>
                </w:p>
              </w:tc>
              <w:tc>
                <w:tcPr>
                  <w:tcW w:w="783" w:type="dxa"/>
                  <w:shd w:val="clear" w:color="auto" w:fill="auto"/>
                  <w:vAlign w:val="center"/>
                </w:tcPr>
                <w:p>
                  <w:pPr>
                    <w:pStyle w:val="13"/>
                  </w:pPr>
                  <w:r>
                    <w:rPr>
                      <w:rFonts w:hint="eastAsia"/>
                    </w:rPr>
                    <w:t>X</w:t>
                  </w:r>
                </w:p>
              </w:tc>
              <w:tc>
                <w:tcPr>
                  <w:tcW w:w="784" w:type="dxa"/>
                  <w:shd w:val="clear" w:color="auto" w:fill="auto"/>
                  <w:vAlign w:val="center"/>
                </w:tcPr>
                <w:p>
                  <w:pPr>
                    <w:pStyle w:val="13"/>
                  </w:pPr>
                  <w:r>
                    <w:rPr>
                      <w:rFonts w:hint="eastAsia"/>
                    </w:rPr>
                    <w:t>Y</w:t>
                  </w:r>
                </w:p>
              </w:tc>
              <w:tc>
                <w:tcPr>
                  <w:tcW w:w="675" w:type="dxa"/>
                  <w:vMerge w:val="continue"/>
                  <w:shd w:val="clear" w:color="auto" w:fill="auto"/>
                  <w:vAlign w:val="center"/>
                </w:tcPr>
                <w:p>
                  <w:pPr>
                    <w:pStyle w:val="13"/>
                  </w:pPr>
                </w:p>
              </w:tc>
              <w:tc>
                <w:tcPr>
                  <w:tcW w:w="748" w:type="dxa"/>
                  <w:vMerge w:val="continue"/>
                  <w:shd w:val="clear" w:color="auto" w:fill="auto"/>
                  <w:vAlign w:val="center"/>
                </w:tcPr>
                <w:p>
                  <w:pPr>
                    <w:pStyle w:val="13"/>
                  </w:pPr>
                </w:p>
              </w:tc>
              <w:tc>
                <w:tcPr>
                  <w:tcW w:w="932" w:type="dxa"/>
                  <w:vMerge w:val="continue"/>
                  <w:shd w:val="clear" w:color="auto" w:fill="auto"/>
                  <w:vAlign w:val="center"/>
                </w:tcPr>
                <w:p>
                  <w:pPr>
                    <w:pStyle w:val="13"/>
                  </w:pPr>
                </w:p>
              </w:tc>
              <w:tc>
                <w:tcPr>
                  <w:tcW w:w="862" w:type="dxa"/>
                  <w:vMerge w:val="continue"/>
                  <w:shd w:val="clear" w:color="auto" w:fill="auto"/>
                  <w:vAlign w:val="center"/>
                </w:tcPr>
                <w:p>
                  <w:pPr>
                    <w:pStyle w:val="13"/>
                  </w:pPr>
                </w:p>
              </w:tc>
              <w:tc>
                <w:tcPr>
                  <w:tcW w:w="1046" w:type="dxa"/>
                  <w:vMerge w:val="continue"/>
                  <w:shd w:val="clear" w:color="auto" w:fill="auto"/>
                  <w:vAlign w:val="center"/>
                </w:tcPr>
                <w:p>
                  <w:pPr>
                    <w:pStyle w:val="13"/>
                  </w:pPr>
                </w:p>
              </w:tc>
              <w:tc>
                <w:tcPr>
                  <w:tcW w:w="598" w:type="dxa"/>
                  <w:vMerge w:val="continue"/>
                  <w:shd w:val="clear" w:color="auto" w:fill="auto"/>
                  <w:vAlign w:val="center"/>
                </w:tcPr>
                <w:p>
                  <w:pPr>
                    <w:pStyle w:val="13"/>
                  </w:pPr>
                </w:p>
              </w:tc>
              <w:tc>
                <w:tcPr>
                  <w:tcW w:w="636" w:type="dxa"/>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83" w:type="dxa"/>
                  <w:shd w:val="clear" w:color="auto" w:fill="auto"/>
                  <w:vAlign w:val="center"/>
                </w:tcPr>
                <w:p>
                  <w:pPr>
                    <w:pStyle w:val="13"/>
                  </w:pPr>
                  <w:r>
                    <w:rPr>
                      <w:rFonts w:hint="eastAsia"/>
                    </w:rPr>
                    <w:t>G</w:t>
                  </w:r>
                  <w:r>
                    <w:t>1</w:t>
                  </w:r>
                </w:p>
              </w:tc>
              <w:tc>
                <w:tcPr>
                  <w:tcW w:w="783" w:type="dxa"/>
                  <w:shd w:val="clear" w:color="auto" w:fill="auto"/>
                  <w:vAlign w:val="center"/>
                </w:tcPr>
                <w:p>
                  <w:pPr>
                    <w:pStyle w:val="13"/>
                    <w:rPr>
                      <w:color w:val="FF0000"/>
                    </w:rPr>
                  </w:pPr>
                  <w:r>
                    <w:rPr>
                      <w:rFonts w:hint="eastAsia"/>
                    </w:rPr>
                    <w:t>0</w:t>
                  </w:r>
                </w:p>
              </w:tc>
              <w:tc>
                <w:tcPr>
                  <w:tcW w:w="784" w:type="dxa"/>
                  <w:shd w:val="clear" w:color="auto" w:fill="auto"/>
                  <w:vAlign w:val="center"/>
                </w:tcPr>
                <w:p>
                  <w:pPr>
                    <w:pStyle w:val="13"/>
                    <w:rPr>
                      <w:color w:val="FF0000"/>
                    </w:rPr>
                  </w:pPr>
                  <w:r>
                    <w:rPr>
                      <w:rFonts w:hint="eastAsia"/>
                    </w:rPr>
                    <w:t>-</w:t>
                  </w:r>
                  <w:r>
                    <w:t>25</w:t>
                  </w:r>
                </w:p>
              </w:tc>
              <w:tc>
                <w:tcPr>
                  <w:tcW w:w="675" w:type="dxa"/>
                  <w:shd w:val="clear" w:color="auto" w:fill="auto"/>
                  <w:vAlign w:val="center"/>
                </w:tcPr>
                <w:p>
                  <w:pPr>
                    <w:pStyle w:val="13"/>
                  </w:pPr>
                  <w:r>
                    <w:rPr>
                      <w:rFonts w:hint="eastAsia"/>
                    </w:rPr>
                    <w:t>T</w:t>
                  </w:r>
                  <w:r>
                    <w:t>SP</w:t>
                  </w:r>
                </w:p>
              </w:tc>
              <w:tc>
                <w:tcPr>
                  <w:tcW w:w="748" w:type="dxa"/>
                  <w:shd w:val="clear" w:color="auto" w:fill="auto"/>
                  <w:vAlign w:val="center"/>
                </w:tcPr>
                <w:p>
                  <w:pPr>
                    <w:pStyle w:val="13"/>
                  </w:pPr>
                  <w:r>
                    <w:rPr>
                      <w:rFonts w:hint="eastAsia"/>
                    </w:rPr>
                    <w:t>日均值</w:t>
                  </w:r>
                </w:p>
              </w:tc>
              <w:tc>
                <w:tcPr>
                  <w:tcW w:w="932" w:type="dxa"/>
                  <w:shd w:val="clear" w:color="auto" w:fill="auto"/>
                  <w:vAlign w:val="center"/>
                </w:tcPr>
                <w:p>
                  <w:pPr>
                    <w:pStyle w:val="13"/>
                  </w:pPr>
                  <w:r>
                    <w:rPr>
                      <w:rFonts w:hint="eastAsia"/>
                    </w:rPr>
                    <w:t>3</w:t>
                  </w:r>
                  <w:r>
                    <w:t>00</w:t>
                  </w:r>
                </w:p>
              </w:tc>
              <w:tc>
                <w:tcPr>
                  <w:tcW w:w="862" w:type="dxa"/>
                  <w:shd w:val="clear" w:color="auto" w:fill="auto"/>
                  <w:vAlign w:val="center"/>
                </w:tcPr>
                <w:p>
                  <w:pPr>
                    <w:pStyle w:val="13"/>
                  </w:pPr>
                  <w:r>
                    <w:t>85~91</w:t>
                  </w:r>
                </w:p>
              </w:tc>
              <w:tc>
                <w:tcPr>
                  <w:tcW w:w="1046" w:type="dxa"/>
                  <w:shd w:val="clear" w:color="auto" w:fill="auto"/>
                  <w:vAlign w:val="center"/>
                </w:tcPr>
                <w:p>
                  <w:pPr>
                    <w:pStyle w:val="13"/>
                  </w:pPr>
                  <w:r>
                    <w:t>30.3</w:t>
                  </w:r>
                </w:p>
              </w:tc>
              <w:tc>
                <w:tcPr>
                  <w:tcW w:w="598" w:type="dxa"/>
                  <w:shd w:val="clear" w:color="auto" w:fill="auto"/>
                  <w:vAlign w:val="center"/>
                </w:tcPr>
                <w:p>
                  <w:pPr>
                    <w:pStyle w:val="13"/>
                  </w:pPr>
                  <w:r>
                    <w:rPr>
                      <w:rFonts w:hint="eastAsia"/>
                    </w:rPr>
                    <w:t>0</w:t>
                  </w:r>
                </w:p>
              </w:tc>
              <w:tc>
                <w:tcPr>
                  <w:tcW w:w="636" w:type="dxa"/>
                  <w:shd w:val="clear" w:color="auto" w:fill="auto"/>
                  <w:vAlign w:val="center"/>
                </w:tcPr>
                <w:p>
                  <w:pPr>
                    <w:pStyle w:val="13"/>
                  </w:pPr>
                  <w:r>
                    <w:rPr>
                      <w:rFonts w:hint="eastAsia"/>
                    </w:rPr>
                    <w:t>达标</w:t>
                  </w:r>
                </w:p>
              </w:tc>
            </w:tr>
          </w:tbl>
          <w:p>
            <w:pPr>
              <w:spacing w:line="360" w:lineRule="auto"/>
              <w:ind w:firstLine="480"/>
            </w:pPr>
            <w:r>
              <w:rPr>
                <w:rFonts w:hint="eastAsia"/>
              </w:rPr>
              <w:t>根据上表可知，项目所在区域TSP监测结果均满足《环境空气质量标准》（GB3095-2012）及其修改单的二级标准，项目所在区域环境空气良好。</w:t>
            </w:r>
          </w:p>
          <w:p>
            <w:pPr>
              <w:spacing w:line="360" w:lineRule="auto"/>
              <w:ind w:firstLine="0" w:firstLineChars="0"/>
              <w:rPr>
                <w:b/>
                <w:sz w:val="28"/>
              </w:rPr>
            </w:pPr>
            <w:r>
              <w:rPr>
                <w:rFonts w:hint="eastAsia"/>
                <w:b/>
                <w:sz w:val="28"/>
              </w:rPr>
              <w:t>3、地表水环境质量现状</w:t>
            </w:r>
          </w:p>
          <w:p>
            <w:pPr>
              <w:spacing w:line="360" w:lineRule="auto"/>
              <w:ind w:firstLine="480"/>
            </w:pPr>
            <w:r>
              <w:rPr>
                <w:rFonts w:hint="eastAsia"/>
              </w:rPr>
              <w:t>本项目位于湖南省岳阳市湘阴县，场区西侧约6</w:t>
            </w:r>
            <w:r>
              <w:t>.1</w:t>
            </w:r>
            <w:r>
              <w:rPr>
                <w:rFonts w:hint="eastAsia"/>
              </w:rPr>
              <w:t>km为湘江（湘阴段）、西南侧约4</w:t>
            </w:r>
            <w:r>
              <w:t>.2</w:t>
            </w:r>
            <w:r>
              <w:rPr>
                <w:rFonts w:hint="eastAsia"/>
              </w:rPr>
              <w:t>km为湾河、北侧约3</w:t>
            </w:r>
            <w:r>
              <w:t>.2</w:t>
            </w:r>
            <w:r>
              <w:rPr>
                <w:rFonts w:hint="eastAsia"/>
              </w:rPr>
              <w:t>km为洋沙湖、东侧约5</w:t>
            </w:r>
            <w:r>
              <w:t>10</w:t>
            </w:r>
            <w:r>
              <w:rPr>
                <w:rFonts w:hint="eastAsia"/>
              </w:rPr>
              <w:t>m为洋沙湖撇洪渠。本次引用岳阳市生态环境局湘阴分局发布的《2</w:t>
            </w:r>
            <w:r>
              <w:t>022</w:t>
            </w:r>
            <w:r>
              <w:rPr>
                <w:rFonts w:hint="eastAsia"/>
              </w:rPr>
              <w:t>年</w:t>
            </w:r>
            <w:r>
              <w:t>12</w:t>
            </w:r>
            <w:r>
              <w:rPr>
                <w:rFonts w:hint="eastAsia"/>
              </w:rPr>
              <w:t>月份-湘阴县水质监测点-监测情况公示》及《湘阴高新技术产业开发区2022年度园区环境质量检测报告 下半年环境质量检测》监测数据，具体监测结果见下表。</w:t>
            </w:r>
          </w:p>
          <w:p>
            <w:pPr>
              <w:pStyle w:val="2"/>
              <w:spacing w:line="360" w:lineRule="auto"/>
              <w:rPr>
                <w:b w:val="0"/>
              </w:rPr>
            </w:pPr>
            <w:r>
              <w:rPr>
                <w:rFonts w:hint="eastAsia"/>
                <w:b w:val="0"/>
              </w:rPr>
              <w:t>表3</w:t>
            </w:r>
            <w:r>
              <w:rPr>
                <w:b w:val="0"/>
              </w:rPr>
              <w:t xml:space="preserve">-4 </w:t>
            </w:r>
            <w:r>
              <w:rPr>
                <w:rFonts w:hint="eastAsia"/>
                <w:b w:val="0"/>
              </w:rPr>
              <w:t>水环境监测结果一览表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206"/>
              <w:gridCol w:w="1292"/>
              <w:gridCol w:w="1248"/>
              <w:gridCol w:w="12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Align w:val="center"/>
                </w:tcPr>
                <w:p>
                  <w:pPr>
                    <w:pStyle w:val="13"/>
                  </w:pPr>
                  <w:r>
                    <w:t>监测点位</w:t>
                  </w:r>
                </w:p>
              </w:tc>
              <w:tc>
                <w:tcPr>
                  <w:tcW w:w="807" w:type="pct"/>
                  <w:vAlign w:val="center"/>
                </w:tcPr>
                <w:p>
                  <w:pPr>
                    <w:pStyle w:val="13"/>
                  </w:pPr>
                  <w:r>
                    <w:t>检测项目</w:t>
                  </w:r>
                </w:p>
              </w:tc>
              <w:tc>
                <w:tcPr>
                  <w:tcW w:w="860" w:type="pct"/>
                  <w:vAlign w:val="center"/>
                </w:tcPr>
                <w:p>
                  <w:pPr>
                    <w:pStyle w:val="13"/>
                  </w:pPr>
                  <w:r>
                    <w:t>检测结果(均值)</w:t>
                  </w:r>
                </w:p>
              </w:tc>
              <w:tc>
                <w:tcPr>
                  <w:tcW w:w="833" w:type="pct"/>
                  <w:vAlign w:val="center"/>
                </w:tcPr>
                <w:p>
                  <w:pPr>
                    <w:pStyle w:val="13"/>
                  </w:pPr>
                  <w:r>
                    <w:t>标准限值</w:t>
                  </w:r>
                </w:p>
              </w:tc>
              <w:tc>
                <w:tcPr>
                  <w:tcW w:w="833" w:type="pct"/>
                  <w:vAlign w:val="center"/>
                </w:tcPr>
                <w:p>
                  <w:pPr>
                    <w:pStyle w:val="13"/>
                  </w:pPr>
                  <w:r>
                    <w:t>水质指数</w:t>
                  </w:r>
                </w:p>
              </w:tc>
              <w:tc>
                <w:tcPr>
                  <w:tcW w:w="834" w:type="pct"/>
                  <w:vAlign w:val="center"/>
                </w:tcPr>
                <w:p>
                  <w:pPr>
                    <w:pStyle w:val="13"/>
                  </w:pPr>
                  <w: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pPr>
                    <w:pStyle w:val="13"/>
                  </w:pPr>
                  <w:r>
                    <w:t>湘江乌龙嘴断面(2022.12.5)</w:t>
                  </w:r>
                </w:p>
              </w:tc>
              <w:tc>
                <w:tcPr>
                  <w:tcW w:w="807" w:type="pct"/>
                  <w:vAlign w:val="center"/>
                </w:tcPr>
                <w:p>
                  <w:pPr>
                    <w:pStyle w:val="13"/>
                  </w:pPr>
                  <w:r>
                    <w:t>水温</w:t>
                  </w:r>
                </w:p>
              </w:tc>
              <w:tc>
                <w:tcPr>
                  <w:tcW w:w="860" w:type="pct"/>
                  <w:vAlign w:val="center"/>
                </w:tcPr>
                <w:p>
                  <w:pPr>
                    <w:pStyle w:val="13"/>
                  </w:pPr>
                  <w:r>
                    <w:t>11.3</w:t>
                  </w:r>
                </w:p>
              </w:tc>
              <w:tc>
                <w:tcPr>
                  <w:tcW w:w="833" w:type="pct"/>
                  <w:vAlign w:val="center"/>
                </w:tcPr>
                <w:p>
                  <w:pPr>
                    <w:pStyle w:val="13"/>
                  </w:pPr>
                  <w:r>
                    <w:t>/</w:t>
                  </w:r>
                </w:p>
              </w:tc>
              <w:tc>
                <w:tcPr>
                  <w:tcW w:w="833" w:type="pct"/>
                  <w:vAlign w:val="center"/>
                </w:tcPr>
                <w:p>
                  <w:pPr>
                    <w:pStyle w:val="13"/>
                  </w:pPr>
                  <w:r>
                    <w:t>/</w:t>
                  </w:r>
                </w:p>
              </w:tc>
              <w:tc>
                <w:tcPr>
                  <w:tcW w:w="834" w:type="pct"/>
                  <w:vAlign w:val="center"/>
                </w:tcPr>
                <w:p>
                  <w:pPr>
                    <w:pStyle w:val="13"/>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pH</w:t>
                  </w:r>
                </w:p>
              </w:tc>
              <w:tc>
                <w:tcPr>
                  <w:tcW w:w="860" w:type="pct"/>
                  <w:vAlign w:val="center"/>
                </w:tcPr>
                <w:p>
                  <w:pPr>
                    <w:pStyle w:val="13"/>
                  </w:pPr>
                  <w:r>
                    <w:t>7.7</w:t>
                  </w:r>
                </w:p>
              </w:tc>
              <w:tc>
                <w:tcPr>
                  <w:tcW w:w="833" w:type="pct"/>
                  <w:vAlign w:val="center"/>
                </w:tcPr>
                <w:p>
                  <w:pPr>
                    <w:pStyle w:val="13"/>
                  </w:pPr>
                  <w:r>
                    <w:t>6~9</w:t>
                  </w:r>
                </w:p>
              </w:tc>
              <w:tc>
                <w:tcPr>
                  <w:tcW w:w="833" w:type="pct"/>
                  <w:vAlign w:val="center"/>
                </w:tcPr>
                <w:p>
                  <w:pPr>
                    <w:pStyle w:val="13"/>
                  </w:pPr>
                  <w:r>
                    <w:rPr>
                      <w:rFonts w:hint="eastAsia"/>
                    </w:rPr>
                    <w:t>0</w:t>
                  </w:r>
                  <w:r>
                    <w:t>.35</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DO</w:t>
                  </w:r>
                </w:p>
              </w:tc>
              <w:tc>
                <w:tcPr>
                  <w:tcW w:w="860" w:type="pct"/>
                  <w:vAlign w:val="center"/>
                </w:tcPr>
                <w:p>
                  <w:pPr>
                    <w:pStyle w:val="13"/>
                  </w:pPr>
                  <w:r>
                    <w:t>6.8</w:t>
                  </w:r>
                </w:p>
              </w:tc>
              <w:tc>
                <w:tcPr>
                  <w:tcW w:w="833" w:type="pct"/>
                  <w:vAlign w:val="center"/>
                </w:tcPr>
                <w:p>
                  <w:pPr>
                    <w:pStyle w:val="13"/>
                  </w:pPr>
                  <w:r>
                    <w:t>≥5</w:t>
                  </w:r>
                </w:p>
              </w:tc>
              <w:tc>
                <w:tcPr>
                  <w:tcW w:w="833" w:type="pct"/>
                  <w:vAlign w:val="center"/>
                </w:tcPr>
                <w:p>
                  <w:pPr>
                    <w:pStyle w:val="13"/>
                  </w:pPr>
                  <w:r>
                    <w:rPr>
                      <w:rFonts w:hint="eastAsia"/>
                    </w:rPr>
                    <w:t>0</w:t>
                  </w:r>
                  <w:r>
                    <w:t>.74</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COD</w:t>
                  </w:r>
                </w:p>
              </w:tc>
              <w:tc>
                <w:tcPr>
                  <w:tcW w:w="860" w:type="pct"/>
                  <w:vAlign w:val="center"/>
                </w:tcPr>
                <w:p>
                  <w:pPr>
                    <w:pStyle w:val="13"/>
                  </w:pPr>
                  <w:r>
                    <w:t>13</w:t>
                  </w:r>
                </w:p>
              </w:tc>
              <w:tc>
                <w:tcPr>
                  <w:tcW w:w="833" w:type="pct"/>
                  <w:vAlign w:val="center"/>
                </w:tcPr>
                <w:p>
                  <w:pPr>
                    <w:pStyle w:val="13"/>
                  </w:pPr>
                  <w:r>
                    <w:t>≤20</w:t>
                  </w:r>
                </w:p>
              </w:tc>
              <w:tc>
                <w:tcPr>
                  <w:tcW w:w="833" w:type="pct"/>
                  <w:vAlign w:val="center"/>
                </w:tcPr>
                <w:p>
                  <w:pPr>
                    <w:pStyle w:val="13"/>
                  </w:pPr>
                  <w:r>
                    <w:rPr>
                      <w:rFonts w:hint="eastAsia"/>
                    </w:rPr>
                    <w:t>0</w:t>
                  </w:r>
                  <w:r>
                    <w:t>.65</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BOD</w:t>
                  </w:r>
                  <w:r>
                    <w:rPr>
                      <w:vertAlign w:val="subscript"/>
                    </w:rPr>
                    <w:t>5</w:t>
                  </w:r>
                </w:p>
              </w:tc>
              <w:tc>
                <w:tcPr>
                  <w:tcW w:w="860" w:type="pct"/>
                  <w:vAlign w:val="center"/>
                </w:tcPr>
                <w:p>
                  <w:pPr>
                    <w:pStyle w:val="13"/>
                  </w:pPr>
                  <w:r>
                    <w:t>1.5</w:t>
                  </w:r>
                </w:p>
              </w:tc>
              <w:tc>
                <w:tcPr>
                  <w:tcW w:w="833" w:type="pct"/>
                  <w:vAlign w:val="center"/>
                </w:tcPr>
                <w:p>
                  <w:pPr>
                    <w:pStyle w:val="13"/>
                  </w:pPr>
                  <w:r>
                    <w:t>≤4</w:t>
                  </w:r>
                </w:p>
              </w:tc>
              <w:tc>
                <w:tcPr>
                  <w:tcW w:w="833" w:type="pct"/>
                  <w:vAlign w:val="center"/>
                </w:tcPr>
                <w:p>
                  <w:pPr>
                    <w:pStyle w:val="13"/>
                  </w:pPr>
                  <w:r>
                    <w:rPr>
                      <w:rFonts w:hint="eastAsia"/>
                    </w:rPr>
                    <w:t>0</w:t>
                  </w:r>
                  <w:r>
                    <w:t>.375</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NH</w:t>
                  </w:r>
                  <w:r>
                    <w:rPr>
                      <w:vertAlign w:val="subscript"/>
                    </w:rPr>
                    <w:t>3</w:t>
                  </w:r>
                  <w:r>
                    <w:t>-N</w:t>
                  </w:r>
                </w:p>
              </w:tc>
              <w:tc>
                <w:tcPr>
                  <w:tcW w:w="860" w:type="pct"/>
                  <w:vAlign w:val="center"/>
                </w:tcPr>
                <w:p>
                  <w:pPr>
                    <w:pStyle w:val="13"/>
                  </w:pPr>
                  <w:r>
                    <w:t>0.054</w:t>
                  </w:r>
                </w:p>
              </w:tc>
              <w:tc>
                <w:tcPr>
                  <w:tcW w:w="833" w:type="pct"/>
                  <w:vAlign w:val="center"/>
                </w:tcPr>
                <w:p>
                  <w:pPr>
                    <w:pStyle w:val="13"/>
                  </w:pPr>
                  <w:r>
                    <w:t>≤1.0</w:t>
                  </w:r>
                </w:p>
              </w:tc>
              <w:tc>
                <w:tcPr>
                  <w:tcW w:w="833" w:type="pct"/>
                  <w:vAlign w:val="center"/>
                </w:tcPr>
                <w:p>
                  <w:pPr>
                    <w:pStyle w:val="13"/>
                  </w:pPr>
                  <w:r>
                    <w:rPr>
                      <w:rFonts w:hint="eastAsia"/>
                    </w:rPr>
                    <w:t>0</w:t>
                  </w:r>
                  <w:r>
                    <w:t>.054</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rPr>
                      <w:rFonts w:hint="eastAsia"/>
                    </w:rPr>
                    <w:t>总磷</w:t>
                  </w:r>
                </w:p>
              </w:tc>
              <w:tc>
                <w:tcPr>
                  <w:tcW w:w="860" w:type="pct"/>
                  <w:vAlign w:val="center"/>
                </w:tcPr>
                <w:p>
                  <w:pPr>
                    <w:pStyle w:val="13"/>
                  </w:pPr>
                  <w:r>
                    <w:rPr>
                      <w:rFonts w:hint="eastAsia"/>
                    </w:rPr>
                    <w:t>0</w:t>
                  </w:r>
                  <w:r>
                    <w:t>.03</w:t>
                  </w:r>
                </w:p>
              </w:tc>
              <w:tc>
                <w:tcPr>
                  <w:tcW w:w="833" w:type="pct"/>
                  <w:vAlign w:val="center"/>
                </w:tcPr>
                <w:p>
                  <w:pPr>
                    <w:pStyle w:val="13"/>
                  </w:pPr>
                  <w:r>
                    <w:t>≤0.2</w:t>
                  </w:r>
                </w:p>
              </w:tc>
              <w:tc>
                <w:tcPr>
                  <w:tcW w:w="833" w:type="pct"/>
                  <w:vAlign w:val="center"/>
                </w:tcPr>
                <w:p>
                  <w:pPr>
                    <w:pStyle w:val="13"/>
                  </w:pPr>
                  <w:r>
                    <w:rPr>
                      <w:rFonts w:hint="eastAsia"/>
                    </w:rPr>
                    <w:t>0</w:t>
                  </w:r>
                  <w:r>
                    <w:t>.15</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rPr>
                      <w:rFonts w:hint="eastAsia"/>
                    </w:rPr>
                    <w:t>总氮</w:t>
                  </w:r>
                </w:p>
              </w:tc>
              <w:tc>
                <w:tcPr>
                  <w:tcW w:w="860" w:type="pct"/>
                  <w:vAlign w:val="center"/>
                </w:tcPr>
                <w:p>
                  <w:pPr>
                    <w:pStyle w:val="13"/>
                  </w:pPr>
                  <w:r>
                    <w:t>1.43</w:t>
                  </w:r>
                </w:p>
              </w:tc>
              <w:tc>
                <w:tcPr>
                  <w:tcW w:w="833" w:type="pct"/>
                  <w:vAlign w:val="center"/>
                </w:tcPr>
                <w:p>
                  <w:pPr>
                    <w:pStyle w:val="13"/>
                  </w:pPr>
                  <w:r>
                    <w:t>≤1.0</w:t>
                  </w:r>
                </w:p>
              </w:tc>
              <w:tc>
                <w:tcPr>
                  <w:tcW w:w="833" w:type="pct"/>
                  <w:vAlign w:val="center"/>
                </w:tcPr>
                <w:p>
                  <w:pPr>
                    <w:pStyle w:val="13"/>
                  </w:pPr>
                  <w:r>
                    <w:rPr>
                      <w:rFonts w:hint="eastAsia"/>
                    </w:rPr>
                    <w:t>/</w:t>
                  </w:r>
                </w:p>
              </w:tc>
              <w:tc>
                <w:tcPr>
                  <w:tcW w:w="834"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rPr>
                      <w:rFonts w:hint="eastAsia"/>
                    </w:rPr>
                    <w:t>LAS</w:t>
                  </w:r>
                </w:p>
              </w:tc>
              <w:tc>
                <w:tcPr>
                  <w:tcW w:w="860" w:type="pct"/>
                  <w:vAlign w:val="center"/>
                </w:tcPr>
                <w:p>
                  <w:pPr>
                    <w:pStyle w:val="13"/>
                  </w:pPr>
                  <w:r>
                    <w:rPr>
                      <w:rFonts w:hint="eastAsia"/>
                    </w:rPr>
                    <w:t>0</w:t>
                  </w:r>
                  <w:r>
                    <w:t>.05</w:t>
                  </w:r>
                  <w:r>
                    <w:rPr>
                      <w:rFonts w:hint="eastAsia"/>
                    </w:rPr>
                    <w:t>ND</w:t>
                  </w:r>
                </w:p>
              </w:tc>
              <w:tc>
                <w:tcPr>
                  <w:tcW w:w="833" w:type="pct"/>
                  <w:vAlign w:val="center"/>
                </w:tcPr>
                <w:p>
                  <w:pPr>
                    <w:pStyle w:val="13"/>
                  </w:pPr>
                  <w:r>
                    <w:t>≤0.2</w:t>
                  </w:r>
                </w:p>
              </w:tc>
              <w:tc>
                <w:tcPr>
                  <w:tcW w:w="833" w:type="pct"/>
                  <w:vAlign w:val="center"/>
                </w:tcPr>
                <w:p>
                  <w:pPr>
                    <w:pStyle w:val="13"/>
                  </w:pPr>
                  <w:r>
                    <w:rPr>
                      <w:rFonts w:hint="eastAsia"/>
                    </w:rPr>
                    <w:t>0</w:t>
                  </w:r>
                  <w:r>
                    <w:t>.125</w:t>
                  </w:r>
                </w:p>
              </w:tc>
              <w:tc>
                <w:tcPr>
                  <w:tcW w:w="834" w:type="pct"/>
                  <w:vAlign w:val="center"/>
                </w:tcPr>
                <w:p>
                  <w:pPr>
                    <w:pStyle w:val="13"/>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粪大肠菌群</w:t>
                  </w:r>
                </w:p>
              </w:tc>
              <w:tc>
                <w:tcPr>
                  <w:tcW w:w="860" w:type="pct"/>
                  <w:vAlign w:val="center"/>
                </w:tcPr>
                <w:p>
                  <w:pPr>
                    <w:pStyle w:val="13"/>
                  </w:pPr>
                  <w:r>
                    <w:t>3267</w:t>
                  </w:r>
                </w:p>
              </w:tc>
              <w:tc>
                <w:tcPr>
                  <w:tcW w:w="833" w:type="pct"/>
                  <w:vAlign w:val="center"/>
                </w:tcPr>
                <w:p>
                  <w:pPr>
                    <w:pStyle w:val="13"/>
                  </w:pPr>
                  <w:r>
                    <w:t>≤10000</w:t>
                  </w:r>
                </w:p>
              </w:tc>
              <w:tc>
                <w:tcPr>
                  <w:tcW w:w="833" w:type="pct"/>
                  <w:vAlign w:val="center"/>
                </w:tcPr>
                <w:p>
                  <w:pPr>
                    <w:pStyle w:val="13"/>
                  </w:pPr>
                  <w:r>
                    <w:rPr>
                      <w:rFonts w:hint="eastAsia"/>
                    </w:rPr>
                    <w:t>/</w:t>
                  </w:r>
                </w:p>
              </w:tc>
              <w:tc>
                <w:tcPr>
                  <w:tcW w:w="834"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pPr>
                    <w:pStyle w:val="13"/>
                  </w:pPr>
                  <w:r>
                    <w:rPr>
                      <w:rFonts w:hint="eastAsia"/>
                    </w:rPr>
                    <w:t>湘江湾河断面(</w:t>
                  </w:r>
                  <w:r>
                    <w:t>2022.12.7)</w:t>
                  </w:r>
                </w:p>
              </w:tc>
              <w:tc>
                <w:tcPr>
                  <w:tcW w:w="807" w:type="pct"/>
                  <w:vAlign w:val="center"/>
                </w:tcPr>
                <w:p>
                  <w:pPr>
                    <w:pStyle w:val="13"/>
                  </w:pPr>
                  <w:r>
                    <w:t>水温</w:t>
                  </w:r>
                </w:p>
              </w:tc>
              <w:tc>
                <w:tcPr>
                  <w:tcW w:w="860" w:type="pct"/>
                  <w:vAlign w:val="center"/>
                </w:tcPr>
                <w:p>
                  <w:pPr>
                    <w:pStyle w:val="13"/>
                  </w:pPr>
                  <w:r>
                    <w:rPr>
                      <w:rFonts w:hint="eastAsia"/>
                    </w:rPr>
                    <w:t>1</w:t>
                  </w:r>
                  <w:r>
                    <w:t>3.1</w:t>
                  </w:r>
                </w:p>
              </w:tc>
              <w:tc>
                <w:tcPr>
                  <w:tcW w:w="833" w:type="pct"/>
                  <w:vAlign w:val="center"/>
                </w:tcPr>
                <w:p>
                  <w:pPr>
                    <w:pStyle w:val="13"/>
                  </w:pPr>
                  <w:r>
                    <w:t>/</w:t>
                  </w:r>
                </w:p>
              </w:tc>
              <w:tc>
                <w:tcPr>
                  <w:tcW w:w="833" w:type="pct"/>
                  <w:vAlign w:val="center"/>
                </w:tcPr>
                <w:p>
                  <w:pPr>
                    <w:pStyle w:val="13"/>
                  </w:pPr>
                  <w:r>
                    <w:t>/</w:t>
                  </w:r>
                </w:p>
              </w:tc>
              <w:tc>
                <w:tcPr>
                  <w:tcW w:w="834" w:type="pct"/>
                  <w:vAlign w:val="center"/>
                </w:tcPr>
                <w:p>
                  <w:pPr>
                    <w:pStyle w:val="13"/>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pH</w:t>
                  </w:r>
                </w:p>
              </w:tc>
              <w:tc>
                <w:tcPr>
                  <w:tcW w:w="860" w:type="pct"/>
                  <w:vAlign w:val="center"/>
                </w:tcPr>
                <w:p>
                  <w:pPr>
                    <w:pStyle w:val="13"/>
                  </w:pPr>
                  <w:r>
                    <w:rPr>
                      <w:rFonts w:hint="eastAsia"/>
                    </w:rPr>
                    <w:t>7</w:t>
                  </w:r>
                  <w:r>
                    <w:t>.8</w:t>
                  </w:r>
                </w:p>
              </w:tc>
              <w:tc>
                <w:tcPr>
                  <w:tcW w:w="833" w:type="pct"/>
                  <w:vAlign w:val="center"/>
                </w:tcPr>
                <w:p>
                  <w:pPr>
                    <w:pStyle w:val="13"/>
                  </w:pPr>
                  <w:r>
                    <w:t>6~9</w:t>
                  </w:r>
                </w:p>
              </w:tc>
              <w:tc>
                <w:tcPr>
                  <w:tcW w:w="833" w:type="pct"/>
                  <w:vAlign w:val="center"/>
                </w:tcPr>
                <w:p>
                  <w:pPr>
                    <w:pStyle w:val="13"/>
                  </w:pPr>
                  <w:r>
                    <w:rPr>
                      <w:color w:val="000000"/>
                      <w:szCs w:val="21"/>
                    </w:rPr>
                    <w:t>0.4</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DO</w:t>
                  </w:r>
                </w:p>
              </w:tc>
              <w:tc>
                <w:tcPr>
                  <w:tcW w:w="860" w:type="pct"/>
                  <w:vAlign w:val="center"/>
                </w:tcPr>
                <w:p>
                  <w:pPr>
                    <w:pStyle w:val="13"/>
                  </w:pPr>
                  <w:r>
                    <w:rPr>
                      <w:rFonts w:hint="eastAsia"/>
                    </w:rPr>
                    <w:t>6</w:t>
                  </w:r>
                  <w:r>
                    <w:t>.9</w:t>
                  </w:r>
                </w:p>
              </w:tc>
              <w:tc>
                <w:tcPr>
                  <w:tcW w:w="833" w:type="pct"/>
                  <w:vAlign w:val="center"/>
                </w:tcPr>
                <w:p>
                  <w:pPr>
                    <w:pStyle w:val="13"/>
                  </w:pPr>
                  <w:r>
                    <w:t>≥5</w:t>
                  </w:r>
                </w:p>
              </w:tc>
              <w:tc>
                <w:tcPr>
                  <w:tcW w:w="833" w:type="pct"/>
                  <w:vAlign w:val="center"/>
                </w:tcPr>
                <w:p>
                  <w:pPr>
                    <w:pStyle w:val="13"/>
                  </w:pPr>
                  <w:r>
                    <w:rPr>
                      <w:rFonts w:eastAsia="等线"/>
                      <w:color w:val="000000"/>
                      <w:szCs w:val="21"/>
                    </w:rPr>
                    <w:t>0.73</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COD</w:t>
                  </w:r>
                </w:p>
              </w:tc>
              <w:tc>
                <w:tcPr>
                  <w:tcW w:w="860" w:type="pct"/>
                  <w:vAlign w:val="center"/>
                </w:tcPr>
                <w:p>
                  <w:pPr>
                    <w:pStyle w:val="13"/>
                  </w:pPr>
                  <w:r>
                    <w:rPr>
                      <w:rFonts w:hint="eastAsia"/>
                    </w:rPr>
                    <w:t>1</w:t>
                  </w:r>
                  <w:r>
                    <w:t>4</w:t>
                  </w:r>
                </w:p>
              </w:tc>
              <w:tc>
                <w:tcPr>
                  <w:tcW w:w="833" w:type="pct"/>
                  <w:vAlign w:val="center"/>
                </w:tcPr>
                <w:p>
                  <w:pPr>
                    <w:pStyle w:val="13"/>
                  </w:pPr>
                  <w:r>
                    <w:t>≤20</w:t>
                  </w:r>
                </w:p>
              </w:tc>
              <w:tc>
                <w:tcPr>
                  <w:tcW w:w="833" w:type="pct"/>
                  <w:vAlign w:val="center"/>
                </w:tcPr>
                <w:p>
                  <w:pPr>
                    <w:pStyle w:val="13"/>
                  </w:pPr>
                  <w:r>
                    <w:rPr>
                      <w:rFonts w:eastAsia="等线"/>
                      <w:color w:val="000000"/>
                      <w:szCs w:val="21"/>
                    </w:rPr>
                    <w:t xml:space="preserve">0.7 </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BOD</w:t>
                  </w:r>
                  <w:r>
                    <w:rPr>
                      <w:vertAlign w:val="subscript"/>
                    </w:rPr>
                    <w:t>5</w:t>
                  </w:r>
                </w:p>
              </w:tc>
              <w:tc>
                <w:tcPr>
                  <w:tcW w:w="860" w:type="pct"/>
                  <w:vAlign w:val="center"/>
                </w:tcPr>
                <w:p>
                  <w:pPr>
                    <w:pStyle w:val="13"/>
                  </w:pPr>
                  <w:r>
                    <w:rPr>
                      <w:rFonts w:hint="eastAsia"/>
                    </w:rPr>
                    <w:t>1</w:t>
                  </w:r>
                  <w:r>
                    <w:t>.4</w:t>
                  </w:r>
                </w:p>
              </w:tc>
              <w:tc>
                <w:tcPr>
                  <w:tcW w:w="833" w:type="pct"/>
                  <w:vAlign w:val="center"/>
                </w:tcPr>
                <w:p>
                  <w:pPr>
                    <w:pStyle w:val="13"/>
                  </w:pPr>
                  <w:r>
                    <w:t>≤4</w:t>
                  </w:r>
                </w:p>
              </w:tc>
              <w:tc>
                <w:tcPr>
                  <w:tcW w:w="833" w:type="pct"/>
                  <w:vAlign w:val="center"/>
                </w:tcPr>
                <w:p>
                  <w:pPr>
                    <w:pStyle w:val="13"/>
                  </w:pPr>
                  <w:r>
                    <w:rPr>
                      <w:rFonts w:eastAsia="等线"/>
                      <w:color w:val="000000"/>
                      <w:szCs w:val="21"/>
                    </w:rPr>
                    <w:t>0.35</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NH</w:t>
                  </w:r>
                  <w:r>
                    <w:rPr>
                      <w:vertAlign w:val="subscript"/>
                    </w:rPr>
                    <w:t>3</w:t>
                  </w:r>
                  <w:r>
                    <w:t>-N</w:t>
                  </w:r>
                </w:p>
              </w:tc>
              <w:tc>
                <w:tcPr>
                  <w:tcW w:w="860" w:type="pct"/>
                  <w:vAlign w:val="center"/>
                </w:tcPr>
                <w:p>
                  <w:pPr>
                    <w:pStyle w:val="13"/>
                  </w:pPr>
                  <w:r>
                    <w:rPr>
                      <w:rFonts w:hint="eastAsia"/>
                    </w:rPr>
                    <w:t>0</w:t>
                  </w:r>
                  <w:r>
                    <w:t>.059</w:t>
                  </w:r>
                </w:p>
              </w:tc>
              <w:tc>
                <w:tcPr>
                  <w:tcW w:w="833" w:type="pct"/>
                  <w:vAlign w:val="center"/>
                </w:tcPr>
                <w:p>
                  <w:pPr>
                    <w:pStyle w:val="13"/>
                  </w:pPr>
                  <w:r>
                    <w:t>≤1.0</w:t>
                  </w:r>
                </w:p>
              </w:tc>
              <w:tc>
                <w:tcPr>
                  <w:tcW w:w="833" w:type="pct"/>
                  <w:vAlign w:val="center"/>
                </w:tcPr>
                <w:p>
                  <w:pPr>
                    <w:pStyle w:val="13"/>
                  </w:pPr>
                  <w:r>
                    <w:rPr>
                      <w:rFonts w:eastAsia="等线"/>
                      <w:color w:val="000000"/>
                      <w:szCs w:val="21"/>
                    </w:rPr>
                    <w:t xml:space="preserve">0.059 </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rPr>
                      <w:rFonts w:hint="eastAsia"/>
                    </w:rPr>
                    <w:t>总磷</w:t>
                  </w:r>
                </w:p>
              </w:tc>
              <w:tc>
                <w:tcPr>
                  <w:tcW w:w="860" w:type="pct"/>
                  <w:vAlign w:val="center"/>
                </w:tcPr>
                <w:p>
                  <w:pPr>
                    <w:pStyle w:val="13"/>
                  </w:pPr>
                  <w:r>
                    <w:rPr>
                      <w:rFonts w:hint="eastAsia"/>
                    </w:rPr>
                    <w:t>0</w:t>
                  </w:r>
                  <w:r>
                    <w:t>.04</w:t>
                  </w:r>
                </w:p>
              </w:tc>
              <w:tc>
                <w:tcPr>
                  <w:tcW w:w="833" w:type="pct"/>
                  <w:vAlign w:val="center"/>
                </w:tcPr>
                <w:p>
                  <w:pPr>
                    <w:pStyle w:val="13"/>
                  </w:pPr>
                  <w:r>
                    <w:t>≤0.2</w:t>
                  </w:r>
                </w:p>
              </w:tc>
              <w:tc>
                <w:tcPr>
                  <w:tcW w:w="833" w:type="pct"/>
                  <w:vAlign w:val="center"/>
                </w:tcPr>
                <w:p>
                  <w:pPr>
                    <w:pStyle w:val="13"/>
                  </w:pPr>
                  <w:r>
                    <w:rPr>
                      <w:rFonts w:eastAsia="等线"/>
                      <w:color w:val="000000"/>
                      <w:szCs w:val="21"/>
                    </w:rPr>
                    <w:t xml:space="preserve">0.2 </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rPr>
                      <w:rFonts w:hint="eastAsia"/>
                    </w:rPr>
                    <w:t>总氮</w:t>
                  </w:r>
                </w:p>
              </w:tc>
              <w:tc>
                <w:tcPr>
                  <w:tcW w:w="860" w:type="pct"/>
                  <w:vAlign w:val="center"/>
                </w:tcPr>
                <w:p>
                  <w:pPr>
                    <w:pStyle w:val="13"/>
                  </w:pPr>
                  <w:r>
                    <w:rPr>
                      <w:rFonts w:hint="eastAsia"/>
                    </w:rPr>
                    <w:t>1</w:t>
                  </w:r>
                  <w:r>
                    <w:t>.38</w:t>
                  </w:r>
                </w:p>
              </w:tc>
              <w:tc>
                <w:tcPr>
                  <w:tcW w:w="833" w:type="pct"/>
                  <w:vAlign w:val="center"/>
                </w:tcPr>
                <w:p>
                  <w:pPr>
                    <w:pStyle w:val="13"/>
                  </w:pPr>
                  <w:r>
                    <w:t>≤1.0</w:t>
                  </w:r>
                </w:p>
              </w:tc>
              <w:tc>
                <w:tcPr>
                  <w:tcW w:w="833" w:type="pct"/>
                  <w:vAlign w:val="center"/>
                </w:tcPr>
                <w:p>
                  <w:pPr>
                    <w:pStyle w:val="13"/>
                  </w:pPr>
                  <w:r>
                    <w:rPr>
                      <w:rFonts w:eastAsia="等线"/>
                      <w:color w:val="000000"/>
                      <w:szCs w:val="21"/>
                    </w:rPr>
                    <w:t>/</w:t>
                  </w:r>
                </w:p>
              </w:tc>
              <w:tc>
                <w:tcPr>
                  <w:tcW w:w="834"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rPr>
                      <w:rFonts w:hint="eastAsia"/>
                    </w:rPr>
                    <w:t>LAS</w:t>
                  </w:r>
                </w:p>
              </w:tc>
              <w:tc>
                <w:tcPr>
                  <w:tcW w:w="860" w:type="pct"/>
                  <w:vAlign w:val="center"/>
                </w:tcPr>
                <w:p>
                  <w:pPr>
                    <w:pStyle w:val="13"/>
                  </w:pPr>
                  <w:r>
                    <w:rPr>
                      <w:rFonts w:hint="eastAsia"/>
                    </w:rPr>
                    <w:t>0</w:t>
                  </w:r>
                  <w:r>
                    <w:t>.05</w:t>
                  </w:r>
                  <w:r>
                    <w:rPr>
                      <w:rFonts w:hint="eastAsia"/>
                    </w:rPr>
                    <w:t>ND</w:t>
                  </w:r>
                </w:p>
              </w:tc>
              <w:tc>
                <w:tcPr>
                  <w:tcW w:w="833" w:type="pct"/>
                  <w:vAlign w:val="center"/>
                </w:tcPr>
                <w:p>
                  <w:pPr>
                    <w:pStyle w:val="13"/>
                  </w:pPr>
                  <w:r>
                    <w:t>≤0.2</w:t>
                  </w:r>
                </w:p>
              </w:tc>
              <w:tc>
                <w:tcPr>
                  <w:tcW w:w="833" w:type="pct"/>
                  <w:vAlign w:val="center"/>
                </w:tcPr>
                <w:p>
                  <w:pPr>
                    <w:pStyle w:val="13"/>
                  </w:pPr>
                  <w:r>
                    <w:rPr>
                      <w:rFonts w:eastAsia="等线"/>
                      <w:color w:val="000000"/>
                      <w:szCs w:val="21"/>
                    </w:rPr>
                    <w:t xml:space="preserve">0.125 </w:t>
                  </w:r>
                </w:p>
              </w:tc>
              <w:tc>
                <w:tcPr>
                  <w:tcW w:w="834" w:type="pct"/>
                  <w:vAlign w:val="center"/>
                </w:tcPr>
                <w:p>
                  <w:pPr>
                    <w:pStyle w:val="13"/>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粪大肠菌群</w:t>
                  </w:r>
                </w:p>
              </w:tc>
              <w:tc>
                <w:tcPr>
                  <w:tcW w:w="860" w:type="pct"/>
                  <w:vAlign w:val="center"/>
                </w:tcPr>
                <w:p>
                  <w:pPr>
                    <w:pStyle w:val="13"/>
                  </w:pPr>
                  <w:r>
                    <w:rPr>
                      <w:rFonts w:hint="eastAsia"/>
                    </w:rPr>
                    <w:t>2</w:t>
                  </w:r>
                  <w:r>
                    <w:t>833</w:t>
                  </w:r>
                </w:p>
              </w:tc>
              <w:tc>
                <w:tcPr>
                  <w:tcW w:w="833" w:type="pct"/>
                  <w:vAlign w:val="center"/>
                </w:tcPr>
                <w:p>
                  <w:pPr>
                    <w:pStyle w:val="13"/>
                  </w:pPr>
                  <w:r>
                    <w:t>≤10000</w:t>
                  </w:r>
                </w:p>
              </w:tc>
              <w:tc>
                <w:tcPr>
                  <w:tcW w:w="833" w:type="pct"/>
                  <w:vAlign w:val="center"/>
                </w:tcPr>
                <w:p>
                  <w:pPr>
                    <w:pStyle w:val="13"/>
                  </w:pPr>
                  <w:r>
                    <w:rPr>
                      <w:rFonts w:eastAsia="等线"/>
                      <w:color w:val="000000"/>
                      <w:szCs w:val="21"/>
                    </w:rPr>
                    <w:t>/</w:t>
                  </w:r>
                </w:p>
              </w:tc>
              <w:tc>
                <w:tcPr>
                  <w:tcW w:w="834"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pPr>
                    <w:pStyle w:val="13"/>
                  </w:pPr>
                  <w:r>
                    <w:rPr>
                      <w:rFonts w:hint="eastAsia"/>
                    </w:rPr>
                    <w:t>洋沙湖湖心(</w:t>
                  </w:r>
                  <w:r>
                    <w:t>202</w:t>
                  </w:r>
                  <w:r>
                    <w:rPr>
                      <w:rFonts w:hint="eastAsia"/>
                    </w:rPr>
                    <w:t>2</w:t>
                  </w:r>
                  <w:r>
                    <w:t>.</w:t>
                  </w:r>
                  <w:r>
                    <w:rPr>
                      <w:rFonts w:hint="eastAsia"/>
                    </w:rPr>
                    <w:t>11.07-11.09</w:t>
                  </w:r>
                  <w:r>
                    <w:t>)</w:t>
                  </w:r>
                </w:p>
              </w:tc>
              <w:tc>
                <w:tcPr>
                  <w:tcW w:w="807" w:type="pct"/>
                  <w:vAlign w:val="center"/>
                </w:tcPr>
                <w:p>
                  <w:pPr>
                    <w:pStyle w:val="13"/>
                  </w:pPr>
                  <w:r>
                    <w:t>pH</w:t>
                  </w:r>
                </w:p>
              </w:tc>
              <w:tc>
                <w:tcPr>
                  <w:tcW w:w="860" w:type="pct"/>
                  <w:vAlign w:val="center"/>
                </w:tcPr>
                <w:p>
                  <w:pPr>
                    <w:pStyle w:val="13"/>
                  </w:pPr>
                  <w:r>
                    <w:rPr>
                      <w:rFonts w:hint="eastAsia"/>
                    </w:rPr>
                    <w:t>7.1-7.4</w:t>
                  </w:r>
                </w:p>
              </w:tc>
              <w:tc>
                <w:tcPr>
                  <w:tcW w:w="833" w:type="pct"/>
                  <w:vAlign w:val="center"/>
                </w:tcPr>
                <w:p>
                  <w:pPr>
                    <w:pStyle w:val="13"/>
                  </w:pPr>
                  <w:r>
                    <w:t>6~9</w:t>
                  </w:r>
                </w:p>
              </w:tc>
              <w:tc>
                <w:tcPr>
                  <w:tcW w:w="833" w:type="pct"/>
                  <w:vAlign w:val="center"/>
                </w:tcPr>
                <w:p>
                  <w:pPr>
                    <w:pStyle w:val="13"/>
                  </w:pPr>
                  <w:r>
                    <w:rPr>
                      <w:rFonts w:eastAsia="等线"/>
                      <w:color w:val="000000"/>
                      <w:szCs w:val="21"/>
                    </w:rPr>
                    <w:t>0.</w:t>
                  </w:r>
                  <w:r>
                    <w:rPr>
                      <w:rFonts w:hint="eastAsia" w:eastAsia="等线"/>
                      <w:color w:val="000000"/>
                      <w:szCs w:val="21"/>
                    </w:rPr>
                    <w:t>0</w:t>
                  </w:r>
                  <w:r>
                    <w:rPr>
                      <w:rFonts w:eastAsia="等线"/>
                      <w:color w:val="000000"/>
                      <w:szCs w:val="21"/>
                    </w:rPr>
                    <w:t>5</w:t>
                  </w:r>
                  <w:r>
                    <w:rPr>
                      <w:rFonts w:hint="eastAsia" w:eastAsia="等线"/>
                      <w:color w:val="000000"/>
                      <w:szCs w:val="21"/>
                    </w:rPr>
                    <w:t>-0.2</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COD</w:t>
                  </w:r>
                </w:p>
              </w:tc>
              <w:tc>
                <w:tcPr>
                  <w:tcW w:w="860" w:type="pct"/>
                  <w:vAlign w:val="center"/>
                </w:tcPr>
                <w:p>
                  <w:pPr>
                    <w:pStyle w:val="13"/>
                  </w:pPr>
                  <w:r>
                    <w:rPr>
                      <w:rFonts w:hint="eastAsia"/>
                    </w:rPr>
                    <w:t>10-12</w:t>
                  </w:r>
                </w:p>
              </w:tc>
              <w:tc>
                <w:tcPr>
                  <w:tcW w:w="833" w:type="pct"/>
                  <w:vAlign w:val="center"/>
                </w:tcPr>
                <w:p>
                  <w:pPr>
                    <w:pStyle w:val="13"/>
                  </w:pPr>
                  <w:r>
                    <w:t>≤20</w:t>
                  </w:r>
                </w:p>
              </w:tc>
              <w:tc>
                <w:tcPr>
                  <w:tcW w:w="833" w:type="pct"/>
                  <w:vAlign w:val="center"/>
                </w:tcPr>
                <w:p>
                  <w:pPr>
                    <w:pStyle w:val="13"/>
                  </w:pPr>
                  <w:r>
                    <w:rPr>
                      <w:rFonts w:hint="eastAsia"/>
                    </w:rPr>
                    <w:t>0.5-0.6</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BOD</w:t>
                  </w:r>
                  <w:r>
                    <w:rPr>
                      <w:vertAlign w:val="subscript"/>
                    </w:rPr>
                    <w:t>5</w:t>
                  </w:r>
                </w:p>
              </w:tc>
              <w:tc>
                <w:tcPr>
                  <w:tcW w:w="860" w:type="pct"/>
                  <w:vAlign w:val="center"/>
                </w:tcPr>
                <w:p>
                  <w:pPr>
                    <w:pStyle w:val="13"/>
                  </w:pPr>
                  <w:r>
                    <w:rPr>
                      <w:rFonts w:hint="eastAsia"/>
                    </w:rPr>
                    <w:t>2.3-3.1</w:t>
                  </w:r>
                </w:p>
              </w:tc>
              <w:tc>
                <w:tcPr>
                  <w:tcW w:w="833" w:type="pct"/>
                  <w:vAlign w:val="center"/>
                </w:tcPr>
                <w:p>
                  <w:pPr>
                    <w:pStyle w:val="13"/>
                  </w:pPr>
                  <w:r>
                    <w:t>≤4</w:t>
                  </w:r>
                </w:p>
              </w:tc>
              <w:tc>
                <w:tcPr>
                  <w:tcW w:w="833" w:type="pct"/>
                  <w:vAlign w:val="center"/>
                </w:tcPr>
                <w:p>
                  <w:pPr>
                    <w:pStyle w:val="13"/>
                  </w:pPr>
                  <w:r>
                    <w:rPr>
                      <w:rFonts w:hint="eastAsia"/>
                    </w:rPr>
                    <w:t>0.575-0.775</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NH</w:t>
                  </w:r>
                  <w:r>
                    <w:rPr>
                      <w:vertAlign w:val="subscript"/>
                    </w:rPr>
                    <w:t>3</w:t>
                  </w:r>
                  <w:r>
                    <w:t>-N</w:t>
                  </w:r>
                </w:p>
              </w:tc>
              <w:tc>
                <w:tcPr>
                  <w:tcW w:w="860" w:type="pct"/>
                  <w:vAlign w:val="center"/>
                </w:tcPr>
                <w:p>
                  <w:pPr>
                    <w:pStyle w:val="13"/>
                  </w:pPr>
                  <w:r>
                    <w:rPr>
                      <w:rFonts w:hint="eastAsia"/>
                    </w:rPr>
                    <w:t>0.236-0.258</w:t>
                  </w:r>
                </w:p>
              </w:tc>
              <w:tc>
                <w:tcPr>
                  <w:tcW w:w="833" w:type="pct"/>
                  <w:vAlign w:val="center"/>
                </w:tcPr>
                <w:p>
                  <w:pPr>
                    <w:pStyle w:val="13"/>
                  </w:pPr>
                  <w:r>
                    <w:t>≤1.0</w:t>
                  </w:r>
                </w:p>
              </w:tc>
              <w:tc>
                <w:tcPr>
                  <w:tcW w:w="833" w:type="pct"/>
                  <w:vAlign w:val="center"/>
                </w:tcPr>
                <w:p>
                  <w:pPr>
                    <w:pStyle w:val="13"/>
                  </w:pPr>
                  <w:r>
                    <w:rPr>
                      <w:rFonts w:hint="eastAsia"/>
                    </w:rPr>
                    <w:t>0.236-0.258</w:t>
                  </w:r>
                </w:p>
              </w:tc>
              <w:tc>
                <w:tcPr>
                  <w:tcW w:w="834" w:type="pct"/>
                  <w:vAlign w:val="center"/>
                </w:tcPr>
                <w:p>
                  <w:pPr>
                    <w:pStyle w:val="13"/>
                  </w:pPr>
                  <w: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rPr>
                      <w:rFonts w:hint="eastAsia"/>
                    </w:rPr>
                    <w:t>S</w:t>
                  </w:r>
                  <w:r>
                    <w:t>S</w:t>
                  </w:r>
                </w:p>
              </w:tc>
              <w:tc>
                <w:tcPr>
                  <w:tcW w:w="860" w:type="pct"/>
                  <w:vAlign w:val="center"/>
                </w:tcPr>
                <w:p>
                  <w:pPr>
                    <w:pStyle w:val="13"/>
                  </w:pPr>
                  <w:r>
                    <w:rPr>
                      <w:rFonts w:hint="eastAsia"/>
                    </w:rPr>
                    <w:t>15-18</w:t>
                  </w:r>
                </w:p>
              </w:tc>
              <w:tc>
                <w:tcPr>
                  <w:tcW w:w="833" w:type="pct"/>
                  <w:vAlign w:val="center"/>
                </w:tcPr>
                <w:p>
                  <w:pPr>
                    <w:pStyle w:val="13"/>
                  </w:pPr>
                  <w:r>
                    <w:rPr>
                      <w:rFonts w:hint="eastAsia"/>
                    </w:rPr>
                    <w:t>/</w:t>
                  </w:r>
                </w:p>
              </w:tc>
              <w:tc>
                <w:tcPr>
                  <w:tcW w:w="833" w:type="pct"/>
                  <w:vAlign w:val="center"/>
                </w:tcPr>
                <w:p>
                  <w:pPr>
                    <w:pStyle w:val="13"/>
                  </w:pPr>
                  <w:r>
                    <w:rPr>
                      <w:rFonts w:hint="eastAsia"/>
                    </w:rPr>
                    <w:t>/</w:t>
                  </w:r>
                </w:p>
              </w:tc>
              <w:tc>
                <w:tcPr>
                  <w:tcW w:w="834"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rPr>
                      <w:rFonts w:hint="eastAsia"/>
                    </w:rPr>
                    <w:t>总氮</w:t>
                  </w:r>
                </w:p>
              </w:tc>
              <w:tc>
                <w:tcPr>
                  <w:tcW w:w="860" w:type="pct"/>
                  <w:vAlign w:val="center"/>
                </w:tcPr>
                <w:p>
                  <w:pPr>
                    <w:pStyle w:val="13"/>
                  </w:pPr>
                  <w:r>
                    <w:rPr>
                      <w:rFonts w:hint="eastAsia"/>
                    </w:rPr>
                    <w:t>0.78-0.82</w:t>
                  </w:r>
                </w:p>
              </w:tc>
              <w:tc>
                <w:tcPr>
                  <w:tcW w:w="833" w:type="pct"/>
                  <w:vAlign w:val="center"/>
                </w:tcPr>
                <w:p>
                  <w:pPr>
                    <w:pStyle w:val="13"/>
                  </w:pPr>
                  <w:r>
                    <w:t>≤1.0</w:t>
                  </w:r>
                </w:p>
              </w:tc>
              <w:tc>
                <w:tcPr>
                  <w:tcW w:w="833" w:type="pct"/>
                  <w:vAlign w:val="center"/>
                </w:tcPr>
                <w:p>
                  <w:pPr>
                    <w:pStyle w:val="13"/>
                  </w:pPr>
                  <w:r>
                    <w:rPr>
                      <w:rFonts w:hint="eastAsia"/>
                    </w:rPr>
                    <w:t>0.78-0.82</w:t>
                  </w:r>
                </w:p>
              </w:tc>
              <w:tc>
                <w:tcPr>
                  <w:tcW w:w="834" w:type="pct"/>
                  <w:vAlign w:val="center"/>
                </w:tcPr>
                <w:p>
                  <w:pPr>
                    <w:pStyle w:val="13"/>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rPr>
                      <w:b/>
                    </w:rPr>
                  </w:pPr>
                  <w:r>
                    <w:rPr>
                      <w:rFonts w:hint="eastAsia"/>
                    </w:rPr>
                    <w:t>LAS</w:t>
                  </w:r>
                </w:p>
              </w:tc>
              <w:tc>
                <w:tcPr>
                  <w:tcW w:w="860" w:type="pct"/>
                  <w:vAlign w:val="center"/>
                </w:tcPr>
                <w:p>
                  <w:pPr>
                    <w:pStyle w:val="13"/>
                    <w:rPr>
                      <w:b/>
                    </w:rPr>
                  </w:pPr>
                  <w:r>
                    <w:rPr>
                      <w:rFonts w:hint="eastAsia"/>
                    </w:rPr>
                    <w:t>0</w:t>
                  </w:r>
                  <w:r>
                    <w:t>.05</w:t>
                  </w:r>
                  <w:r>
                    <w:rPr>
                      <w:rFonts w:hint="eastAsia"/>
                    </w:rPr>
                    <w:t>ND</w:t>
                  </w:r>
                </w:p>
              </w:tc>
              <w:tc>
                <w:tcPr>
                  <w:tcW w:w="833" w:type="pct"/>
                  <w:vAlign w:val="center"/>
                </w:tcPr>
                <w:p>
                  <w:pPr>
                    <w:pStyle w:val="13"/>
                    <w:rPr>
                      <w:b/>
                    </w:rPr>
                  </w:pPr>
                  <w:r>
                    <w:t>≤0.2</w:t>
                  </w:r>
                </w:p>
              </w:tc>
              <w:tc>
                <w:tcPr>
                  <w:tcW w:w="833" w:type="pct"/>
                  <w:vAlign w:val="center"/>
                </w:tcPr>
                <w:p>
                  <w:pPr>
                    <w:pStyle w:val="13"/>
                  </w:pPr>
                  <w:r>
                    <w:rPr>
                      <w:rFonts w:hint="eastAsia"/>
                    </w:rPr>
                    <w:t>0.125</w:t>
                  </w:r>
                </w:p>
              </w:tc>
              <w:tc>
                <w:tcPr>
                  <w:tcW w:w="834" w:type="pct"/>
                  <w:vAlign w:val="center"/>
                </w:tcPr>
                <w:p>
                  <w:pPr>
                    <w:pStyle w:val="13"/>
                    <w:rPr>
                      <w:b/>
                    </w:rPr>
                  </w:pPr>
                  <w:r>
                    <w:rPr>
                      <w:rFonts w:hint="eastAsia"/>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pPr>
                    <w:pStyle w:val="13"/>
                  </w:pPr>
                </w:p>
              </w:tc>
              <w:tc>
                <w:tcPr>
                  <w:tcW w:w="807" w:type="pct"/>
                  <w:vAlign w:val="center"/>
                </w:tcPr>
                <w:p>
                  <w:pPr>
                    <w:pStyle w:val="13"/>
                  </w:pPr>
                  <w:r>
                    <w:t>粪大肠菌群</w:t>
                  </w:r>
                </w:p>
              </w:tc>
              <w:tc>
                <w:tcPr>
                  <w:tcW w:w="860" w:type="pct"/>
                  <w:vAlign w:val="center"/>
                </w:tcPr>
                <w:p>
                  <w:pPr>
                    <w:pStyle w:val="13"/>
                  </w:pPr>
                  <w:r>
                    <w:rPr>
                      <w:rFonts w:hint="eastAsia"/>
                    </w:rPr>
                    <w:t>1300-1700</w:t>
                  </w:r>
                </w:p>
              </w:tc>
              <w:tc>
                <w:tcPr>
                  <w:tcW w:w="833" w:type="pct"/>
                  <w:vAlign w:val="center"/>
                </w:tcPr>
                <w:p>
                  <w:pPr>
                    <w:pStyle w:val="13"/>
                  </w:pPr>
                  <w:r>
                    <w:t>≤10000</w:t>
                  </w:r>
                </w:p>
              </w:tc>
              <w:tc>
                <w:tcPr>
                  <w:tcW w:w="833" w:type="pct"/>
                  <w:vAlign w:val="center"/>
                </w:tcPr>
                <w:p>
                  <w:pPr>
                    <w:pStyle w:val="13"/>
                  </w:pPr>
                  <w:r>
                    <w:rPr>
                      <w:rFonts w:eastAsia="等线"/>
                      <w:color w:val="000000"/>
                      <w:szCs w:val="21"/>
                    </w:rPr>
                    <w:t>/</w:t>
                  </w:r>
                </w:p>
              </w:tc>
              <w:tc>
                <w:tcPr>
                  <w:tcW w:w="834" w:type="pct"/>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vAlign w:val="center"/>
                </w:tcPr>
                <w:p>
                  <w:pPr>
                    <w:pStyle w:val="13"/>
                    <w:jc w:val="left"/>
                    <w:rPr>
                      <w:szCs w:val="21"/>
                    </w:rPr>
                  </w:pPr>
                  <w:r>
                    <w:rPr>
                      <w:rFonts w:hint="eastAsia"/>
                    </w:rPr>
                    <w:t>备注：</w:t>
                  </w:r>
                  <w:r>
                    <w:rPr>
                      <w:rFonts w:hint="eastAsia"/>
                      <w:szCs w:val="21"/>
                    </w:rPr>
                    <w:t>1、根据《地表水环境质量监测数据统计技术规定（试行）》当监测数据低于检出限时，以1</w:t>
                  </w:r>
                  <w:r>
                    <w:rPr>
                      <w:szCs w:val="21"/>
                    </w:rPr>
                    <w:t>/2</w:t>
                  </w:r>
                  <w:r>
                    <w:rPr>
                      <w:rFonts w:hint="eastAsia"/>
                      <w:szCs w:val="21"/>
                    </w:rPr>
                    <w:t>检出限值参与计算和统计。</w:t>
                  </w:r>
                </w:p>
                <w:p>
                  <w:pPr>
                    <w:spacing w:line="240" w:lineRule="auto"/>
                    <w:ind w:firstLine="630" w:firstLineChars="300"/>
                  </w:pPr>
                  <w:r>
                    <w:rPr>
                      <w:rFonts w:hint="eastAsia"/>
                      <w:sz w:val="21"/>
                      <w:szCs w:val="21"/>
                    </w:rPr>
                    <w:t>2、根据《地表水环境质量评价办法（试行）》，湘江乌龙嘴断面及湾河断面可不对水温、总氮、粪大肠菌群进行评价、洋沙湖湖心可不对粪大肠菌群进行评价。</w:t>
                  </w:r>
                </w:p>
              </w:tc>
            </w:tr>
          </w:tbl>
          <w:p>
            <w:pPr>
              <w:spacing w:line="360" w:lineRule="auto"/>
              <w:ind w:firstLine="480"/>
            </w:pPr>
            <w:r>
              <w:rPr>
                <w:rFonts w:hint="eastAsia"/>
              </w:rPr>
              <w:t>根据上表检测结果，监测断面各监测因子均满足《地表水环境质量标准》（GB3838-2002）</w:t>
            </w:r>
            <w:r>
              <w:t>Ⅲ</w:t>
            </w:r>
            <w:r>
              <w:rPr>
                <w:rFonts w:hint="eastAsia"/>
              </w:rPr>
              <w:t>类水质标准，周边水环境质量良好。</w:t>
            </w:r>
          </w:p>
          <w:p>
            <w:pPr>
              <w:spacing w:line="360" w:lineRule="auto"/>
              <w:ind w:firstLine="0" w:firstLineChars="0"/>
              <w:rPr>
                <w:b/>
                <w:sz w:val="28"/>
              </w:rPr>
            </w:pPr>
            <w:r>
              <w:rPr>
                <w:rFonts w:hint="eastAsia"/>
                <w:b/>
                <w:sz w:val="28"/>
              </w:rPr>
              <w:t>4、声环境质量现状</w:t>
            </w:r>
          </w:p>
          <w:p>
            <w:pPr>
              <w:spacing w:line="360" w:lineRule="auto"/>
              <w:ind w:firstLine="480"/>
            </w:pPr>
            <w:r>
              <w:rPr>
                <w:rFonts w:hint="eastAsia"/>
              </w:rPr>
              <w:t>本项目位于岳阳市湘阴县共荣村、龙潭寺村，项目组成包括采矿区、工业场区、新建村道等，根据现场踏勘，项目占地范围外5</w:t>
            </w:r>
            <w:r>
              <w:t>0m</w:t>
            </w:r>
            <w:r>
              <w:rPr>
                <w:rFonts w:hint="eastAsia"/>
              </w:rPr>
              <w:t>内存在居民点，特委托湖南乾诚检测有限公司于2</w:t>
            </w:r>
            <w:r>
              <w:t>023</w:t>
            </w:r>
            <w:r>
              <w:rPr>
                <w:rFonts w:hint="eastAsia"/>
              </w:rPr>
              <w:t>年</w:t>
            </w:r>
            <w:r>
              <w:t>0</w:t>
            </w:r>
            <w:r>
              <w:rPr>
                <w:rFonts w:hint="eastAsia"/>
              </w:rPr>
              <w:t>3月07日对周边居民点进行了声环境质量现状监测，监测点位如下表。</w:t>
            </w:r>
          </w:p>
          <w:p>
            <w:pPr>
              <w:pStyle w:val="2"/>
              <w:spacing w:line="360" w:lineRule="auto"/>
              <w:rPr>
                <w:b w:val="0"/>
              </w:rPr>
            </w:pPr>
            <w:r>
              <w:rPr>
                <w:rFonts w:hint="eastAsia"/>
                <w:b w:val="0"/>
              </w:rPr>
              <w:t>表3</w:t>
            </w:r>
            <w:r>
              <w:rPr>
                <w:b w:val="0"/>
              </w:rPr>
              <w:t xml:space="preserve">-5 </w:t>
            </w:r>
            <w:r>
              <w:rPr>
                <w:rFonts w:hint="eastAsia"/>
                <w:b w:val="0"/>
              </w:rPr>
              <w:t>声环境质量现状监测点位信息一览表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208"/>
              <w:gridCol w:w="1965"/>
              <w:gridCol w:w="302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shd w:val="clear" w:color="auto" w:fill="auto"/>
                  <w:vAlign w:val="center"/>
                </w:tcPr>
                <w:p>
                  <w:pPr>
                    <w:pStyle w:val="13"/>
                  </w:pPr>
                  <w:r>
                    <w:t>序号</w:t>
                  </w:r>
                </w:p>
              </w:tc>
              <w:tc>
                <w:tcPr>
                  <w:tcW w:w="747" w:type="pct"/>
                  <w:shd w:val="clear" w:color="auto" w:fill="auto"/>
                  <w:vAlign w:val="center"/>
                </w:tcPr>
                <w:p>
                  <w:pPr>
                    <w:pStyle w:val="13"/>
                  </w:pPr>
                  <w:r>
                    <w:t>监测</w:t>
                  </w:r>
                  <w:r>
                    <w:rPr>
                      <w:rFonts w:hint="eastAsia"/>
                    </w:rPr>
                    <w:t>项目</w:t>
                  </w:r>
                </w:p>
              </w:tc>
              <w:tc>
                <w:tcPr>
                  <w:tcW w:w="1215" w:type="pct"/>
                  <w:shd w:val="clear" w:color="auto" w:fill="auto"/>
                  <w:vAlign w:val="center"/>
                </w:tcPr>
                <w:p>
                  <w:pPr>
                    <w:pStyle w:val="13"/>
                  </w:pPr>
                  <w:r>
                    <w:t>监测点位</w:t>
                  </w:r>
                </w:p>
              </w:tc>
              <w:tc>
                <w:tcPr>
                  <w:tcW w:w="1871" w:type="pct"/>
                  <w:vAlign w:val="center"/>
                </w:tcPr>
                <w:p>
                  <w:pPr>
                    <w:pStyle w:val="13"/>
                  </w:pPr>
                  <w:r>
                    <w:rPr>
                      <w:rFonts w:hint="eastAsia"/>
                    </w:rPr>
                    <w:t>点位坐标</w:t>
                  </w:r>
                </w:p>
              </w:tc>
              <w:tc>
                <w:tcPr>
                  <w:tcW w:w="678" w:type="pct"/>
                  <w:shd w:val="clear" w:color="auto" w:fill="auto"/>
                  <w:vAlign w:val="center"/>
                </w:tcPr>
                <w:p>
                  <w:pPr>
                    <w:pStyle w:val="13"/>
                  </w:pPr>
                  <w: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shd w:val="clear" w:color="auto" w:fill="auto"/>
                  <w:vAlign w:val="center"/>
                </w:tcPr>
                <w:p>
                  <w:pPr>
                    <w:pStyle w:val="13"/>
                  </w:pPr>
                  <w:r>
                    <w:t>N1</w:t>
                  </w:r>
                </w:p>
              </w:tc>
              <w:tc>
                <w:tcPr>
                  <w:tcW w:w="747" w:type="pct"/>
                  <w:vMerge w:val="restart"/>
                  <w:shd w:val="clear" w:color="auto" w:fill="auto"/>
                  <w:vAlign w:val="center"/>
                </w:tcPr>
                <w:p>
                  <w:pPr>
                    <w:pStyle w:val="13"/>
                  </w:pPr>
                  <w:r>
                    <w:rPr>
                      <w:rFonts w:hint="eastAsia"/>
                    </w:rPr>
                    <w:t>等效A声级</w:t>
                  </w:r>
                </w:p>
              </w:tc>
              <w:tc>
                <w:tcPr>
                  <w:tcW w:w="1215" w:type="pct"/>
                  <w:shd w:val="clear" w:color="auto" w:fill="auto"/>
                  <w:vAlign w:val="center"/>
                </w:tcPr>
                <w:p>
                  <w:pPr>
                    <w:pStyle w:val="13"/>
                  </w:pPr>
                  <w:r>
                    <w:rPr>
                      <w:rFonts w:hint="eastAsia"/>
                      <w:szCs w:val="21"/>
                    </w:rPr>
                    <w:t>中大屋居民点1</w:t>
                  </w:r>
                  <w:r>
                    <w:rPr>
                      <w:szCs w:val="21"/>
                    </w:rPr>
                    <w:t>#</w:t>
                  </w:r>
                </w:p>
              </w:tc>
              <w:tc>
                <w:tcPr>
                  <w:tcW w:w="1871" w:type="pct"/>
                  <w:vAlign w:val="center"/>
                </w:tcPr>
                <w:p>
                  <w:pPr>
                    <w:pStyle w:val="13"/>
                  </w:pPr>
                  <w:r>
                    <w:rPr>
                      <w:szCs w:val="21"/>
                    </w:rPr>
                    <w:t>112.883427°E</w:t>
                  </w:r>
                  <w:r>
                    <w:rPr>
                      <w:rFonts w:hint="eastAsia"/>
                      <w:szCs w:val="21"/>
                    </w:rPr>
                    <w:t>，</w:t>
                  </w:r>
                  <w:r>
                    <w:rPr>
                      <w:szCs w:val="21"/>
                    </w:rPr>
                    <w:t>28.589058°N</w:t>
                  </w:r>
                </w:p>
              </w:tc>
              <w:tc>
                <w:tcPr>
                  <w:tcW w:w="678" w:type="pct"/>
                  <w:vMerge w:val="restart"/>
                  <w:shd w:val="clear" w:color="auto" w:fill="auto"/>
                  <w:vAlign w:val="center"/>
                </w:tcPr>
                <w:p>
                  <w:pPr>
                    <w:pStyle w:val="13"/>
                  </w:pPr>
                  <w:r>
                    <w:rPr>
                      <w:rFonts w:hint="eastAsia"/>
                    </w:rPr>
                    <w:t>昼夜各监测1次，连续监测</w:t>
                  </w:r>
                  <w:r>
                    <w:t>1</w:t>
                  </w:r>
                  <w:r>
                    <w:rPr>
                      <w:rFonts w:hint="eastAsia"/>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shd w:val="clear" w:color="auto" w:fill="auto"/>
                  <w:vAlign w:val="center"/>
                </w:tcPr>
                <w:p>
                  <w:pPr>
                    <w:pStyle w:val="13"/>
                  </w:pPr>
                  <w:r>
                    <w:t>N2</w:t>
                  </w:r>
                </w:p>
              </w:tc>
              <w:tc>
                <w:tcPr>
                  <w:tcW w:w="747" w:type="pct"/>
                  <w:vMerge w:val="continue"/>
                  <w:shd w:val="clear" w:color="auto" w:fill="auto"/>
                  <w:vAlign w:val="center"/>
                </w:tcPr>
                <w:p>
                  <w:pPr>
                    <w:pStyle w:val="13"/>
                  </w:pPr>
                </w:p>
              </w:tc>
              <w:tc>
                <w:tcPr>
                  <w:tcW w:w="1215" w:type="pct"/>
                  <w:shd w:val="clear" w:color="auto" w:fill="auto"/>
                  <w:vAlign w:val="center"/>
                </w:tcPr>
                <w:p>
                  <w:pPr>
                    <w:pStyle w:val="13"/>
                  </w:pPr>
                  <w:r>
                    <w:rPr>
                      <w:rFonts w:hint="eastAsia"/>
                      <w:szCs w:val="21"/>
                    </w:rPr>
                    <w:t>上大屋居民点</w:t>
                  </w:r>
                  <w:r>
                    <w:rPr>
                      <w:szCs w:val="21"/>
                    </w:rPr>
                    <w:t>2#</w:t>
                  </w:r>
                </w:p>
              </w:tc>
              <w:tc>
                <w:tcPr>
                  <w:tcW w:w="1871" w:type="pct"/>
                  <w:vAlign w:val="center"/>
                </w:tcPr>
                <w:p>
                  <w:pPr>
                    <w:pStyle w:val="13"/>
                  </w:pPr>
                  <w:r>
                    <w:rPr>
                      <w:szCs w:val="21"/>
                    </w:rPr>
                    <w:t>112.884500°E</w:t>
                  </w:r>
                  <w:r>
                    <w:rPr>
                      <w:rFonts w:hint="eastAsia"/>
                      <w:szCs w:val="21"/>
                    </w:rPr>
                    <w:t>，</w:t>
                  </w:r>
                  <w:r>
                    <w:rPr>
                      <w:szCs w:val="21"/>
                    </w:rPr>
                    <w:t>28.585238°N</w:t>
                  </w:r>
                </w:p>
              </w:tc>
              <w:tc>
                <w:tcPr>
                  <w:tcW w:w="678" w:type="pct"/>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shd w:val="clear" w:color="auto" w:fill="auto"/>
                  <w:vAlign w:val="center"/>
                </w:tcPr>
                <w:p>
                  <w:pPr>
                    <w:pStyle w:val="13"/>
                  </w:pPr>
                  <w:r>
                    <w:t>N3</w:t>
                  </w:r>
                </w:p>
              </w:tc>
              <w:tc>
                <w:tcPr>
                  <w:tcW w:w="747" w:type="pct"/>
                  <w:vMerge w:val="continue"/>
                  <w:shd w:val="clear" w:color="auto" w:fill="auto"/>
                  <w:vAlign w:val="center"/>
                </w:tcPr>
                <w:p>
                  <w:pPr>
                    <w:pStyle w:val="13"/>
                  </w:pPr>
                </w:p>
              </w:tc>
              <w:tc>
                <w:tcPr>
                  <w:tcW w:w="1215" w:type="pct"/>
                  <w:shd w:val="clear" w:color="auto" w:fill="auto"/>
                  <w:vAlign w:val="center"/>
                </w:tcPr>
                <w:p>
                  <w:pPr>
                    <w:pStyle w:val="13"/>
                  </w:pPr>
                  <w:r>
                    <w:rPr>
                      <w:rFonts w:hint="eastAsia"/>
                      <w:szCs w:val="21"/>
                    </w:rPr>
                    <w:t>大阳冲居民点</w:t>
                  </w:r>
                  <w:r>
                    <w:rPr>
                      <w:szCs w:val="21"/>
                    </w:rPr>
                    <w:t>3#</w:t>
                  </w:r>
                </w:p>
              </w:tc>
              <w:tc>
                <w:tcPr>
                  <w:tcW w:w="1871" w:type="pct"/>
                  <w:vAlign w:val="center"/>
                </w:tcPr>
                <w:p>
                  <w:pPr>
                    <w:pStyle w:val="13"/>
                  </w:pPr>
                  <w:r>
                    <w:rPr>
                      <w:szCs w:val="21"/>
                    </w:rPr>
                    <w:t>112.884758°E</w:t>
                  </w:r>
                  <w:r>
                    <w:rPr>
                      <w:rFonts w:hint="eastAsia"/>
                      <w:szCs w:val="21"/>
                    </w:rPr>
                    <w:t>，</w:t>
                  </w:r>
                  <w:r>
                    <w:rPr>
                      <w:szCs w:val="21"/>
                    </w:rPr>
                    <w:t>28.582279°N</w:t>
                  </w:r>
                </w:p>
              </w:tc>
              <w:tc>
                <w:tcPr>
                  <w:tcW w:w="678" w:type="pct"/>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shd w:val="clear" w:color="auto" w:fill="auto"/>
                  <w:vAlign w:val="center"/>
                </w:tcPr>
                <w:p>
                  <w:pPr>
                    <w:pStyle w:val="13"/>
                  </w:pPr>
                  <w:r>
                    <w:t>N4</w:t>
                  </w:r>
                </w:p>
              </w:tc>
              <w:tc>
                <w:tcPr>
                  <w:tcW w:w="747" w:type="pct"/>
                  <w:vMerge w:val="continue"/>
                  <w:shd w:val="clear" w:color="auto" w:fill="auto"/>
                  <w:vAlign w:val="center"/>
                </w:tcPr>
                <w:p>
                  <w:pPr>
                    <w:pStyle w:val="13"/>
                  </w:pPr>
                </w:p>
              </w:tc>
              <w:tc>
                <w:tcPr>
                  <w:tcW w:w="1215" w:type="pct"/>
                  <w:shd w:val="clear" w:color="auto" w:fill="auto"/>
                  <w:vAlign w:val="center"/>
                </w:tcPr>
                <w:p>
                  <w:pPr>
                    <w:pStyle w:val="13"/>
                  </w:pPr>
                  <w:r>
                    <w:rPr>
                      <w:rFonts w:hint="eastAsia"/>
                      <w:szCs w:val="21"/>
                    </w:rPr>
                    <w:t>桐子坡居民点</w:t>
                  </w:r>
                  <w:r>
                    <w:rPr>
                      <w:szCs w:val="21"/>
                    </w:rPr>
                    <w:t>4#</w:t>
                  </w:r>
                </w:p>
              </w:tc>
              <w:tc>
                <w:tcPr>
                  <w:tcW w:w="1871" w:type="pct"/>
                  <w:vAlign w:val="center"/>
                </w:tcPr>
                <w:p>
                  <w:pPr>
                    <w:pStyle w:val="13"/>
                  </w:pPr>
                  <w:r>
                    <w:rPr>
                      <w:szCs w:val="21"/>
                    </w:rPr>
                    <w:t>112.876389°E</w:t>
                  </w:r>
                  <w:r>
                    <w:rPr>
                      <w:rFonts w:hint="eastAsia"/>
                      <w:szCs w:val="21"/>
                    </w:rPr>
                    <w:t>，</w:t>
                  </w:r>
                  <w:r>
                    <w:rPr>
                      <w:szCs w:val="21"/>
                    </w:rPr>
                    <w:t>28.585096°N</w:t>
                  </w:r>
                </w:p>
              </w:tc>
              <w:tc>
                <w:tcPr>
                  <w:tcW w:w="678" w:type="pct"/>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shd w:val="clear" w:color="auto" w:fill="auto"/>
                  <w:vAlign w:val="center"/>
                </w:tcPr>
                <w:p>
                  <w:pPr>
                    <w:pStyle w:val="13"/>
                  </w:pPr>
                  <w:r>
                    <w:rPr>
                      <w:rFonts w:hint="eastAsia"/>
                    </w:rPr>
                    <w:t>N</w:t>
                  </w:r>
                  <w:r>
                    <w:t>5</w:t>
                  </w:r>
                </w:p>
              </w:tc>
              <w:tc>
                <w:tcPr>
                  <w:tcW w:w="747" w:type="pct"/>
                  <w:vMerge w:val="continue"/>
                  <w:shd w:val="clear" w:color="auto" w:fill="auto"/>
                  <w:vAlign w:val="center"/>
                </w:tcPr>
                <w:p>
                  <w:pPr>
                    <w:pStyle w:val="13"/>
                  </w:pPr>
                </w:p>
              </w:tc>
              <w:tc>
                <w:tcPr>
                  <w:tcW w:w="1215" w:type="pct"/>
                  <w:shd w:val="clear" w:color="auto" w:fill="auto"/>
                  <w:vAlign w:val="center"/>
                </w:tcPr>
                <w:p>
                  <w:pPr>
                    <w:pStyle w:val="13"/>
                  </w:pPr>
                  <w:r>
                    <w:rPr>
                      <w:rFonts w:hint="eastAsia"/>
                      <w:szCs w:val="21"/>
                    </w:rPr>
                    <w:t>桐子坡居民点</w:t>
                  </w:r>
                  <w:r>
                    <w:rPr>
                      <w:szCs w:val="21"/>
                    </w:rPr>
                    <w:t>5#</w:t>
                  </w:r>
                </w:p>
              </w:tc>
              <w:tc>
                <w:tcPr>
                  <w:tcW w:w="1871" w:type="pct"/>
                  <w:vAlign w:val="center"/>
                </w:tcPr>
                <w:p>
                  <w:pPr>
                    <w:pStyle w:val="13"/>
                  </w:pPr>
                  <w:r>
                    <w:rPr>
                      <w:szCs w:val="21"/>
                    </w:rPr>
                    <w:t>112.877258°E</w:t>
                  </w:r>
                  <w:r>
                    <w:rPr>
                      <w:rFonts w:hint="eastAsia"/>
                      <w:szCs w:val="21"/>
                    </w:rPr>
                    <w:t>，</w:t>
                  </w:r>
                  <w:r>
                    <w:rPr>
                      <w:szCs w:val="21"/>
                    </w:rPr>
                    <w:t>28.586896°N</w:t>
                  </w:r>
                </w:p>
              </w:tc>
              <w:tc>
                <w:tcPr>
                  <w:tcW w:w="678" w:type="pct"/>
                  <w:vMerge w:val="continue"/>
                  <w:shd w:val="clear" w:color="auto" w:fill="auto"/>
                  <w:vAlign w:val="center"/>
                </w:tcPr>
                <w:p>
                  <w:pPr>
                    <w:pStyle w:val="13"/>
                  </w:pPr>
                </w:p>
              </w:tc>
            </w:tr>
          </w:tbl>
          <w:p>
            <w:pPr>
              <w:spacing w:line="360" w:lineRule="auto"/>
              <w:ind w:firstLine="480"/>
            </w:pPr>
            <w:r>
              <w:rPr>
                <w:rFonts w:hint="eastAsia"/>
              </w:rPr>
              <w:t>声环境监测结果见下表。</w:t>
            </w:r>
          </w:p>
          <w:p>
            <w:pPr>
              <w:pStyle w:val="2"/>
              <w:spacing w:line="360" w:lineRule="auto"/>
              <w:rPr>
                <w:b w:val="0"/>
              </w:rPr>
            </w:pPr>
            <w:r>
              <w:rPr>
                <w:rFonts w:hint="eastAsia"/>
                <w:b w:val="0"/>
              </w:rPr>
              <w:t>表3</w:t>
            </w:r>
            <w:r>
              <w:rPr>
                <w:b w:val="0"/>
              </w:rPr>
              <w:t xml:space="preserve">-6 </w:t>
            </w:r>
            <w:r>
              <w:rPr>
                <w:rFonts w:hint="eastAsia"/>
                <w:b w:val="0"/>
              </w:rPr>
              <w:t>声环境质量现状监测结果一览表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2571"/>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5" w:type="dxa"/>
                  <w:vMerge w:val="restart"/>
                  <w:vAlign w:val="center"/>
                </w:tcPr>
                <w:p>
                  <w:pPr>
                    <w:pStyle w:val="13"/>
                  </w:pPr>
                  <w:r>
                    <w:rPr>
                      <w:rFonts w:hint="eastAsia"/>
                    </w:rPr>
                    <w:t>监测点位</w:t>
                  </w:r>
                </w:p>
              </w:tc>
              <w:tc>
                <w:tcPr>
                  <w:tcW w:w="4574" w:type="dxa"/>
                  <w:gridSpan w:val="2"/>
                  <w:vAlign w:val="center"/>
                </w:tcPr>
                <w:p>
                  <w:pPr>
                    <w:pStyle w:val="13"/>
                  </w:pPr>
                  <w:r>
                    <w:rPr>
                      <w:rFonts w:hint="eastAsia"/>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5" w:type="dxa"/>
                  <w:vMerge w:val="continue"/>
                  <w:vAlign w:val="center"/>
                </w:tcPr>
                <w:p>
                  <w:pPr>
                    <w:pStyle w:val="13"/>
                  </w:pPr>
                </w:p>
              </w:tc>
              <w:tc>
                <w:tcPr>
                  <w:tcW w:w="2409" w:type="dxa"/>
                  <w:vAlign w:val="center"/>
                </w:tcPr>
                <w:p>
                  <w:pPr>
                    <w:pStyle w:val="13"/>
                  </w:pPr>
                  <w:r>
                    <w:rPr>
                      <w:rFonts w:hint="eastAsia"/>
                    </w:rPr>
                    <w:t>昼间</w:t>
                  </w:r>
                </w:p>
              </w:tc>
              <w:tc>
                <w:tcPr>
                  <w:tcW w:w="2165" w:type="dxa"/>
                  <w:vAlign w:val="center"/>
                </w:tcPr>
                <w:p>
                  <w:pPr>
                    <w:pStyle w:val="13"/>
                  </w:pPr>
                  <w:r>
                    <w:rPr>
                      <w:rFonts w:hint="eastAsia"/>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5" w:type="dxa"/>
                  <w:vAlign w:val="center"/>
                </w:tcPr>
                <w:p>
                  <w:pPr>
                    <w:pStyle w:val="13"/>
                  </w:pPr>
                  <w:r>
                    <w:t>N1</w:t>
                  </w:r>
                </w:p>
              </w:tc>
              <w:tc>
                <w:tcPr>
                  <w:tcW w:w="2409" w:type="dxa"/>
                  <w:vAlign w:val="center"/>
                </w:tcPr>
                <w:p>
                  <w:pPr>
                    <w:pStyle w:val="13"/>
                  </w:pPr>
                  <w:r>
                    <w:rPr>
                      <w:rFonts w:hint="eastAsia"/>
                    </w:rPr>
                    <w:t>5</w:t>
                  </w:r>
                  <w:r>
                    <w:t>0.0</w:t>
                  </w:r>
                </w:p>
              </w:tc>
              <w:tc>
                <w:tcPr>
                  <w:tcW w:w="2165" w:type="dxa"/>
                  <w:vAlign w:val="center"/>
                </w:tcPr>
                <w:p>
                  <w:pPr>
                    <w:pStyle w:val="13"/>
                  </w:pPr>
                  <w:r>
                    <w:rPr>
                      <w:rFonts w:hint="eastAsia"/>
                    </w:rPr>
                    <w:t>4</w:t>
                  </w:r>
                  <w: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05" w:type="dxa"/>
                  <w:vAlign w:val="center"/>
                </w:tcPr>
                <w:p>
                  <w:pPr>
                    <w:pStyle w:val="13"/>
                  </w:pPr>
                  <w:r>
                    <w:t>N2</w:t>
                  </w:r>
                </w:p>
              </w:tc>
              <w:tc>
                <w:tcPr>
                  <w:tcW w:w="2409" w:type="dxa"/>
                  <w:vAlign w:val="center"/>
                </w:tcPr>
                <w:p>
                  <w:pPr>
                    <w:pStyle w:val="13"/>
                  </w:pPr>
                  <w:r>
                    <w:rPr>
                      <w:rFonts w:hint="eastAsia"/>
                    </w:rPr>
                    <w:t>4</w:t>
                  </w:r>
                  <w:r>
                    <w:t>9.1</w:t>
                  </w:r>
                </w:p>
              </w:tc>
              <w:tc>
                <w:tcPr>
                  <w:tcW w:w="2165" w:type="dxa"/>
                  <w:vAlign w:val="center"/>
                </w:tcPr>
                <w:p>
                  <w:pPr>
                    <w:pStyle w:val="13"/>
                  </w:pPr>
                  <w:r>
                    <w:rPr>
                      <w:rFonts w:hint="eastAsia"/>
                    </w:rPr>
                    <w:t>3</w:t>
                  </w:r>
                  <w: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5" w:type="dxa"/>
                  <w:vAlign w:val="center"/>
                </w:tcPr>
                <w:p>
                  <w:pPr>
                    <w:pStyle w:val="13"/>
                  </w:pPr>
                  <w:r>
                    <w:t>N3</w:t>
                  </w:r>
                </w:p>
              </w:tc>
              <w:tc>
                <w:tcPr>
                  <w:tcW w:w="2409" w:type="dxa"/>
                  <w:vAlign w:val="center"/>
                </w:tcPr>
                <w:p>
                  <w:pPr>
                    <w:pStyle w:val="13"/>
                  </w:pPr>
                  <w:r>
                    <w:rPr>
                      <w:rFonts w:hint="eastAsia"/>
                    </w:rPr>
                    <w:t>4</w:t>
                  </w:r>
                  <w:r>
                    <w:t>8.6</w:t>
                  </w:r>
                </w:p>
              </w:tc>
              <w:tc>
                <w:tcPr>
                  <w:tcW w:w="2165" w:type="dxa"/>
                  <w:vAlign w:val="center"/>
                </w:tcPr>
                <w:p>
                  <w:pPr>
                    <w:pStyle w:val="13"/>
                  </w:pPr>
                  <w:r>
                    <w:rPr>
                      <w:rFonts w:hint="eastAsia"/>
                    </w:rPr>
                    <w:t>3</w:t>
                  </w:r>
                  <w: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5" w:type="dxa"/>
                  <w:vAlign w:val="center"/>
                </w:tcPr>
                <w:p>
                  <w:pPr>
                    <w:pStyle w:val="13"/>
                  </w:pPr>
                  <w:r>
                    <w:t>N4</w:t>
                  </w:r>
                </w:p>
              </w:tc>
              <w:tc>
                <w:tcPr>
                  <w:tcW w:w="2409" w:type="dxa"/>
                  <w:vAlign w:val="center"/>
                </w:tcPr>
                <w:p>
                  <w:pPr>
                    <w:pStyle w:val="13"/>
                  </w:pPr>
                  <w:r>
                    <w:rPr>
                      <w:rFonts w:hint="eastAsia"/>
                    </w:rPr>
                    <w:t>4</w:t>
                  </w:r>
                  <w:r>
                    <w:t>7.1</w:t>
                  </w:r>
                </w:p>
              </w:tc>
              <w:tc>
                <w:tcPr>
                  <w:tcW w:w="2165" w:type="dxa"/>
                  <w:vAlign w:val="center"/>
                </w:tcPr>
                <w:p>
                  <w:pPr>
                    <w:pStyle w:val="13"/>
                  </w:pPr>
                  <w:r>
                    <w:rPr>
                      <w:rFonts w:hint="eastAsia"/>
                    </w:rPr>
                    <w:t>3</w:t>
                  </w:r>
                  <w: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5" w:type="dxa"/>
                  <w:vAlign w:val="center"/>
                </w:tcPr>
                <w:p>
                  <w:pPr>
                    <w:pStyle w:val="13"/>
                  </w:pPr>
                  <w:r>
                    <w:rPr>
                      <w:rFonts w:hint="eastAsia"/>
                    </w:rPr>
                    <w:t>N</w:t>
                  </w:r>
                  <w:r>
                    <w:t>5</w:t>
                  </w:r>
                </w:p>
              </w:tc>
              <w:tc>
                <w:tcPr>
                  <w:tcW w:w="2409" w:type="dxa"/>
                  <w:vAlign w:val="center"/>
                </w:tcPr>
                <w:p>
                  <w:pPr>
                    <w:pStyle w:val="13"/>
                  </w:pPr>
                  <w:r>
                    <w:rPr>
                      <w:rFonts w:hint="eastAsia"/>
                    </w:rPr>
                    <w:t>4</w:t>
                  </w:r>
                  <w:r>
                    <w:t>8.2</w:t>
                  </w:r>
                </w:p>
              </w:tc>
              <w:tc>
                <w:tcPr>
                  <w:tcW w:w="2165" w:type="dxa"/>
                  <w:vAlign w:val="center"/>
                </w:tcPr>
                <w:p>
                  <w:pPr>
                    <w:pStyle w:val="13"/>
                  </w:pPr>
                  <w:r>
                    <w:rPr>
                      <w:rFonts w:hint="eastAsia"/>
                    </w:rPr>
                    <w:t>3</w:t>
                  </w:r>
                  <w: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05" w:type="dxa"/>
                  <w:vAlign w:val="center"/>
                </w:tcPr>
                <w:p>
                  <w:pPr>
                    <w:pStyle w:val="13"/>
                  </w:pPr>
                  <w:r>
                    <w:rPr>
                      <w:rFonts w:hint="eastAsia"/>
                    </w:rPr>
                    <w:t>《声环境质量标准》（GB3096-2008）2类标准</w:t>
                  </w:r>
                </w:p>
              </w:tc>
              <w:tc>
                <w:tcPr>
                  <w:tcW w:w="2409" w:type="dxa"/>
                  <w:vAlign w:val="center"/>
                </w:tcPr>
                <w:p>
                  <w:pPr>
                    <w:pStyle w:val="13"/>
                  </w:pPr>
                  <w:r>
                    <w:rPr>
                      <w:rFonts w:hint="eastAsia"/>
                    </w:rPr>
                    <w:t>60</w:t>
                  </w:r>
                </w:p>
              </w:tc>
              <w:tc>
                <w:tcPr>
                  <w:tcW w:w="2165" w:type="dxa"/>
                  <w:vAlign w:val="center"/>
                </w:tcPr>
                <w:p>
                  <w:pPr>
                    <w:pStyle w:val="13"/>
                  </w:pPr>
                  <w:r>
                    <w:rPr>
                      <w:rFonts w:hint="eastAsia"/>
                    </w:rPr>
                    <w:t>50</w:t>
                  </w:r>
                </w:p>
              </w:tc>
            </w:tr>
          </w:tbl>
          <w:p>
            <w:pPr>
              <w:spacing w:line="360" w:lineRule="auto"/>
              <w:ind w:firstLine="480"/>
            </w:pPr>
            <w:r>
              <w:rPr>
                <w:rFonts w:hint="eastAsia"/>
              </w:rPr>
              <w:t>根据上表，各声环境监测点位均满足《声环境质量标准》（GB3096-2008）2类标准限值，区域声环境质量良好。</w:t>
            </w:r>
          </w:p>
          <w:p>
            <w:pPr>
              <w:spacing w:line="360" w:lineRule="auto"/>
              <w:ind w:firstLine="0" w:firstLineChars="0"/>
              <w:rPr>
                <w:b/>
                <w:sz w:val="28"/>
              </w:rPr>
            </w:pPr>
            <w:r>
              <w:rPr>
                <w:rFonts w:hint="eastAsia"/>
                <w:b/>
                <w:sz w:val="28"/>
              </w:rPr>
              <w:t>5、土壤环境质量现状</w:t>
            </w:r>
          </w:p>
          <w:p>
            <w:pPr>
              <w:spacing w:line="360" w:lineRule="auto"/>
              <w:ind w:firstLine="480"/>
            </w:pPr>
            <w:r>
              <w:rPr>
                <w:rFonts w:hint="eastAsia"/>
              </w:rPr>
              <w:t>为判断项目占地范围内土壤环境敏感程度，特委托湖南乾诚检测有限公司于2</w:t>
            </w:r>
            <w:r>
              <w:t>023</w:t>
            </w:r>
            <w:r>
              <w:rPr>
                <w:rFonts w:hint="eastAsia"/>
              </w:rPr>
              <w:t>年</w:t>
            </w:r>
            <w:r>
              <w:t>0</w:t>
            </w:r>
            <w:r>
              <w:rPr>
                <w:rFonts w:hint="eastAsia"/>
              </w:rPr>
              <w:t>3月07日对项目区域开展土壤环境质量现状检测，监测点位如下。</w:t>
            </w:r>
          </w:p>
          <w:p>
            <w:pPr>
              <w:pStyle w:val="2"/>
              <w:spacing w:line="360" w:lineRule="auto"/>
              <w:rPr>
                <w:b w:val="0"/>
              </w:rPr>
            </w:pPr>
            <w:r>
              <w:rPr>
                <w:rFonts w:hint="eastAsia"/>
                <w:b w:val="0"/>
              </w:rPr>
              <w:t>表3</w:t>
            </w:r>
            <w:r>
              <w:rPr>
                <w:b w:val="0"/>
              </w:rPr>
              <w:t>-7</w:t>
            </w:r>
            <w:r>
              <w:rPr>
                <w:rFonts w:hint="eastAsia"/>
                <w:b w:val="0"/>
              </w:rPr>
              <w:t xml:space="preserve"> 土壤环境质量现状监测点位</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9"/>
              <w:gridCol w:w="1149"/>
              <w:gridCol w:w="3046"/>
              <w:gridCol w:w="832"/>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监测点位</w:t>
                  </w:r>
                </w:p>
              </w:tc>
              <w:tc>
                <w:tcPr>
                  <w:tcW w:w="107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监测名称</w:t>
                  </w:r>
                </w:p>
              </w:tc>
              <w:tc>
                <w:tcPr>
                  <w:tcW w:w="2854"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监测因子</w:t>
                  </w:r>
                </w:p>
              </w:tc>
              <w:tc>
                <w:tcPr>
                  <w:tcW w:w="780"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监测频次</w:t>
                  </w:r>
                </w:p>
              </w:tc>
              <w:tc>
                <w:tcPr>
                  <w:tcW w:w="226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9" w:type="dxa"/>
                  <w:shd w:val="clear" w:color="auto" w:fill="auto"/>
                  <w:vAlign w:val="center"/>
                </w:tcPr>
                <w:p>
                  <w:pPr>
                    <w:adjustRightInd w:val="0"/>
                    <w:snapToGrid w:val="0"/>
                    <w:spacing w:line="240" w:lineRule="auto"/>
                    <w:ind w:firstLine="0" w:firstLineChars="0"/>
                    <w:jc w:val="center"/>
                    <w:rPr>
                      <w:sz w:val="21"/>
                      <w:szCs w:val="21"/>
                    </w:rPr>
                  </w:pPr>
                  <w:r>
                    <w:rPr>
                      <w:sz w:val="21"/>
                      <w:szCs w:val="21"/>
                    </w:rPr>
                    <w:t>T1</w:t>
                  </w:r>
                </w:p>
              </w:tc>
              <w:tc>
                <w:tcPr>
                  <w:tcW w:w="107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占地范围内表层样（矿区内）</w:t>
                  </w:r>
                </w:p>
              </w:tc>
              <w:tc>
                <w:tcPr>
                  <w:tcW w:w="2854" w:type="dxa"/>
                  <w:shd w:val="clear" w:color="auto" w:fill="auto"/>
                  <w:vAlign w:val="center"/>
                </w:tcPr>
                <w:p>
                  <w:pPr>
                    <w:adjustRightInd w:val="0"/>
                    <w:snapToGrid w:val="0"/>
                    <w:spacing w:line="240" w:lineRule="auto"/>
                    <w:ind w:firstLine="0" w:firstLineChars="0"/>
                    <w:jc w:val="center"/>
                    <w:rPr>
                      <w:b/>
                      <w:bCs/>
                      <w:sz w:val="21"/>
                      <w:szCs w:val="21"/>
                    </w:rPr>
                  </w:pPr>
                  <w:r>
                    <w:rPr>
                      <w:rFonts w:hint="eastAsia"/>
                      <w:sz w:val="21"/>
                      <w:szCs w:val="21"/>
                    </w:rPr>
                    <w:t>《土壤环境质量-建设用地土壤污染风险管控标准（试行）》（GB</w:t>
                  </w:r>
                  <w:r>
                    <w:rPr>
                      <w:sz w:val="21"/>
                      <w:szCs w:val="21"/>
                    </w:rPr>
                    <w:t xml:space="preserve"> </w:t>
                  </w:r>
                  <w:r>
                    <w:rPr>
                      <w:rFonts w:hint="eastAsia"/>
                      <w:sz w:val="21"/>
                      <w:szCs w:val="21"/>
                    </w:rPr>
                    <w:t>36600-2018）表1的4</w:t>
                  </w:r>
                  <w:r>
                    <w:rPr>
                      <w:sz w:val="21"/>
                      <w:szCs w:val="21"/>
                    </w:rPr>
                    <w:t>5</w:t>
                  </w:r>
                  <w:r>
                    <w:rPr>
                      <w:rFonts w:hint="eastAsia"/>
                      <w:sz w:val="21"/>
                      <w:szCs w:val="21"/>
                    </w:rPr>
                    <w:t>项基本因子、p</w:t>
                  </w:r>
                  <w:r>
                    <w:rPr>
                      <w:sz w:val="21"/>
                      <w:szCs w:val="21"/>
                    </w:rPr>
                    <w:t>H</w:t>
                  </w:r>
                  <w:r>
                    <w:rPr>
                      <w:rFonts w:hint="eastAsia"/>
                      <w:sz w:val="21"/>
                      <w:szCs w:val="21"/>
                    </w:rPr>
                    <w:t>、土壤含盐量</w:t>
                  </w:r>
                </w:p>
              </w:tc>
              <w:tc>
                <w:tcPr>
                  <w:tcW w:w="780" w:type="dxa"/>
                  <w:vMerge w:val="restart"/>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1次/天、</w:t>
                  </w:r>
                  <w:r>
                    <w:rPr>
                      <w:sz w:val="21"/>
                      <w:szCs w:val="21"/>
                    </w:rPr>
                    <w:t>1</w:t>
                  </w:r>
                  <w:r>
                    <w:rPr>
                      <w:rFonts w:hint="eastAsia"/>
                      <w:sz w:val="21"/>
                      <w:szCs w:val="21"/>
                    </w:rPr>
                    <w:t>天</w:t>
                  </w:r>
                </w:p>
              </w:tc>
              <w:tc>
                <w:tcPr>
                  <w:tcW w:w="2269" w:type="dxa"/>
                  <w:shd w:val="clear" w:color="auto" w:fill="auto"/>
                  <w:vAlign w:val="center"/>
                </w:tcPr>
                <w:p>
                  <w:pPr>
                    <w:overflowPunct w:val="0"/>
                    <w:autoSpaceDE w:val="0"/>
                    <w:autoSpaceDN w:val="0"/>
                    <w:adjustRightInd w:val="0"/>
                    <w:snapToGrid w:val="0"/>
                    <w:spacing w:line="240" w:lineRule="auto"/>
                    <w:ind w:firstLine="0" w:firstLineChars="0"/>
                    <w:jc w:val="center"/>
                    <w:rPr>
                      <w:sz w:val="21"/>
                      <w:szCs w:val="21"/>
                    </w:rPr>
                  </w:pPr>
                  <w:r>
                    <w:rPr>
                      <w:rFonts w:hint="eastAsia"/>
                      <w:sz w:val="21"/>
                      <w:szCs w:val="21"/>
                    </w:rPr>
                    <w:t>《土壤环境质量 建设用地土壤污染风险管控标准（试行）》（</w:t>
                  </w:r>
                  <w:r>
                    <w:rPr>
                      <w:sz w:val="21"/>
                      <w:szCs w:val="21"/>
                    </w:rPr>
                    <w:t>GB 36600-2018</w:t>
                  </w:r>
                  <w:r>
                    <w:rPr>
                      <w:rFonts w:hint="eastAsia"/>
                      <w:sz w:val="21"/>
                      <w:szCs w:val="21"/>
                    </w:rPr>
                    <w:t>）第二类用地筛选值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5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T</w:t>
                  </w:r>
                  <w:r>
                    <w:rPr>
                      <w:sz w:val="21"/>
                      <w:szCs w:val="21"/>
                    </w:rPr>
                    <w:t>2</w:t>
                  </w:r>
                </w:p>
              </w:tc>
              <w:tc>
                <w:tcPr>
                  <w:tcW w:w="107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占地范围外表层样（工业广场北侧）</w:t>
                  </w:r>
                </w:p>
              </w:tc>
              <w:tc>
                <w:tcPr>
                  <w:tcW w:w="2854"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镉、汞、砷、铅、铬、铜、镍、锌、</w:t>
                  </w:r>
                  <w:r>
                    <w:rPr>
                      <w:sz w:val="21"/>
                      <w:szCs w:val="21"/>
                    </w:rPr>
                    <w:t>pH</w:t>
                  </w:r>
                  <w:r>
                    <w:rPr>
                      <w:rFonts w:hint="eastAsia"/>
                      <w:sz w:val="21"/>
                      <w:szCs w:val="21"/>
                    </w:rPr>
                    <w:t>、土壤含盐量</w:t>
                  </w:r>
                </w:p>
              </w:tc>
              <w:tc>
                <w:tcPr>
                  <w:tcW w:w="780" w:type="dxa"/>
                  <w:vMerge w:val="continue"/>
                  <w:shd w:val="clear" w:color="auto" w:fill="auto"/>
                  <w:vAlign w:val="center"/>
                </w:tcPr>
                <w:p>
                  <w:pPr>
                    <w:adjustRightInd w:val="0"/>
                    <w:snapToGrid w:val="0"/>
                    <w:spacing w:line="240" w:lineRule="auto"/>
                    <w:ind w:firstLine="0" w:firstLineChars="0"/>
                    <w:jc w:val="center"/>
                    <w:rPr>
                      <w:sz w:val="21"/>
                      <w:szCs w:val="21"/>
                    </w:rPr>
                  </w:pPr>
                </w:p>
              </w:tc>
              <w:tc>
                <w:tcPr>
                  <w:tcW w:w="2269" w:type="dxa"/>
                  <w:shd w:val="clear" w:color="auto" w:fill="auto"/>
                  <w:vAlign w:val="center"/>
                </w:tcPr>
                <w:p>
                  <w:pPr>
                    <w:overflowPunct w:val="0"/>
                    <w:autoSpaceDE w:val="0"/>
                    <w:autoSpaceDN w:val="0"/>
                    <w:adjustRightInd w:val="0"/>
                    <w:snapToGrid w:val="0"/>
                    <w:spacing w:line="240" w:lineRule="auto"/>
                    <w:ind w:firstLine="0" w:firstLineChars="0"/>
                    <w:jc w:val="center"/>
                    <w:rPr>
                      <w:sz w:val="21"/>
                      <w:szCs w:val="21"/>
                    </w:rPr>
                  </w:pPr>
                  <w:r>
                    <w:rPr>
                      <w:rFonts w:hint="eastAsia"/>
                      <w:sz w:val="21"/>
                      <w:szCs w:val="21"/>
                    </w:rPr>
                    <w:t>《土壤环境质量</w:t>
                  </w:r>
                  <w:r>
                    <w:rPr>
                      <w:sz w:val="21"/>
                      <w:szCs w:val="21"/>
                    </w:rPr>
                    <w:t xml:space="preserve"> </w:t>
                  </w:r>
                  <w:r>
                    <w:rPr>
                      <w:rFonts w:hint="eastAsia"/>
                      <w:sz w:val="21"/>
                      <w:szCs w:val="21"/>
                    </w:rPr>
                    <w:t>农用地土壤污染风险管控标准（试行）》（</w:t>
                  </w:r>
                  <w:r>
                    <w:rPr>
                      <w:sz w:val="21"/>
                      <w:szCs w:val="21"/>
                    </w:rPr>
                    <w:t>GB 15618-2018</w:t>
                  </w:r>
                  <w:r>
                    <w:rPr>
                      <w:rFonts w:hint="eastAsia"/>
                      <w:sz w:val="21"/>
                      <w:szCs w:val="21"/>
                    </w:rPr>
                    <w:t>）风险筛选值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T</w:t>
                  </w:r>
                  <w:r>
                    <w:rPr>
                      <w:sz w:val="21"/>
                      <w:szCs w:val="21"/>
                    </w:rPr>
                    <w:t>3</w:t>
                  </w:r>
                </w:p>
              </w:tc>
              <w:tc>
                <w:tcPr>
                  <w:tcW w:w="107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占地范围外表层样（矿区东南侧）</w:t>
                  </w:r>
                </w:p>
              </w:tc>
              <w:tc>
                <w:tcPr>
                  <w:tcW w:w="2854"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《土壤环境质量-建设用地土壤污染风险管控标准（试行）》（GB</w:t>
                  </w:r>
                  <w:r>
                    <w:rPr>
                      <w:sz w:val="21"/>
                      <w:szCs w:val="21"/>
                    </w:rPr>
                    <w:t xml:space="preserve"> </w:t>
                  </w:r>
                  <w:r>
                    <w:rPr>
                      <w:rFonts w:hint="eastAsia"/>
                      <w:sz w:val="21"/>
                      <w:szCs w:val="21"/>
                    </w:rPr>
                    <w:t>36600-2018）表1的4</w:t>
                  </w:r>
                  <w:r>
                    <w:rPr>
                      <w:sz w:val="21"/>
                      <w:szCs w:val="21"/>
                    </w:rPr>
                    <w:t>5</w:t>
                  </w:r>
                  <w:r>
                    <w:rPr>
                      <w:rFonts w:hint="eastAsia"/>
                      <w:sz w:val="21"/>
                      <w:szCs w:val="21"/>
                    </w:rPr>
                    <w:t>项基本因子、p</w:t>
                  </w:r>
                  <w:r>
                    <w:rPr>
                      <w:sz w:val="21"/>
                      <w:szCs w:val="21"/>
                    </w:rPr>
                    <w:t>H</w:t>
                  </w:r>
                  <w:r>
                    <w:rPr>
                      <w:rFonts w:hint="eastAsia"/>
                      <w:sz w:val="21"/>
                      <w:szCs w:val="21"/>
                    </w:rPr>
                    <w:t>、土壤含盐量</w:t>
                  </w:r>
                </w:p>
              </w:tc>
              <w:tc>
                <w:tcPr>
                  <w:tcW w:w="780" w:type="dxa"/>
                  <w:vMerge w:val="continue"/>
                  <w:shd w:val="clear" w:color="auto" w:fill="auto"/>
                  <w:vAlign w:val="center"/>
                </w:tcPr>
                <w:p>
                  <w:pPr>
                    <w:adjustRightInd w:val="0"/>
                    <w:snapToGrid w:val="0"/>
                    <w:spacing w:line="240" w:lineRule="auto"/>
                    <w:ind w:firstLine="0" w:firstLineChars="0"/>
                    <w:jc w:val="center"/>
                    <w:rPr>
                      <w:sz w:val="21"/>
                      <w:szCs w:val="21"/>
                    </w:rPr>
                  </w:pPr>
                </w:p>
              </w:tc>
              <w:tc>
                <w:tcPr>
                  <w:tcW w:w="2269" w:type="dxa"/>
                  <w:shd w:val="clear" w:color="auto" w:fill="auto"/>
                  <w:vAlign w:val="center"/>
                </w:tcPr>
                <w:p>
                  <w:pPr>
                    <w:overflowPunct w:val="0"/>
                    <w:autoSpaceDE w:val="0"/>
                    <w:autoSpaceDN w:val="0"/>
                    <w:adjustRightInd w:val="0"/>
                    <w:snapToGrid w:val="0"/>
                    <w:spacing w:line="240" w:lineRule="auto"/>
                    <w:ind w:firstLine="0" w:firstLineChars="0"/>
                    <w:jc w:val="center"/>
                    <w:rPr>
                      <w:sz w:val="21"/>
                      <w:szCs w:val="21"/>
                    </w:rPr>
                  </w:pPr>
                  <w:r>
                    <w:rPr>
                      <w:rFonts w:hint="eastAsia"/>
                      <w:sz w:val="21"/>
                      <w:szCs w:val="21"/>
                    </w:rPr>
                    <w:t>《土壤环境质量 建设用地土壤污染风险管控标准（试行）》（</w:t>
                  </w:r>
                  <w:r>
                    <w:rPr>
                      <w:sz w:val="21"/>
                      <w:szCs w:val="21"/>
                    </w:rPr>
                    <w:t>GB 36600-2018</w:t>
                  </w:r>
                  <w:r>
                    <w:rPr>
                      <w:rFonts w:hint="eastAsia"/>
                      <w:sz w:val="21"/>
                      <w:szCs w:val="21"/>
                    </w:rPr>
                    <w:t>）第一类用地筛选值</w:t>
                  </w:r>
                </w:p>
              </w:tc>
            </w:tr>
          </w:tbl>
          <w:p>
            <w:pPr>
              <w:spacing w:line="360" w:lineRule="auto"/>
              <w:ind w:firstLine="480"/>
            </w:pPr>
            <w:r>
              <w:rPr>
                <w:rFonts w:hint="eastAsia"/>
              </w:rPr>
              <w:t>检测结果见下表。</w:t>
            </w:r>
          </w:p>
          <w:p>
            <w:pPr>
              <w:pStyle w:val="2"/>
              <w:spacing w:line="360" w:lineRule="auto"/>
              <w:rPr>
                <w:b w:val="0"/>
              </w:rPr>
            </w:pPr>
            <w:r>
              <w:rPr>
                <w:rFonts w:hint="eastAsia"/>
                <w:b w:val="0"/>
              </w:rPr>
              <w:t>表3</w:t>
            </w:r>
            <w:r>
              <w:rPr>
                <w:b w:val="0"/>
              </w:rPr>
              <w:t xml:space="preserve">-8 </w:t>
            </w:r>
            <w:r>
              <w:rPr>
                <w:rFonts w:hint="eastAsia"/>
                <w:b w:val="0"/>
              </w:rPr>
              <w:t>土壤环境质量检测结果一览表</w:t>
            </w:r>
          </w:p>
          <w:tbl>
            <w:tblPr>
              <w:tblStyle w:val="16"/>
              <w:tblW w:w="5000" w:type="pct"/>
              <w:jc w:val="center"/>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Layout w:type="autofit"/>
              <w:tblCellMar>
                <w:top w:w="0" w:type="dxa"/>
                <w:left w:w="23" w:type="dxa"/>
                <w:bottom w:w="0" w:type="dxa"/>
                <w:right w:w="23" w:type="dxa"/>
              </w:tblCellMar>
            </w:tblPr>
            <w:tblGrid>
              <w:gridCol w:w="1019"/>
              <w:gridCol w:w="915"/>
              <w:gridCol w:w="870"/>
              <w:gridCol w:w="585"/>
              <w:gridCol w:w="1456"/>
              <w:gridCol w:w="1119"/>
              <w:gridCol w:w="1102"/>
              <w:gridCol w:w="1032"/>
            </w:tblGrid>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tblHeader/>
                <w:jc w:val="center"/>
              </w:trPr>
              <w:tc>
                <w:tcPr>
                  <w:tcW w:w="962" w:type="dxa"/>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采样时间</w:t>
                  </w:r>
                </w:p>
              </w:tc>
              <w:tc>
                <w:tcPr>
                  <w:tcW w:w="890" w:type="dxa"/>
                  <w:tcBorders>
                    <w:top w:val="single" w:color="auto" w:sz="4" w:space="0"/>
                    <w:bottom w:val="single" w:color="auto" w:sz="4" w:space="0"/>
                  </w:tcBorders>
                  <w:vAlign w:val="center"/>
                </w:tcPr>
                <w:p>
                  <w:pPr>
                    <w:widowControl/>
                    <w:spacing w:line="240" w:lineRule="auto"/>
                    <w:ind w:firstLine="0" w:firstLineChars="0"/>
                    <w:jc w:val="center"/>
                    <w:rPr>
                      <w:spacing w:val="-11"/>
                      <w:sz w:val="21"/>
                      <w:szCs w:val="21"/>
                    </w:rPr>
                  </w:pPr>
                  <w:r>
                    <w:rPr>
                      <w:spacing w:val="-11"/>
                      <w:sz w:val="21"/>
                      <w:szCs w:val="21"/>
                    </w:rPr>
                    <w:t>采样点位</w:t>
                  </w:r>
                </w:p>
              </w:tc>
              <w:tc>
                <w:tcPr>
                  <w:tcW w:w="846" w:type="dxa"/>
                  <w:tcBorders>
                    <w:top w:val="single" w:color="auto" w:sz="4" w:space="0"/>
                    <w:bottom w:val="single" w:color="auto" w:sz="4" w:space="0"/>
                  </w:tcBorders>
                  <w:vAlign w:val="center"/>
                </w:tcPr>
                <w:p>
                  <w:pPr>
                    <w:widowControl/>
                    <w:spacing w:line="240" w:lineRule="auto"/>
                    <w:ind w:firstLine="0" w:firstLineChars="0"/>
                    <w:jc w:val="center"/>
                    <w:rPr>
                      <w:spacing w:val="-11"/>
                      <w:sz w:val="21"/>
                      <w:szCs w:val="21"/>
                    </w:rPr>
                  </w:pPr>
                  <w:r>
                    <w:rPr>
                      <w:spacing w:val="-11"/>
                      <w:sz w:val="21"/>
                      <w:szCs w:val="21"/>
                    </w:rPr>
                    <w:t>采样深度</w:t>
                  </w: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检测项目</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计量</w:t>
                  </w:r>
                </w:p>
                <w:p>
                  <w:pPr>
                    <w:widowControl/>
                    <w:spacing w:line="240" w:lineRule="auto"/>
                    <w:ind w:firstLine="0" w:firstLineChars="0"/>
                    <w:jc w:val="center"/>
                    <w:rPr>
                      <w:sz w:val="21"/>
                      <w:szCs w:val="21"/>
                    </w:rPr>
                  </w:pPr>
                  <w:r>
                    <w:rPr>
                      <w:sz w:val="21"/>
                      <w:szCs w:val="21"/>
                    </w:rPr>
                    <w:t>单位</w:t>
                  </w:r>
                </w:p>
              </w:tc>
              <w:tc>
                <w:tcPr>
                  <w:tcW w:w="1072"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检测结果</w:t>
                  </w:r>
                </w:p>
              </w:tc>
              <w:tc>
                <w:tcPr>
                  <w:tcW w:w="1004"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bCs/>
                      <w:sz w:val="21"/>
                      <w:szCs w:val="21"/>
                    </w:rPr>
                  </w:pPr>
                  <w:r>
                    <w:rPr>
                      <w:bCs/>
                      <w:sz w:val="21"/>
                      <w:szCs w:val="21"/>
                    </w:rPr>
                    <w:t>筛选值</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restart"/>
                  <w:tcBorders>
                    <w:top w:val="single" w:color="auto" w:sz="4" w:space="0"/>
                    <w:left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202</w:t>
                  </w:r>
                  <w:r>
                    <w:rPr>
                      <w:sz w:val="21"/>
                      <w:szCs w:val="21"/>
                    </w:rPr>
                    <w:t>3.</w:t>
                  </w:r>
                  <w:r>
                    <w:rPr>
                      <w:rFonts w:hint="eastAsia"/>
                      <w:sz w:val="21"/>
                      <w:szCs w:val="21"/>
                    </w:rPr>
                    <w:t>03.07</w:t>
                  </w:r>
                </w:p>
              </w:tc>
              <w:tc>
                <w:tcPr>
                  <w:tcW w:w="890" w:type="dxa"/>
                  <w:vMerge w:val="restart"/>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r>
                    <w:rPr>
                      <w:sz w:val="21"/>
                      <w:szCs w:val="21"/>
                    </w:rPr>
                    <w:t>S1</w:t>
                  </w:r>
                  <w:r>
                    <w:rPr>
                      <w:rFonts w:hint="eastAsia"/>
                      <w:sz w:val="21"/>
                      <w:szCs w:val="21"/>
                    </w:rPr>
                    <w:t>占地范围内表层样</w:t>
                  </w:r>
                </w:p>
              </w:tc>
              <w:tc>
                <w:tcPr>
                  <w:tcW w:w="846" w:type="dxa"/>
                  <w:vMerge w:val="restart"/>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0~0.2m</w:t>
                  </w:r>
                </w:p>
              </w:tc>
              <w:tc>
                <w:tcPr>
                  <w:tcW w:w="1985" w:type="dxa"/>
                  <w:gridSpan w:val="2"/>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水溶性盐含量</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rFonts w:hint="eastAsia"/>
                      <w:sz w:val="21"/>
                      <w:szCs w:val="21"/>
                    </w:rPr>
                    <w:t>mg</w:t>
                  </w:r>
                  <w:r>
                    <w:rPr>
                      <w:sz w:val="21"/>
                      <w:szCs w:val="21"/>
                    </w:rPr>
                    <w:t>/</w:t>
                  </w:r>
                  <w:r>
                    <w:rPr>
                      <w:rFonts w:hint="eastAsia"/>
                      <w:sz w:val="21"/>
                      <w:szCs w:val="21"/>
                    </w:rPr>
                    <w:t>kg</w:t>
                  </w:r>
                </w:p>
              </w:tc>
              <w:tc>
                <w:tcPr>
                  <w:tcW w:w="1072" w:type="dxa"/>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715</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spacing w:line="240" w:lineRule="auto"/>
                    <w:ind w:firstLine="0" w:firstLineChars="0"/>
                    <w:jc w:val="center"/>
                    <w:rPr>
                      <w:sz w:val="21"/>
                      <w:szCs w:val="21"/>
                      <w:lang w:bidi="ar"/>
                    </w:rPr>
                  </w:pPr>
                  <w:r>
                    <w:rPr>
                      <w:sz w:val="21"/>
                      <w:szCs w:val="21"/>
                    </w:rPr>
                    <w:t>pH</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无量纲</w:t>
                  </w:r>
                </w:p>
              </w:tc>
              <w:tc>
                <w:tcPr>
                  <w:tcW w:w="1072" w:type="dxa"/>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6.82</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8.84</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60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镉</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0.01</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65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六价铬</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0.5L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5.7</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铜</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15</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18000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铅</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36</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800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汞</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0.4</w:t>
                  </w:r>
                  <w:r>
                    <w:rPr>
                      <w:rFonts w:hint="eastAsia"/>
                      <w:sz w:val="21"/>
                      <w:szCs w:val="21"/>
                    </w:rPr>
                    <w:t>1</w:t>
                  </w:r>
                  <w:r>
                    <w:rPr>
                      <w:sz w:val="21"/>
                      <w:szCs w:val="21"/>
                    </w:rPr>
                    <w:t>2</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38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镍</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22</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900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四氯化碳</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2.1×10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氯仿</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1.5×10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0.9</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氯甲烷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3</w:t>
                  </w:r>
                  <w:r>
                    <w:rPr>
                      <w:sz w:val="21"/>
                      <w:szCs w:val="21"/>
                    </w:rPr>
                    <w:t>.0×10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37</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二氯</w:t>
                  </w:r>
                </w:p>
                <w:p>
                  <w:pPr>
                    <w:widowControl/>
                    <w:spacing w:line="240" w:lineRule="auto"/>
                    <w:ind w:firstLine="0" w:firstLineChars="0"/>
                    <w:jc w:val="center"/>
                    <w:textAlignment w:val="center"/>
                    <w:rPr>
                      <w:sz w:val="21"/>
                      <w:szCs w:val="21"/>
                      <w:lang w:bidi="ar"/>
                    </w:rPr>
                  </w:pPr>
                  <w:r>
                    <w:rPr>
                      <w:sz w:val="21"/>
                      <w:szCs w:val="21"/>
                      <w:lang w:bidi="ar"/>
                    </w:rPr>
                    <w:t>乙烷</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1,1二氯乙烷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9</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1,2二氯乙烷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1.3×10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二氯</w:t>
                  </w:r>
                </w:p>
                <w:p>
                  <w:pPr>
                    <w:widowControl/>
                    <w:spacing w:line="240" w:lineRule="auto"/>
                    <w:ind w:firstLine="0" w:firstLineChars="0"/>
                    <w:jc w:val="center"/>
                    <w:textAlignment w:val="center"/>
                    <w:rPr>
                      <w:sz w:val="21"/>
                      <w:szCs w:val="21"/>
                      <w:lang w:bidi="ar"/>
                    </w:rPr>
                  </w:pPr>
                  <w:r>
                    <w:rPr>
                      <w:sz w:val="21"/>
                      <w:szCs w:val="21"/>
                      <w:lang w:bidi="ar"/>
                    </w:rPr>
                    <w:t>乙烯</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1,1-二氯乙烯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0.8×10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66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pacing w:val="-11"/>
                      <w:sz w:val="21"/>
                      <w:szCs w:val="21"/>
                      <w:lang w:bidi="ar"/>
                    </w:rPr>
                    <w:t>顺-1,2-二氯乙烯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0.9×10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596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pacing w:val="-11"/>
                      <w:sz w:val="21"/>
                      <w:szCs w:val="21"/>
                      <w:lang w:bidi="ar"/>
                    </w:rPr>
                    <w:t>反-1,2-二氯乙烯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0.9×10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54</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二氯甲烷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2.6×10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616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1,2-二氯丙烷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1.9×10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四氯</w:t>
                  </w:r>
                </w:p>
                <w:p>
                  <w:pPr>
                    <w:widowControl/>
                    <w:spacing w:line="240" w:lineRule="auto"/>
                    <w:ind w:firstLine="0" w:firstLineChars="0"/>
                    <w:jc w:val="center"/>
                    <w:textAlignment w:val="center"/>
                    <w:rPr>
                      <w:sz w:val="21"/>
                      <w:szCs w:val="21"/>
                      <w:lang w:bidi="ar"/>
                    </w:rPr>
                  </w:pPr>
                  <w:r>
                    <w:rPr>
                      <w:sz w:val="21"/>
                      <w:szCs w:val="21"/>
                      <w:lang w:bidi="ar"/>
                    </w:rPr>
                    <w:t>乙烷</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pacing w:val="-11"/>
                      <w:sz w:val="21"/>
                      <w:szCs w:val="21"/>
                      <w:lang w:bidi="ar"/>
                    </w:rPr>
                    <w:t>1,1,1,2-四氯乙烷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pacing w:val="-11"/>
                      <w:sz w:val="21"/>
                      <w:szCs w:val="21"/>
                      <w:lang w:bidi="ar"/>
                    </w:rPr>
                    <w:t>1,1,2,2-四氯乙烷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6.8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四氯乙烯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0.8×10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53</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三氯</w:t>
                  </w:r>
                </w:p>
                <w:p>
                  <w:pPr>
                    <w:widowControl/>
                    <w:spacing w:line="240" w:lineRule="auto"/>
                    <w:ind w:firstLine="0" w:firstLineChars="0"/>
                    <w:jc w:val="center"/>
                    <w:textAlignment w:val="center"/>
                    <w:rPr>
                      <w:sz w:val="21"/>
                      <w:szCs w:val="21"/>
                      <w:lang w:bidi="ar"/>
                    </w:rPr>
                  </w:pPr>
                  <w:r>
                    <w:rPr>
                      <w:sz w:val="21"/>
                      <w:szCs w:val="21"/>
                      <w:lang w:bidi="ar"/>
                    </w:rPr>
                    <w:t>乙烷</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1,1,1-三氯乙烷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1.1×10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840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1,1,2-三氯乙烷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1.4×10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三氯乙烯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0.9×10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1,2,3-三氯丙烷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0.5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1.5×10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0.43</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4</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氯苯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1.1×10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270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二氯苯</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1,2-二氯苯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560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1,4-二氯苯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无量纲</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1.2×10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乙苯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1.2×10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1290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甲苯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2.0×10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1200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二甲苯</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间,对二甲苯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3.6×10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570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邻二甲苯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1.3×10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640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硝基苯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0.09L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76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苯胺</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0.66L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260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2-氯酚</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0.06L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2256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苯并[a]蒽</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苯并[a]芘</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苯并[b]荧蒽</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0.2L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苯并[k]荧蒽</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151</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䓛</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1293</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二苯并[a,h]蒽</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茚并[1,2,3-cd]芘</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15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萘</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0.09L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70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restart"/>
                  <w:tcBorders>
                    <w:top w:val="single" w:color="auto" w:sz="4" w:space="0"/>
                    <w:left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202</w:t>
                  </w:r>
                  <w:r>
                    <w:rPr>
                      <w:sz w:val="21"/>
                      <w:szCs w:val="21"/>
                    </w:rPr>
                    <w:t>3.</w:t>
                  </w:r>
                  <w:r>
                    <w:rPr>
                      <w:rFonts w:hint="eastAsia"/>
                      <w:sz w:val="21"/>
                      <w:szCs w:val="21"/>
                    </w:rPr>
                    <w:t>03.07</w:t>
                  </w:r>
                </w:p>
              </w:tc>
              <w:tc>
                <w:tcPr>
                  <w:tcW w:w="890" w:type="dxa"/>
                  <w:vMerge w:val="restart"/>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r>
                    <w:rPr>
                      <w:sz w:val="21"/>
                      <w:szCs w:val="21"/>
                    </w:rPr>
                    <w:t>S2</w:t>
                  </w:r>
                  <w:r>
                    <w:rPr>
                      <w:rFonts w:hint="eastAsia"/>
                      <w:sz w:val="21"/>
                      <w:szCs w:val="21"/>
                    </w:rPr>
                    <w:t>占地范围外表层样</w:t>
                  </w:r>
                </w:p>
              </w:tc>
              <w:tc>
                <w:tcPr>
                  <w:tcW w:w="846" w:type="dxa"/>
                  <w:vMerge w:val="restart"/>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0~0.2m</w:t>
                  </w:r>
                </w:p>
              </w:tc>
              <w:tc>
                <w:tcPr>
                  <w:tcW w:w="1985" w:type="dxa"/>
                  <w:gridSpan w:val="2"/>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水溶性盐含量</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rFonts w:hint="eastAsia"/>
                      <w:sz w:val="21"/>
                      <w:szCs w:val="21"/>
                    </w:rPr>
                    <w:t>mg</w:t>
                  </w:r>
                  <w:r>
                    <w:rPr>
                      <w:sz w:val="21"/>
                      <w:szCs w:val="21"/>
                    </w:rPr>
                    <w:t>/</w:t>
                  </w:r>
                  <w:r>
                    <w:rPr>
                      <w:rFonts w:hint="eastAsia"/>
                      <w:sz w:val="21"/>
                      <w:szCs w:val="21"/>
                    </w:rPr>
                    <w:t>kg</w:t>
                  </w:r>
                </w:p>
              </w:tc>
              <w:tc>
                <w:tcPr>
                  <w:tcW w:w="1072" w:type="dxa"/>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747</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spacing w:line="240" w:lineRule="auto"/>
                    <w:ind w:firstLine="0" w:firstLineChars="0"/>
                    <w:jc w:val="center"/>
                    <w:rPr>
                      <w:sz w:val="21"/>
                      <w:szCs w:val="21"/>
                      <w:lang w:bidi="ar"/>
                    </w:rPr>
                  </w:pPr>
                  <w:r>
                    <w:rPr>
                      <w:sz w:val="21"/>
                      <w:szCs w:val="21"/>
                    </w:rPr>
                    <w:t>pH</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无量纲</w:t>
                  </w:r>
                </w:p>
              </w:tc>
              <w:tc>
                <w:tcPr>
                  <w:tcW w:w="1072" w:type="dxa"/>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6.94</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镉</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0.02</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汞</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0.124</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5.78</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铅</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29</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40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铬</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72</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3</w:t>
                  </w:r>
                  <w:r>
                    <w:rPr>
                      <w:bCs/>
                      <w:sz w:val="21"/>
                      <w:szCs w:val="21"/>
                    </w:rPr>
                    <w:t>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铜</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20</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200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镍</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43</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锌</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106</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50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restart"/>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r>
                    <w:rPr>
                      <w:rFonts w:hint="eastAsia"/>
                      <w:sz w:val="21"/>
                      <w:szCs w:val="21"/>
                    </w:rPr>
                    <w:t>202</w:t>
                  </w:r>
                  <w:r>
                    <w:rPr>
                      <w:sz w:val="21"/>
                      <w:szCs w:val="21"/>
                    </w:rPr>
                    <w:t>3.</w:t>
                  </w:r>
                  <w:r>
                    <w:rPr>
                      <w:rFonts w:hint="eastAsia"/>
                      <w:sz w:val="21"/>
                      <w:szCs w:val="21"/>
                    </w:rPr>
                    <w:t>03.07</w:t>
                  </w:r>
                </w:p>
              </w:tc>
              <w:tc>
                <w:tcPr>
                  <w:tcW w:w="890" w:type="dxa"/>
                  <w:vMerge w:val="restart"/>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r>
                    <w:rPr>
                      <w:sz w:val="21"/>
                      <w:szCs w:val="21"/>
                    </w:rPr>
                    <w:t>S3</w:t>
                  </w:r>
                  <w:r>
                    <w:rPr>
                      <w:rFonts w:hint="eastAsia"/>
                      <w:sz w:val="21"/>
                      <w:szCs w:val="21"/>
                    </w:rPr>
                    <w:t>占地范围外表层样</w:t>
                  </w:r>
                </w:p>
              </w:tc>
              <w:tc>
                <w:tcPr>
                  <w:tcW w:w="846" w:type="dxa"/>
                  <w:vMerge w:val="restart"/>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0~0.2m</w:t>
                  </w:r>
                </w:p>
              </w:tc>
              <w:tc>
                <w:tcPr>
                  <w:tcW w:w="1985" w:type="dxa"/>
                  <w:gridSpan w:val="2"/>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水溶性盐含量</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rFonts w:hint="eastAsia"/>
                      <w:sz w:val="21"/>
                      <w:szCs w:val="21"/>
                    </w:rPr>
                    <w:t>mg</w:t>
                  </w:r>
                  <w:r>
                    <w:rPr>
                      <w:sz w:val="21"/>
                      <w:szCs w:val="21"/>
                    </w:rPr>
                    <w:t>/</w:t>
                  </w:r>
                  <w:r>
                    <w:rPr>
                      <w:rFonts w:hint="eastAsia"/>
                      <w:sz w:val="21"/>
                      <w:szCs w:val="21"/>
                    </w:rPr>
                    <w:t>kg</w:t>
                  </w:r>
                </w:p>
              </w:tc>
              <w:tc>
                <w:tcPr>
                  <w:tcW w:w="1072" w:type="dxa"/>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569</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spacing w:line="240" w:lineRule="auto"/>
                    <w:ind w:firstLine="0" w:firstLineChars="0"/>
                    <w:jc w:val="center"/>
                    <w:rPr>
                      <w:sz w:val="21"/>
                      <w:szCs w:val="21"/>
                      <w:lang w:bidi="ar"/>
                    </w:rPr>
                  </w:pPr>
                  <w:r>
                    <w:rPr>
                      <w:sz w:val="21"/>
                      <w:szCs w:val="21"/>
                    </w:rPr>
                    <w:t>pH</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无量纲</w:t>
                  </w:r>
                </w:p>
              </w:tc>
              <w:tc>
                <w:tcPr>
                  <w:tcW w:w="1072" w:type="dxa"/>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rPr>
                  </w:pPr>
                  <w:r>
                    <w:rPr>
                      <w:rFonts w:hint="eastAsia"/>
                      <w:sz w:val="21"/>
                      <w:szCs w:val="21"/>
                    </w:rPr>
                    <w:t>6.88</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4.28</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镉</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0.05</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六价铬</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0.5L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3</w:t>
                  </w:r>
                  <w:r>
                    <w:rPr>
                      <w:bCs/>
                      <w:sz w:val="21"/>
                      <w:szCs w:val="21"/>
                    </w:rPr>
                    <w:t>.0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铜</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2</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000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铅</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30</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4</w:t>
                  </w:r>
                  <w:r>
                    <w:rPr>
                      <w:bCs/>
                      <w:sz w:val="21"/>
                      <w:szCs w:val="21"/>
                    </w:rPr>
                    <w:t>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汞</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0.114</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镍</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18</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50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四氯化碳</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2.1×10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.9</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氯仿</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1.5×10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.3</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氯甲烷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rFonts w:hint="eastAsia"/>
                      <w:sz w:val="21"/>
                      <w:szCs w:val="21"/>
                    </w:rPr>
                    <w:t>3</w:t>
                  </w:r>
                  <w:r>
                    <w:rPr>
                      <w:sz w:val="21"/>
                      <w:szCs w:val="21"/>
                    </w:rPr>
                    <w:t>.0×10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二氯</w:t>
                  </w:r>
                </w:p>
                <w:p>
                  <w:pPr>
                    <w:widowControl/>
                    <w:spacing w:line="240" w:lineRule="auto"/>
                    <w:ind w:firstLine="0" w:firstLineChars="0"/>
                    <w:jc w:val="center"/>
                    <w:textAlignment w:val="center"/>
                    <w:rPr>
                      <w:sz w:val="21"/>
                      <w:szCs w:val="21"/>
                      <w:lang w:bidi="ar"/>
                    </w:rPr>
                  </w:pPr>
                  <w:r>
                    <w:rPr>
                      <w:sz w:val="21"/>
                      <w:szCs w:val="21"/>
                      <w:lang w:bidi="ar"/>
                    </w:rPr>
                    <w:t>乙烷</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1,1二氯乙烷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3</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1,2二氯乙烷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1.3×10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.52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二氯</w:t>
                  </w:r>
                </w:p>
                <w:p>
                  <w:pPr>
                    <w:widowControl/>
                    <w:spacing w:line="240" w:lineRule="auto"/>
                    <w:ind w:firstLine="0" w:firstLineChars="0"/>
                    <w:jc w:val="center"/>
                    <w:textAlignment w:val="center"/>
                    <w:rPr>
                      <w:sz w:val="21"/>
                      <w:szCs w:val="21"/>
                      <w:lang w:bidi="ar"/>
                    </w:rPr>
                  </w:pPr>
                  <w:r>
                    <w:rPr>
                      <w:sz w:val="21"/>
                      <w:szCs w:val="21"/>
                      <w:lang w:bidi="ar"/>
                    </w:rPr>
                    <w:t>乙烯</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1,1-二氯乙烯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0.8×10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pacing w:val="-11"/>
                      <w:sz w:val="21"/>
                      <w:szCs w:val="21"/>
                      <w:lang w:bidi="ar"/>
                    </w:rPr>
                    <w:t>顺-1,2-二氯乙烯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0.9×10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6</w:t>
                  </w:r>
                  <w:r>
                    <w:rPr>
                      <w:bCs/>
                      <w:sz w:val="21"/>
                      <w:szCs w:val="21"/>
                    </w:rPr>
                    <w:t>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pacing w:val="-11"/>
                      <w:sz w:val="21"/>
                      <w:szCs w:val="21"/>
                      <w:lang w:bidi="ar"/>
                    </w:rPr>
                    <w:t>反-1,2-二氯乙烯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0.9×10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二氯甲烷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2.6×10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9</w:t>
                  </w:r>
                  <w:r>
                    <w:rPr>
                      <w:bCs/>
                      <w:sz w:val="21"/>
                      <w:szCs w:val="21"/>
                    </w:rPr>
                    <w:t>4</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1,2-二氯丙烷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1.9×10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四氯</w:t>
                  </w:r>
                </w:p>
                <w:p>
                  <w:pPr>
                    <w:widowControl/>
                    <w:spacing w:line="240" w:lineRule="auto"/>
                    <w:ind w:firstLine="0" w:firstLineChars="0"/>
                    <w:jc w:val="center"/>
                    <w:textAlignment w:val="center"/>
                    <w:rPr>
                      <w:sz w:val="21"/>
                      <w:szCs w:val="21"/>
                      <w:lang w:bidi="ar"/>
                    </w:rPr>
                  </w:pPr>
                  <w:r>
                    <w:rPr>
                      <w:sz w:val="21"/>
                      <w:szCs w:val="21"/>
                      <w:lang w:bidi="ar"/>
                    </w:rPr>
                    <w:t>乙烷</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pacing w:val="-11"/>
                      <w:sz w:val="21"/>
                      <w:szCs w:val="21"/>
                      <w:lang w:bidi="ar"/>
                    </w:rPr>
                    <w:t>1,1,1,2-四氯乙烷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pacing w:val="-11"/>
                      <w:sz w:val="21"/>
                      <w:szCs w:val="21"/>
                      <w:lang w:bidi="ar"/>
                    </w:rPr>
                    <w:t>1,1,2,2-四氯乙烷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四氯乙烯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0.8×10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1</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三氯</w:t>
                  </w:r>
                </w:p>
                <w:p>
                  <w:pPr>
                    <w:widowControl/>
                    <w:spacing w:line="240" w:lineRule="auto"/>
                    <w:ind w:firstLine="0" w:firstLineChars="0"/>
                    <w:jc w:val="center"/>
                    <w:textAlignment w:val="center"/>
                    <w:rPr>
                      <w:sz w:val="21"/>
                      <w:szCs w:val="21"/>
                      <w:lang w:bidi="ar"/>
                    </w:rPr>
                  </w:pPr>
                  <w:r>
                    <w:rPr>
                      <w:sz w:val="21"/>
                      <w:szCs w:val="21"/>
                      <w:lang w:bidi="ar"/>
                    </w:rPr>
                    <w:t>乙烷</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1,1,1-三氯乙烷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1.1×10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7</w:t>
                  </w:r>
                  <w:r>
                    <w:rPr>
                      <w:bCs/>
                      <w:sz w:val="21"/>
                      <w:szCs w:val="21"/>
                    </w:rPr>
                    <w:t>01</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1,1,2-三氯乙烷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1.4×10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adjustRightInd w:val="0"/>
                    <w:snapToGrid w:val="0"/>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三氯乙烯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0.9×10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.7</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1,2,3-三氯丙烷</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.05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1.5×10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.12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氯苯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1.1×10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6</w:t>
                  </w:r>
                  <w:r>
                    <w:rPr>
                      <w:bCs/>
                      <w:sz w:val="21"/>
                      <w:szCs w:val="21"/>
                    </w:rPr>
                    <w:t>8</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二氯苯</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1,2-二氯苯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5</w:t>
                  </w:r>
                  <w:r>
                    <w:rPr>
                      <w:bCs/>
                      <w:sz w:val="21"/>
                      <w:szCs w:val="21"/>
                    </w:rPr>
                    <w:t>60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1,4-二氯苯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无量纲</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1.2×10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5</w:t>
                  </w:r>
                  <w:r>
                    <w:rPr>
                      <w:bCs/>
                      <w:sz w:val="21"/>
                      <w:szCs w:val="21"/>
                    </w:rPr>
                    <w:t>.6</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乙苯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1.2×10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7</w:t>
                  </w:r>
                  <w:r>
                    <w:rPr>
                      <w:bCs/>
                      <w:sz w:val="21"/>
                      <w:szCs w:val="21"/>
                    </w:rPr>
                    <w:t>.2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苯乙烯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290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甲苯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2.0×10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200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restart"/>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二甲苯</w:t>
                  </w: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间,对二甲苯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3.6×10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1</w:t>
                  </w:r>
                  <w:r>
                    <w:rPr>
                      <w:bCs/>
                      <w:sz w:val="21"/>
                      <w:szCs w:val="21"/>
                    </w:rPr>
                    <w:t>63</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569" w:type="dxa"/>
                  <w:vMerge w:val="continue"/>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p>
              </w:tc>
              <w:tc>
                <w:tcPr>
                  <w:tcW w:w="1416" w:type="dxa"/>
                  <w:tcBorders>
                    <w:top w:val="single" w:color="auto" w:sz="4" w:space="0"/>
                    <w:bottom w:val="single" w:color="auto" w:sz="4" w:space="0"/>
                  </w:tcBorders>
                  <w:vAlign w:val="center"/>
                </w:tcPr>
                <w:p>
                  <w:pPr>
                    <w:widowControl/>
                    <w:spacing w:line="240" w:lineRule="auto"/>
                    <w:ind w:firstLine="0" w:firstLineChars="0"/>
                    <w:jc w:val="center"/>
                    <w:textAlignment w:val="center"/>
                  </w:pPr>
                  <w:r>
                    <w:rPr>
                      <w:sz w:val="21"/>
                      <w:szCs w:val="21"/>
                      <w:lang w:bidi="ar"/>
                    </w:rPr>
                    <w:t>邻二甲苯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1.3×10</w:t>
                  </w:r>
                  <w:r>
                    <w:rPr>
                      <w:sz w:val="21"/>
                      <w:szCs w:val="21"/>
                      <w:vertAlign w:val="superscript"/>
                    </w:rPr>
                    <w:t>-3</w:t>
                  </w:r>
                  <w:r>
                    <w:rPr>
                      <w:sz w:val="21"/>
                      <w:szCs w:val="21"/>
                    </w:rPr>
                    <w:t>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22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硝基苯</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0.09L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3</w:t>
                  </w:r>
                  <w:r>
                    <w:rPr>
                      <w:bCs/>
                      <w:sz w:val="21"/>
                      <w:szCs w:val="21"/>
                    </w:rPr>
                    <w:t>4</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苯胺</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0.66L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9</w:t>
                  </w:r>
                  <w:r>
                    <w:rPr>
                      <w:bCs/>
                      <w:sz w:val="21"/>
                      <w:szCs w:val="21"/>
                    </w:rPr>
                    <w:t>2</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2-氯酚</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0.06L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50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苯并[a]蒽</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5</w:t>
                  </w:r>
                  <w:r>
                    <w:rPr>
                      <w:bCs/>
                      <w:sz w:val="21"/>
                      <w:szCs w:val="21"/>
                    </w:rPr>
                    <w:t>.5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苯并[a]芘</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.55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苯并[b]荧蒽</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0.2L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5</w:t>
                  </w:r>
                  <w:r>
                    <w:rPr>
                      <w:bCs/>
                      <w:sz w:val="21"/>
                      <w:szCs w:val="21"/>
                    </w:rPr>
                    <w:t>.5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苯并[k]荧蒽</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5</w:t>
                  </w:r>
                  <w:r>
                    <w:rPr>
                      <w:bCs/>
                      <w:sz w:val="21"/>
                      <w:szCs w:val="21"/>
                    </w:rPr>
                    <w:t>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䓛</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4</w:t>
                  </w:r>
                  <w:r>
                    <w:rPr>
                      <w:bCs/>
                      <w:sz w:val="21"/>
                      <w:szCs w:val="21"/>
                    </w:rPr>
                    <w:t>90</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二苯并[a,h]蒽</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0</w:t>
                  </w:r>
                  <w:r>
                    <w:rPr>
                      <w:bCs/>
                      <w:sz w:val="21"/>
                      <w:szCs w:val="21"/>
                    </w:rPr>
                    <w:t>.55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茚并[1,2,3-cd]芘</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0.1L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5</w:t>
                  </w:r>
                  <w:r>
                    <w:rPr>
                      <w:bCs/>
                      <w:sz w:val="21"/>
                      <w:szCs w:val="21"/>
                    </w:rPr>
                    <w:t>.5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962" w:type="dxa"/>
                  <w:vMerge w:val="continue"/>
                  <w:tcBorders>
                    <w:top w:val="single" w:color="auto" w:sz="4" w:space="0"/>
                    <w:left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90"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846" w:type="dxa"/>
                  <w:vMerge w:val="continue"/>
                  <w:tcBorders>
                    <w:top w:val="single" w:color="auto" w:sz="4" w:space="0"/>
                    <w:bottom w:val="single" w:color="auto" w:sz="4" w:space="0"/>
                  </w:tcBorders>
                  <w:vAlign w:val="center"/>
                </w:tcPr>
                <w:p>
                  <w:pPr>
                    <w:widowControl/>
                    <w:spacing w:line="240" w:lineRule="auto"/>
                    <w:ind w:firstLine="0" w:firstLineChars="0"/>
                    <w:jc w:val="center"/>
                    <w:rPr>
                      <w:sz w:val="21"/>
                      <w:szCs w:val="21"/>
                    </w:rPr>
                  </w:pPr>
                </w:p>
              </w:tc>
              <w:tc>
                <w:tcPr>
                  <w:tcW w:w="1985" w:type="dxa"/>
                  <w:gridSpan w:val="2"/>
                  <w:tcBorders>
                    <w:top w:val="single" w:color="auto" w:sz="4" w:space="0"/>
                    <w:bottom w:val="single" w:color="auto" w:sz="4" w:space="0"/>
                  </w:tcBorders>
                  <w:vAlign w:val="center"/>
                </w:tcPr>
                <w:p>
                  <w:pPr>
                    <w:widowControl/>
                    <w:spacing w:line="240" w:lineRule="auto"/>
                    <w:ind w:firstLine="0" w:firstLineChars="0"/>
                    <w:jc w:val="center"/>
                    <w:textAlignment w:val="center"/>
                    <w:rPr>
                      <w:sz w:val="21"/>
                      <w:szCs w:val="21"/>
                      <w:lang w:bidi="ar"/>
                    </w:rPr>
                  </w:pPr>
                  <w:r>
                    <w:rPr>
                      <w:sz w:val="21"/>
                      <w:szCs w:val="21"/>
                      <w:lang w:bidi="ar"/>
                    </w:rPr>
                    <w:t>萘</w:t>
                  </w:r>
                </w:p>
              </w:tc>
              <w:tc>
                <w:tcPr>
                  <w:tcW w:w="1088" w:type="dxa"/>
                  <w:tcBorders>
                    <w:top w:val="single" w:color="auto" w:sz="4" w:space="0"/>
                    <w:bottom w:val="single" w:color="auto" w:sz="4" w:space="0"/>
                  </w:tcBorders>
                  <w:vAlign w:val="center"/>
                </w:tcPr>
                <w:p>
                  <w:pPr>
                    <w:widowControl/>
                    <w:spacing w:line="240" w:lineRule="auto"/>
                    <w:ind w:firstLine="0" w:firstLineChars="0"/>
                    <w:jc w:val="center"/>
                    <w:rPr>
                      <w:sz w:val="21"/>
                      <w:szCs w:val="21"/>
                    </w:rPr>
                  </w:pPr>
                  <w:r>
                    <w:rPr>
                      <w:sz w:val="21"/>
                      <w:szCs w:val="21"/>
                    </w:rPr>
                    <w:t>mg/kg</w:t>
                  </w:r>
                </w:p>
              </w:tc>
              <w:tc>
                <w:tcPr>
                  <w:tcW w:w="1072" w:type="dxa"/>
                  <w:tcBorders>
                    <w:top w:val="single" w:color="auto" w:sz="4" w:space="0"/>
                    <w:bottom w:val="single" w:color="auto" w:sz="4" w:space="0"/>
                  </w:tcBorders>
                  <w:vAlign w:val="center"/>
                </w:tcPr>
                <w:p>
                  <w:pPr>
                    <w:spacing w:line="240" w:lineRule="auto"/>
                    <w:ind w:firstLine="0" w:firstLineChars="0"/>
                    <w:jc w:val="center"/>
                    <w:rPr>
                      <w:sz w:val="21"/>
                      <w:szCs w:val="21"/>
                    </w:rPr>
                  </w:pPr>
                  <w:r>
                    <w:rPr>
                      <w:sz w:val="21"/>
                      <w:szCs w:val="21"/>
                    </w:rPr>
                    <w:t>0.09L</w:t>
                  </w:r>
                </w:p>
              </w:tc>
              <w:tc>
                <w:tcPr>
                  <w:tcW w:w="1004" w:type="dxa"/>
                  <w:tcBorders>
                    <w:top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2</w:t>
                  </w:r>
                  <w:r>
                    <w:rPr>
                      <w:bCs/>
                      <w:sz w:val="21"/>
                      <w:szCs w:val="21"/>
                    </w:rPr>
                    <w:t>5</w:t>
                  </w:r>
                </w:p>
              </w:tc>
            </w:tr>
            <w:tr>
              <w:tblPrEx>
                <w:tblBorders>
                  <w:top w:val="single" w:color="auto" w:sz="12" w:space="0"/>
                  <w:left w:val="none" w:color="auto" w:sz="0" w:space="0"/>
                  <w:bottom w:val="single" w:color="auto" w:sz="12" w:space="0"/>
                  <w:right w:val="none" w:color="auto" w:sz="0" w:space="0"/>
                  <w:insideH w:val="dotted" w:color="auto" w:sz="4" w:space="0"/>
                  <w:insideV w:val="single" w:color="auto" w:sz="4" w:space="0"/>
                </w:tblBorders>
                <w:tblCellMar>
                  <w:top w:w="0" w:type="dxa"/>
                  <w:left w:w="23" w:type="dxa"/>
                  <w:bottom w:w="0" w:type="dxa"/>
                  <w:right w:w="23" w:type="dxa"/>
                </w:tblCellMar>
              </w:tblPrEx>
              <w:trPr>
                <w:trHeight w:val="340" w:hRule="atLeast"/>
                <w:jc w:val="center"/>
              </w:trPr>
              <w:tc>
                <w:tcPr>
                  <w:tcW w:w="7847" w:type="dxa"/>
                  <w:gridSpan w:val="8"/>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sz w:val="21"/>
                      <w:szCs w:val="21"/>
                    </w:rPr>
                    <w:t>备注：1、</w:t>
                  </w:r>
                  <w:r>
                    <w:rPr>
                      <w:rFonts w:hint="eastAsia" w:ascii="宋体" w:hAnsi="宋体" w:cs="宋体"/>
                      <w:sz w:val="21"/>
                      <w:szCs w:val="21"/>
                    </w:rPr>
                    <w:t>“</w:t>
                  </w:r>
                  <w:r>
                    <w:rPr>
                      <w:sz w:val="21"/>
                      <w:szCs w:val="21"/>
                    </w:rPr>
                    <w:t>检出限+</w:t>
                  </w:r>
                  <w:r>
                    <w:rPr>
                      <w:rFonts w:hint="eastAsia"/>
                      <w:sz w:val="21"/>
                      <w:szCs w:val="21"/>
                    </w:rPr>
                    <w:t>L</w:t>
                  </w:r>
                  <w:r>
                    <w:rPr>
                      <w:rFonts w:hint="eastAsia" w:ascii="宋体" w:hAnsi="宋体" w:cs="宋体"/>
                      <w:sz w:val="21"/>
                      <w:szCs w:val="21"/>
                    </w:rPr>
                    <w:t>”</w:t>
                  </w:r>
                  <w:r>
                    <w:rPr>
                      <w:sz w:val="21"/>
                      <w:szCs w:val="21"/>
                    </w:rPr>
                    <w:t>表示检测结果低于本方法检出限，未检出；</w:t>
                  </w:r>
                </w:p>
                <w:p>
                  <w:pPr>
                    <w:spacing w:line="240" w:lineRule="auto"/>
                    <w:ind w:firstLine="658" w:firstLineChars="350"/>
                    <w:rPr>
                      <w:sz w:val="21"/>
                      <w:szCs w:val="21"/>
                    </w:rPr>
                  </w:pPr>
                  <w:r>
                    <w:rPr>
                      <w:rFonts w:hint="eastAsia"/>
                      <w:spacing w:val="-11"/>
                      <w:sz w:val="21"/>
                      <w:szCs w:val="21"/>
                    </w:rPr>
                    <w:t>2、S</w:t>
                  </w:r>
                  <w:r>
                    <w:rPr>
                      <w:spacing w:val="-11"/>
                      <w:sz w:val="21"/>
                      <w:szCs w:val="21"/>
                    </w:rPr>
                    <w:t>1执行《土壤环境质量 建设用地土壤污染风险管控标准》（GB 36600-2018）表1中第二类用地筛选值</w:t>
                  </w:r>
                  <w:r>
                    <w:rPr>
                      <w:rFonts w:hint="eastAsia"/>
                      <w:spacing w:val="-11"/>
                      <w:sz w:val="21"/>
                      <w:szCs w:val="21"/>
                    </w:rPr>
                    <w:t>；S</w:t>
                  </w:r>
                  <w:r>
                    <w:rPr>
                      <w:spacing w:val="-11"/>
                      <w:sz w:val="21"/>
                      <w:szCs w:val="21"/>
                    </w:rPr>
                    <w:t>2</w:t>
                  </w:r>
                  <w:r>
                    <w:rPr>
                      <w:rFonts w:hint="eastAsia"/>
                      <w:spacing w:val="-11"/>
                      <w:sz w:val="21"/>
                      <w:szCs w:val="21"/>
                    </w:rPr>
                    <w:t>执行《土壤环境质量 农用地土壤污染风险管控标准（试行）》（GB 15618-2018）风险筛选值；S</w:t>
                  </w:r>
                  <w:r>
                    <w:rPr>
                      <w:spacing w:val="-11"/>
                      <w:sz w:val="21"/>
                      <w:szCs w:val="21"/>
                    </w:rPr>
                    <w:t>3</w:t>
                  </w:r>
                  <w:r>
                    <w:rPr>
                      <w:rFonts w:hint="eastAsia"/>
                      <w:spacing w:val="-11"/>
                      <w:sz w:val="21"/>
                      <w:szCs w:val="21"/>
                    </w:rPr>
                    <w:t>执行</w:t>
                  </w:r>
                  <w:r>
                    <w:rPr>
                      <w:spacing w:val="-11"/>
                      <w:sz w:val="21"/>
                      <w:szCs w:val="21"/>
                    </w:rPr>
                    <w:t>《土壤环境质量 建设用地土壤污染风险管控标准》（GB 36600-2018）表1中第</w:t>
                  </w:r>
                  <w:r>
                    <w:rPr>
                      <w:rFonts w:hint="eastAsia"/>
                      <w:spacing w:val="-11"/>
                      <w:sz w:val="21"/>
                      <w:szCs w:val="21"/>
                    </w:rPr>
                    <w:t>一</w:t>
                  </w:r>
                  <w:r>
                    <w:rPr>
                      <w:spacing w:val="-11"/>
                      <w:sz w:val="21"/>
                      <w:szCs w:val="21"/>
                    </w:rPr>
                    <w:t>类用地筛选值</w:t>
                  </w:r>
                  <w:r>
                    <w:rPr>
                      <w:rFonts w:hint="eastAsia"/>
                      <w:spacing w:val="-11"/>
                      <w:sz w:val="21"/>
                      <w:szCs w:val="21"/>
                    </w:rPr>
                    <w:t>。</w:t>
                  </w:r>
                </w:p>
              </w:tc>
            </w:tr>
          </w:tbl>
          <w:p>
            <w:pPr>
              <w:spacing w:line="360" w:lineRule="auto"/>
              <w:ind w:firstLine="480"/>
              <w:rPr>
                <w:color w:val="FF0000"/>
              </w:rPr>
            </w:pPr>
            <w:r>
              <w:rPr>
                <w:rFonts w:hint="eastAsia"/>
              </w:rPr>
              <w:t>根据检测结果，S</w:t>
            </w:r>
            <w:r>
              <w:t>1</w:t>
            </w:r>
            <w:r>
              <w:rPr>
                <w:rFonts w:hint="eastAsia"/>
              </w:rPr>
              <w:t>监测点位满足《土壤环境质量 建设用地土壤污染风险管控标准（试行）》（GB 36600-2018）表1中第二类用地筛选值，S</w:t>
            </w:r>
            <w:r>
              <w:t>2</w:t>
            </w:r>
            <w:r>
              <w:rPr>
                <w:rFonts w:hint="eastAsia"/>
              </w:rPr>
              <w:t>、监测点位满足《土壤环境质量 农用地土壤污染风险管控标准（试行）》（GB 15618-2018）表1中风险筛选值；S</w:t>
            </w:r>
            <w:r>
              <w:t>3</w:t>
            </w:r>
            <w:r>
              <w:rPr>
                <w:rFonts w:hint="eastAsia"/>
              </w:rPr>
              <w:t>监测点位满足《土壤环境质量 建设用地土壤污染风险管控标准（试行）》（GB 36600-2018）表1中第一类用地筛选值。</w:t>
            </w:r>
          </w:p>
          <w:p>
            <w:pPr>
              <w:spacing w:line="360" w:lineRule="auto"/>
              <w:ind w:firstLine="480"/>
            </w:pPr>
            <w:r>
              <w:rPr>
                <w:rFonts w:hint="eastAsia"/>
              </w:rPr>
              <w:t>本项目S</w:t>
            </w:r>
            <w:r>
              <w:t>1-</w:t>
            </w:r>
            <w:r>
              <w:rPr>
                <w:rFonts w:hint="eastAsia"/>
              </w:rPr>
              <w:t>S</w:t>
            </w:r>
            <w:r>
              <w:t>3</w:t>
            </w:r>
            <w:r>
              <w:rPr>
                <w:rFonts w:hint="eastAsia"/>
              </w:rPr>
              <w:t>监测点p</w:t>
            </w:r>
            <w:r>
              <w:t>H</w:t>
            </w:r>
            <w:r>
              <w:rPr>
                <w:rFonts w:hint="eastAsia"/>
              </w:rPr>
              <w:t>在</w:t>
            </w:r>
            <w:r>
              <w:t>5.5-8.5</w:t>
            </w:r>
            <w:r>
              <w:rPr>
                <w:rFonts w:hint="eastAsia"/>
              </w:rPr>
              <w:t>之间，水溶性盐含量在569-747m</w:t>
            </w:r>
            <w:r>
              <w:t>g/kg</w:t>
            </w:r>
            <w:r>
              <w:rPr>
                <w:rFonts w:hint="eastAsia"/>
              </w:rPr>
              <w:t>之间，依据《环境影响评价技术导则 土壤环境（试行）》（H</w:t>
            </w:r>
            <w:r>
              <w:t>J 964-2018</w:t>
            </w:r>
            <w:r>
              <w:rPr>
                <w:rFonts w:hint="eastAsia"/>
              </w:rPr>
              <w:t>）附录D，项目区域土壤为不敏感。</w:t>
            </w:r>
          </w:p>
          <w:p>
            <w:pPr>
              <w:spacing w:line="360" w:lineRule="auto"/>
              <w:ind w:firstLine="480"/>
            </w:pPr>
          </w:p>
          <w:p>
            <w:pPr>
              <w:spacing w:line="360" w:lineRule="auto"/>
              <w:ind w:firstLine="0" w:firstLineChars="0"/>
              <w:rPr>
                <w:b/>
                <w:sz w:val="28"/>
                <w:u w:val="single"/>
              </w:rPr>
            </w:pPr>
            <w:r>
              <w:rPr>
                <w:rFonts w:hint="eastAsia"/>
                <w:b/>
                <w:sz w:val="28"/>
                <w:u w:val="single"/>
              </w:rPr>
              <w:t>6、地下水环境质量现状</w:t>
            </w:r>
          </w:p>
          <w:p>
            <w:pPr>
              <w:spacing w:line="360" w:lineRule="auto"/>
              <w:ind w:firstLine="480"/>
              <w:rPr>
                <w:u w:val="single"/>
              </w:rPr>
            </w:pPr>
            <w:r>
              <w:rPr>
                <w:rFonts w:hint="eastAsia"/>
                <w:u w:val="single"/>
              </w:rPr>
              <w:t>本次引用《湖南恒创睿能新能源科技有限公司20kt/a锂电三元材料循环利用生产线建设项目环境影响报告书》中湖南中胜检测技术有限公司于2022年11月21日在张家大屋（距本项目约3.5km）进行的地下水采样监测数据，具体监测数据详见下表。</w:t>
            </w:r>
          </w:p>
          <w:p>
            <w:pPr>
              <w:spacing w:line="360" w:lineRule="auto"/>
              <w:ind w:firstLine="0" w:firstLineChars="0"/>
              <w:jc w:val="center"/>
              <w:rPr>
                <w:u w:val="single"/>
              </w:rPr>
            </w:pPr>
            <w:r>
              <w:rPr>
                <w:rFonts w:hint="eastAsia"/>
                <w:u w:val="single"/>
              </w:rPr>
              <w:t>表3-9</w:t>
            </w:r>
            <w:r>
              <w:rPr>
                <w:u w:val="single"/>
              </w:rPr>
              <w:t xml:space="preserve"> </w:t>
            </w:r>
            <w:r>
              <w:rPr>
                <w:rFonts w:hint="eastAsia"/>
                <w:u w:val="single"/>
              </w:rPr>
              <w:t>地下水监测数据一览表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92"/>
              <w:gridCol w:w="1271"/>
              <w:gridCol w:w="1584"/>
              <w:gridCol w:w="924"/>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监测项目</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计量单位</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检测结果</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Ⅲ类标准限值</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指数值</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p</w:t>
                  </w:r>
                  <w:r>
                    <w:rPr>
                      <w:sz w:val="21"/>
                      <w:szCs w:val="21"/>
                    </w:rPr>
                    <w:t>H</w:t>
                  </w:r>
                  <w:r>
                    <w:rPr>
                      <w:rFonts w:hint="eastAsia"/>
                      <w:sz w:val="21"/>
                      <w:szCs w:val="21"/>
                    </w:rPr>
                    <w:t>值</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无量纲</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6</w:t>
                  </w:r>
                  <w:r>
                    <w:rPr>
                      <w:sz w:val="21"/>
                      <w:szCs w:val="21"/>
                    </w:rPr>
                    <w:t>.9</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6</w:t>
                  </w:r>
                  <w:r>
                    <w:rPr>
                      <w:sz w:val="21"/>
                      <w:szCs w:val="21"/>
                    </w:rPr>
                    <w:t>.5~8.5</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0.2</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总硬度</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sz w:val="21"/>
                      <w:szCs w:val="21"/>
                    </w:rPr>
                    <w:t>68</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≤450</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0.151</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溶解性总固体</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sz w:val="21"/>
                      <w:szCs w:val="21"/>
                    </w:rPr>
                    <w:t>141</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≤1000</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0.141</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硫酸盐</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5</w:t>
                  </w:r>
                  <w:r>
                    <w:rPr>
                      <w:sz w:val="21"/>
                      <w:szCs w:val="21"/>
                    </w:rPr>
                    <w:t>.66</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≤250</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0.01064</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氯化物</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1</w:t>
                  </w:r>
                  <w:r>
                    <w:rPr>
                      <w:sz w:val="21"/>
                      <w:szCs w:val="21"/>
                    </w:rPr>
                    <w:t>3.3</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≤250</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0.0532</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铁</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sz w:val="21"/>
                      <w:szCs w:val="21"/>
                    </w:rPr>
                    <w:t>ND</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≤0.3</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0.05</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锰</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sz w:val="21"/>
                      <w:szCs w:val="21"/>
                    </w:rPr>
                    <w:t>ND</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≤0.10</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0.05</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氨氮</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w:t>
                  </w:r>
                  <w:r>
                    <w:rPr>
                      <w:sz w:val="21"/>
                      <w:szCs w:val="21"/>
                    </w:rPr>
                    <w:t>.147</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≤0.5</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0.294</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钠</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1</w:t>
                  </w:r>
                  <w:r>
                    <w:rPr>
                      <w:sz w:val="21"/>
                      <w:szCs w:val="21"/>
                    </w:rPr>
                    <w:t>1.8</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≤200</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0.059</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总大肠菌群</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w:t>
                  </w:r>
                  <w:r>
                    <w:rPr>
                      <w:sz w:val="21"/>
                      <w:szCs w:val="21"/>
                    </w:rPr>
                    <w:t>PN</w:t>
                  </w:r>
                  <w:r>
                    <w:rPr>
                      <w:rFonts w:hint="eastAsia"/>
                      <w:sz w:val="21"/>
                      <w:szCs w:val="21"/>
                      <w:vertAlign w:val="superscript"/>
                    </w:rPr>
                    <w:t>b</w:t>
                  </w:r>
                  <w:r>
                    <w:rPr>
                      <w:sz w:val="21"/>
                      <w:szCs w:val="21"/>
                    </w:rPr>
                    <w:t>/100</w:t>
                  </w:r>
                  <w:r>
                    <w:rPr>
                      <w:rFonts w:hint="eastAsia"/>
                      <w:sz w:val="21"/>
                      <w:szCs w:val="21"/>
                    </w:rPr>
                    <w:t>m</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b/>
                      <w:sz w:val="21"/>
                      <w:szCs w:val="21"/>
                    </w:rPr>
                  </w:pPr>
                  <w:r>
                    <w:rPr>
                      <w:sz w:val="21"/>
                      <w:szCs w:val="21"/>
                    </w:rPr>
                    <w:t>ND</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≤3.0</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0.333</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菌落总数</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C</w:t>
                  </w:r>
                  <w:r>
                    <w:rPr>
                      <w:sz w:val="21"/>
                      <w:szCs w:val="21"/>
                    </w:rPr>
                    <w:t>FU/</w:t>
                  </w:r>
                  <w:r>
                    <w:rPr>
                      <w:rFonts w:hint="eastAsia"/>
                      <w:sz w:val="21"/>
                      <w:szCs w:val="21"/>
                    </w:rPr>
                    <w:t>m</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4</w:t>
                  </w:r>
                  <w:r>
                    <w:rPr>
                      <w:sz w:val="21"/>
                      <w:szCs w:val="21"/>
                    </w:rPr>
                    <w:t>6</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sz w:val="21"/>
                      <w:szCs w:val="21"/>
                    </w:rPr>
                    <w:t>≤100</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0.46</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钾</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0</w:t>
                  </w:r>
                  <w:r>
                    <w:rPr>
                      <w:sz w:val="21"/>
                      <w:szCs w:val="21"/>
                    </w:rPr>
                    <w:t>.83</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钙</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1</w:t>
                  </w:r>
                  <w:r>
                    <w:rPr>
                      <w:sz w:val="21"/>
                      <w:szCs w:val="21"/>
                    </w:rPr>
                    <w:t>8.5</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镁</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1</w:t>
                  </w:r>
                  <w:r>
                    <w:rPr>
                      <w:sz w:val="21"/>
                      <w:szCs w:val="21"/>
                    </w:rPr>
                    <w:t>.92</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碳酸根</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N</w:t>
                  </w:r>
                  <w:r>
                    <w:rPr>
                      <w:sz w:val="21"/>
                      <w:szCs w:val="21"/>
                    </w:rPr>
                    <w:t>D</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6"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碳酸氢根</w:t>
                  </w:r>
                </w:p>
              </w:tc>
              <w:tc>
                <w:tcPr>
                  <w:tcW w:w="154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mg</w:t>
                  </w:r>
                  <w:r>
                    <w:rPr>
                      <w:sz w:val="21"/>
                      <w:szCs w:val="21"/>
                    </w:rPr>
                    <w:t>/L</w:t>
                  </w:r>
                </w:p>
              </w:tc>
              <w:tc>
                <w:tcPr>
                  <w:tcW w:w="1237"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3</w:t>
                  </w:r>
                  <w:r>
                    <w:rPr>
                      <w:sz w:val="21"/>
                      <w:szCs w:val="21"/>
                    </w:rPr>
                    <w:t>3.7</w:t>
                  </w:r>
                </w:p>
              </w:tc>
              <w:tc>
                <w:tcPr>
                  <w:tcW w:w="1541"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899"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c>
                <w:tcPr>
                  <w:tcW w:w="1128" w:type="dxa"/>
                  <w:shd w:val="clear" w:color="auto" w:fill="auto"/>
                  <w:vAlign w:val="center"/>
                </w:tcPr>
                <w:p>
                  <w:pPr>
                    <w:adjustRightInd w:val="0"/>
                    <w:snapToGrid w:val="0"/>
                    <w:spacing w:line="240" w:lineRule="auto"/>
                    <w:ind w:firstLine="0" w:firstLineChars="0"/>
                    <w:jc w:val="center"/>
                    <w:rPr>
                      <w:sz w:val="21"/>
                      <w:szCs w:val="21"/>
                    </w:rPr>
                  </w:pPr>
                  <w:r>
                    <w:rPr>
                      <w:rFonts w:hint="eastAsia"/>
                      <w:sz w:val="21"/>
                      <w:szCs w:val="21"/>
                    </w:rPr>
                    <w:t>—</w:t>
                  </w:r>
                </w:p>
              </w:tc>
            </w:tr>
          </w:tbl>
          <w:p>
            <w:pPr>
              <w:spacing w:line="360" w:lineRule="auto"/>
              <w:ind w:firstLine="480"/>
              <w:rPr>
                <w:u w:val="single"/>
              </w:rPr>
            </w:pPr>
            <w:r>
              <w:rPr>
                <w:u w:val="single"/>
              </w:rPr>
              <w:t>根据上表监测结果可知，本项目所在区域地下水各项监测因子均满足《地下水质量标准》（GB14848-2017）中Ⅲ类标准</w:t>
            </w:r>
            <w:r>
              <w:rPr>
                <w:rFonts w:hint="eastAsia"/>
                <w:u w:val="single"/>
              </w:rPr>
              <w:t>，地下水环境现状良好</w:t>
            </w:r>
            <w:r>
              <w:rPr>
                <w:u w:val="single"/>
              </w:rPr>
              <w:t>。</w:t>
            </w:r>
          </w:p>
          <w:p>
            <w:pPr>
              <w:spacing w:line="360" w:lineRule="auto"/>
              <w:ind w:firstLine="0" w:firstLineChars="0"/>
              <w:rPr>
                <w:b/>
                <w:sz w:val="28"/>
              </w:rPr>
            </w:pPr>
            <w:r>
              <w:rPr>
                <w:rFonts w:hint="eastAsia"/>
                <w:b/>
                <w:sz w:val="28"/>
              </w:rPr>
              <w:t>7、生态环境质量现状</w:t>
            </w:r>
          </w:p>
          <w:p>
            <w:pPr>
              <w:spacing w:line="360" w:lineRule="auto"/>
              <w:ind w:firstLine="0" w:firstLineChars="0"/>
              <w:rPr>
                <w:b/>
              </w:rPr>
            </w:pPr>
            <w:r>
              <w:rPr>
                <w:rFonts w:hint="eastAsia"/>
                <w:b/>
              </w:rPr>
              <w:t>7</w:t>
            </w:r>
            <w:r>
              <w:rPr>
                <w:b/>
              </w:rPr>
              <w:t>.1</w:t>
            </w:r>
            <w:r>
              <w:rPr>
                <w:rFonts w:hint="eastAsia"/>
                <w:b/>
              </w:rPr>
              <w:t>调查范围确定</w:t>
            </w:r>
          </w:p>
          <w:p>
            <w:pPr>
              <w:spacing w:line="360" w:lineRule="auto"/>
              <w:ind w:firstLine="480"/>
              <w:rPr>
                <w:snapToGrid/>
              </w:rPr>
            </w:pPr>
            <w:r>
              <w:rPr>
                <w:rFonts w:hint="eastAsia"/>
              </w:rPr>
              <w:t>本项目位于湖南省岳阳市湘阴县静河镇，不涉及国家公园、自然公园等自然保护地、世界自然遗产等区域，不涉及重要物种的天然集中分布区、栖息地。根据《环境影响评价技术导则</w:t>
            </w:r>
            <w:r>
              <w:t xml:space="preserve"> </w:t>
            </w:r>
            <w:r>
              <w:rPr>
                <w:rFonts w:hint="eastAsia"/>
              </w:rPr>
              <w:t>生态影响》（</w:t>
            </w:r>
            <w:r>
              <w:t>HJ 19-2022</w:t>
            </w:r>
            <w:r>
              <w:rPr>
                <w:rFonts w:hint="eastAsia"/>
              </w:rPr>
              <w:t>），本项目不涉及“6</w:t>
            </w:r>
            <w:r>
              <w:t>.1.2</w:t>
            </w:r>
            <w:r>
              <w:rPr>
                <w:rFonts w:hint="eastAsia"/>
              </w:rPr>
              <w:t>条中a）、</w:t>
            </w:r>
            <w:r>
              <w:t>b</w:t>
            </w:r>
            <w:r>
              <w:rPr>
                <w:rFonts w:hint="eastAsia"/>
              </w:rPr>
              <w:t>）、</w:t>
            </w:r>
            <w:r>
              <w:t>c</w:t>
            </w:r>
            <w:r>
              <w:rPr>
                <w:rFonts w:hint="eastAsia"/>
              </w:rPr>
              <w:t>）、</w:t>
            </w:r>
            <w:r>
              <w:t>d</w:t>
            </w:r>
            <w:r>
              <w:rPr>
                <w:rFonts w:hint="eastAsia"/>
              </w:rPr>
              <w:t>）、</w:t>
            </w:r>
            <w:r>
              <w:t>e</w:t>
            </w:r>
            <w:r>
              <w:rPr>
                <w:rFonts w:hint="eastAsia"/>
              </w:rPr>
              <w:t>）、</w:t>
            </w:r>
            <w:r>
              <w:t>f</w:t>
            </w:r>
            <w:r>
              <w:rPr>
                <w:rFonts w:hint="eastAsia"/>
              </w:rPr>
              <w:t>）”所述情况，按照“6</w:t>
            </w:r>
            <w:r>
              <w:t>.1.2</w:t>
            </w:r>
            <w:r>
              <w:rPr>
                <w:rFonts w:hint="eastAsia"/>
              </w:rPr>
              <w:t>条中g）”，判定评价等级为三级；另根据“</w:t>
            </w:r>
            <w:r>
              <w:t xml:space="preserve">6.1.5 </w:t>
            </w:r>
            <w:r>
              <w:rPr>
                <w:rFonts w:hint="eastAsia"/>
              </w:rPr>
              <w:t>在矿山开采可能导致矿区土地利用类型明显改变，评价等级应上调一级。”因此，最终确定本项目生态环境影响评价等级为二级，</w:t>
            </w:r>
            <w:r>
              <w:rPr>
                <w:rFonts w:hint="eastAsia"/>
                <w:spacing w:val="6"/>
                <w:kern w:val="28"/>
              </w:rPr>
              <w:t>生态评价范围为：矿区开采范围和矿山地面设施占地范围各外扩</w:t>
            </w:r>
            <w:r>
              <w:rPr>
                <w:spacing w:val="6"/>
                <w:kern w:val="28"/>
              </w:rPr>
              <w:t>300m</w:t>
            </w:r>
            <w:r>
              <w:rPr>
                <w:rFonts w:hint="eastAsia"/>
                <w:spacing w:val="6"/>
                <w:kern w:val="28"/>
              </w:rPr>
              <w:t>的范围。本工程评价范围总面积</w:t>
            </w:r>
            <w:r>
              <w:rPr>
                <w:spacing w:val="6"/>
                <w:kern w:val="28"/>
              </w:rPr>
              <w:t>210.61 hm</w:t>
            </w:r>
            <w:r>
              <w:rPr>
                <w:spacing w:val="6"/>
                <w:kern w:val="28"/>
                <w:vertAlign w:val="superscript"/>
              </w:rPr>
              <w:t>2</w:t>
            </w:r>
            <w:r>
              <w:rPr>
                <w:rFonts w:hint="eastAsia"/>
                <w:spacing w:val="6"/>
                <w:kern w:val="28"/>
              </w:rPr>
              <w:t>。</w:t>
            </w:r>
            <w:r>
              <w:rPr>
                <w:rFonts w:hint="eastAsia"/>
              </w:rPr>
              <w:t>生态环境评价范围见附图</w:t>
            </w:r>
            <w:r>
              <w:t>9</w:t>
            </w:r>
            <w:r>
              <w:rPr>
                <w:rFonts w:hint="eastAsia"/>
              </w:rPr>
              <w:t>。</w:t>
            </w:r>
          </w:p>
          <w:p>
            <w:pPr>
              <w:spacing w:line="360" w:lineRule="auto"/>
              <w:ind w:firstLine="0" w:firstLineChars="0"/>
              <w:rPr>
                <w:b/>
              </w:rPr>
            </w:pPr>
            <w:r>
              <w:rPr>
                <w:rFonts w:hint="eastAsia"/>
                <w:b/>
              </w:rPr>
              <w:t>7</w:t>
            </w:r>
            <w:r>
              <w:rPr>
                <w:b/>
              </w:rPr>
              <w:t>.2</w:t>
            </w:r>
            <w:r>
              <w:rPr>
                <w:rFonts w:hint="eastAsia"/>
                <w:b/>
              </w:rPr>
              <w:t>调查方法</w:t>
            </w:r>
          </w:p>
          <w:p>
            <w:pPr>
              <w:spacing w:line="360" w:lineRule="auto"/>
              <w:ind w:firstLine="480"/>
              <w:rPr>
                <w:snapToGrid/>
                <w:u w:val="single"/>
              </w:rPr>
            </w:pPr>
            <w:r>
              <w:rPr>
                <w:u w:val="single"/>
              </w:rPr>
              <w:t>2023</w:t>
            </w:r>
            <w:r>
              <w:rPr>
                <w:rFonts w:hint="eastAsia"/>
                <w:u w:val="single"/>
              </w:rPr>
              <w:t>年</w:t>
            </w:r>
            <w:r>
              <w:rPr>
                <w:u w:val="single"/>
              </w:rPr>
              <w:t>3</w:t>
            </w:r>
            <w:r>
              <w:rPr>
                <w:rFonts w:hint="eastAsia"/>
                <w:u w:val="single"/>
              </w:rPr>
              <w:t>月，对评价区生态现状进行了野外调查。调查内容依据《环境影响评价技术导则</w:t>
            </w:r>
            <w:r>
              <w:rPr>
                <w:u w:val="single"/>
              </w:rPr>
              <w:t xml:space="preserve"> </w:t>
            </w:r>
            <w:r>
              <w:rPr>
                <w:rFonts w:hint="eastAsia"/>
                <w:u w:val="single"/>
              </w:rPr>
              <w:t>生态影响》（</w:t>
            </w:r>
            <w:r>
              <w:rPr>
                <w:u w:val="single"/>
              </w:rPr>
              <w:t>HJ 19-2022</w:t>
            </w:r>
            <w:r>
              <w:rPr>
                <w:rFonts w:hint="eastAsia"/>
                <w:u w:val="single"/>
              </w:rPr>
              <w:t>）确定。生态现状评价利用野外调查和收集的资料，采用生态机理分析法、类比法、景观生态方法等进行。</w:t>
            </w:r>
          </w:p>
          <w:p>
            <w:pPr>
              <w:spacing w:line="360" w:lineRule="auto"/>
              <w:ind w:firstLine="480"/>
              <w:rPr>
                <w:u w:val="single"/>
              </w:rPr>
            </w:pPr>
            <w:r>
              <w:rPr>
                <w:rFonts w:hint="eastAsia"/>
                <w:u w:val="single"/>
              </w:rPr>
              <w:t>（1）陆生植物现场调查</w:t>
            </w:r>
          </w:p>
          <w:p>
            <w:pPr>
              <w:spacing w:line="360" w:lineRule="auto"/>
              <w:ind w:firstLine="480"/>
              <w:rPr>
                <w:u w:val="single"/>
              </w:rPr>
            </w:pPr>
            <w:r>
              <w:rPr>
                <w:rFonts w:hint="eastAsia"/>
                <w:u w:val="single"/>
              </w:rPr>
              <w:t>在对评价区植物资源历年资料检索分析的基础上，根据工程布置确定调查方案，进行现场调查。调查时，要确定评价区的主要植物种类、植被类型、重点保护野生植物及古树名木等重要生态因子的分布及生存状况。</w:t>
            </w:r>
          </w:p>
          <w:p>
            <w:pPr>
              <w:spacing w:line="360" w:lineRule="auto"/>
              <w:ind w:firstLine="480"/>
              <w:rPr>
                <w:u w:val="single"/>
              </w:rPr>
            </w:pPr>
            <w:r>
              <w:rPr>
                <w:u w:val="single"/>
              </w:rPr>
              <w:t>在实地调查的基础上，结合重点施工区域植被情况，确定典型的群落地段，采取典型样方法进行群落调查。根据评价区群落特点，乔木群落样方面积设置为20m×20m，灌木样方设置为5m×5m，草本样设置方为1m×1m，记录样地内所有植物种类，选取的植物群落应涵盖评价区常见且具有代表性的植被类型。</w:t>
            </w:r>
          </w:p>
          <w:p>
            <w:pPr>
              <w:spacing w:line="360" w:lineRule="auto"/>
              <w:ind w:firstLine="480"/>
            </w:pPr>
            <w:r>
              <w:rPr>
                <w:rFonts w:hint="eastAsia"/>
              </w:rPr>
              <w:t>（2）陆生动物现场调查</w:t>
            </w:r>
          </w:p>
          <w:p>
            <w:pPr>
              <w:spacing w:line="360" w:lineRule="auto"/>
              <w:ind w:firstLine="480"/>
            </w:pPr>
            <w:r>
              <w:rPr>
                <w:rFonts w:hint="eastAsia"/>
              </w:rPr>
              <w:t>在调查过程中，确定评价区内动物的种类、资源状况及生存状况，尤其是重点保护种类。调查方法主要有现场调查、座谈访问法和资料查询。兽类主要采用现场的环境调查、野外踪迹调查，包括：足迹链、窝迹、粪便，再结合访问调查及市场调查确定种类及数量等。鸟类主要采用现场调查，根据生境类型及其面积的大小设计观测点，调查周围能见距离内的鸟类数量与种类。两栖类与爬行类活动能力相对较差，调查时主要在有水域之处及其它适合其生存的生境中采用样点法，观察其种类与数量。从上述调查得到的种类之中，对相关重点保护物种进行进一步调查与核实，确定其种类及数量。对有疑问动物、重点保护动物尽量采集凭证标本并拍摄照片。</w:t>
            </w:r>
          </w:p>
          <w:p>
            <w:pPr>
              <w:spacing w:line="360" w:lineRule="auto"/>
              <w:ind w:firstLine="480"/>
            </w:pPr>
            <w:r>
              <w:rPr>
                <w:rFonts w:hint="eastAsia"/>
              </w:rPr>
              <w:t>此外，在施工区域（如露天开采区、工业广场、拟建村道、取水泵站、输水管道等区域）以及植被发育良好的路段实行重点调查。</w:t>
            </w:r>
          </w:p>
          <w:p>
            <w:pPr>
              <w:spacing w:line="360" w:lineRule="auto"/>
              <w:ind w:firstLine="480"/>
            </w:pPr>
            <w:r>
              <w:rPr>
                <w:rFonts w:hint="eastAsia"/>
              </w:rPr>
              <w:t>（3）水生生物调查</w:t>
            </w:r>
          </w:p>
          <w:p>
            <w:pPr>
              <w:spacing w:line="360" w:lineRule="auto"/>
              <w:ind w:firstLine="480"/>
            </w:pPr>
            <w:r>
              <w:rPr>
                <w:rFonts w:hint="eastAsia"/>
              </w:rPr>
              <w:t>水生生物野外调查方法主要依据《淡水浮游生物研究方法》《内陆水域渔业自然资源调查手册》，同时参照SL 219-2018《水环境监测规范》进行。</w:t>
            </w:r>
          </w:p>
          <w:p>
            <w:pPr>
              <w:spacing w:line="360" w:lineRule="auto"/>
              <w:ind w:firstLine="480"/>
            </w:pPr>
            <w:r>
              <w:rPr>
                <w:rFonts w:hint="eastAsia"/>
              </w:rPr>
              <w:t>1）浮游生物</w:t>
            </w:r>
          </w:p>
          <w:p>
            <w:pPr>
              <w:spacing w:line="360" w:lineRule="auto"/>
              <w:ind w:firstLine="480"/>
            </w:pPr>
            <w:r>
              <w:rPr>
                <w:rFonts w:hint="eastAsia"/>
              </w:rPr>
              <w:t>定性标本采集：小型浮游生物用25号浮游生物网，大型浮游生物用13号浮游生物网，在表层至0.5 m深处以20～30 cm/s的速度作“∞”形循回缓慢拖动1～3 min，或在水中沿表层托虑1.5～5.0 m</w:t>
            </w:r>
            <w:r>
              <w:rPr>
                <w:rFonts w:hint="eastAsia"/>
                <w:vertAlign w:val="superscript"/>
              </w:rPr>
              <w:t>3</w:t>
            </w:r>
            <w:r>
              <w:rPr>
                <w:rFonts w:hint="eastAsia"/>
              </w:rPr>
              <w:t>水。</w:t>
            </w:r>
          </w:p>
          <w:p>
            <w:pPr>
              <w:spacing w:line="360" w:lineRule="auto"/>
              <w:ind w:firstLine="480"/>
            </w:pPr>
            <w:r>
              <w:rPr>
                <w:rFonts w:hint="eastAsia"/>
              </w:rPr>
              <w:t>定量标本采集：小型浮游生物用有机玻璃采水器取混合水样1 L。大型浮游生物因数量稀少，每个采样点均采水样10 L，用25号浮游生物网过滤，收集水样装入玻璃瓶中。</w:t>
            </w:r>
          </w:p>
          <w:p>
            <w:pPr>
              <w:spacing w:line="360" w:lineRule="auto"/>
              <w:ind w:firstLine="480"/>
            </w:pPr>
            <w:r>
              <w:rPr>
                <w:rFonts w:hint="eastAsia"/>
              </w:rPr>
              <w:t>标本处理：水样采集之后，立即加固定液固定。对藻类、原生动物和轮虫水样，每升加入15ml左右的鲁哥氏液固定，对枝角类和桡足类水样，按100 ml水样加4～5 ml福尔马林固定液。固定后，样品带回实验室保存、浓缩、鉴定。</w:t>
            </w:r>
          </w:p>
          <w:p>
            <w:pPr>
              <w:spacing w:line="360" w:lineRule="auto"/>
              <w:ind w:firstLine="480"/>
            </w:pPr>
            <w:r>
              <w:rPr>
                <w:rFonts w:hint="eastAsia"/>
              </w:rPr>
              <w:t>2）底栖生物</w:t>
            </w:r>
          </w:p>
          <w:p>
            <w:pPr>
              <w:spacing w:line="360" w:lineRule="auto"/>
              <w:ind w:firstLine="480"/>
            </w:pPr>
            <w:r>
              <w:rPr>
                <w:rFonts w:hint="eastAsia"/>
              </w:rPr>
              <w:t>底栖动物的调查与浮游生物调查同时进行。在溪流生境每一样点随机采集石块3~5枚，迅速放入筛网（60目）中，将石块上的底栖动物全部挑拣入50 ml采样瓶中，加7%甲醛溶液保存，在实验室对底栖动物进行分类鉴定、计数和称重。取样石块在现场用锡纸包裹石块表面测定其表面积，计算单位面积石块上底栖动物的密度和生物量。</w:t>
            </w:r>
          </w:p>
          <w:p>
            <w:pPr>
              <w:spacing w:line="360" w:lineRule="auto"/>
              <w:ind w:firstLine="480"/>
            </w:pPr>
            <w:r>
              <w:rPr>
                <w:rFonts w:hint="eastAsia"/>
              </w:rPr>
              <w:t>3）水生维管植物</w:t>
            </w:r>
          </w:p>
          <w:p>
            <w:pPr>
              <w:spacing w:line="360" w:lineRule="auto"/>
              <w:ind w:firstLine="480"/>
            </w:pPr>
            <w:r>
              <w:rPr>
                <w:rFonts w:hint="eastAsia"/>
              </w:rPr>
              <w:t>在样地和样带上，深水区用0.2 m</w:t>
            </w:r>
            <w:r>
              <w:rPr>
                <w:rFonts w:hint="eastAsia"/>
                <w:vertAlign w:val="superscript"/>
              </w:rPr>
              <w:t>2</w:t>
            </w:r>
            <w:r>
              <w:rPr>
                <w:rFonts w:hint="eastAsia"/>
              </w:rPr>
              <w:t>的采草器采样，浅水处采用收割法采样，截取2 m×2 m样方面积，记录样地内物种组成和盖度，并统计生物量。定性样品整株采集，包括植株的根、茎、叶、花和果实，样品力求完整，按自然状态固定在压榨纸中，压干保存后，带回实验室鉴定种类。</w:t>
            </w:r>
          </w:p>
          <w:p>
            <w:pPr>
              <w:spacing w:line="360" w:lineRule="auto"/>
              <w:ind w:firstLine="480"/>
            </w:pPr>
            <w:r>
              <w:rPr>
                <w:rFonts w:hint="eastAsia"/>
              </w:rPr>
              <w:t>4）鱼类</w:t>
            </w:r>
          </w:p>
          <w:p>
            <w:pPr>
              <w:spacing w:line="360" w:lineRule="auto"/>
              <w:ind w:firstLine="480"/>
            </w:pPr>
            <w:r>
              <w:rPr>
                <w:rFonts w:hint="eastAsia"/>
              </w:rPr>
              <w:t>鱼类调查以区域调查为主，对调查范围内的鱼类资源进行调查。采取捕捞和走访相结合的方法，采集鱼类标本、收集资料、进行记录，标本用福尔马林固定保存。通过对标本的分类鉴定，资料的分析整理，编制出鱼类种类组成名录。</w:t>
            </w:r>
          </w:p>
          <w:p>
            <w:pPr>
              <w:spacing w:line="360" w:lineRule="auto"/>
              <w:ind w:firstLine="0" w:firstLineChars="0"/>
              <w:rPr>
                <w:b/>
              </w:rPr>
            </w:pPr>
            <w:r>
              <w:rPr>
                <w:rFonts w:hint="eastAsia"/>
                <w:b/>
              </w:rPr>
              <w:t>7</w:t>
            </w:r>
            <w:r>
              <w:rPr>
                <w:b/>
              </w:rPr>
              <w:t>.3</w:t>
            </w:r>
            <w:r>
              <w:rPr>
                <w:rFonts w:hint="eastAsia"/>
                <w:b/>
              </w:rPr>
              <w:t>土地利用现状</w:t>
            </w:r>
          </w:p>
          <w:p>
            <w:pPr>
              <w:spacing w:line="360" w:lineRule="auto"/>
              <w:ind w:firstLine="480"/>
            </w:pPr>
            <w:r>
              <w:rPr>
                <w:rFonts w:hint="eastAsia"/>
                <w:u w:val="single"/>
              </w:rPr>
              <w:t>本项目评价区土地利用现状是在卫片解译的基础上，结合现有资料，运用景观生态法（即以植被作为主导因素），并结合土壤、地貌等因子进行综合分析，将土地利用格局的拼块类型分为林地、灌丛、草地、耕地、水域、建设用地等</w:t>
            </w:r>
            <w:r>
              <w:rPr>
                <w:u w:val="single"/>
              </w:rPr>
              <w:t>6</w:t>
            </w:r>
            <w:r>
              <w:rPr>
                <w:rFonts w:hint="eastAsia"/>
                <w:u w:val="single"/>
              </w:rPr>
              <w:t>种类型。</w:t>
            </w:r>
            <w:r>
              <w:rPr>
                <w:rFonts w:hint="eastAsia"/>
              </w:rPr>
              <w:t>评价区总面积为</w:t>
            </w:r>
            <w:r>
              <w:t>210.61 hm</w:t>
            </w:r>
            <w:r>
              <w:rPr>
                <w:vertAlign w:val="superscript"/>
              </w:rPr>
              <w:t>2</w:t>
            </w:r>
            <w:r>
              <w:rPr>
                <w:rFonts w:hint="eastAsia"/>
              </w:rPr>
              <w:t>，评价区土地利用现状见下表及附图</w:t>
            </w:r>
            <w:r>
              <w:t>10</w:t>
            </w:r>
            <w:r>
              <w:rPr>
                <w:rFonts w:hint="eastAsia"/>
              </w:rPr>
              <w:t>。</w:t>
            </w:r>
          </w:p>
          <w:p>
            <w:pPr>
              <w:pStyle w:val="2"/>
              <w:spacing w:line="360" w:lineRule="auto"/>
              <w:rPr>
                <w:b w:val="0"/>
                <w:color w:val="auto"/>
              </w:rPr>
            </w:pPr>
            <w:r>
              <w:rPr>
                <w:rFonts w:hint="eastAsia"/>
                <w:b w:val="0"/>
                <w:color w:val="auto"/>
              </w:rPr>
              <w:t>表3</w:t>
            </w:r>
            <w:r>
              <w:rPr>
                <w:b w:val="0"/>
                <w:color w:val="auto"/>
              </w:rPr>
              <w:t>-</w:t>
            </w:r>
            <w:r>
              <w:rPr>
                <w:rFonts w:hint="eastAsia"/>
                <w:b w:val="0"/>
                <w:color w:val="auto"/>
              </w:rPr>
              <w:t>10</w:t>
            </w:r>
            <w:r>
              <w:rPr>
                <w:b w:val="0"/>
                <w:color w:val="auto"/>
              </w:rPr>
              <w:t xml:space="preserve"> </w:t>
            </w:r>
            <w:r>
              <w:rPr>
                <w:rFonts w:hint="eastAsia"/>
                <w:b w:val="0"/>
                <w:color w:val="auto"/>
              </w:rPr>
              <w:t>评价区土地利用情况表</w:t>
            </w:r>
          </w:p>
          <w:tbl>
            <w:tblPr>
              <w:tblStyle w:val="16"/>
              <w:tblW w:w="5000" w:type="pct"/>
              <w:jc w:val="center"/>
              <w:tblLayout w:type="autofit"/>
              <w:tblCellMar>
                <w:top w:w="0" w:type="dxa"/>
                <w:left w:w="108" w:type="dxa"/>
                <w:bottom w:w="0" w:type="dxa"/>
                <w:right w:w="108" w:type="dxa"/>
              </w:tblCellMar>
            </w:tblPr>
            <w:tblGrid>
              <w:gridCol w:w="1290"/>
              <w:gridCol w:w="1559"/>
              <w:gridCol w:w="1850"/>
              <w:gridCol w:w="1435"/>
              <w:gridCol w:w="1964"/>
            </w:tblGrid>
            <w:tr>
              <w:tblPrEx>
                <w:tblCellMar>
                  <w:top w:w="0" w:type="dxa"/>
                  <w:left w:w="108" w:type="dxa"/>
                  <w:bottom w:w="0" w:type="dxa"/>
                  <w:right w:w="108" w:type="dxa"/>
                </w:tblCellMar>
              </w:tblPrEx>
              <w:trPr>
                <w:trHeight w:val="23" w:hRule="atLeast"/>
                <w:jc w:val="center"/>
              </w:trPr>
              <w:tc>
                <w:tcPr>
                  <w:tcW w:w="125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napToGrid/>
                      <w:sz w:val="21"/>
                      <w:szCs w:val="21"/>
                      <w:u w:val="single"/>
                    </w:rPr>
                  </w:pPr>
                  <w:r>
                    <w:rPr>
                      <w:rFonts w:hint="eastAsia"/>
                      <w:bCs/>
                      <w:sz w:val="21"/>
                      <w:szCs w:val="21"/>
                      <w:u w:val="single"/>
                    </w:rPr>
                    <w:t>拼块类型</w:t>
                  </w:r>
                </w:p>
              </w:tc>
              <w:tc>
                <w:tcPr>
                  <w:tcW w:w="1515"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bCs/>
                      <w:sz w:val="21"/>
                      <w:szCs w:val="21"/>
                      <w:u w:val="single"/>
                    </w:rPr>
                  </w:pPr>
                  <w:r>
                    <w:rPr>
                      <w:rFonts w:hint="eastAsia"/>
                      <w:bCs/>
                      <w:sz w:val="21"/>
                      <w:szCs w:val="21"/>
                      <w:u w:val="single"/>
                    </w:rPr>
                    <w:t>面积（</w:t>
                  </w:r>
                  <w:r>
                    <w:rPr>
                      <w:bCs/>
                      <w:sz w:val="21"/>
                      <w:szCs w:val="21"/>
                      <w:u w:val="single"/>
                    </w:rPr>
                    <w:t>hm</w:t>
                  </w:r>
                  <w:r>
                    <w:rPr>
                      <w:bCs/>
                      <w:sz w:val="21"/>
                      <w:szCs w:val="21"/>
                      <w:u w:val="single"/>
                      <w:vertAlign w:val="superscript"/>
                    </w:rPr>
                    <w:t>2</w:t>
                  </w:r>
                  <w:r>
                    <w:rPr>
                      <w:rFonts w:hint="eastAsia"/>
                      <w:bCs/>
                      <w:sz w:val="21"/>
                      <w:szCs w:val="21"/>
                      <w:u w:val="single"/>
                    </w:rPr>
                    <w:t>）</w:t>
                  </w:r>
                </w:p>
              </w:tc>
              <w:tc>
                <w:tcPr>
                  <w:tcW w:w="179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bCs/>
                      <w:sz w:val="21"/>
                      <w:szCs w:val="21"/>
                      <w:u w:val="single"/>
                    </w:rPr>
                  </w:pPr>
                  <w:r>
                    <w:rPr>
                      <w:rFonts w:hint="eastAsia"/>
                      <w:bCs/>
                      <w:sz w:val="21"/>
                      <w:szCs w:val="21"/>
                      <w:u w:val="single"/>
                    </w:rPr>
                    <w:t>占评价区（</w:t>
                  </w:r>
                  <w:r>
                    <w:rPr>
                      <w:bCs/>
                      <w:sz w:val="21"/>
                      <w:szCs w:val="21"/>
                      <w:u w:val="single"/>
                    </w:rPr>
                    <w:t>%</w:t>
                  </w:r>
                  <w:r>
                    <w:rPr>
                      <w:rFonts w:hint="eastAsia"/>
                      <w:bCs/>
                      <w:sz w:val="21"/>
                      <w:szCs w:val="21"/>
                      <w:u w:val="single"/>
                    </w:rPr>
                    <w:t>）</w:t>
                  </w:r>
                </w:p>
              </w:tc>
              <w:tc>
                <w:tcPr>
                  <w:tcW w:w="1395"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bCs/>
                      <w:sz w:val="21"/>
                      <w:szCs w:val="21"/>
                      <w:u w:val="single"/>
                    </w:rPr>
                  </w:pPr>
                  <w:r>
                    <w:rPr>
                      <w:rFonts w:hint="eastAsia"/>
                      <w:bCs/>
                      <w:sz w:val="21"/>
                      <w:szCs w:val="21"/>
                      <w:u w:val="single"/>
                    </w:rPr>
                    <w:t>斑块（个）</w:t>
                  </w:r>
                </w:p>
              </w:tc>
              <w:tc>
                <w:tcPr>
                  <w:tcW w:w="190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bCs/>
                      <w:sz w:val="21"/>
                      <w:szCs w:val="21"/>
                      <w:u w:val="single"/>
                    </w:rPr>
                  </w:pPr>
                  <w:r>
                    <w:rPr>
                      <w:rFonts w:hint="eastAsia"/>
                      <w:bCs/>
                      <w:sz w:val="21"/>
                      <w:szCs w:val="21"/>
                      <w:u w:val="single"/>
                    </w:rPr>
                    <w:t>占评价区（</w:t>
                  </w:r>
                  <w:r>
                    <w:rPr>
                      <w:bCs/>
                      <w:sz w:val="21"/>
                      <w:szCs w:val="21"/>
                      <w:u w:val="single"/>
                    </w:rPr>
                    <w:t>%</w:t>
                  </w:r>
                  <w:r>
                    <w:rPr>
                      <w:rFonts w:hint="eastAsia"/>
                      <w:bCs/>
                      <w:sz w:val="21"/>
                      <w:szCs w:val="21"/>
                      <w:u w:val="single"/>
                    </w:rPr>
                    <w:t>）</w:t>
                  </w:r>
                </w:p>
              </w:tc>
            </w:tr>
            <w:tr>
              <w:tblPrEx>
                <w:tblCellMar>
                  <w:top w:w="0" w:type="dxa"/>
                  <w:left w:w="108" w:type="dxa"/>
                  <w:bottom w:w="0" w:type="dxa"/>
                  <w:right w:w="108" w:type="dxa"/>
                </w:tblCellMar>
              </w:tblPrEx>
              <w:trPr>
                <w:trHeight w:val="23" w:hRule="atLeast"/>
                <w:jc w:val="center"/>
              </w:trPr>
              <w:tc>
                <w:tcPr>
                  <w:tcW w:w="1254"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林地</w:t>
                  </w:r>
                </w:p>
              </w:tc>
              <w:tc>
                <w:tcPr>
                  <w:tcW w:w="1515"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106.56</w:t>
                  </w:r>
                </w:p>
              </w:tc>
              <w:tc>
                <w:tcPr>
                  <w:tcW w:w="1798"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lang w:bidi="ar"/>
                    </w:rPr>
                    <w:t>50.60</w:t>
                  </w:r>
                </w:p>
              </w:tc>
              <w:tc>
                <w:tcPr>
                  <w:tcW w:w="1395"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rPr>
                    <w:t>838</w:t>
                  </w:r>
                </w:p>
              </w:tc>
              <w:tc>
                <w:tcPr>
                  <w:tcW w:w="1908"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lang w:bidi="ar"/>
                    </w:rPr>
                    <w:t>50.06</w:t>
                  </w:r>
                </w:p>
              </w:tc>
            </w:tr>
            <w:tr>
              <w:tblPrEx>
                <w:tblCellMar>
                  <w:top w:w="0" w:type="dxa"/>
                  <w:left w:w="108" w:type="dxa"/>
                  <w:bottom w:w="0" w:type="dxa"/>
                  <w:right w:w="108" w:type="dxa"/>
                </w:tblCellMar>
              </w:tblPrEx>
              <w:trPr>
                <w:trHeight w:val="23" w:hRule="atLeast"/>
                <w:jc w:val="center"/>
              </w:trPr>
              <w:tc>
                <w:tcPr>
                  <w:tcW w:w="1254"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灌丛</w:t>
                  </w:r>
                </w:p>
              </w:tc>
              <w:tc>
                <w:tcPr>
                  <w:tcW w:w="1515"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6.99</w:t>
                  </w:r>
                </w:p>
              </w:tc>
              <w:tc>
                <w:tcPr>
                  <w:tcW w:w="1798"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lang w:bidi="ar"/>
                    </w:rPr>
                    <w:t>3.32</w:t>
                  </w:r>
                </w:p>
              </w:tc>
              <w:tc>
                <w:tcPr>
                  <w:tcW w:w="1395"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rPr>
                    <w:t>71</w:t>
                  </w:r>
                </w:p>
              </w:tc>
              <w:tc>
                <w:tcPr>
                  <w:tcW w:w="1908"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lang w:bidi="ar"/>
                    </w:rPr>
                    <w:t>4.24</w:t>
                  </w:r>
                </w:p>
              </w:tc>
            </w:tr>
            <w:tr>
              <w:tblPrEx>
                <w:tblCellMar>
                  <w:top w:w="0" w:type="dxa"/>
                  <w:left w:w="108" w:type="dxa"/>
                  <w:bottom w:w="0" w:type="dxa"/>
                  <w:right w:w="108" w:type="dxa"/>
                </w:tblCellMar>
              </w:tblPrEx>
              <w:trPr>
                <w:trHeight w:val="23" w:hRule="atLeast"/>
                <w:jc w:val="center"/>
              </w:trPr>
              <w:tc>
                <w:tcPr>
                  <w:tcW w:w="1254"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草地</w:t>
                  </w:r>
                </w:p>
              </w:tc>
              <w:tc>
                <w:tcPr>
                  <w:tcW w:w="1515"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27.23</w:t>
                  </w:r>
                </w:p>
              </w:tc>
              <w:tc>
                <w:tcPr>
                  <w:tcW w:w="1798"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lang w:bidi="ar"/>
                    </w:rPr>
                    <w:t>12.93</w:t>
                  </w:r>
                </w:p>
              </w:tc>
              <w:tc>
                <w:tcPr>
                  <w:tcW w:w="1395"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rPr>
                    <w:t>379</w:t>
                  </w:r>
                </w:p>
              </w:tc>
              <w:tc>
                <w:tcPr>
                  <w:tcW w:w="1908"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lang w:bidi="ar"/>
                    </w:rPr>
                    <w:t>22.64</w:t>
                  </w:r>
                </w:p>
              </w:tc>
            </w:tr>
            <w:tr>
              <w:tblPrEx>
                <w:tblCellMar>
                  <w:top w:w="0" w:type="dxa"/>
                  <w:left w:w="108" w:type="dxa"/>
                  <w:bottom w:w="0" w:type="dxa"/>
                  <w:right w:w="108" w:type="dxa"/>
                </w:tblCellMar>
              </w:tblPrEx>
              <w:trPr>
                <w:trHeight w:val="23" w:hRule="atLeast"/>
                <w:jc w:val="center"/>
              </w:trPr>
              <w:tc>
                <w:tcPr>
                  <w:tcW w:w="1254"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耕地</w:t>
                  </w:r>
                </w:p>
              </w:tc>
              <w:tc>
                <w:tcPr>
                  <w:tcW w:w="1515"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49.18</w:t>
                  </w:r>
                </w:p>
              </w:tc>
              <w:tc>
                <w:tcPr>
                  <w:tcW w:w="1798"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lang w:bidi="ar"/>
                    </w:rPr>
                    <w:t>23.35</w:t>
                  </w:r>
                </w:p>
              </w:tc>
              <w:tc>
                <w:tcPr>
                  <w:tcW w:w="1395"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rPr>
                    <w:t>118</w:t>
                  </w:r>
                </w:p>
              </w:tc>
              <w:tc>
                <w:tcPr>
                  <w:tcW w:w="1908"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lang w:bidi="ar"/>
                    </w:rPr>
                    <w:t>7.05</w:t>
                  </w:r>
                </w:p>
              </w:tc>
            </w:tr>
            <w:tr>
              <w:tblPrEx>
                <w:tblCellMar>
                  <w:top w:w="0" w:type="dxa"/>
                  <w:left w:w="108" w:type="dxa"/>
                  <w:bottom w:w="0" w:type="dxa"/>
                  <w:right w:w="108" w:type="dxa"/>
                </w:tblCellMar>
              </w:tblPrEx>
              <w:trPr>
                <w:trHeight w:val="23" w:hRule="atLeast"/>
                <w:jc w:val="center"/>
              </w:trPr>
              <w:tc>
                <w:tcPr>
                  <w:tcW w:w="1254"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水域</w:t>
                  </w:r>
                </w:p>
              </w:tc>
              <w:tc>
                <w:tcPr>
                  <w:tcW w:w="1515"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9.84</w:t>
                  </w:r>
                </w:p>
              </w:tc>
              <w:tc>
                <w:tcPr>
                  <w:tcW w:w="1798"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lang w:bidi="ar"/>
                    </w:rPr>
                    <w:t>4.67</w:t>
                  </w:r>
                </w:p>
              </w:tc>
              <w:tc>
                <w:tcPr>
                  <w:tcW w:w="1395"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rPr>
                    <w:t>145</w:t>
                  </w:r>
                </w:p>
              </w:tc>
              <w:tc>
                <w:tcPr>
                  <w:tcW w:w="1908"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lang w:bidi="ar"/>
                    </w:rPr>
                    <w:t>8.66</w:t>
                  </w:r>
                </w:p>
              </w:tc>
            </w:tr>
            <w:tr>
              <w:tblPrEx>
                <w:tblCellMar>
                  <w:top w:w="0" w:type="dxa"/>
                  <w:left w:w="108" w:type="dxa"/>
                  <w:bottom w:w="0" w:type="dxa"/>
                  <w:right w:w="108" w:type="dxa"/>
                </w:tblCellMar>
              </w:tblPrEx>
              <w:trPr>
                <w:trHeight w:val="23" w:hRule="atLeast"/>
                <w:jc w:val="center"/>
              </w:trPr>
              <w:tc>
                <w:tcPr>
                  <w:tcW w:w="1254"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建设用地</w:t>
                  </w:r>
                </w:p>
              </w:tc>
              <w:tc>
                <w:tcPr>
                  <w:tcW w:w="1515"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10.81</w:t>
                  </w:r>
                </w:p>
              </w:tc>
              <w:tc>
                <w:tcPr>
                  <w:tcW w:w="1798" w:type="dxa"/>
                  <w:tcBorders>
                    <w:top w:val="nil"/>
                    <w:left w:val="nil"/>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lang w:bidi="ar"/>
                    </w:rPr>
                    <w:t>5.13</w:t>
                  </w:r>
                </w:p>
              </w:tc>
              <w:tc>
                <w:tcPr>
                  <w:tcW w:w="1395"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rPr>
                    <w:t>123</w:t>
                  </w:r>
                </w:p>
              </w:tc>
              <w:tc>
                <w:tcPr>
                  <w:tcW w:w="1908" w:type="dxa"/>
                  <w:tcBorders>
                    <w:top w:val="nil"/>
                    <w:left w:val="nil"/>
                    <w:bottom w:val="single" w:color="auto" w:sz="4" w:space="0"/>
                    <w:right w:val="single" w:color="auto" w:sz="4" w:space="0"/>
                  </w:tcBorders>
                  <w:noWrap/>
                  <w:vAlign w:val="center"/>
                </w:tcPr>
                <w:p>
                  <w:pPr>
                    <w:spacing w:line="240" w:lineRule="auto"/>
                    <w:ind w:firstLine="0" w:firstLineChars="0"/>
                    <w:jc w:val="center"/>
                    <w:rPr>
                      <w:sz w:val="21"/>
                      <w:szCs w:val="21"/>
                      <w:u w:val="single"/>
                    </w:rPr>
                  </w:pPr>
                  <w:r>
                    <w:rPr>
                      <w:sz w:val="21"/>
                      <w:szCs w:val="21"/>
                      <w:u w:val="single"/>
                      <w:lang w:bidi="ar"/>
                    </w:rPr>
                    <w:t>7.35</w:t>
                  </w:r>
                </w:p>
              </w:tc>
            </w:tr>
            <w:tr>
              <w:tblPrEx>
                <w:tblCellMar>
                  <w:top w:w="0" w:type="dxa"/>
                  <w:left w:w="108" w:type="dxa"/>
                  <w:bottom w:w="0" w:type="dxa"/>
                  <w:right w:w="108" w:type="dxa"/>
                </w:tblCellMar>
              </w:tblPrEx>
              <w:trPr>
                <w:trHeight w:val="23" w:hRule="atLeast"/>
                <w:jc w:val="center"/>
              </w:trPr>
              <w:tc>
                <w:tcPr>
                  <w:tcW w:w="1254" w:type="dxa"/>
                  <w:tcBorders>
                    <w:top w:val="nil"/>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u w:val="single"/>
                    </w:rPr>
                  </w:pPr>
                  <w:r>
                    <w:rPr>
                      <w:rFonts w:hint="eastAsia"/>
                      <w:bCs/>
                      <w:sz w:val="21"/>
                      <w:szCs w:val="21"/>
                      <w:u w:val="single"/>
                    </w:rPr>
                    <w:t>合计</w:t>
                  </w:r>
                </w:p>
              </w:tc>
              <w:tc>
                <w:tcPr>
                  <w:tcW w:w="1515" w:type="dxa"/>
                  <w:tcBorders>
                    <w:top w:val="nil"/>
                    <w:left w:val="nil"/>
                    <w:bottom w:val="single" w:color="auto" w:sz="4" w:space="0"/>
                    <w:right w:val="single" w:color="auto" w:sz="4" w:space="0"/>
                  </w:tcBorders>
                  <w:vAlign w:val="center"/>
                </w:tcPr>
                <w:p>
                  <w:pPr>
                    <w:spacing w:line="240" w:lineRule="auto"/>
                    <w:ind w:firstLine="0" w:firstLineChars="0"/>
                    <w:jc w:val="center"/>
                    <w:rPr>
                      <w:bCs/>
                      <w:sz w:val="21"/>
                      <w:szCs w:val="21"/>
                      <w:u w:val="single"/>
                    </w:rPr>
                  </w:pPr>
                  <w:r>
                    <w:rPr>
                      <w:bCs/>
                      <w:sz w:val="21"/>
                      <w:szCs w:val="21"/>
                      <w:u w:val="single"/>
                    </w:rPr>
                    <w:t>210.61</w:t>
                  </w:r>
                </w:p>
              </w:tc>
              <w:tc>
                <w:tcPr>
                  <w:tcW w:w="1798" w:type="dxa"/>
                  <w:tcBorders>
                    <w:top w:val="nil"/>
                    <w:left w:val="nil"/>
                    <w:bottom w:val="single" w:color="auto" w:sz="4" w:space="0"/>
                    <w:right w:val="single" w:color="auto" w:sz="4" w:space="0"/>
                  </w:tcBorders>
                  <w:vAlign w:val="center"/>
                </w:tcPr>
                <w:p>
                  <w:pPr>
                    <w:spacing w:line="240" w:lineRule="auto"/>
                    <w:ind w:firstLine="0" w:firstLineChars="0"/>
                    <w:jc w:val="center"/>
                    <w:rPr>
                      <w:bCs/>
                      <w:sz w:val="21"/>
                      <w:szCs w:val="21"/>
                      <w:u w:val="single"/>
                    </w:rPr>
                  </w:pPr>
                  <w:r>
                    <w:rPr>
                      <w:bCs/>
                      <w:sz w:val="21"/>
                      <w:szCs w:val="21"/>
                      <w:u w:val="single"/>
                    </w:rPr>
                    <w:t>100.00</w:t>
                  </w:r>
                </w:p>
              </w:tc>
              <w:tc>
                <w:tcPr>
                  <w:tcW w:w="1395" w:type="dxa"/>
                  <w:tcBorders>
                    <w:top w:val="nil"/>
                    <w:left w:val="nil"/>
                    <w:bottom w:val="single" w:color="auto" w:sz="4" w:space="0"/>
                    <w:right w:val="single" w:color="auto" w:sz="4" w:space="0"/>
                  </w:tcBorders>
                  <w:vAlign w:val="center"/>
                </w:tcPr>
                <w:p>
                  <w:pPr>
                    <w:spacing w:line="240" w:lineRule="auto"/>
                    <w:ind w:firstLine="0" w:firstLineChars="0"/>
                    <w:jc w:val="center"/>
                    <w:rPr>
                      <w:bCs/>
                      <w:sz w:val="21"/>
                      <w:szCs w:val="21"/>
                      <w:u w:val="single"/>
                    </w:rPr>
                  </w:pPr>
                  <w:r>
                    <w:rPr>
                      <w:bCs/>
                      <w:sz w:val="21"/>
                      <w:szCs w:val="21"/>
                      <w:u w:val="single"/>
                    </w:rPr>
                    <w:t>1674</w:t>
                  </w:r>
                </w:p>
              </w:tc>
              <w:tc>
                <w:tcPr>
                  <w:tcW w:w="1908" w:type="dxa"/>
                  <w:tcBorders>
                    <w:top w:val="nil"/>
                    <w:left w:val="nil"/>
                    <w:bottom w:val="single" w:color="auto" w:sz="4" w:space="0"/>
                    <w:right w:val="single" w:color="auto" w:sz="4" w:space="0"/>
                  </w:tcBorders>
                  <w:noWrap/>
                  <w:vAlign w:val="center"/>
                </w:tcPr>
                <w:p>
                  <w:pPr>
                    <w:spacing w:line="240" w:lineRule="auto"/>
                    <w:ind w:firstLine="0" w:firstLineChars="0"/>
                    <w:jc w:val="center"/>
                    <w:rPr>
                      <w:bCs/>
                      <w:sz w:val="21"/>
                      <w:szCs w:val="21"/>
                      <w:u w:val="single"/>
                    </w:rPr>
                  </w:pPr>
                  <w:r>
                    <w:rPr>
                      <w:bCs/>
                      <w:sz w:val="21"/>
                      <w:szCs w:val="21"/>
                      <w:u w:val="single"/>
                    </w:rPr>
                    <w:t>100.00</w:t>
                  </w:r>
                </w:p>
              </w:tc>
            </w:tr>
          </w:tbl>
          <w:p>
            <w:pPr>
              <w:spacing w:line="360" w:lineRule="auto"/>
              <w:ind w:firstLine="480"/>
              <w:rPr>
                <w:snapToGrid/>
                <w:u w:val="single"/>
              </w:rPr>
            </w:pPr>
            <w:r>
              <w:rPr>
                <w:rFonts w:hint="eastAsia"/>
                <w:u w:val="single"/>
              </w:rPr>
              <w:t>由上表可知，评价区内林地的面积最大，为</w:t>
            </w:r>
            <w:r>
              <w:rPr>
                <w:u w:val="single"/>
              </w:rPr>
              <w:t>106.56 hm</w:t>
            </w:r>
            <w:r>
              <w:rPr>
                <w:u w:val="single"/>
                <w:vertAlign w:val="superscript"/>
              </w:rPr>
              <w:t>2</w:t>
            </w:r>
            <w:r>
              <w:rPr>
                <w:rFonts w:hint="eastAsia"/>
                <w:u w:val="single"/>
              </w:rPr>
              <w:t>，占评价区总面积的</w:t>
            </w:r>
            <w:r>
              <w:rPr>
                <w:u w:val="single"/>
              </w:rPr>
              <w:t>50.60%</w:t>
            </w:r>
            <w:r>
              <w:rPr>
                <w:rFonts w:hint="eastAsia"/>
                <w:u w:val="single"/>
              </w:rPr>
              <w:t>；其次是耕地、草地，面积分别为</w:t>
            </w:r>
            <w:r>
              <w:rPr>
                <w:u w:val="single"/>
              </w:rPr>
              <w:t>49.18 hm</w:t>
            </w:r>
            <w:r>
              <w:rPr>
                <w:u w:val="single"/>
                <w:vertAlign w:val="superscript"/>
              </w:rPr>
              <w:t>2</w:t>
            </w:r>
            <w:r>
              <w:rPr>
                <w:rFonts w:hint="eastAsia"/>
                <w:u w:val="single"/>
              </w:rPr>
              <w:t>、</w:t>
            </w:r>
            <w:r>
              <w:rPr>
                <w:u w:val="single"/>
              </w:rPr>
              <w:t>27.23 hm</w:t>
            </w:r>
            <w:r>
              <w:rPr>
                <w:u w:val="single"/>
                <w:vertAlign w:val="superscript"/>
              </w:rPr>
              <w:t>2</w:t>
            </w:r>
            <w:r>
              <w:rPr>
                <w:rFonts w:hint="eastAsia"/>
                <w:u w:val="single"/>
              </w:rPr>
              <w:t>，分别占评价区总面积的</w:t>
            </w:r>
            <w:r>
              <w:rPr>
                <w:u w:val="single"/>
              </w:rPr>
              <w:t>23.35%</w:t>
            </w:r>
            <w:r>
              <w:rPr>
                <w:rFonts w:hint="eastAsia"/>
                <w:u w:val="single"/>
              </w:rPr>
              <w:t>、</w:t>
            </w:r>
            <w:r>
              <w:rPr>
                <w:u w:val="single"/>
              </w:rPr>
              <w:t>12.93%</w:t>
            </w:r>
            <w:r>
              <w:rPr>
                <w:rFonts w:hint="eastAsia"/>
                <w:u w:val="single"/>
              </w:rPr>
              <w:t>；评价区内的灌丛、水域、建设用地的面积相对较小。</w:t>
            </w:r>
          </w:p>
          <w:p>
            <w:pPr>
              <w:spacing w:line="360" w:lineRule="auto"/>
              <w:ind w:firstLine="0" w:firstLineChars="0"/>
              <w:rPr>
                <w:b/>
              </w:rPr>
            </w:pPr>
            <w:r>
              <w:rPr>
                <w:rFonts w:hint="eastAsia"/>
                <w:b/>
              </w:rPr>
              <w:t>7</w:t>
            </w:r>
            <w:r>
              <w:rPr>
                <w:b/>
              </w:rPr>
              <w:t>.4</w:t>
            </w:r>
            <w:r>
              <w:rPr>
                <w:rFonts w:hint="eastAsia"/>
                <w:b/>
              </w:rPr>
              <w:t>陆生植物现状与评价</w:t>
            </w:r>
          </w:p>
          <w:p>
            <w:pPr>
              <w:spacing w:line="360" w:lineRule="auto"/>
              <w:ind w:firstLine="482"/>
              <w:rPr>
                <w:b/>
              </w:rPr>
            </w:pPr>
            <w:r>
              <w:rPr>
                <w:rFonts w:hint="eastAsia"/>
                <w:b/>
              </w:rPr>
              <w:t>（1）植物区系</w:t>
            </w:r>
          </w:p>
          <w:p>
            <w:pPr>
              <w:snapToGrid w:val="0"/>
              <w:spacing w:after="62" w:line="360" w:lineRule="auto"/>
              <w:ind w:firstLine="480"/>
              <w:rPr>
                <w:snapToGrid/>
              </w:rPr>
            </w:pPr>
            <w:r>
              <w:rPr>
                <w:rFonts w:hint="eastAsia"/>
              </w:rPr>
              <w:t>根据《中国种子植物区系地理》（吴征镒，</w:t>
            </w:r>
            <w:r>
              <w:t>2011</w:t>
            </w:r>
            <w:r>
              <w:rPr>
                <w:rFonts w:hint="eastAsia"/>
              </w:rPr>
              <w:t>），评价区属东亚植物区</w:t>
            </w:r>
            <w:r>
              <w:t>—</w:t>
            </w:r>
            <w:r>
              <w:rPr>
                <w:rFonts w:hint="eastAsia"/>
              </w:rPr>
              <w:t>中国</w:t>
            </w:r>
            <w:r>
              <w:t>-</w:t>
            </w:r>
            <w:r>
              <w:rPr>
                <w:rFonts w:hint="eastAsia"/>
              </w:rPr>
              <w:t>日本森林植物亚区</w:t>
            </w:r>
            <w:r>
              <w:t>—</w:t>
            </w:r>
            <w:r>
              <w:rPr>
                <w:rFonts w:hint="eastAsia"/>
              </w:rPr>
              <w:t>赣南</w:t>
            </w:r>
            <w:r>
              <w:t>-</w:t>
            </w:r>
            <w:r>
              <w:rPr>
                <w:rFonts w:hint="eastAsia"/>
              </w:rPr>
              <w:t>湘东丘陵亚地区。本区境内为低山丘陵，间有许多大小不同的盆地。气候温暖湿润，是典型的中亚热带气候。本亚地区是重要的农业区，原始植被已有很大的破坏。</w:t>
            </w:r>
          </w:p>
          <w:p>
            <w:pPr>
              <w:spacing w:line="360" w:lineRule="auto"/>
              <w:ind w:firstLine="480"/>
              <w:rPr>
                <w:u w:val="single"/>
              </w:rPr>
            </w:pPr>
            <w:r>
              <w:rPr>
                <w:rFonts w:hint="eastAsia"/>
                <w:u w:val="single"/>
              </w:rPr>
              <w:t>通过对评价区所涉及的植物资源的实地调查，区域人为干扰严重，植被以人为干扰下的次生植被和人工植被为主；植被面积最大的为竹林其次为针叶林，林内群落结构简单，伴生植物种类较少，多样性较低。结合《湖南植被》（祁承经，1990）、《湖南植物名录》（祁承经等，1987年）等著作以及对历年积累的植物区系资料的系统整理，蕨类植物分类按照秦仁昌院士分类系统（1978年）、裸子植物按照郑万钧分类系统（1978年）、被子植物科按照哈钦松植物分类系统（1934年）排列，得出评价区共有维管束植物101科236属321种（含种下分类等级，下同），分别占湖南省维管束植物总科数、总属数、总种数的40.73%、18.96%和7.43%；占全国维管束植物总科数、总属数、总种数的的24.05%、6.85%和1.03%。</w:t>
            </w:r>
          </w:p>
          <w:p>
            <w:pPr>
              <w:spacing w:line="360" w:lineRule="auto"/>
              <w:ind w:firstLine="482"/>
              <w:rPr>
                <w:b/>
              </w:rPr>
            </w:pPr>
            <w:r>
              <w:rPr>
                <w:rFonts w:hint="eastAsia"/>
                <w:b/>
              </w:rPr>
              <w:t>（2）植被现状</w:t>
            </w:r>
          </w:p>
          <w:p>
            <w:pPr>
              <w:spacing w:line="360" w:lineRule="auto"/>
              <w:ind w:firstLine="480"/>
              <w:rPr>
                <w:snapToGrid/>
              </w:rPr>
            </w:pPr>
            <w:r>
              <w:rPr>
                <w:rFonts w:hint="eastAsia"/>
              </w:rPr>
              <w:t>根据《湖南植被》，评价区属于亚热带常绿阔叶林区域</w:t>
            </w:r>
            <w:r>
              <w:t>—</w:t>
            </w:r>
            <w:r>
              <w:rPr>
                <w:rFonts w:hint="eastAsia"/>
              </w:rPr>
              <w:t>中亚热带常绿阔叶林地带</w:t>
            </w:r>
            <w:r>
              <w:t>—</w:t>
            </w:r>
            <w:r>
              <w:rPr>
                <w:rFonts w:hint="eastAsia"/>
              </w:rPr>
              <w:t>中亚热带典型常绿阔叶林北部植被亚地带</w:t>
            </w:r>
            <w:r>
              <w:t>—</w:t>
            </w:r>
            <w:r>
              <w:rPr>
                <w:rFonts w:hint="eastAsia"/>
              </w:rPr>
              <w:t>湘北滨湖平原栲栎林、旱柳林桑树林、湖漫滩草甸、沼泽、水生植被及农田植被区</w:t>
            </w:r>
            <w:r>
              <w:t>—</w:t>
            </w:r>
            <w:r>
              <w:rPr>
                <w:rFonts w:hint="eastAsia"/>
              </w:rPr>
              <w:t>环湖低丘岗地植被小区。</w:t>
            </w:r>
          </w:p>
          <w:p>
            <w:pPr>
              <w:spacing w:line="360" w:lineRule="auto"/>
              <w:ind w:firstLine="480"/>
            </w:pPr>
            <w:r>
              <w:rPr>
                <w:rFonts w:hint="eastAsia"/>
              </w:rPr>
              <w:t>经过实地调查与参考相关林业调查资料，根据群落的特征，将各种植物群落，通过比较它们之间的异同点，按照《湖南植被》（祁承经，</w:t>
            </w:r>
            <w:r>
              <w:t>1990</w:t>
            </w:r>
            <w:r>
              <w:rPr>
                <w:rFonts w:hint="eastAsia"/>
              </w:rPr>
              <w:t>）中对于自然植被的分类系统划分，重点评价区内的自然植被可划分为</w:t>
            </w:r>
            <w:r>
              <w:t>4</w:t>
            </w:r>
            <w:r>
              <w:rPr>
                <w:rFonts w:hint="eastAsia"/>
              </w:rPr>
              <w:t>个植被型组，</w:t>
            </w:r>
            <w:r>
              <w:t>6</w:t>
            </w:r>
            <w:r>
              <w:rPr>
                <w:rFonts w:hint="eastAsia"/>
              </w:rPr>
              <w:t>个植被型，</w:t>
            </w:r>
            <w:r>
              <w:t>6</w:t>
            </w:r>
            <w:r>
              <w:rPr>
                <w:rFonts w:hint="eastAsia"/>
              </w:rPr>
              <w:t>个植被亚型和</w:t>
            </w:r>
            <w:r>
              <w:t>11</w:t>
            </w:r>
            <w:r>
              <w:rPr>
                <w:rFonts w:hint="eastAsia"/>
              </w:rPr>
              <w:t>个群系，具体见下表及附图1</w:t>
            </w:r>
            <w:r>
              <w:t>1</w:t>
            </w:r>
            <w:r>
              <w:rPr>
                <w:rFonts w:hint="eastAsia"/>
              </w:rPr>
              <w:t>。</w:t>
            </w:r>
          </w:p>
          <w:p>
            <w:pPr>
              <w:pStyle w:val="2"/>
              <w:spacing w:line="360" w:lineRule="auto"/>
              <w:rPr>
                <w:b w:val="0"/>
              </w:rPr>
            </w:pPr>
            <w:r>
              <w:rPr>
                <w:rFonts w:hint="eastAsia"/>
                <w:b w:val="0"/>
              </w:rPr>
              <w:t>表3</w:t>
            </w:r>
            <w:r>
              <w:rPr>
                <w:b w:val="0"/>
              </w:rPr>
              <w:t>-1</w:t>
            </w:r>
            <w:r>
              <w:rPr>
                <w:rFonts w:hint="eastAsia"/>
                <w:b w:val="0"/>
              </w:rPr>
              <w:t>1</w:t>
            </w:r>
            <w:r>
              <w:rPr>
                <w:b w:val="0"/>
              </w:rPr>
              <w:t xml:space="preserve"> </w:t>
            </w:r>
            <w:r>
              <w:rPr>
                <w:rFonts w:hint="eastAsia"/>
                <w:b w:val="0"/>
              </w:rPr>
              <w:t>评价范围内主要植被类型</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548"/>
              <w:gridCol w:w="1388"/>
              <w:gridCol w:w="319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napToGrid/>
                      <w:sz w:val="21"/>
                      <w:szCs w:val="21"/>
                    </w:rPr>
                  </w:pPr>
                  <w:r>
                    <w:rPr>
                      <w:bCs/>
                      <w:sz w:val="21"/>
                      <w:szCs w:val="21"/>
                    </w:rPr>
                    <w:t>植被型组</w:t>
                  </w:r>
                </w:p>
              </w:tc>
              <w:tc>
                <w:tcPr>
                  <w:tcW w:w="150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植被型</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植被亚型</w:t>
                  </w:r>
                </w:p>
              </w:tc>
              <w:tc>
                <w:tcPr>
                  <w:tcW w:w="3113"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群系</w:t>
                  </w:r>
                </w:p>
              </w:tc>
              <w:tc>
                <w:tcPr>
                  <w:tcW w:w="118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bCs/>
                      <w:sz w:val="21"/>
                      <w:szCs w:val="21"/>
                    </w:rPr>
                    <w:t>分布区域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Cs/>
                      <w:kern w:val="2"/>
                      <w:sz w:val="21"/>
                      <w:szCs w:val="21"/>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Cs/>
                      <w:kern w:val="2"/>
                      <w:sz w:val="21"/>
                      <w:szCs w:val="21"/>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Cs/>
                      <w:kern w:val="2"/>
                      <w:sz w:val="21"/>
                      <w:szCs w:val="21"/>
                    </w:rPr>
                  </w:pPr>
                </w:p>
              </w:tc>
              <w:tc>
                <w:tcPr>
                  <w:tcW w:w="31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Cs/>
                      <w:kern w:val="2"/>
                      <w:sz w:val="21"/>
                      <w:szCs w:val="21"/>
                    </w:rPr>
                  </w:pPr>
                </w:p>
              </w:tc>
              <w:tc>
                <w:tcPr>
                  <w:tcW w:w="118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0"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自然植被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一、针叶林</w:t>
                  </w:r>
                </w:p>
              </w:tc>
              <w:tc>
                <w:tcPr>
                  <w:tcW w:w="150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I、亚热带常绿针叶林</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1.丘陵低山常绿针叶林</w:t>
                  </w: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1）杉木林Form. </w:t>
                  </w:r>
                  <w:r>
                    <w:rPr>
                      <w:i/>
                      <w:sz w:val="21"/>
                      <w:szCs w:val="21"/>
                      <w:shd w:val="clear" w:color="auto" w:fill="FFFFFF"/>
                    </w:rPr>
                    <w:t>Cunningham IA lanceolata</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评价区分布广泛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2）马尾松林Form. </w:t>
                  </w:r>
                  <w:r>
                    <w:rPr>
                      <w:i/>
                      <w:sz w:val="21"/>
                      <w:szCs w:val="21"/>
                    </w:rPr>
                    <w:t>Pinus massoniana</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评价区分布广泛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二、阔叶林</w:t>
                  </w:r>
                </w:p>
              </w:tc>
              <w:tc>
                <w:tcPr>
                  <w:tcW w:w="15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II、亚热带常绿阔叶林</w:t>
                  </w:r>
                </w:p>
              </w:tc>
              <w:tc>
                <w:tcPr>
                  <w:tcW w:w="135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2、低山常绿阔叶林</w:t>
                  </w: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3）樟树林Form. </w:t>
                  </w:r>
                  <w:r>
                    <w:rPr>
                      <w:i/>
                      <w:sz w:val="21"/>
                      <w:szCs w:val="21"/>
                      <w:shd w:val="clear" w:color="auto" w:fill="FFFFFF"/>
                    </w:rPr>
                    <w:t>Cinnamomum camphora</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评价区分布广泛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III、落叶阔叶林</w:t>
                  </w:r>
                </w:p>
              </w:tc>
              <w:tc>
                <w:tcPr>
                  <w:tcW w:w="135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3、低山落叶阔叶林</w:t>
                  </w: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4）枫香树林Form. </w:t>
                  </w:r>
                  <w:r>
                    <w:rPr>
                      <w:i/>
                      <w:sz w:val="21"/>
                      <w:szCs w:val="21"/>
                      <w:shd w:val="clear" w:color="auto" w:fill="FFFFFF"/>
                    </w:rPr>
                    <w:t>Liquidambar formosana</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评价区零星分布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IV、亚热带竹林</w:t>
                  </w:r>
                </w:p>
              </w:tc>
              <w:tc>
                <w:tcPr>
                  <w:tcW w:w="135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4、丘陵低山竹林</w:t>
                  </w: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5）毛竹林Form. </w:t>
                  </w:r>
                  <w:r>
                    <w:rPr>
                      <w:i/>
                      <w:sz w:val="21"/>
                      <w:szCs w:val="21"/>
                      <w:shd w:val="clear" w:color="auto" w:fill="FFFFFF"/>
                    </w:rPr>
                    <w:t>Phyllostachys edulis</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评价区零星分布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三、灌丛</w:t>
                  </w:r>
                </w:p>
              </w:tc>
              <w:tc>
                <w:tcPr>
                  <w:tcW w:w="150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V、亚热带灌丛</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5、山地灌丛</w:t>
                  </w: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6）檵木灌丛Form. </w:t>
                  </w:r>
                  <w:r>
                    <w:rPr>
                      <w:i/>
                      <w:sz w:val="21"/>
                      <w:szCs w:val="21"/>
                      <w:shd w:val="clear" w:color="auto" w:fill="FFFFFF"/>
                    </w:rPr>
                    <w:t>Loropetalum chinense</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评价区分布广泛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7）盐肤木灌丛Form. </w:t>
                  </w:r>
                  <w:r>
                    <w:rPr>
                      <w:i/>
                      <w:sz w:val="21"/>
                      <w:szCs w:val="21"/>
                      <w:shd w:val="clear" w:color="auto" w:fill="FFFFFF"/>
                    </w:rPr>
                    <w:t>Rhus chinensis</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评价区分布广泛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8）牡荆灌丛Form. </w:t>
                  </w:r>
                  <w:r>
                    <w:rPr>
                      <w:i/>
                      <w:sz w:val="21"/>
                      <w:szCs w:val="21"/>
                      <w:shd w:val="clear" w:color="auto" w:fill="FFFFFF"/>
                    </w:rPr>
                    <w:t xml:space="preserve">Vitex negundo </w:t>
                  </w:r>
                  <w:r>
                    <w:rPr>
                      <w:sz w:val="21"/>
                      <w:szCs w:val="21"/>
                      <w:shd w:val="clear" w:color="auto" w:fill="FFFFFF"/>
                    </w:rPr>
                    <w:t xml:space="preserve">var. </w:t>
                  </w:r>
                  <w:r>
                    <w:rPr>
                      <w:i/>
                      <w:sz w:val="21"/>
                      <w:szCs w:val="21"/>
                      <w:shd w:val="clear" w:color="auto" w:fill="FFFFFF"/>
                    </w:rPr>
                    <w:t>cannabifolia</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评价区零星分布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四、草丛</w:t>
                  </w:r>
                </w:p>
              </w:tc>
              <w:tc>
                <w:tcPr>
                  <w:tcW w:w="150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VI、草丛</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6、山地草丛</w:t>
                  </w: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9）芒萁草丛Form. </w:t>
                  </w:r>
                  <w:r>
                    <w:rPr>
                      <w:i/>
                      <w:sz w:val="21"/>
                      <w:szCs w:val="21"/>
                      <w:shd w:val="clear" w:color="auto" w:fill="FFFFFF"/>
                    </w:rPr>
                    <w:t>Dicranopteris pedata</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评价区分布广泛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10） 五节芒草丛Form. </w:t>
                  </w:r>
                  <w:r>
                    <w:rPr>
                      <w:i/>
                      <w:sz w:val="21"/>
                      <w:szCs w:val="21"/>
                    </w:rPr>
                    <w:t>Miscanthus floridulus</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评价区分布广泛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kern w:val="2"/>
                      <w:sz w:val="21"/>
                      <w:szCs w:val="21"/>
                    </w:rPr>
                  </w:pPr>
                </w:p>
              </w:tc>
              <w:tc>
                <w:tcPr>
                  <w:tcW w:w="311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 xml:space="preserve">11）白茅灌草丛Form. </w:t>
                  </w:r>
                  <w:r>
                    <w:rPr>
                      <w:i/>
                      <w:sz w:val="21"/>
                      <w:szCs w:val="21"/>
                    </w:rPr>
                    <w:t>Imperata cylindrica</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评价区分布广泛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70" w:type="dxa"/>
                  <w:gridSpan w:val="5"/>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人工植被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人工林</w:t>
                  </w:r>
                </w:p>
              </w:tc>
              <w:tc>
                <w:tcPr>
                  <w:tcW w:w="15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果木林</w:t>
                  </w:r>
                </w:p>
              </w:tc>
              <w:tc>
                <w:tcPr>
                  <w:tcW w:w="446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樟、水杉、桑、油桐、栗等</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村落周边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农业植被</w:t>
                  </w:r>
                </w:p>
              </w:tc>
              <w:tc>
                <w:tcPr>
                  <w:tcW w:w="150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农作物</w:t>
                  </w:r>
                </w:p>
              </w:tc>
              <w:tc>
                <w:tcPr>
                  <w:tcW w:w="4464"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水稻、红薯、玉米、油菜、大豆、花生等</w:t>
                  </w:r>
                </w:p>
              </w:tc>
              <w:tc>
                <w:tcPr>
                  <w:tcW w:w="118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村落周边</w:t>
                  </w:r>
                </w:p>
              </w:tc>
            </w:tr>
          </w:tbl>
          <w:p>
            <w:pPr>
              <w:spacing w:line="360" w:lineRule="auto"/>
              <w:ind w:firstLine="480"/>
              <w:rPr>
                <w:snapToGrid/>
              </w:rPr>
            </w:pPr>
            <w:r>
              <w:rPr>
                <w:rFonts w:hint="eastAsia"/>
                <w:bCs/>
              </w:rPr>
              <w:t>评价区位于湖南省岳阳市湘阴县静河镇境内，属亚热带季风湿润气候区，项目区属堆积平原地貌，最高海拔</w:t>
            </w:r>
            <w:r>
              <w:rPr>
                <w:bCs/>
              </w:rPr>
              <w:t>80.30 m</w:t>
            </w:r>
            <w:r>
              <w:rPr>
                <w:rFonts w:hint="eastAsia"/>
                <w:bCs/>
              </w:rPr>
              <w:t>（位于矿区北东侧小山丘），最低</w:t>
            </w:r>
            <w:r>
              <w:rPr>
                <w:bCs/>
              </w:rPr>
              <w:t>27.80m</w:t>
            </w:r>
            <w:r>
              <w:rPr>
                <w:rFonts w:hint="eastAsia"/>
                <w:bCs/>
              </w:rPr>
              <w:t>（位于矿区北东侧洋沙湖湖面），最大相对高差</w:t>
            </w:r>
            <w:r>
              <w:rPr>
                <w:bCs/>
              </w:rPr>
              <w:t>50.50 m</w:t>
            </w:r>
            <w:r>
              <w:rPr>
                <w:rFonts w:hint="eastAsia"/>
                <w:bCs/>
              </w:rPr>
              <w:t>，总体特征表现为中东部高，四周低。勘查区属亚热带季风气候，夏热冬冷，雨量充沛，评价区植被种类丰富度一般。由于评价区面积相对较小，海拔差相对较小，评价区植被分布异质性不甚明显，根据评价区生境条件，常见植被类型主要包括</w:t>
            </w:r>
            <w:r>
              <w:t xml:space="preserve"> 1</w:t>
            </w:r>
            <w:r>
              <w:rPr>
                <w:rFonts w:hint="eastAsia"/>
              </w:rPr>
              <w:t>）杉木林</w:t>
            </w:r>
            <w:r>
              <w:t xml:space="preserve">Form. </w:t>
            </w:r>
            <w:r>
              <w:rPr>
                <w:i/>
              </w:rPr>
              <w:t>Cunningham</w:t>
            </w:r>
            <w:r>
              <w:rPr>
                <w:i/>
                <w:shd w:val="clear" w:color="auto" w:fill="FFFFFF"/>
              </w:rPr>
              <w:t xml:space="preserve"> IAlanceolata</w:t>
            </w:r>
            <w:r>
              <w:rPr>
                <w:rFonts w:hint="eastAsia"/>
              </w:rPr>
              <w:t>、马尾松林</w:t>
            </w:r>
            <w:r>
              <w:t xml:space="preserve">Form. </w:t>
            </w:r>
            <w:r>
              <w:rPr>
                <w:i/>
              </w:rPr>
              <w:t>Pinus massoniana</w:t>
            </w:r>
            <w:r>
              <w:rPr>
                <w:rFonts w:hint="eastAsia"/>
              </w:rPr>
              <w:t>、樟树林</w:t>
            </w:r>
            <w:r>
              <w:t xml:space="preserve">Form. </w:t>
            </w:r>
            <w:r>
              <w:rPr>
                <w:i/>
              </w:rPr>
              <w:t>Cinnamomum camphora</w:t>
            </w:r>
            <w:r>
              <w:rPr>
                <w:rFonts w:hint="eastAsia"/>
              </w:rPr>
              <w:t>等。</w:t>
            </w:r>
          </w:p>
          <w:p>
            <w:pPr>
              <w:spacing w:line="360" w:lineRule="auto"/>
              <w:ind w:firstLine="482"/>
              <w:rPr>
                <w:b/>
              </w:rPr>
            </w:pPr>
            <w:r>
              <w:rPr>
                <w:rFonts w:hint="eastAsia"/>
                <w:b/>
              </w:rPr>
              <w:t>（3）珍稀濒危及重点保护野生植物</w:t>
            </w:r>
          </w:p>
          <w:p>
            <w:pPr>
              <w:autoSpaceDE w:val="0"/>
              <w:autoSpaceDN w:val="0"/>
              <w:adjustRightInd w:val="0"/>
              <w:spacing w:line="360" w:lineRule="auto"/>
              <w:ind w:firstLine="480"/>
              <w:rPr>
                <w:snapToGrid/>
              </w:rPr>
            </w:pPr>
            <w:r>
              <w:rPr>
                <w:rFonts w:hint="eastAsia"/>
              </w:rPr>
              <w:t>根据《国家重点保护野生植物名录》（中国国家林业局和农业部、农业农村部，</w:t>
            </w:r>
            <w:r>
              <w:t>2021</w:t>
            </w:r>
            <w:r>
              <w:rPr>
                <w:rFonts w:hint="eastAsia"/>
              </w:rPr>
              <w:t>年</w:t>
            </w:r>
            <w:r>
              <w:t>9</w:t>
            </w:r>
            <w:r>
              <w:rPr>
                <w:rFonts w:hint="eastAsia"/>
              </w:rPr>
              <w:t>月</w:t>
            </w:r>
            <w:r>
              <w:t>7</w:t>
            </w:r>
            <w:r>
              <w:rPr>
                <w:rFonts w:hint="eastAsia"/>
              </w:rPr>
              <w:t>日颁布实施）确定。根据现场实地调查，评价区内未发现国家重点保护野生植物。</w:t>
            </w:r>
          </w:p>
          <w:p>
            <w:pPr>
              <w:spacing w:line="360" w:lineRule="auto"/>
              <w:ind w:firstLine="480"/>
            </w:pPr>
            <w:r>
              <w:rPr>
                <w:rFonts w:hint="eastAsia"/>
              </w:rPr>
              <w:t>根据《湖南省人民政府关于修订湖南省地方重点保护野生植物名录的通知》（湘政函，〔</w:t>
            </w:r>
            <w:r>
              <w:t>2002</w:t>
            </w:r>
            <w:r>
              <w:rPr>
                <w:rFonts w:hint="eastAsia"/>
              </w:rPr>
              <w:t>〕</w:t>
            </w:r>
            <w:r>
              <w:t>172</w:t>
            </w:r>
            <w:r>
              <w:rPr>
                <w:rFonts w:hint="eastAsia"/>
              </w:rPr>
              <w:t>号）确定。根据现场实地调查，评价区内未发现湖南重点保护野生植物</w:t>
            </w:r>
            <w:r>
              <w:rPr>
                <w:rFonts w:hint="eastAsia"/>
                <w:bCs/>
              </w:rPr>
              <w:t>。</w:t>
            </w:r>
          </w:p>
          <w:p>
            <w:pPr>
              <w:spacing w:line="360" w:lineRule="auto"/>
              <w:ind w:firstLine="482"/>
              <w:rPr>
                <w:b/>
              </w:rPr>
            </w:pPr>
            <w:r>
              <w:rPr>
                <w:rFonts w:hint="eastAsia"/>
                <w:b/>
              </w:rPr>
              <w:t>（4）古树名木</w:t>
            </w:r>
          </w:p>
          <w:p>
            <w:pPr>
              <w:spacing w:line="360" w:lineRule="auto"/>
              <w:ind w:firstLine="480"/>
            </w:pPr>
            <w:r>
              <w:rPr>
                <w:rFonts w:hint="eastAsia"/>
              </w:rPr>
              <w:t>评价区古树名木根据《湖南省人民政府关于修订湖南省地方重点保护野生植物名录的通知》（湘政函，〔</w:t>
            </w:r>
            <w:r>
              <w:t>2002</w:t>
            </w:r>
            <w:r>
              <w:rPr>
                <w:rFonts w:hint="eastAsia"/>
              </w:rPr>
              <w:t>〕</w:t>
            </w:r>
            <w:r>
              <w:t>172</w:t>
            </w:r>
            <w:r>
              <w:rPr>
                <w:rFonts w:hint="eastAsia"/>
              </w:rPr>
              <w:t>号）、《湖南省林业条例》（湖南省人大常委会</w:t>
            </w:r>
            <w:r>
              <w:t>2012</w:t>
            </w:r>
            <w:r>
              <w:rPr>
                <w:rFonts w:hint="eastAsia"/>
              </w:rPr>
              <w:t>年修订）、（全绿委关于开展古树名木普查建档工作的通知）（全国绿化委员会、国家林业局，全绿字〔</w:t>
            </w:r>
            <w:r>
              <w:t>2001</w:t>
            </w:r>
            <w:r>
              <w:rPr>
                <w:rFonts w:hint="eastAsia"/>
              </w:rPr>
              <w:t>〕</w:t>
            </w:r>
            <w:r>
              <w:t>15</w:t>
            </w:r>
            <w:r>
              <w:rPr>
                <w:rFonts w:hint="eastAsia"/>
              </w:rPr>
              <w:t>号）确定。参考《湖南古树名木》（邓三龙等，</w:t>
            </w:r>
            <w:r>
              <w:t>2011</w:t>
            </w:r>
            <w:r>
              <w:rPr>
                <w:rFonts w:hint="eastAsia"/>
              </w:rPr>
              <w:t>年）等关于古树名木及其分布资料，结合现场实地调查，评价区未发现古树名木分布。</w:t>
            </w:r>
          </w:p>
          <w:p>
            <w:pPr>
              <w:spacing w:line="360" w:lineRule="auto"/>
              <w:ind w:firstLine="482"/>
              <w:rPr>
                <w:b/>
                <w:snapToGrid/>
              </w:rPr>
            </w:pPr>
            <w:r>
              <w:rPr>
                <w:rFonts w:hint="eastAsia"/>
                <w:b/>
                <w:snapToGrid/>
              </w:rPr>
              <w:t>（5）外来入侵种</w:t>
            </w:r>
          </w:p>
          <w:p>
            <w:pPr>
              <w:spacing w:line="360" w:lineRule="auto"/>
              <w:ind w:firstLine="480"/>
              <w:rPr>
                <w:snapToGrid/>
                <w:u w:val="single"/>
              </w:rPr>
            </w:pPr>
            <w:r>
              <w:rPr>
                <w:snapToGrid/>
                <w:u w:val="single"/>
              </w:rPr>
              <w:t>通过现场调查，并根据《中国第一批外来入侵物种名单》（2003）、《中国第二批入侵物种名单》（2010）、《中国第三批外来入侵物种名单》（2014）、《中国自然生态系统外来入侵物种名单（第四批）》（2016），评价区内分布外来入侵植物主要有垂序商陆（Phytolacca americana）、喜旱莲子草（Alternanthera philoxeroides）、小蓬草（Conyza canadensis）等，其主要危害及分布情况见下表；其中，评价区内以垂序商陆分布范围最广，但群落面积均较小；小蓬草形成群落面积较大（10m×10m），</w:t>
            </w:r>
            <w:r>
              <w:rPr>
                <w:rFonts w:hint="eastAsia"/>
                <w:snapToGrid/>
                <w:u w:val="single"/>
              </w:rPr>
              <w:t>入侵现象较为明显；喜旱莲子草群落面积及分布范围均较为有限。</w:t>
            </w:r>
          </w:p>
          <w:p>
            <w:pPr>
              <w:spacing w:line="360" w:lineRule="auto"/>
              <w:ind w:firstLine="0" w:firstLineChars="0"/>
              <w:jc w:val="center"/>
              <w:rPr>
                <w:snapToGrid/>
              </w:rPr>
            </w:pPr>
            <w:r>
              <w:rPr>
                <w:rFonts w:hint="eastAsia"/>
                <w:snapToGrid/>
              </w:rPr>
              <w:t>表3</w:t>
            </w:r>
            <w:r>
              <w:rPr>
                <w:snapToGrid/>
              </w:rPr>
              <w:t>-1</w:t>
            </w:r>
            <w:r>
              <w:rPr>
                <w:rFonts w:hint="eastAsia"/>
                <w:snapToGrid/>
              </w:rPr>
              <w:t>2</w:t>
            </w:r>
            <w:r>
              <w:rPr>
                <w:snapToGrid/>
              </w:rPr>
              <w:t xml:space="preserve"> </w:t>
            </w:r>
            <w:r>
              <w:rPr>
                <w:rFonts w:hint="eastAsia"/>
                <w:snapToGrid/>
              </w:rPr>
              <w:t>评价区入侵植物信息表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9"/>
              <w:gridCol w:w="1302"/>
              <w:gridCol w:w="1124"/>
              <w:gridCol w:w="1905"/>
              <w:gridCol w:w="994"/>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napToGrid/>
                      <w:sz w:val="21"/>
                      <w:szCs w:val="21"/>
                    </w:rPr>
                  </w:pPr>
                  <w:r>
                    <w:rPr>
                      <w:rFonts w:hint="eastAsia"/>
                      <w:sz w:val="21"/>
                      <w:szCs w:val="21"/>
                    </w:rPr>
                    <w:t>序号</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物种名</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生物学特性</w:t>
                  </w:r>
                </w:p>
              </w:tc>
              <w:tc>
                <w:tcPr>
                  <w:tcW w:w="18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入侵扩散原因和危害</w:t>
                  </w:r>
                </w:p>
              </w:tc>
              <w:tc>
                <w:tcPr>
                  <w:tcW w:w="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评价区分布情况</w:t>
                  </w:r>
                </w:p>
              </w:tc>
              <w:tc>
                <w:tcPr>
                  <w:tcW w:w="21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现场调查照片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1</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rPr>
                    <w:t>喜旱莲子草</w:t>
                  </w:r>
                </w:p>
                <w:p>
                  <w:pPr>
                    <w:spacing w:line="240" w:lineRule="auto"/>
                    <w:ind w:firstLine="0" w:firstLineChars="0"/>
                    <w:rPr>
                      <w:sz w:val="21"/>
                      <w:szCs w:val="21"/>
                    </w:rPr>
                  </w:pPr>
                  <w:r>
                    <w:rPr>
                      <w:i/>
                      <w:sz w:val="21"/>
                      <w:szCs w:val="21"/>
                    </w:rPr>
                    <w:t>Alternanthera</w:t>
                  </w:r>
                  <w:r>
                    <w:rPr>
                      <w:sz w:val="21"/>
                      <w:szCs w:val="21"/>
                    </w:rPr>
                    <w:t xml:space="preserve"> </w:t>
                  </w:r>
                  <w:r>
                    <w:rPr>
                      <w:i/>
                      <w:sz w:val="21"/>
                      <w:szCs w:val="21"/>
                    </w:rPr>
                    <w:t>philoxeroides</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多年生草本，以茎节行营养繁殖；旱地型肉质贮藏根受刺激时可产生不定芽。生长高峰期每天可生长</w:t>
                  </w:r>
                  <w:r>
                    <w:rPr>
                      <w:sz w:val="21"/>
                      <w:szCs w:val="21"/>
                      <w:u w:val="single"/>
                    </w:rPr>
                    <w:t>2-4cm</w:t>
                  </w:r>
                  <w:r>
                    <w:rPr>
                      <w:rFonts w:hint="eastAsia"/>
                      <w:sz w:val="21"/>
                      <w:szCs w:val="21"/>
                      <w:u w:val="single"/>
                    </w:rPr>
                    <w:t>。花期</w:t>
                  </w:r>
                  <w:r>
                    <w:rPr>
                      <w:sz w:val="21"/>
                      <w:szCs w:val="21"/>
                      <w:u w:val="single"/>
                    </w:rPr>
                    <w:t>5-10</w:t>
                  </w:r>
                  <w:r>
                    <w:rPr>
                      <w:rFonts w:hint="eastAsia"/>
                      <w:sz w:val="21"/>
                      <w:szCs w:val="21"/>
                      <w:u w:val="single"/>
                    </w:rPr>
                    <w:t>月，常不结实。</w:t>
                  </w:r>
                </w:p>
              </w:tc>
              <w:tc>
                <w:tcPr>
                  <w:tcW w:w="18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sz w:val="21"/>
                      <w:szCs w:val="21"/>
                      <w:u w:val="single"/>
                    </w:rPr>
                    <w:t>1892</w:t>
                  </w:r>
                  <w:r>
                    <w:rPr>
                      <w:rFonts w:hint="eastAsia"/>
                      <w:sz w:val="21"/>
                      <w:szCs w:val="21"/>
                      <w:u w:val="single"/>
                    </w:rPr>
                    <w:t>年在上海附近岛屿出现，</w:t>
                  </w:r>
                  <w:r>
                    <w:rPr>
                      <w:sz w:val="21"/>
                      <w:szCs w:val="21"/>
                      <w:u w:val="single"/>
                    </w:rPr>
                    <w:t>50</w:t>
                  </w:r>
                  <w:r>
                    <w:rPr>
                      <w:rFonts w:hint="eastAsia"/>
                      <w:sz w:val="21"/>
                      <w:szCs w:val="21"/>
                      <w:u w:val="single"/>
                    </w:rPr>
                    <w:t>年代作猪饲料推广栽培，此后逸生导致草灾，表现在：①堵塞航道，影响水上交通；②排挤其他植物，使群落物种单一化；③覆盖水面，影响鱼类生长和捕捞；④在农田危害作物，使产量受损；⑤田间沟渠大量繁殖，影响农田排灌；⑥入侵湿地、草坪，破坏景观；⑦滋生蚊蝇，危害人类健康。</w:t>
                  </w:r>
                </w:p>
              </w:tc>
              <w:tc>
                <w:tcPr>
                  <w:tcW w:w="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bCs/>
                      <w:sz w:val="21"/>
                      <w:szCs w:val="21"/>
                    </w:rPr>
                    <w:t>分布：矿区范围外水塘</w:t>
                  </w:r>
                </w:p>
              </w:tc>
              <w:tc>
                <w:tcPr>
                  <w:tcW w:w="21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drawing>
                      <wp:inline distT="0" distB="0" distL="0" distR="0">
                        <wp:extent cx="1452880" cy="1000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468045" cy="101081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2</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rPr>
                    <w:t>小蓬草</w:t>
                  </w:r>
                </w:p>
                <w:p>
                  <w:pPr>
                    <w:spacing w:line="240" w:lineRule="auto"/>
                    <w:ind w:firstLine="0" w:firstLineChars="0"/>
                    <w:rPr>
                      <w:sz w:val="21"/>
                      <w:szCs w:val="21"/>
                    </w:rPr>
                  </w:pPr>
                  <w:r>
                    <w:rPr>
                      <w:i/>
                      <w:sz w:val="21"/>
                      <w:szCs w:val="21"/>
                    </w:rPr>
                    <w:t>Conyza</w:t>
                  </w:r>
                  <w:r>
                    <w:rPr>
                      <w:sz w:val="21"/>
                      <w:szCs w:val="21"/>
                    </w:rPr>
                    <w:t xml:space="preserve"> </w:t>
                  </w:r>
                  <w:r>
                    <w:rPr>
                      <w:i/>
                      <w:sz w:val="21"/>
                      <w:szCs w:val="21"/>
                    </w:rPr>
                    <w:t>canadensis</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植株高</w:t>
                  </w:r>
                  <w:r>
                    <w:rPr>
                      <w:sz w:val="21"/>
                      <w:szCs w:val="21"/>
                      <w:u w:val="single"/>
                    </w:rPr>
                    <w:t>40</w:t>
                  </w:r>
                  <w:r>
                    <w:rPr>
                      <w:rFonts w:hint="eastAsia"/>
                      <w:sz w:val="21"/>
                      <w:szCs w:val="21"/>
                      <w:u w:val="single"/>
                    </w:rPr>
                    <w:t>～</w:t>
                  </w:r>
                  <w:r>
                    <w:rPr>
                      <w:sz w:val="21"/>
                      <w:szCs w:val="21"/>
                      <w:u w:val="single"/>
                    </w:rPr>
                    <w:t>120cm</w:t>
                  </w:r>
                  <w:r>
                    <w:rPr>
                      <w:rFonts w:hint="eastAsia"/>
                      <w:sz w:val="21"/>
                      <w:szCs w:val="21"/>
                      <w:u w:val="single"/>
                    </w:rPr>
                    <w:t>，全体绿色。茎直立，具纵条纹，疏被长硬毛，上部分枝。瘦果长圆形，长</w:t>
                  </w:r>
                  <w:r>
                    <w:rPr>
                      <w:sz w:val="21"/>
                      <w:szCs w:val="21"/>
                      <w:u w:val="single"/>
                    </w:rPr>
                    <w:t>1.2</w:t>
                  </w:r>
                  <w:r>
                    <w:rPr>
                      <w:rFonts w:hint="eastAsia"/>
                      <w:sz w:val="21"/>
                      <w:szCs w:val="21"/>
                      <w:u w:val="single"/>
                    </w:rPr>
                    <w:t>～</w:t>
                  </w:r>
                  <w:r>
                    <w:rPr>
                      <w:sz w:val="21"/>
                      <w:szCs w:val="21"/>
                      <w:u w:val="single"/>
                    </w:rPr>
                    <w:t>1.5mm</w:t>
                  </w:r>
                  <w:r>
                    <w:rPr>
                      <w:rFonts w:hint="eastAsia"/>
                      <w:sz w:val="21"/>
                      <w:szCs w:val="21"/>
                      <w:u w:val="single"/>
                    </w:rPr>
                    <w:t>，冠毛污白色。</w:t>
                  </w:r>
                </w:p>
              </w:tc>
              <w:tc>
                <w:tcPr>
                  <w:tcW w:w="18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该植物可产生大量瘦果，蔓延极快，对秋收作物、果园和茶园危害严重，为一种常见杂草，通过分泌化感物质抑制邻近其他植物的生长。该植物是棉铃虫和棉蝽象的中间宿主，其叶汁和捣碎的叶对皮肤有刺激作用。</w:t>
                  </w:r>
                </w:p>
              </w:tc>
              <w:tc>
                <w:tcPr>
                  <w:tcW w:w="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bCs/>
                      <w:sz w:val="21"/>
                      <w:szCs w:val="21"/>
                    </w:rPr>
                    <w:t>分布：</w:t>
                  </w:r>
                  <w:r>
                    <w:rPr>
                      <w:rFonts w:hint="eastAsia"/>
                      <w:sz w:val="21"/>
                      <w:szCs w:val="21"/>
                    </w:rPr>
                    <w:t>临近居民生活区</w:t>
                  </w:r>
                </w:p>
              </w:tc>
              <w:tc>
                <w:tcPr>
                  <w:tcW w:w="21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drawing>
                      <wp:inline distT="0" distB="0" distL="0" distR="0">
                        <wp:extent cx="1449705" cy="10115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72557" cy="1028096"/>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3</w:t>
                  </w:r>
                </w:p>
              </w:tc>
              <w:tc>
                <w:tcPr>
                  <w:tcW w:w="128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rPr>
                    <w:t>垂序商陆</w:t>
                  </w:r>
                </w:p>
                <w:p>
                  <w:pPr>
                    <w:spacing w:line="240" w:lineRule="auto"/>
                    <w:ind w:firstLine="0" w:firstLineChars="0"/>
                    <w:rPr>
                      <w:sz w:val="21"/>
                      <w:szCs w:val="21"/>
                    </w:rPr>
                  </w:pPr>
                  <w:r>
                    <w:rPr>
                      <w:i/>
                      <w:sz w:val="21"/>
                      <w:szCs w:val="21"/>
                    </w:rPr>
                    <w:t>Phytolacca</w:t>
                  </w:r>
                  <w:r>
                    <w:rPr>
                      <w:sz w:val="21"/>
                      <w:szCs w:val="21"/>
                    </w:rPr>
                    <w:t xml:space="preserve"> </w:t>
                  </w:r>
                  <w:r>
                    <w:rPr>
                      <w:i/>
                      <w:sz w:val="21"/>
                      <w:szCs w:val="21"/>
                    </w:rPr>
                    <w:t>americana</w:t>
                  </w:r>
                </w:p>
              </w:tc>
              <w:tc>
                <w:tcPr>
                  <w:tcW w:w="111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多年生草本，高</w:t>
                  </w:r>
                  <w:r>
                    <w:rPr>
                      <w:sz w:val="21"/>
                      <w:szCs w:val="21"/>
                      <w:u w:val="single"/>
                    </w:rPr>
                    <w:t>1</w:t>
                  </w:r>
                  <w:r>
                    <w:rPr>
                      <w:rFonts w:hint="eastAsia"/>
                      <w:sz w:val="21"/>
                      <w:szCs w:val="21"/>
                      <w:u w:val="single"/>
                    </w:rPr>
                    <w:t>～</w:t>
                  </w:r>
                  <w:r>
                    <w:rPr>
                      <w:sz w:val="21"/>
                      <w:szCs w:val="21"/>
                      <w:u w:val="single"/>
                    </w:rPr>
                    <w:t>2m</w:t>
                  </w:r>
                  <w:r>
                    <w:rPr>
                      <w:rFonts w:hint="eastAsia"/>
                      <w:sz w:val="21"/>
                      <w:szCs w:val="21"/>
                      <w:u w:val="single"/>
                    </w:rPr>
                    <w:t>。根粗壮，肥大，倒圆锥形。茎直立，圆柱形，有时带紫红色。花果序下垂；浆果扁球形，熟时紫黑色。种子肾状圆形，表面光滑。花期</w:t>
                  </w:r>
                  <w:r>
                    <w:rPr>
                      <w:sz w:val="21"/>
                      <w:szCs w:val="21"/>
                      <w:u w:val="single"/>
                    </w:rPr>
                    <w:t>6</w:t>
                  </w:r>
                  <w:r>
                    <w:rPr>
                      <w:rFonts w:hint="eastAsia"/>
                      <w:sz w:val="21"/>
                      <w:szCs w:val="21"/>
                      <w:u w:val="single"/>
                    </w:rPr>
                    <w:t>～</w:t>
                  </w:r>
                  <w:r>
                    <w:rPr>
                      <w:sz w:val="21"/>
                      <w:szCs w:val="21"/>
                      <w:u w:val="single"/>
                    </w:rPr>
                    <w:t>8</w:t>
                  </w:r>
                  <w:r>
                    <w:rPr>
                      <w:rFonts w:hint="eastAsia"/>
                      <w:sz w:val="21"/>
                      <w:szCs w:val="21"/>
                      <w:u w:val="single"/>
                    </w:rPr>
                    <w:t>月，果期</w:t>
                  </w:r>
                  <w:r>
                    <w:rPr>
                      <w:sz w:val="21"/>
                      <w:szCs w:val="21"/>
                      <w:u w:val="single"/>
                    </w:rPr>
                    <w:t>8</w:t>
                  </w:r>
                  <w:r>
                    <w:rPr>
                      <w:rFonts w:hint="eastAsia"/>
                      <w:sz w:val="21"/>
                      <w:szCs w:val="21"/>
                      <w:u w:val="single"/>
                    </w:rPr>
                    <w:t>～</w:t>
                  </w:r>
                  <w:r>
                    <w:rPr>
                      <w:sz w:val="21"/>
                      <w:szCs w:val="21"/>
                      <w:u w:val="single"/>
                    </w:rPr>
                    <w:t>10</w:t>
                  </w:r>
                  <w:r>
                    <w:rPr>
                      <w:rFonts w:hint="eastAsia"/>
                      <w:sz w:val="21"/>
                      <w:szCs w:val="21"/>
                      <w:u w:val="single"/>
                    </w:rPr>
                    <w:t>月。</w:t>
                  </w:r>
                </w:p>
              </w:tc>
              <w:tc>
                <w:tcPr>
                  <w:tcW w:w="188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垂序商陆环境适应性强，生长迅速，在营养条件较好时，植株高可达</w:t>
                  </w:r>
                  <w:r>
                    <w:rPr>
                      <w:sz w:val="21"/>
                      <w:szCs w:val="21"/>
                      <w:u w:val="single"/>
                    </w:rPr>
                    <w:t xml:space="preserve"> 2m</w:t>
                  </w:r>
                  <w:r>
                    <w:rPr>
                      <w:rFonts w:hint="eastAsia"/>
                      <w:sz w:val="21"/>
                      <w:szCs w:val="21"/>
                      <w:u w:val="single"/>
                    </w:rPr>
                    <w:t>，易形成单优群落，主茎有的能达到</w:t>
                  </w:r>
                  <w:r>
                    <w:rPr>
                      <w:sz w:val="21"/>
                      <w:szCs w:val="21"/>
                      <w:u w:val="single"/>
                    </w:rPr>
                    <w:t>3cm</w:t>
                  </w:r>
                  <w:r>
                    <w:rPr>
                      <w:rFonts w:hint="eastAsia"/>
                      <w:sz w:val="21"/>
                      <w:szCs w:val="21"/>
                      <w:u w:val="single"/>
                    </w:rPr>
                    <w:t>粗，可与其他植物竞争养分。其茎具有多数开展的分枝，叶片宽阔，能覆盖其他植物体，导致其他植物生长不良甚至死亡；该种具有较为肥大的肉质直根，消耗土壤肥力。垂序商陆全株有毒，根及果实毒性最强，对人和牲畜有毒害作用，由于其根酷似人参，常被人误做人参服用，人取食后会</w:t>
                  </w:r>
                  <w:r>
                    <w:rPr>
                      <w:sz w:val="21"/>
                      <w:szCs w:val="21"/>
                      <w:u w:val="single"/>
                    </w:rPr>
                    <w:t xml:space="preserve"> </w:t>
                  </w:r>
                  <w:r>
                    <w:rPr>
                      <w:rFonts w:hint="eastAsia"/>
                      <w:sz w:val="21"/>
                      <w:szCs w:val="21"/>
                      <w:u w:val="single"/>
                    </w:rPr>
                    <w:t>造成腹泻。种子可通过鸟类传播。</w:t>
                  </w:r>
                </w:p>
              </w:tc>
              <w:tc>
                <w:tcPr>
                  <w:tcW w:w="98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bCs/>
                      <w:sz w:val="21"/>
                      <w:szCs w:val="21"/>
                    </w:rPr>
                    <w:t>分布：</w:t>
                  </w:r>
                  <w:r>
                    <w:rPr>
                      <w:rFonts w:hint="eastAsia"/>
                      <w:sz w:val="21"/>
                      <w:szCs w:val="21"/>
                    </w:rPr>
                    <w:t>评价区内零星分布</w:t>
                  </w:r>
                </w:p>
              </w:tc>
              <w:tc>
                <w:tcPr>
                  <w:tcW w:w="216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drawing>
                      <wp:inline distT="0" distB="0" distL="0" distR="0">
                        <wp:extent cx="1392555" cy="102108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15470" cy="1037791"/>
                                </a:xfrm>
                                <a:prstGeom prst="rect">
                                  <a:avLst/>
                                </a:prstGeom>
                                <a:noFill/>
                                <a:ln>
                                  <a:noFill/>
                                </a:ln>
                              </pic:spPr>
                            </pic:pic>
                          </a:graphicData>
                        </a:graphic>
                      </wp:inline>
                    </w:drawing>
                  </w:r>
                </w:p>
              </w:tc>
            </w:tr>
          </w:tbl>
          <w:p>
            <w:pPr>
              <w:spacing w:line="360" w:lineRule="auto"/>
              <w:ind w:firstLine="0" w:firstLineChars="0"/>
              <w:rPr>
                <w:b/>
              </w:rPr>
            </w:pPr>
            <w:r>
              <w:rPr>
                <w:rFonts w:hint="eastAsia"/>
                <w:b/>
              </w:rPr>
              <w:t>7</w:t>
            </w:r>
            <w:r>
              <w:rPr>
                <w:b/>
              </w:rPr>
              <w:t>.4</w:t>
            </w:r>
            <w:r>
              <w:rPr>
                <w:rFonts w:hint="eastAsia"/>
                <w:b/>
              </w:rPr>
              <w:t>陆生动物现状与评价</w:t>
            </w:r>
          </w:p>
          <w:p>
            <w:pPr>
              <w:spacing w:line="360" w:lineRule="auto"/>
              <w:ind w:firstLine="482"/>
              <w:rPr>
                <w:b/>
              </w:rPr>
            </w:pPr>
            <w:r>
              <w:rPr>
                <w:rFonts w:hint="eastAsia"/>
                <w:b/>
              </w:rPr>
              <w:t>（1）动物区系</w:t>
            </w:r>
          </w:p>
          <w:p>
            <w:pPr>
              <w:adjustRightInd w:val="0"/>
              <w:snapToGrid w:val="0"/>
              <w:spacing w:line="360" w:lineRule="auto"/>
              <w:ind w:firstLine="480"/>
            </w:pPr>
            <w:r>
              <w:rPr>
                <w:rFonts w:hint="eastAsia"/>
              </w:rPr>
              <w:t>本工程评价区所在区域动物区划属于东洋界</w:t>
            </w:r>
            <w:r>
              <w:t>—</w:t>
            </w:r>
            <w:r>
              <w:rPr>
                <w:rFonts w:hint="eastAsia"/>
              </w:rPr>
              <w:t>华中区</w:t>
            </w:r>
            <w:r>
              <w:t>—</w:t>
            </w:r>
            <w:r>
              <w:rPr>
                <w:rFonts w:hint="eastAsia"/>
              </w:rPr>
              <w:t>东部丘陵平原亚区</w:t>
            </w:r>
            <w:r>
              <w:t>—</w:t>
            </w:r>
            <w:r>
              <w:rPr>
                <w:rFonts w:hint="eastAsia"/>
              </w:rPr>
              <w:t>长江沿岸平原省</w:t>
            </w:r>
            <w:r>
              <w:t>—</w:t>
            </w:r>
            <w:r>
              <w:rPr>
                <w:rFonts w:hint="eastAsia"/>
              </w:rPr>
              <w:t>农田湿地动物群。</w:t>
            </w:r>
          </w:p>
          <w:p>
            <w:pPr>
              <w:adjustRightInd w:val="0"/>
              <w:snapToGrid w:val="0"/>
              <w:spacing w:line="360" w:lineRule="auto"/>
              <w:ind w:firstLine="480"/>
            </w:pPr>
            <w:r>
              <w:rPr>
                <w:rFonts w:hint="eastAsia"/>
              </w:rPr>
              <w:t>评价区内有陆生脊椎动物</w:t>
            </w:r>
            <w:r>
              <w:t>73</w:t>
            </w:r>
            <w:r>
              <w:rPr>
                <w:rFonts w:hint="eastAsia"/>
              </w:rPr>
              <w:t>种，东洋界物种</w:t>
            </w:r>
            <w:r>
              <w:t>30</w:t>
            </w:r>
            <w:r>
              <w:rPr>
                <w:rFonts w:hint="eastAsia"/>
              </w:rPr>
              <w:t>种，占评价区陆生脊椎动物物种数的</w:t>
            </w:r>
            <w:r>
              <w:t>41.10%</w:t>
            </w:r>
            <w:r>
              <w:rPr>
                <w:rFonts w:hint="eastAsia"/>
              </w:rPr>
              <w:t>；古北界物种</w:t>
            </w:r>
            <w:r>
              <w:t>4</w:t>
            </w:r>
            <w:r>
              <w:rPr>
                <w:rFonts w:hint="eastAsia"/>
              </w:rPr>
              <w:t>种，占评价区陆生脊椎动物物种数的</w:t>
            </w:r>
            <w:r>
              <w:t>5.48%</w:t>
            </w:r>
            <w:r>
              <w:rPr>
                <w:rFonts w:hint="eastAsia"/>
              </w:rPr>
              <w:t>；广布种</w:t>
            </w:r>
            <w:r>
              <w:t>39</w:t>
            </w:r>
            <w:r>
              <w:rPr>
                <w:rFonts w:hint="eastAsia"/>
              </w:rPr>
              <w:t>种，占评价区陆生脊椎动物物种数的</w:t>
            </w:r>
            <w:r>
              <w:t>53.42%</w:t>
            </w:r>
            <w:r>
              <w:rPr>
                <w:rFonts w:hint="eastAsia"/>
              </w:rPr>
              <w:t>。</w:t>
            </w:r>
          </w:p>
          <w:p>
            <w:pPr>
              <w:spacing w:line="360" w:lineRule="auto"/>
              <w:ind w:firstLine="482"/>
              <w:rPr>
                <w:b/>
              </w:rPr>
            </w:pPr>
            <w:r>
              <w:rPr>
                <w:rFonts w:hint="eastAsia"/>
                <w:b/>
              </w:rPr>
              <w:t>（2）物种组成</w:t>
            </w:r>
          </w:p>
          <w:p>
            <w:pPr>
              <w:spacing w:line="360" w:lineRule="auto"/>
              <w:ind w:firstLine="480"/>
              <w:rPr>
                <w:snapToGrid/>
                <w:lang w:bidi="ar"/>
              </w:rPr>
            </w:pPr>
            <w:r>
              <w:rPr>
                <w:rFonts w:hint="eastAsia"/>
                <w:lang w:bidi="ar"/>
              </w:rPr>
              <w:t>通过现场调查，结合历史资料和文献，得出评价区内有两栖动物种类有</w:t>
            </w:r>
            <w:r>
              <w:rPr>
                <w:lang w:bidi="ar"/>
              </w:rPr>
              <w:t>1</w:t>
            </w:r>
            <w:r>
              <w:rPr>
                <w:rFonts w:hint="eastAsia"/>
                <w:lang w:bidi="ar"/>
              </w:rPr>
              <w:t>目</w:t>
            </w:r>
            <w:r>
              <w:rPr>
                <w:lang w:bidi="ar"/>
              </w:rPr>
              <w:t>4</w:t>
            </w:r>
            <w:r>
              <w:rPr>
                <w:rFonts w:hint="eastAsia"/>
                <w:lang w:bidi="ar"/>
              </w:rPr>
              <w:t>科</w:t>
            </w:r>
            <w:r>
              <w:rPr>
                <w:lang w:bidi="ar"/>
              </w:rPr>
              <w:t>4</w:t>
            </w:r>
            <w:r>
              <w:rPr>
                <w:rFonts w:hint="eastAsia"/>
                <w:lang w:bidi="ar"/>
              </w:rPr>
              <w:t>种，爬行动物有</w:t>
            </w:r>
            <w:r>
              <w:rPr>
                <w:lang w:bidi="ar"/>
              </w:rPr>
              <w:t>1</w:t>
            </w:r>
            <w:r>
              <w:rPr>
                <w:rFonts w:hint="eastAsia"/>
                <w:lang w:bidi="ar"/>
              </w:rPr>
              <w:t>目</w:t>
            </w:r>
            <w:r>
              <w:rPr>
                <w:lang w:bidi="ar"/>
              </w:rPr>
              <w:t>5</w:t>
            </w:r>
            <w:r>
              <w:rPr>
                <w:rFonts w:hint="eastAsia"/>
                <w:lang w:bidi="ar"/>
              </w:rPr>
              <w:t>科</w:t>
            </w:r>
            <w:r>
              <w:rPr>
                <w:lang w:bidi="ar"/>
              </w:rPr>
              <w:t>6</w:t>
            </w:r>
            <w:r>
              <w:rPr>
                <w:rFonts w:hint="eastAsia"/>
                <w:lang w:bidi="ar"/>
              </w:rPr>
              <w:t>种，鸟类有</w:t>
            </w:r>
            <w:r>
              <w:rPr>
                <w:lang w:bidi="ar"/>
              </w:rPr>
              <w:t>11</w:t>
            </w:r>
            <w:r>
              <w:rPr>
                <w:rFonts w:hint="eastAsia"/>
                <w:lang w:bidi="ar"/>
              </w:rPr>
              <w:t>目</w:t>
            </w:r>
            <w:r>
              <w:rPr>
                <w:lang w:bidi="ar"/>
              </w:rPr>
              <w:t>31</w:t>
            </w:r>
            <w:r>
              <w:rPr>
                <w:rFonts w:hint="eastAsia"/>
                <w:lang w:bidi="ar"/>
              </w:rPr>
              <w:t>科</w:t>
            </w:r>
            <w:r>
              <w:rPr>
                <w:lang w:bidi="ar"/>
              </w:rPr>
              <w:t>55</w:t>
            </w:r>
            <w:r>
              <w:rPr>
                <w:rFonts w:hint="eastAsia"/>
                <w:lang w:bidi="ar"/>
              </w:rPr>
              <w:t>种，兽类有</w:t>
            </w:r>
            <w:r>
              <w:rPr>
                <w:lang w:bidi="ar"/>
              </w:rPr>
              <w:t>5</w:t>
            </w:r>
            <w:r>
              <w:rPr>
                <w:rFonts w:hint="eastAsia"/>
                <w:lang w:bidi="ar"/>
              </w:rPr>
              <w:t>目</w:t>
            </w:r>
            <w:r>
              <w:rPr>
                <w:lang w:bidi="ar"/>
              </w:rPr>
              <w:t>6</w:t>
            </w:r>
            <w:r>
              <w:rPr>
                <w:rFonts w:hint="eastAsia"/>
                <w:lang w:bidi="ar"/>
              </w:rPr>
              <w:t>科</w:t>
            </w:r>
            <w:r>
              <w:rPr>
                <w:lang w:bidi="ar"/>
              </w:rPr>
              <w:t>8</w:t>
            </w:r>
            <w:r>
              <w:rPr>
                <w:rFonts w:hint="eastAsia"/>
                <w:lang w:bidi="ar"/>
              </w:rPr>
              <w:t>种。</w:t>
            </w:r>
          </w:p>
          <w:p>
            <w:pPr>
              <w:spacing w:line="360" w:lineRule="auto"/>
              <w:ind w:firstLine="482"/>
              <w:rPr>
                <w:bCs/>
                <w:snapToGrid/>
              </w:rPr>
            </w:pPr>
            <w:r>
              <w:rPr>
                <w:rFonts w:hint="eastAsia" w:ascii="宋体" w:hAnsi="宋体"/>
                <w:b/>
              </w:rPr>
              <w:t>①</w:t>
            </w:r>
            <w:r>
              <w:rPr>
                <w:rFonts w:hint="eastAsia"/>
                <w:b/>
              </w:rPr>
              <w:t>两栖类：</w:t>
            </w:r>
            <w:r>
              <w:rPr>
                <w:rFonts w:hint="eastAsia"/>
              </w:rPr>
              <w:t>工程评价区内两栖动物有</w:t>
            </w:r>
            <w:r>
              <w:rPr>
                <w:lang w:bidi="ar"/>
              </w:rPr>
              <w:t>1</w:t>
            </w:r>
            <w:r>
              <w:rPr>
                <w:rFonts w:hint="eastAsia"/>
                <w:lang w:bidi="ar"/>
              </w:rPr>
              <w:t>目</w:t>
            </w:r>
            <w:r>
              <w:rPr>
                <w:lang w:bidi="ar"/>
              </w:rPr>
              <w:t>4</w:t>
            </w:r>
            <w:r>
              <w:rPr>
                <w:rFonts w:hint="eastAsia"/>
                <w:lang w:bidi="ar"/>
              </w:rPr>
              <w:t>科</w:t>
            </w:r>
            <w:r>
              <w:rPr>
                <w:lang w:bidi="ar"/>
              </w:rPr>
              <w:t>4</w:t>
            </w:r>
            <w:r>
              <w:rPr>
                <w:rFonts w:hint="eastAsia"/>
                <w:lang w:bidi="ar"/>
              </w:rPr>
              <w:t>种</w:t>
            </w:r>
            <w:r>
              <w:rPr>
                <w:rFonts w:hint="eastAsia"/>
              </w:rPr>
              <w:t>。按照生活习性分类，有</w:t>
            </w:r>
            <w:r>
              <w:rPr>
                <w:rFonts w:hint="eastAsia"/>
                <w:lang w:bidi="ar"/>
              </w:rPr>
              <w:t>陆栖型（在陆地上活动觅食）</w:t>
            </w:r>
            <w:r>
              <w:rPr>
                <w:rFonts w:hint="eastAsia"/>
              </w:rPr>
              <w:t>，</w:t>
            </w:r>
            <w:r>
              <w:rPr>
                <w:rFonts w:hint="eastAsia"/>
                <w:lang w:bidi="ar"/>
              </w:rPr>
              <w:t>包括蟾蜍科的中华蟾蜍，叉舌蛙科的泽陆蛙和姬蛙科的饰纹姬蛙，计</w:t>
            </w:r>
            <w:r>
              <w:rPr>
                <w:lang w:bidi="ar"/>
              </w:rPr>
              <w:t>3</w:t>
            </w:r>
            <w:r>
              <w:rPr>
                <w:rFonts w:hint="eastAsia"/>
                <w:lang w:bidi="ar"/>
              </w:rPr>
              <w:t>种</w:t>
            </w:r>
            <w:r>
              <w:rPr>
                <w:rFonts w:hint="eastAsia"/>
              </w:rPr>
              <w:t>；静水型（在静水或缓流中觅食），包括蛙科的黑斑侧褶蛙，计</w:t>
            </w:r>
            <w:r>
              <w:t>1</w:t>
            </w:r>
            <w:r>
              <w:rPr>
                <w:rFonts w:hint="eastAsia"/>
              </w:rPr>
              <w:t>种。</w:t>
            </w:r>
            <w:r>
              <w:rPr>
                <w:rFonts w:hint="eastAsia"/>
                <w:bCs/>
              </w:rPr>
              <w:t>评价区内分布的</w:t>
            </w:r>
            <w:r>
              <w:rPr>
                <w:bCs/>
              </w:rPr>
              <w:t>4</w:t>
            </w:r>
            <w:r>
              <w:rPr>
                <w:rFonts w:hint="eastAsia"/>
                <w:bCs/>
              </w:rPr>
              <w:t>种两栖动物中，有东洋界物种</w:t>
            </w:r>
            <w:r>
              <w:rPr>
                <w:bCs/>
              </w:rPr>
              <w:t>2</w:t>
            </w:r>
            <w:r>
              <w:rPr>
                <w:rFonts w:hint="eastAsia"/>
                <w:bCs/>
              </w:rPr>
              <w:t>种，占评价区内两栖动物物种数的</w:t>
            </w:r>
            <w:r>
              <w:rPr>
                <w:bCs/>
              </w:rPr>
              <w:t>50.00%</w:t>
            </w:r>
            <w:r>
              <w:rPr>
                <w:rFonts w:hint="eastAsia"/>
                <w:bCs/>
              </w:rPr>
              <w:t>；广布种</w:t>
            </w:r>
            <w:r>
              <w:rPr>
                <w:bCs/>
              </w:rPr>
              <w:t>2</w:t>
            </w:r>
            <w:r>
              <w:rPr>
                <w:rFonts w:hint="eastAsia"/>
                <w:bCs/>
              </w:rPr>
              <w:t>种，占评价区内两栖动物总物种数的</w:t>
            </w:r>
            <w:r>
              <w:rPr>
                <w:bCs/>
              </w:rPr>
              <w:t>50.00%</w:t>
            </w:r>
            <w:r>
              <w:rPr>
                <w:rFonts w:hint="eastAsia"/>
                <w:bCs/>
              </w:rPr>
              <w:t>；</w:t>
            </w:r>
            <w:r>
              <w:rPr>
                <w:rFonts w:hint="eastAsia"/>
              </w:rPr>
              <w:t>无古北种分布。</w:t>
            </w:r>
          </w:p>
          <w:p>
            <w:pPr>
              <w:spacing w:line="360" w:lineRule="auto"/>
              <w:ind w:firstLine="482"/>
            </w:pPr>
            <w:r>
              <w:rPr>
                <w:rFonts w:hint="eastAsia" w:ascii="宋体" w:hAnsi="宋体"/>
                <w:b/>
              </w:rPr>
              <w:t>②</w:t>
            </w:r>
            <w:r>
              <w:rPr>
                <w:rFonts w:hint="eastAsia"/>
                <w:b/>
              </w:rPr>
              <w:t>爬行类：</w:t>
            </w:r>
            <w:r>
              <w:rPr>
                <w:rFonts w:hint="eastAsia"/>
                <w:lang w:bidi="ar"/>
              </w:rPr>
              <w:t>评价区内爬行动物有</w:t>
            </w:r>
            <w:r>
              <w:rPr>
                <w:lang w:bidi="ar"/>
              </w:rPr>
              <w:t>1</w:t>
            </w:r>
            <w:r>
              <w:rPr>
                <w:rFonts w:hint="eastAsia"/>
                <w:lang w:bidi="ar"/>
              </w:rPr>
              <w:t>目</w:t>
            </w:r>
            <w:r>
              <w:rPr>
                <w:lang w:bidi="ar"/>
              </w:rPr>
              <w:t>5</w:t>
            </w:r>
            <w:r>
              <w:rPr>
                <w:rFonts w:hint="eastAsia"/>
                <w:lang w:bidi="ar"/>
              </w:rPr>
              <w:t>科</w:t>
            </w:r>
            <w:r>
              <w:rPr>
                <w:lang w:bidi="ar"/>
              </w:rPr>
              <w:t>6</w:t>
            </w:r>
            <w:r>
              <w:rPr>
                <w:rFonts w:hint="eastAsia"/>
                <w:lang w:bidi="ar"/>
              </w:rPr>
              <w:t>种</w:t>
            </w:r>
            <w:r>
              <w:rPr>
                <w:rFonts w:hint="eastAsia"/>
              </w:rPr>
              <w:t>。按照生活习性分类，有</w:t>
            </w:r>
            <w:r>
              <w:rPr>
                <w:rFonts w:hint="eastAsia"/>
                <w:lang w:bidi="ar"/>
              </w:rPr>
              <w:t>住宅型（在住宅区的建筑物中筑巢、繁殖、活动的爬行类）</w:t>
            </w:r>
            <w:r>
              <w:rPr>
                <w:rFonts w:hint="eastAsia"/>
              </w:rPr>
              <w:t>，为</w:t>
            </w:r>
            <w:r>
              <w:rPr>
                <w:rFonts w:hint="eastAsia"/>
                <w:lang w:bidi="ar"/>
              </w:rPr>
              <w:t>多疣壁虎，计</w:t>
            </w:r>
            <w:r>
              <w:rPr>
                <w:lang w:bidi="ar"/>
              </w:rPr>
              <w:t>1</w:t>
            </w:r>
            <w:r>
              <w:rPr>
                <w:rFonts w:hint="eastAsia"/>
                <w:lang w:bidi="ar"/>
              </w:rPr>
              <w:t>种</w:t>
            </w:r>
            <w:r>
              <w:rPr>
                <w:rFonts w:hint="eastAsia"/>
              </w:rPr>
              <w:t>；</w:t>
            </w:r>
            <w:r>
              <w:rPr>
                <w:rFonts w:hint="eastAsia"/>
                <w:lang w:bidi="ar"/>
              </w:rPr>
              <w:t>灌丛石隙型（经常活动在灌丛下面，路边石缝中的爬行类）</w:t>
            </w:r>
            <w:r>
              <w:rPr>
                <w:rFonts w:hint="eastAsia"/>
              </w:rPr>
              <w:t>，</w:t>
            </w:r>
            <w:r>
              <w:rPr>
                <w:rFonts w:hint="eastAsia"/>
                <w:lang w:bidi="ar"/>
              </w:rPr>
              <w:t>包括石龙子科的中国石龙子，蜥蜴科的北草蜥，及蝰科的短尾蝮，计</w:t>
            </w:r>
            <w:r>
              <w:rPr>
                <w:lang w:bidi="ar"/>
              </w:rPr>
              <w:t>3</w:t>
            </w:r>
            <w:r>
              <w:rPr>
                <w:rFonts w:hint="eastAsia"/>
                <w:lang w:bidi="ar"/>
              </w:rPr>
              <w:t>种</w:t>
            </w:r>
            <w:r>
              <w:rPr>
                <w:rFonts w:hint="eastAsia"/>
              </w:rPr>
              <w:t>；</w:t>
            </w:r>
            <w:r>
              <w:rPr>
                <w:rFonts w:hint="eastAsia"/>
                <w:lang w:bidi="ar"/>
              </w:rPr>
              <w:t>林栖傍水型（在山谷间有溪流的山坡上活动）</w:t>
            </w:r>
            <w:r>
              <w:rPr>
                <w:rFonts w:hint="eastAsia"/>
              </w:rPr>
              <w:t>，</w:t>
            </w:r>
            <w:r>
              <w:rPr>
                <w:rFonts w:hint="eastAsia"/>
                <w:lang w:bidi="ar"/>
              </w:rPr>
              <w:t>包括游蛇科的乌梢蛇、赤链蛇，计</w:t>
            </w:r>
            <w:r>
              <w:rPr>
                <w:lang w:bidi="ar"/>
              </w:rPr>
              <w:t>2</w:t>
            </w:r>
            <w:r>
              <w:rPr>
                <w:rFonts w:hint="eastAsia"/>
                <w:lang w:bidi="ar"/>
              </w:rPr>
              <w:t>种</w:t>
            </w:r>
            <w:r>
              <w:rPr>
                <w:rFonts w:hint="eastAsia"/>
              </w:rPr>
              <w:t>。评价区内分布的</w:t>
            </w:r>
            <w:r>
              <w:t>6</w:t>
            </w:r>
            <w:r>
              <w:rPr>
                <w:rFonts w:hint="eastAsia"/>
              </w:rPr>
              <w:t>种爬行动物中，东洋界物种</w:t>
            </w:r>
            <w:r>
              <w:t>3</w:t>
            </w:r>
            <w:r>
              <w:rPr>
                <w:rFonts w:hint="eastAsia"/>
              </w:rPr>
              <w:t>种，占评价区内爬行动物总物种数的</w:t>
            </w:r>
            <w:r>
              <w:t>50.00%</w:t>
            </w:r>
            <w:r>
              <w:rPr>
                <w:rFonts w:hint="eastAsia"/>
              </w:rPr>
              <w:t>；广布种</w:t>
            </w:r>
            <w:r>
              <w:t>3</w:t>
            </w:r>
            <w:r>
              <w:rPr>
                <w:rFonts w:hint="eastAsia"/>
              </w:rPr>
              <w:t>种，占评价区内爬行动物总物种数的</w:t>
            </w:r>
            <w:r>
              <w:t>50.00%</w:t>
            </w:r>
            <w:r>
              <w:rPr>
                <w:rFonts w:hint="eastAsia"/>
              </w:rPr>
              <w:t>；无古北种分布。</w:t>
            </w:r>
          </w:p>
          <w:p>
            <w:pPr>
              <w:spacing w:line="360" w:lineRule="auto"/>
              <w:ind w:firstLine="480"/>
            </w:pPr>
            <w:r>
              <w:rPr>
                <w:rFonts w:hint="eastAsia"/>
              </w:rPr>
              <w:t>评价区内分布的6种爬行动物均属于重要爬行动物，均为湖南省重点保护爬行动物；其次是北草蜥属于中国特有动物，乌梢蛇的濒危等级为易危。</w:t>
            </w:r>
          </w:p>
          <w:p>
            <w:pPr>
              <w:spacing w:line="360" w:lineRule="auto"/>
              <w:ind w:firstLine="482"/>
              <w:rPr>
                <w:u w:val="single"/>
              </w:rPr>
            </w:pPr>
            <w:r>
              <w:rPr>
                <w:rFonts w:hint="eastAsia" w:ascii="宋体" w:hAnsi="宋体"/>
                <w:b/>
                <w:u w:val="single"/>
              </w:rPr>
              <w:t>③</w:t>
            </w:r>
            <w:r>
              <w:rPr>
                <w:rFonts w:hint="eastAsia"/>
                <w:b/>
                <w:u w:val="single"/>
              </w:rPr>
              <w:t>鸟类：</w:t>
            </w:r>
            <w:r>
              <w:rPr>
                <w:rFonts w:hint="eastAsia"/>
                <w:u w:val="single"/>
                <w:lang w:bidi="ar"/>
              </w:rPr>
              <w:t>评价区内鸟类有</w:t>
            </w:r>
            <w:r>
              <w:rPr>
                <w:u w:val="single"/>
                <w:lang w:bidi="ar"/>
              </w:rPr>
              <w:t>11</w:t>
            </w:r>
            <w:r>
              <w:rPr>
                <w:rFonts w:hint="eastAsia"/>
                <w:u w:val="single"/>
                <w:lang w:bidi="ar"/>
              </w:rPr>
              <w:t>目</w:t>
            </w:r>
            <w:r>
              <w:rPr>
                <w:u w:val="single"/>
                <w:lang w:bidi="ar"/>
              </w:rPr>
              <w:t>31</w:t>
            </w:r>
            <w:r>
              <w:rPr>
                <w:rFonts w:hint="eastAsia"/>
                <w:u w:val="single"/>
                <w:lang w:bidi="ar"/>
              </w:rPr>
              <w:t>科</w:t>
            </w:r>
            <w:r>
              <w:rPr>
                <w:u w:val="single"/>
                <w:lang w:bidi="ar"/>
              </w:rPr>
              <w:t>55</w:t>
            </w:r>
            <w:r>
              <w:rPr>
                <w:rFonts w:hint="eastAsia"/>
                <w:u w:val="single"/>
                <w:lang w:bidi="ar"/>
              </w:rPr>
              <w:t>种，</w:t>
            </w:r>
            <w:r>
              <w:rPr>
                <w:rFonts w:hint="eastAsia"/>
                <w:u w:val="single"/>
              </w:rPr>
              <w:t>其中东洋界物种</w:t>
            </w:r>
            <w:r>
              <w:rPr>
                <w:u w:val="single"/>
              </w:rPr>
              <w:t>22</w:t>
            </w:r>
            <w:r>
              <w:rPr>
                <w:rFonts w:hint="eastAsia"/>
                <w:u w:val="single"/>
              </w:rPr>
              <w:t>种，占评价区鸟类物种数的</w:t>
            </w:r>
            <w:r>
              <w:rPr>
                <w:u w:val="single"/>
              </w:rPr>
              <w:t>40.00%</w:t>
            </w:r>
            <w:r>
              <w:rPr>
                <w:rFonts w:hint="eastAsia"/>
                <w:u w:val="single"/>
              </w:rPr>
              <w:t>；古北界物种</w:t>
            </w:r>
            <w:r>
              <w:rPr>
                <w:u w:val="single"/>
              </w:rPr>
              <w:t>4</w:t>
            </w:r>
            <w:r>
              <w:rPr>
                <w:rFonts w:hint="eastAsia"/>
                <w:u w:val="single"/>
              </w:rPr>
              <w:t>种，占评价区鸟类物种数的</w:t>
            </w:r>
            <w:r>
              <w:rPr>
                <w:u w:val="single"/>
              </w:rPr>
              <w:t>7.27%</w:t>
            </w:r>
            <w:r>
              <w:rPr>
                <w:rFonts w:hint="eastAsia"/>
                <w:u w:val="single"/>
              </w:rPr>
              <w:t>；广布种</w:t>
            </w:r>
            <w:r>
              <w:rPr>
                <w:u w:val="single"/>
              </w:rPr>
              <w:t>29</w:t>
            </w:r>
            <w:r>
              <w:rPr>
                <w:rFonts w:hint="eastAsia"/>
                <w:u w:val="single"/>
              </w:rPr>
              <w:t>种：占评价区鸟类物种数的</w:t>
            </w:r>
            <w:r>
              <w:rPr>
                <w:u w:val="single"/>
              </w:rPr>
              <w:t>52</w:t>
            </w:r>
            <w:r>
              <w:rPr>
                <w:rFonts w:hint="eastAsia"/>
                <w:u w:val="single"/>
              </w:rPr>
              <w:t>，</w:t>
            </w:r>
            <w:r>
              <w:rPr>
                <w:u w:val="single"/>
              </w:rPr>
              <w:t>73%</w:t>
            </w:r>
            <w:r>
              <w:rPr>
                <w:rFonts w:hint="eastAsia"/>
                <w:u w:val="single"/>
              </w:rPr>
              <w:t>。根据《国家重点保护野生动物名录》（国家林业和草原局 农业农村部公告，2021年第3号），评价区内分布的55种鸟类中，有国家二级重点保护鸟类1种：画眉。具体分布位置详见附图1</w:t>
            </w:r>
            <w:r>
              <w:rPr>
                <w:u w:val="single"/>
              </w:rPr>
              <w:t>2</w:t>
            </w:r>
            <w:r>
              <w:rPr>
                <w:rFonts w:hint="eastAsia"/>
                <w:u w:val="single"/>
              </w:rPr>
              <w:t>。</w:t>
            </w:r>
          </w:p>
          <w:p>
            <w:pPr>
              <w:spacing w:line="360" w:lineRule="auto"/>
              <w:ind w:firstLine="482"/>
            </w:pPr>
            <w:r>
              <w:rPr>
                <w:rFonts w:hint="eastAsia" w:ascii="宋体" w:hAnsi="宋体"/>
                <w:b/>
              </w:rPr>
              <w:t>④哺乳</w:t>
            </w:r>
            <w:r>
              <w:rPr>
                <w:rFonts w:hint="eastAsia"/>
                <w:b/>
              </w:rPr>
              <w:t>类：</w:t>
            </w:r>
            <w:r>
              <w:rPr>
                <w:rFonts w:hint="eastAsia"/>
                <w:lang w:bidi="ar"/>
              </w:rPr>
              <w:t>价区内哺乳类有</w:t>
            </w:r>
            <w:r>
              <w:rPr>
                <w:lang w:bidi="ar"/>
              </w:rPr>
              <w:t>5</w:t>
            </w:r>
            <w:r>
              <w:rPr>
                <w:rFonts w:hint="eastAsia"/>
                <w:lang w:bidi="ar"/>
              </w:rPr>
              <w:t>目</w:t>
            </w:r>
            <w:r>
              <w:rPr>
                <w:lang w:bidi="ar"/>
              </w:rPr>
              <w:t>6</w:t>
            </w:r>
            <w:r>
              <w:rPr>
                <w:rFonts w:hint="eastAsia"/>
                <w:lang w:bidi="ar"/>
              </w:rPr>
              <w:t>科</w:t>
            </w:r>
            <w:r>
              <w:rPr>
                <w:lang w:bidi="ar"/>
              </w:rPr>
              <w:t>8</w:t>
            </w:r>
            <w:r>
              <w:rPr>
                <w:rFonts w:hint="eastAsia"/>
                <w:lang w:bidi="ar"/>
              </w:rPr>
              <w:t>种，其中，兔形目</w:t>
            </w:r>
            <w:r>
              <w:rPr>
                <w:lang w:bidi="ar"/>
              </w:rPr>
              <w:t>1</w:t>
            </w:r>
            <w:r>
              <w:rPr>
                <w:rFonts w:hint="eastAsia"/>
                <w:lang w:bidi="ar"/>
              </w:rPr>
              <w:t>科种，啮齿目</w:t>
            </w:r>
            <w:r>
              <w:rPr>
                <w:lang w:bidi="ar"/>
              </w:rPr>
              <w:t>2</w:t>
            </w:r>
            <w:r>
              <w:rPr>
                <w:rFonts w:hint="eastAsia"/>
                <w:lang w:bidi="ar"/>
              </w:rPr>
              <w:t>科</w:t>
            </w:r>
            <w:r>
              <w:rPr>
                <w:lang w:bidi="ar"/>
              </w:rPr>
              <w:t>4</w:t>
            </w:r>
            <w:r>
              <w:rPr>
                <w:rFonts w:hint="eastAsia"/>
                <w:lang w:bidi="ar"/>
              </w:rPr>
              <w:t>种，翼手目</w:t>
            </w:r>
            <w:r>
              <w:rPr>
                <w:lang w:bidi="ar"/>
              </w:rPr>
              <w:t>1</w:t>
            </w:r>
            <w:r>
              <w:rPr>
                <w:rFonts w:hint="eastAsia"/>
                <w:lang w:bidi="ar"/>
              </w:rPr>
              <w:t>科</w:t>
            </w:r>
            <w:r>
              <w:rPr>
                <w:lang w:bidi="ar"/>
              </w:rPr>
              <w:t>1</w:t>
            </w:r>
            <w:r>
              <w:rPr>
                <w:rFonts w:hint="eastAsia"/>
                <w:lang w:bidi="ar"/>
              </w:rPr>
              <w:t>种，猬形目</w:t>
            </w:r>
            <w:r>
              <w:rPr>
                <w:lang w:bidi="ar"/>
              </w:rPr>
              <w:t>1</w:t>
            </w:r>
            <w:r>
              <w:rPr>
                <w:rFonts w:hint="eastAsia"/>
                <w:lang w:bidi="ar"/>
              </w:rPr>
              <w:t>科</w:t>
            </w:r>
            <w:r>
              <w:rPr>
                <w:lang w:bidi="ar"/>
              </w:rPr>
              <w:t>1</w:t>
            </w:r>
            <w:r>
              <w:rPr>
                <w:rFonts w:hint="eastAsia"/>
                <w:lang w:bidi="ar"/>
              </w:rPr>
              <w:t>种，食肉目</w:t>
            </w:r>
            <w:r>
              <w:rPr>
                <w:lang w:bidi="ar"/>
              </w:rPr>
              <w:t>1</w:t>
            </w:r>
            <w:r>
              <w:rPr>
                <w:rFonts w:hint="eastAsia"/>
                <w:lang w:bidi="ar"/>
              </w:rPr>
              <w:t>科</w:t>
            </w:r>
            <w:r>
              <w:rPr>
                <w:lang w:bidi="ar"/>
              </w:rPr>
              <w:t>1</w:t>
            </w:r>
            <w:r>
              <w:rPr>
                <w:rFonts w:hint="eastAsia"/>
                <w:lang w:bidi="ar"/>
              </w:rPr>
              <w:t>种。</w:t>
            </w:r>
            <w:r>
              <w:rPr>
                <w:rFonts w:hint="eastAsia"/>
              </w:rPr>
              <w:t>半地下生活型，包括刺猬科，鼬科，鼠科，及兔科的全部物种，计6种，占评价区兽类物种数的75.00%；</w:t>
            </w:r>
            <w:r>
              <w:rPr>
                <w:rFonts w:hint="eastAsia"/>
                <w:shd w:val="clear" w:color="auto" w:fill="FFFFFF"/>
              </w:rPr>
              <w:t>岩洞栖息型，</w:t>
            </w:r>
            <w:r>
              <w:rPr>
                <w:rFonts w:hint="eastAsia"/>
              </w:rPr>
              <w:t>仅包括翼手目的普通伏翼，计1种，占评价区兽类总物种数的12.50%；树栖型，仅包括松鼠科的隐纹花松鼠，</w:t>
            </w:r>
            <w:r>
              <w:t>1</w:t>
            </w:r>
            <w:r>
              <w:rPr>
                <w:rFonts w:hint="eastAsia"/>
              </w:rPr>
              <w:t>种，</w:t>
            </w:r>
            <w:r>
              <w:rPr>
                <w:rFonts w:hint="eastAsia"/>
                <w:shd w:val="clear" w:color="auto" w:fill="FFFFFF"/>
              </w:rPr>
              <w:t>计</w:t>
            </w:r>
            <w:r>
              <w:rPr>
                <w:shd w:val="clear" w:color="auto" w:fill="FFFFFF"/>
              </w:rPr>
              <w:t>1</w:t>
            </w:r>
            <w:r>
              <w:rPr>
                <w:rFonts w:hint="eastAsia"/>
                <w:shd w:val="clear" w:color="auto" w:fill="FFFFFF"/>
              </w:rPr>
              <w:t>种，占评价区哺乳类总物种数的</w:t>
            </w:r>
            <w:r>
              <w:rPr>
                <w:shd w:val="clear" w:color="auto" w:fill="FFFFFF"/>
              </w:rPr>
              <w:t>12.50%</w:t>
            </w:r>
            <w:r>
              <w:rPr>
                <w:rFonts w:hint="eastAsia"/>
              </w:rPr>
              <w:t>。</w:t>
            </w:r>
          </w:p>
          <w:p>
            <w:pPr>
              <w:spacing w:line="360" w:lineRule="auto"/>
              <w:ind w:firstLine="482"/>
              <w:rPr>
                <w:b/>
              </w:rPr>
            </w:pPr>
            <w:r>
              <w:rPr>
                <w:rFonts w:hint="eastAsia"/>
                <w:b/>
              </w:rPr>
              <w:t>（3）珍稀濒危及重点保护野生动物</w:t>
            </w:r>
          </w:p>
          <w:p>
            <w:pPr>
              <w:spacing w:line="360" w:lineRule="auto"/>
              <w:ind w:firstLine="480"/>
            </w:pPr>
            <w:r>
              <w:rPr>
                <w:rFonts w:hint="eastAsia"/>
              </w:rPr>
              <w:t>评价区内有陆生脊椎动物</w:t>
            </w:r>
            <w:r>
              <w:t>18</w:t>
            </w:r>
            <w:r>
              <w:rPr>
                <w:rFonts w:hint="eastAsia"/>
              </w:rPr>
              <w:t>目</w:t>
            </w:r>
            <w:r>
              <w:t>46</w:t>
            </w:r>
            <w:r>
              <w:rPr>
                <w:rFonts w:hint="eastAsia"/>
              </w:rPr>
              <w:t>科</w:t>
            </w:r>
            <w:r>
              <w:t>73</w:t>
            </w:r>
            <w:r>
              <w:rPr>
                <w:rFonts w:hint="eastAsia"/>
              </w:rPr>
              <w:t>种。其中，有重要的两栖动物</w:t>
            </w:r>
            <w:r>
              <w:t>4</w:t>
            </w:r>
            <w:r>
              <w:rPr>
                <w:rFonts w:hint="eastAsia"/>
              </w:rPr>
              <w:t>种，有重要的爬行动物</w:t>
            </w:r>
            <w:r>
              <w:t>6</w:t>
            </w:r>
            <w:r>
              <w:rPr>
                <w:rFonts w:hint="eastAsia"/>
              </w:rPr>
              <w:t>种，有重要的鸟类有</w:t>
            </w:r>
            <w:r>
              <w:t>38</w:t>
            </w:r>
            <w:r>
              <w:rPr>
                <w:rFonts w:hint="eastAsia"/>
              </w:rPr>
              <w:t>种（包括国家二级重点保护鸟类</w:t>
            </w:r>
            <w:r>
              <w:t>1</w:t>
            </w:r>
            <w:r>
              <w:rPr>
                <w:rFonts w:hint="eastAsia"/>
              </w:rPr>
              <w:t>种，湖南省重点保护鸟类</w:t>
            </w:r>
            <w:r>
              <w:t>37</w:t>
            </w:r>
            <w:r>
              <w:rPr>
                <w:rFonts w:hint="eastAsia"/>
              </w:rPr>
              <w:t>种），有重要的哺乳动物</w:t>
            </w:r>
            <w:r>
              <w:t>5</w:t>
            </w:r>
            <w:r>
              <w:rPr>
                <w:rFonts w:hint="eastAsia"/>
              </w:rPr>
              <w:t>种。</w:t>
            </w:r>
          </w:p>
          <w:p>
            <w:pPr>
              <w:spacing w:line="360" w:lineRule="auto"/>
              <w:ind w:firstLine="0" w:firstLineChars="0"/>
              <w:jc w:val="center"/>
            </w:pPr>
            <w:r>
              <w:rPr>
                <w:rFonts w:hint="eastAsia"/>
              </w:rPr>
              <w:t>表3</w:t>
            </w:r>
            <w:r>
              <w:t>-1</w:t>
            </w:r>
            <w:r>
              <w:rPr>
                <w:rFonts w:hint="eastAsia"/>
              </w:rPr>
              <w:t>3</w:t>
            </w:r>
            <w:r>
              <w:t xml:space="preserve"> </w:t>
            </w:r>
            <w:r>
              <w:rPr>
                <w:rFonts w:hint="eastAsia"/>
              </w:rPr>
              <w:t>评价区重要野生动物一览表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963"/>
              <w:gridCol w:w="730"/>
              <w:gridCol w:w="731"/>
              <w:gridCol w:w="731"/>
              <w:gridCol w:w="1315"/>
              <w:gridCol w:w="694"/>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napToGrid/>
                      <w:sz w:val="21"/>
                      <w:szCs w:val="21"/>
                      <w:u w:val="single"/>
                    </w:rPr>
                  </w:pPr>
                  <w:r>
                    <w:rPr>
                      <w:rFonts w:hint="eastAsia"/>
                      <w:sz w:val="21"/>
                      <w:szCs w:val="21"/>
                      <w:u w:val="single"/>
                    </w:rPr>
                    <w:t>序号</w:t>
                  </w:r>
                </w:p>
              </w:tc>
              <w:tc>
                <w:tcPr>
                  <w:tcW w:w="190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物种名称</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保护等级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濒危等级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特有种</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分布区域</w:t>
                  </w:r>
                </w:p>
              </w:tc>
              <w:tc>
                <w:tcPr>
                  <w:tcW w:w="67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资料来源</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shd w:val="clear" w:color="auto" w:fill="FFFFFF"/>
                    </w:rPr>
                  </w:pPr>
                  <w:r>
                    <w:rPr>
                      <w:sz w:val="21"/>
                      <w:szCs w:val="21"/>
                      <w:u w:val="single"/>
                      <w:shd w:val="clear" w:color="auto" w:fill="FFFFFF"/>
                    </w:rPr>
                    <w:t>1</w:t>
                  </w:r>
                </w:p>
              </w:tc>
              <w:tc>
                <w:tcPr>
                  <w:tcW w:w="190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中华蟾蜍</w:t>
                  </w:r>
                </w:p>
                <w:p>
                  <w:pPr>
                    <w:spacing w:line="240" w:lineRule="auto"/>
                    <w:ind w:firstLine="0" w:firstLineChars="0"/>
                    <w:rPr>
                      <w:sz w:val="21"/>
                      <w:szCs w:val="21"/>
                      <w:u w:val="single"/>
                    </w:rPr>
                  </w:pPr>
                  <w:r>
                    <w:rPr>
                      <w:i/>
                      <w:iCs/>
                      <w:sz w:val="21"/>
                      <w:szCs w:val="21"/>
                      <w:u w:val="single"/>
                    </w:rPr>
                    <w:t>Bufo gargarizans</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LC</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主要分布在水域附近</w:t>
                  </w:r>
                </w:p>
              </w:tc>
              <w:tc>
                <w:tcPr>
                  <w:tcW w:w="67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访问调查</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不占用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2</w:t>
                  </w:r>
                </w:p>
              </w:tc>
              <w:tc>
                <w:tcPr>
                  <w:tcW w:w="190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textAlignment w:val="bottom"/>
                    <w:rPr>
                      <w:sz w:val="21"/>
                      <w:szCs w:val="21"/>
                      <w:u w:val="single"/>
                    </w:rPr>
                  </w:pPr>
                  <w:r>
                    <w:rPr>
                      <w:rFonts w:hint="eastAsia"/>
                      <w:sz w:val="21"/>
                      <w:szCs w:val="21"/>
                      <w:u w:val="single"/>
                    </w:rPr>
                    <w:t>乌梢蛇</w:t>
                  </w:r>
                </w:p>
                <w:p>
                  <w:pPr>
                    <w:spacing w:line="240" w:lineRule="auto"/>
                    <w:ind w:firstLine="0" w:firstLineChars="0"/>
                    <w:rPr>
                      <w:sz w:val="21"/>
                      <w:szCs w:val="21"/>
                      <w:u w:val="single"/>
                    </w:rPr>
                  </w:pPr>
                  <w:r>
                    <w:rPr>
                      <w:i/>
                      <w:iCs/>
                      <w:sz w:val="21"/>
                      <w:szCs w:val="21"/>
                      <w:u w:val="single"/>
                    </w:rPr>
                    <w:t>Ptyas dhumnades</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VU</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主要分布在近水的林地</w:t>
                  </w:r>
                </w:p>
              </w:tc>
              <w:tc>
                <w:tcPr>
                  <w:tcW w:w="67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访问调查</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工程占用林地会占用其栖息生境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3</w:t>
                  </w:r>
                </w:p>
              </w:tc>
              <w:tc>
                <w:tcPr>
                  <w:tcW w:w="19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textAlignment w:val="center"/>
                    <w:rPr>
                      <w:i/>
                      <w:iCs/>
                      <w:sz w:val="21"/>
                      <w:szCs w:val="21"/>
                      <w:u w:val="single"/>
                      <w:lang w:bidi="ar"/>
                    </w:rPr>
                  </w:pPr>
                  <w:r>
                    <w:rPr>
                      <w:rFonts w:hint="eastAsia"/>
                      <w:sz w:val="21"/>
                      <w:szCs w:val="21"/>
                      <w:u w:val="single"/>
                      <w:lang w:bidi="ar"/>
                    </w:rPr>
                    <w:t>画眉</w:t>
                  </w:r>
                </w:p>
                <w:p>
                  <w:pPr>
                    <w:spacing w:line="240" w:lineRule="auto"/>
                    <w:ind w:firstLine="0" w:firstLineChars="0"/>
                    <w:rPr>
                      <w:kern w:val="2"/>
                      <w:sz w:val="21"/>
                      <w:szCs w:val="21"/>
                      <w:u w:val="single"/>
                    </w:rPr>
                  </w:pPr>
                  <w:r>
                    <w:rPr>
                      <w:i/>
                      <w:iCs/>
                      <w:sz w:val="21"/>
                      <w:szCs w:val="21"/>
                      <w:u w:val="single"/>
                      <w:lang w:bidi="ar"/>
                    </w:rPr>
                    <w:t>Garrulax</w:t>
                  </w:r>
                  <w:r>
                    <w:rPr>
                      <w:sz w:val="21"/>
                      <w:szCs w:val="21"/>
                      <w:u w:val="single"/>
                      <w:lang w:bidi="ar"/>
                    </w:rPr>
                    <w:t xml:space="preserve"> </w:t>
                  </w:r>
                  <w:r>
                    <w:rPr>
                      <w:i/>
                      <w:iCs/>
                      <w:sz w:val="21"/>
                      <w:szCs w:val="21"/>
                      <w:u w:val="single"/>
                      <w:lang w:bidi="ar"/>
                    </w:rPr>
                    <w:t>canorus</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fldChar w:fldCharType="begin"/>
                  </w:r>
                  <w:r>
                    <w:rPr>
                      <w:sz w:val="21"/>
                      <w:szCs w:val="21"/>
                      <w:u w:val="single"/>
                    </w:rPr>
                    <w:instrText xml:space="preserve"> = 2 \* ROMAN \* MERGEFORMAT </w:instrText>
                  </w:r>
                  <w:r>
                    <w:rPr>
                      <w:sz w:val="21"/>
                      <w:szCs w:val="21"/>
                      <w:u w:val="single"/>
                    </w:rPr>
                    <w:fldChar w:fldCharType="separate"/>
                  </w:r>
                  <w:r>
                    <w:rPr>
                      <w:sz w:val="21"/>
                      <w:szCs w:val="21"/>
                      <w:u w:val="single"/>
                    </w:rPr>
                    <w:t>II</w:t>
                  </w:r>
                  <w:r>
                    <w:rPr>
                      <w:sz w:val="21"/>
                      <w:szCs w:val="21"/>
                      <w:u w:val="single"/>
                    </w:rPr>
                    <w:fldChar w:fldCharType="end"/>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NT</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主要分布在林地</w:t>
                  </w:r>
                </w:p>
              </w:tc>
              <w:tc>
                <w:tcPr>
                  <w:tcW w:w="67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历史资料</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工程占用林地会占用其栖息生境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4</w:t>
                  </w: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rPr>
                      <w:sz w:val="21"/>
                      <w:szCs w:val="21"/>
                      <w:u w:val="single"/>
                    </w:rPr>
                  </w:pPr>
                  <w:r>
                    <w:rPr>
                      <w:rFonts w:hint="eastAsia"/>
                      <w:sz w:val="21"/>
                      <w:szCs w:val="21"/>
                      <w:u w:val="single"/>
                    </w:rPr>
                    <w:t>普通夜鹰</w:t>
                  </w:r>
                </w:p>
                <w:p>
                  <w:pPr>
                    <w:spacing w:line="240" w:lineRule="auto"/>
                    <w:ind w:firstLine="0" w:firstLineChars="0"/>
                    <w:rPr>
                      <w:sz w:val="21"/>
                      <w:szCs w:val="21"/>
                      <w:u w:val="single"/>
                    </w:rPr>
                  </w:pPr>
                  <w:r>
                    <w:rPr>
                      <w:i/>
                      <w:iCs/>
                      <w:sz w:val="21"/>
                      <w:szCs w:val="21"/>
                      <w:u w:val="single"/>
                    </w:rPr>
                    <w:t>Caprimulgus indicus</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LC</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主要分布在林地</w:t>
                  </w:r>
                </w:p>
              </w:tc>
              <w:tc>
                <w:tcPr>
                  <w:tcW w:w="67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历史资料</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工程占用林地会占用其栖息生境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5</w:t>
                  </w: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rPr>
                      <w:sz w:val="21"/>
                      <w:szCs w:val="21"/>
                      <w:u w:val="single"/>
                    </w:rPr>
                  </w:pPr>
                  <w:r>
                    <w:rPr>
                      <w:rFonts w:hint="eastAsia"/>
                      <w:sz w:val="21"/>
                      <w:szCs w:val="21"/>
                      <w:u w:val="single"/>
                    </w:rPr>
                    <w:t>四声杜鹃</w:t>
                  </w:r>
                </w:p>
                <w:p>
                  <w:pPr>
                    <w:autoSpaceDE w:val="0"/>
                    <w:spacing w:line="240" w:lineRule="auto"/>
                    <w:ind w:firstLine="0" w:firstLineChars="0"/>
                    <w:rPr>
                      <w:sz w:val="21"/>
                      <w:szCs w:val="21"/>
                      <w:u w:val="single"/>
                    </w:rPr>
                  </w:pPr>
                  <w:r>
                    <w:rPr>
                      <w:i/>
                      <w:iCs/>
                      <w:sz w:val="21"/>
                      <w:szCs w:val="21"/>
                      <w:u w:val="single"/>
                    </w:rPr>
                    <w:t>Cuculus micropterus</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LC</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主要分布在林地</w:t>
                  </w:r>
                </w:p>
              </w:tc>
              <w:tc>
                <w:tcPr>
                  <w:tcW w:w="673" w:type="dxa"/>
                  <w:tcBorders>
                    <w:top w:val="single" w:color="auto" w:sz="4" w:space="0"/>
                    <w:left w:val="single" w:color="auto" w:sz="4" w:space="0"/>
                    <w:bottom w:val="single" w:color="auto" w:sz="4" w:space="0"/>
                    <w:right w:val="single" w:color="auto" w:sz="4" w:space="0"/>
                  </w:tcBorders>
                  <w:vAlign w:val="center"/>
                </w:tcPr>
                <w:p>
                  <w:pPr>
                    <w:widowControl/>
                    <w:autoSpaceDE w:val="0"/>
                    <w:spacing w:line="240" w:lineRule="auto"/>
                    <w:ind w:firstLine="0" w:firstLineChars="0"/>
                    <w:jc w:val="center"/>
                    <w:rPr>
                      <w:sz w:val="21"/>
                      <w:szCs w:val="21"/>
                      <w:u w:val="single"/>
                    </w:rPr>
                  </w:pPr>
                  <w:r>
                    <w:rPr>
                      <w:rFonts w:hint="eastAsia"/>
                      <w:sz w:val="21"/>
                      <w:szCs w:val="21"/>
                      <w:u w:val="single"/>
                    </w:rPr>
                    <w:t>历史资料</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工程占用林地会占用其栖息生境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6</w:t>
                  </w: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rPr>
                      <w:sz w:val="21"/>
                      <w:szCs w:val="21"/>
                      <w:u w:val="single"/>
                    </w:rPr>
                  </w:pPr>
                  <w:r>
                    <w:rPr>
                      <w:rFonts w:hint="eastAsia"/>
                      <w:sz w:val="21"/>
                      <w:szCs w:val="21"/>
                      <w:u w:val="single"/>
                    </w:rPr>
                    <w:t>大斑啄木鸟</w:t>
                  </w:r>
                </w:p>
                <w:p>
                  <w:pPr>
                    <w:autoSpaceDE w:val="0"/>
                    <w:spacing w:line="240" w:lineRule="auto"/>
                    <w:ind w:firstLine="0" w:firstLineChars="0"/>
                    <w:rPr>
                      <w:sz w:val="21"/>
                      <w:szCs w:val="21"/>
                      <w:u w:val="single"/>
                    </w:rPr>
                  </w:pPr>
                  <w:r>
                    <w:rPr>
                      <w:i/>
                      <w:iCs/>
                      <w:sz w:val="21"/>
                      <w:szCs w:val="21"/>
                      <w:u w:val="single"/>
                    </w:rPr>
                    <w:t>Dendrocopos major</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LC</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主要分布在林地</w:t>
                  </w:r>
                </w:p>
              </w:tc>
              <w:tc>
                <w:tcPr>
                  <w:tcW w:w="673"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sz w:val="21"/>
                      <w:szCs w:val="21"/>
                      <w:u w:val="single"/>
                    </w:rPr>
                  </w:pPr>
                  <w:r>
                    <w:rPr>
                      <w:rFonts w:hint="eastAsia"/>
                      <w:sz w:val="21"/>
                      <w:szCs w:val="21"/>
                      <w:u w:val="single"/>
                    </w:rPr>
                    <w:t>本次调查</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工程占用林地会占用其栖息生境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7</w:t>
                  </w: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rPr>
                      <w:sz w:val="21"/>
                      <w:szCs w:val="21"/>
                      <w:u w:val="single"/>
                    </w:rPr>
                  </w:pPr>
                  <w:r>
                    <w:rPr>
                      <w:rFonts w:hint="eastAsia"/>
                      <w:sz w:val="21"/>
                      <w:szCs w:val="21"/>
                      <w:u w:val="single"/>
                    </w:rPr>
                    <w:t>黑枕黄鹂</w:t>
                  </w:r>
                </w:p>
                <w:p>
                  <w:pPr>
                    <w:autoSpaceDE w:val="0"/>
                    <w:spacing w:line="240" w:lineRule="auto"/>
                    <w:ind w:firstLine="0" w:firstLineChars="0"/>
                    <w:rPr>
                      <w:i/>
                      <w:iCs/>
                      <w:sz w:val="21"/>
                      <w:szCs w:val="21"/>
                      <w:u w:val="single"/>
                    </w:rPr>
                  </w:pPr>
                  <w:r>
                    <w:rPr>
                      <w:i/>
                      <w:sz w:val="21"/>
                      <w:szCs w:val="21"/>
                      <w:u w:val="single"/>
                    </w:rPr>
                    <w:t>Oriolus chinensis</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LC</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主要分布在林地</w:t>
                  </w:r>
                </w:p>
              </w:tc>
              <w:tc>
                <w:tcPr>
                  <w:tcW w:w="673"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sz w:val="21"/>
                      <w:szCs w:val="21"/>
                      <w:u w:val="single"/>
                    </w:rPr>
                  </w:pPr>
                  <w:r>
                    <w:rPr>
                      <w:rFonts w:hint="eastAsia"/>
                      <w:sz w:val="21"/>
                      <w:szCs w:val="21"/>
                      <w:u w:val="single"/>
                    </w:rPr>
                    <w:t>历史资料</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工程占用林地会占用其栖息生境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8</w:t>
                  </w: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rPr>
                      <w:sz w:val="21"/>
                      <w:szCs w:val="21"/>
                      <w:u w:val="single"/>
                    </w:rPr>
                  </w:pPr>
                  <w:r>
                    <w:rPr>
                      <w:rFonts w:hint="eastAsia"/>
                      <w:sz w:val="21"/>
                      <w:szCs w:val="21"/>
                      <w:u w:val="single"/>
                    </w:rPr>
                    <w:t>灰喜鹊</w:t>
                  </w:r>
                </w:p>
                <w:p>
                  <w:pPr>
                    <w:autoSpaceDE w:val="0"/>
                    <w:spacing w:line="240" w:lineRule="auto"/>
                    <w:ind w:firstLine="0" w:firstLineChars="0"/>
                    <w:rPr>
                      <w:i/>
                      <w:iCs/>
                      <w:sz w:val="21"/>
                      <w:szCs w:val="21"/>
                      <w:u w:val="single"/>
                    </w:rPr>
                  </w:pPr>
                  <w:r>
                    <w:rPr>
                      <w:i/>
                      <w:iCs/>
                      <w:sz w:val="21"/>
                      <w:szCs w:val="21"/>
                      <w:u w:val="single"/>
                    </w:rPr>
                    <w:t>Cyanopica cyana</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LC</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主要分布在林地、灌草地</w:t>
                  </w:r>
                </w:p>
              </w:tc>
              <w:tc>
                <w:tcPr>
                  <w:tcW w:w="673"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sz w:val="21"/>
                      <w:szCs w:val="21"/>
                      <w:u w:val="single"/>
                    </w:rPr>
                  </w:pPr>
                  <w:r>
                    <w:rPr>
                      <w:rFonts w:hint="eastAsia"/>
                      <w:sz w:val="21"/>
                      <w:szCs w:val="21"/>
                      <w:u w:val="single"/>
                    </w:rPr>
                    <w:t>历史资料</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工程占用林地会占用其栖息生境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9</w:t>
                  </w:r>
                </w:p>
              </w:tc>
              <w:tc>
                <w:tcPr>
                  <w:tcW w:w="1905"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rPr>
                      <w:sz w:val="21"/>
                      <w:szCs w:val="21"/>
                      <w:u w:val="single"/>
                    </w:rPr>
                  </w:pPr>
                  <w:r>
                    <w:rPr>
                      <w:rFonts w:hint="eastAsia"/>
                      <w:sz w:val="21"/>
                      <w:szCs w:val="21"/>
                      <w:u w:val="single"/>
                    </w:rPr>
                    <w:t>金腰燕</w:t>
                  </w:r>
                </w:p>
                <w:p>
                  <w:pPr>
                    <w:autoSpaceDE w:val="0"/>
                    <w:spacing w:line="240" w:lineRule="auto"/>
                    <w:ind w:firstLine="0" w:firstLineChars="0"/>
                    <w:rPr>
                      <w:sz w:val="21"/>
                      <w:szCs w:val="21"/>
                      <w:u w:val="single"/>
                    </w:rPr>
                  </w:pPr>
                  <w:r>
                    <w:rPr>
                      <w:i/>
                      <w:iCs/>
                      <w:sz w:val="21"/>
                      <w:szCs w:val="21"/>
                      <w:u w:val="single"/>
                    </w:rPr>
                    <w:t>Cecropis daurica</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LC</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主要分布在居民点、农田附近</w:t>
                  </w:r>
                </w:p>
              </w:tc>
              <w:tc>
                <w:tcPr>
                  <w:tcW w:w="673" w:type="dxa"/>
                  <w:tcBorders>
                    <w:top w:val="single" w:color="auto" w:sz="4" w:space="0"/>
                    <w:left w:val="single" w:color="auto" w:sz="4" w:space="0"/>
                    <w:bottom w:val="single" w:color="auto" w:sz="4" w:space="0"/>
                    <w:right w:val="single" w:color="auto" w:sz="4" w:space="0"/>
                  </w:tcBorders>
                  <w:vAlign w:val="center"/>
                </w:tcPr>
                <w:p>
                  <w:pPr>
                    <w:autoSpaceDE w:val="0"/>
                    <w:spacing w:line="240" w:lineRule="auto"/>
                    <w:ind w:firstLine="0" w:firstLineChars="0"/>
                    <w:jc w:val="center"/>
                    <w:rPr>
                      <w:sz w:val="21"/>
                      <w:szCs w:val="21"/>
                      <w:u w:val="single"/>
                    </w:rPr>
                  </w:pPr>
                  <w:r>
                    <w:rPr>
                      <w:rFonts w:hint="eastAsia"/>
                      <w:sz w:val="21"/>
                      <w:szCs w:val="21"/>
                      <w:u w:val="single"/>
                    </w:rPr>
                    <w:t>历史资料</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工程占用农田会占用其栖息生境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sz w:val="21"/>
                      <w:szCs w:val="21"/>
                      <w:u w:val="single"/>
                    </w:rPr>
                    <w:t>10</w:t>
                  </w:r>
                </w:p>
              </w:tc>
              <w:tc>
                <w:tcPr>
                  <w:tcW w:w="190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黄鼬</w:t>
                  </w:r>
                </w:p>
                <w:p>
                  <w:pPr>
                    <w:spacing w:line="240" w:lineRule="auto"/>
                    <w:ind w:firstLine="0" w:firstLineChars="0"/>
                    <w:rPr>
                      <w:sz w:val="21"/>
                      <w:szCs w:val="21"/>
                      <w:u w:val="single"/>
                    </w:rPr>
                  </w:pPr>
                  <w:r>
                    <w:rPr>
                      <w:i/>
                      <w:iCs/>
                      <w:sz w:val="21"/>
                      <w:szCs w:val="21"/>
                      <w:u w:val="single"/>
                    </w:rPr>
                    <w:t>Mustela sibirica</w:t>
                  </w:r>
                </w:p>
              </w:tc>
              <w:tc>
                <w:tcPr>
                  <w:tcW w:w="70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省级</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kern w:val="2"/>
                      <w:sz w:val="21"/>
                      <w:szCs w:val="21"/>
                      <w:u w:val="single"/>
                    </w:rPr>
                  </w:pPr>
                  <w:r>
                    <w:rPr>
                      <w:sz w:val="21"/>
                      <w:szCs w:val="21"/>
                      <w:u w:val="single"/>
                    </w:rPr>
                    <w:t>LC</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u w:val="single"/>
                    </w:rPr>
                  </w:pPr>
                  <w:r>
                    <w:rPr>
                      <w:rFonts w:hint="eastAsia"/>
                      <w:sz w:val="21"/>
                      <w:szCs w:val="21"/>
                      <w:u w:val="single"/>
                    </w:rPr>
                    <w:t>各种生境均有分布</w:t>
                  </w:r>
                </w:p>
              </w:tc>
              <w:tc>
                <w:tcPr>
                  <w:tcW w:w="67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本次调查</w:t>
                  </w:r>
                </w:p>
              </w:tc>
              <w:tc>
                <w:tcPr>
                  <w:tcW w:w="135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u w:val="single"/>
                    </w:rPr>
                  </w:pPr>
                  <w:r>
                    <w:rPr>
                      <w:rFonts w:hint="eastAsia"/>
                      <w:sz w:val="21"/>
                      <w:szCs w:val="21"/>
                      <w:u w:val="single"/>
                    </w:rPr>
                    <w:t>工程占地会占用其栖息生境</w:t>
                  </w:r>
                </w:p>
              </w:tc>
            </w:tr>
          </w:tbl>
          <w:p>
            <w:pPr>
              <w:spacing w:line="360" w:lineRule="auto"/>
              <w:ind w:firstLine="0" w:firstLineChars="0"/>
              <w:rPr>
                <w:b/>
              </w:rPr>
            </w:pPr>
            <w:r>
              <w:rPr>
                <w:rFonts w:hint="eastAsia"/>
                <w:b/>
              </w:rPr>
              <w:t>7</w:t>
            </w:r>
            <w:r>
              <w:rPr>
                <w:b/>
              </w:rPr>
              <w:t>.5</w:t>
            </w:r>
            <w:r>
              <w:rPr>
                <w:rFonts w:hint="eastAsia"/>
                <w:b/>
              </w:rPr>
              <w:t>水生动物现状与评价</w:t>
            </w:r>
          </w:p>
          <w:p>
            <w:pPr>
              <w:spacing w:line="360" w:lineRule="auto"/>
              <w:ind w:firstLine="480"/>
            </w:pPr>
            <w:r>
              <w:rPr>
                <w:rFonts w:hint="eastAsia"/>
              </w:rPr>
              <w:t>本项目生产废水从工业广场东侧洋沙湖撇洪渠取水，本次水生调查设置了1个水生调查点位，位于评价区东侧的洋沙湖撇洪渠的取水泵站附近。</w:t>
            </w:r>
          </w:p>
          <w:p>
            <w:pPr>
              <w:spacing w:line="360" w:lineRule="auto"/>
              <w:ind w:firstLine="482"/>
              <w:rPr>
                <w:b/>
              </w:rPr>
            </w:pPr>
            <w:r>
              <w:rPr>
                <w:rFonts w:hint="eastAsia"/>
                <w:b/>
              </w:rPr>
              <w:t>（1）浮游植物</w:t>
            </w:r>
          </w:p>
          <w:p>
            <w:pPr>
              <w:tabs>
                <w:tab w:val="left" w:pos="1410"/>
              </w:tabs>
              <w:spacing w:line="360" w:lineRule="auto"/>
              <w:ind w:firstLine="480"/>
              <w:rPr>
                <w:snapToGrid/>
              </w:rPr>
            </w:pPr>
            <w:r>
              <w:rPr>
                <w:rFonts w:hint="eastAsia"/>
              </w:rPr>
              <w:t>通过调查，共鉴定浮游植物</w:t>
            </w:r>
            <w:r>
              <w:t>5</w:t>
            </w:r>
            <w:r>
              <w:rPr>
                <w:rFonts w:hint="eastAsia"/>
              </w:rPr>
              <w:t>门</w:t>
            </w:r>
            <w:r>
              <w:t>31</w:t>
            </w:r>
            <w:r>
              <w:rPr>
                <w:rFonts w:hint="eastAsia"/>
              </w:rPr>
              <w:t>种（属），其中，硅藻门物种最多，为</w:t>
            </w:r>
            <w:r>
              <w:t>12</w:t>
            </w:r>
            <w:r>
              <w:rPr>
                <w:rFonts w:hint="eastAsia"/>
              </w:rPr>
              <w:t>种（属），占浮游植物物种数的</w:t>
            </w:r>
            <w:r>
              <w:t>38.71%</w:t>
            </w:r>
            <w:r>
              <w:rPr>
                <w:rFonts w:hint="eastAsia"/>
              </w:rPr>
              <w:t>；其次是绿藻门，为</w:t>
            </w:r>
            <w:r>
              <w:t>10</w:t>
            </w:r>
            <w:r>
              <w:rPr>
                <w:rFonts w:hint="eastAsia"/>
              </w:rPr>
              <w:t>种（属），占浮游植物物种数的</w:t>
            </w:r>
            <w:r>
              <w:t>32.26%</w:t>
            </w:r>
            <w:r>
              <w:rPr>
                <w:rFonts w:hint="eastAsia"/>
              </w:rPr>
              <w:t>；蓝藻门</w:t>
            </w:r>
            <w:r>
              <w:t>7</w:t>
            </w:r>
            <w:r>
              <w:rPr>
                <w:rFonts w:hint="eastAsia"/>
              </w:rPr>
              <w:t>种（属），占浮游植物物种数的</w:t>
            </w:r>
            <w:r>
              <w:t>22.58%</w:t>
            </w:r>
            <w:r>
              <w:rPr>
                <w:rFonts w:hint="eastAsia"/>
              </w:rPr>
              <w:t>；裸藻门、隐藻门各</w:t>
            </w:r>
            <w:r>
              <w:t>1</w:t>
            </w:r>
            <w:r>
              <w:rPr>
                <w:rFonts w:hint="eastAsia"/>
              </w:rPr>
              <w:t>种（属），占浮游植物物种数的</w:t>
            </w:r>
            <w:r>
              <w:t>3.23%</w:t>
            </w:r>
            <w:r>
              <w:rPr>
                <w:rFonts w:hint="eastAsia"/>
              </w:rPr>
              <w:t>。</w:t>
            </w:r>
          </w:p>
          <w:p>
            <w:pPr>
              <w:spacing w:line="360" w:lineRule="auto"/>
              <w:ind w:firstLine="482"/>
              <w:rPr>
                <w:b/>
              </w:rPr>
            </w:pPr>
            <w:r>
              <w:rPr>
                <w:rFonts w:hint="eastAsia"/>
                <w:b/>
              </w:rPr>
              <w:t>（2）浮游动物</w:t>
            </w:r>
          </w:p>
          <w:p>
            <w:pPr>
              <w:spacing w:line="360" w:lineRule="auto"/>
              <w:ind w:firstLine="480"/>
              <w:rPr>
                <w:color w:val="FF0000"/>
              </w:rPr>
            </w:pPr>
            <w:r>
              <w:rPr>
                <w:rFonts w:hint="eastAsia"/>
              </w:rPr>
              <w:t>通过调查，共鉴定出浮游动物</w:t>
            </w:r>
            <w:r>
              <w:t>4</w:t>
            </w:r>
            <w:r>
              <w:rPr>
                <w:rFonts w:hint="eastAsia"/>
              </w:rPr>
              <w:t>类</w:t>
            </w:r>
            <w:r>
              <w:t>30</w:t>
            </w:r>
            <w:r>
              <w:rPr>
                <w:rFonts w:hint="eastAsia"/>
              </w:rPr>
              <w:t>种（属），其中，轮虫物种最多，为18种（属），占浮游动物物种数的60.00%；桡足类次之，为5种（属），占浮游动物物种数的16.67%；枝角类4种（属），占浮游动物物种数的13.33%；原生动物3种（属），占浮游动物物种数的10.00%。</w:t>
            </w:r>
          </w:p>
          <w:p>
            <w:pPr>
              <w:spacing w:line="360" w:lineRule="auto"/>
              <w:ind w:firstLine="482"/>
              <w:rPr>
                <w:b/>
              </w:rPr>
            </w:pPr>
            <w:r>
              <w:rPr>
                <w:rFonts w:hint="eastAsia"/>
                <w:b/>
              </w:rPr>
              <w:t>（3）大型底栖动物</w:t>
            </w:r>
          </w:p>
          <w:p>
            <w:pPr>
              <w:spacing w:line="360" w:lineRule="auto"/>
              <w:ind w:firstLine="480"/>
            </w:pPr>
            <w:r>
              <w:rPr>
                <w:rFonts w:hint="eastAsia"/>
              </w:rPr>
              <w:t>通过调查，共鉴定出大型底栖动物</w:t>
            </w:r>
            <w:r>
              <w:t>3</w:t>
            </w:r>
            <w:r>
              <w:rPr>
                <w:rFonts w:hint="eastAsia"/>
              </w:rPr>
              <w:t>门</w:t>
            </w:r>
            <w:r>
              <w:t>14</w:t>
            </w:r>
            <w:r>
              <w:rPr>
                <w:rFonts w:hint="eastAsia"/>
              </w:rPr>
              <w:t>种（属），其中，软体动物门物种最多，为7种（属），占底栖动物物种数的50.00%；其次是环节动物门，为4种（属），占底栖动物物种数的28.57%；节肢动物门物种最少，为3种（属），占底栖动物物种数的21.43%。</w:t>
            </w:r>
          </w:p>
          <w:p>
            <w:pPr>
              <w:spacing w:line="360" w:lineRule="auto"/>
              <w:ind w:firstLine="482"/>
              <w:rPr>
                <w:b/>
              </w:rPr>
            </w:pPr>
            <w:r>
              <w:rPr>
                <w:rFonts w:hint="eastAsia"/>
                <w:b/>
              </w:rPr>
              <w:t>（4）鱼类</w:t>
            </w:r>
          </w:p>
          <w:p>
            <w:pPr>
              <w:spacing w:line="360" w:lineRule="auto"/>
              <w:ind w:firstLine="480"/>
              <w:rPr>
                <w:u w:val="single"/>
              </w:rPr>
            </w:pPr>
            <w:r>
              <w:rPr>
                <w:rFonts w:hint="eastAsia"/>
                <w:u w:val="single"/>
              </w:rPr>
              <w:t>评价区内鱼类有</w:t>
            </w:r>
            <w:r>
              <w:rPr>
                <w:u w:val="single"/>
              </w:rPr>
              <w:t>4</w:t>
            </w:r>
            <w:r>
              <w:rPr>
                <w:rFonts w:hint="eastAsia"/>
                <w:u w:val="single"/>
              </w:rPr>
              <w:t>目</w:t>
            </w:r>
            <w:r>
              <w:rPr>
                <w:u w:val="single"/>
              </w:rPr>
              <w:t>6</w:t>
            </w:r>
            <w:r>
              <w:rPr>
                <w:rFonts w:hint="eastAsia"/>
                <w:u w:val="single"/>
              </w:rPr>
              <w:t>科</w:t>
            </w:r>
            <w:r>
              <w:rPr>
                <w:u w:val="single"/>
              </w:rPr>
              <w:t>17</w:t>
            </w:r>
            <w:r>
              <w:rPr>
                <w:rFonts w:hint="eastAsia"/>
                <w:u w:val="single"/>
              </w:rPr>
              <w:t>种，其中，鲤形目种类最多，计2科12种，占鱼类物种数的70.59%；鲇形目1科1种，占鱼类物种数的5.88%；鲈形目2科3种，占监测范围鱼类物种数的17.65%；合鳃目1科1种，占鱼类物种数的5.88%。</w:t>
            </w:r>
          </w:p>
          <w:p>
            <w:pPr>
              <w:spacing w:line="360" w:lineRule="auto"/>
              <w:ind w:firstLine="0" w:firstLineChars="0"/>
              <w:rPr>
                <w:b/>
                <w:u w:val="single"/>
              </w:rPr>
            </w:pPr>
            <w:r>
              <w:rPr>
                <w:rFonts w:hint="eastAsia"/>
                <w:b/>
                <w:u w:val="single"/>
              </w:rPr>
              <w:t>7</w:t>
            </w:r>
            <w:r>
              <w:rPr>
                <w:b/>
                <w:u w:val="single"/>
              </w:rPr>
              <w:t>.6</w:t>
            </w:r>
            <w:r>
              <w:rPr>
                <w:rFonts w:hint="eastAsia"/>
                <w:b/>
                <w:u w:val="single"/>
              </w:rPr>
              <w:t>生态系统组成</w:t>
            </w:r>
          </w:p>
          <w:p>
            <w:pPr>
              <w:spacing w:after="48" w:line="360" w:lineRule="auto"/>
              <w:ind w:firstLine="480"/>
              <w:rPr>
                <w:snapToGrid/>
                <w:u w:val="single"/>
              </w:rPr>
            </w:pPr>
            <w:r>
              <w:rPr>
                <w:rFonts w:hint="eastAsia"/>
                <w:u w:val="single"/>
              </w:rPr>
              <w:t>评价区生态系统以《中国植被》提出的植物群落分类系统为基础，参考《中国生态系统》的分类原则及方法，根据对建群种生活型、群落外貌、土地利用现状的分析，结合动植物分布和生物量的调查，对评价区生态现状进行生态系统划分，可分为自然的森林生态系统、灌丛</w:t>
            </w:r>
            <w:r>
              <w:rPr>
                <w:u w:val="single"/>
              </w:rPr>
              <w:t>/</w:t>
            </w:r>
            <w:r>
              <w:rPr>
                <w:rFonts w:hint="eastAsia"/>
                <w:u w:val="single"/>
              </w:rPr>
              <w:t>灌草丛生态系统、湿地生态系统及半自然的农业生态系统和人工的城镇</w:t>
            </w:r>
            <w:r>
              <w:rPr>
                <w:u w:val="single"/>
              </w:rPr>
              <w:t>/</w:t>
            </w:r>
            <w:r>
              <w:rPr>
                <w:rFonts w:hint="eastAsia"/>
                <w:u w:val="single"/>
              </w:rPr>
              <w:t>村落生态系统。</w:t>
            </w:r>
            <w:r>
              <w:rPr>
                <w:rFonts w:hint="eastAsia"/>
                <w:szCs w:val="20"/>
              </w:rPr>
              <w:t>评价区自然环境良好，区域生态系统以自然的森林生态系统为主，面积为</w:t>
            </w:r>
            <w:r>
              <w:rPr>
                <w:szCs w:val="20"/>
              </w:rPr>
              <w:t xml:space="preserve">106.56 </w:t>
            </w:r>
            <w:r>
              <w:t>hm</w:t>
            </w:r>
            <w:r>
              <w:rPr>
                <w:vertAlign w:val="superscript"/>
              </w:rPr>
              <w:t>2</w:t>
            </w:r>
            <w:r>
              <w:rPr>
                <w:rFonts w:hint="eastAsia"/>
              </w:rPr>
              <w:t>，占总面积的</w:t>
            </w:r>
            <w:r>
              <w:t>50.60%</w:t>
            </w:r>
            <w:r>
              <w:rPr>
                <w:rFonts w:hint="eastAsia"/>
                <w:szCs w:val="20"/>
              </w:rPr>
              <w:t>。</w:t>
            </w:r>
            <w:r>
              <w:rPr>
                <w:rFonts w:hint="eastAsia"/>
              </w:rPr>
              <w:t>具体见下表及附图1</w:t>
            </w:r>
            <w:r>
              <w:t>3</w:t>
            </w:r>
            <w:r>
              <w:rPr>
                <w:rFonts w:hint="eastAsia"/>
              </w:rPr>
              <w:t>。</w:t>
            </w:r>
          </w:p>
          <w:p>
            <w:pPr>
              <w:pStyle w:val="2"/>
              <w:spacing w:line="360" w:lineRule="auto"/>
              <w:rPr>
                <w:b w:val="0"/>
                <w:color w:val="auto"/>
              </w:rPr>
            </w:pPr>
            <w:r>
              <w:rPr>
                <w:rFonts w:hint="eastAsia"/>
                <w:b w:val="0"/>
                <w:color w:val="auto"/>
              </w:rPr>
              <w:t>表3</w:t>
            </w:r>
            <w:r>
              <w:rPr>
                <w:b w:val="0"/>
                <w:color w:val="auto"/>
              </w:rPr>
              <w:t>-1</w:t>
            </w:r>
            <w:r>
              <w:rPr>
                <w:rFonts w:hint="eastAsia"/>
                <w:b w:val="0"/>
                <w:color w:val="auto"/>
              </w:rPr>
              <w:t>4</w:t>
            </w:r>
            <w:r>
              <w:rPr>
                <w:b w:val="0"/>
                <w:color w:val="auto"/>
              </w:rPr>
              <w:t xml:space="preserve"> </w:t>
            </w:r>
            <w:r>
              <w:rPr>
                <w:rFonts w:hint="eastAsia"/>
                <w:b w:val="0"/>
                <w:color w:val="auto"/>
              </w:rPr>
              <w:t>评价区生态系统面积统计表</w:t>
            </w:r>
          </w:p>
          <w:tbl>
            <w:tblPr>
              <w:tblStyle w:val="1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02"/>
              <w:gridCol w:w="1273"/>
              <w:gridCol w:w="1241"/>
              <w:gridCol w:w="1197"/>
              <w:gridCol w:w="1241"/>
              <w:gridCol w:w="15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napToGrid/>
                      <w:sz w:val="21"/>
                      <w:szCs w:val="21"/>
                    </w:rPr>
                  </w:pPr>
                  <w:r>
                    <w:rPr>
                      <w:rFonts w:hint="eastAsia"/>
                      <w:sz w:val="21"/>
                      <w:szCs w:val="21"/>
                    </w:rPr>
                    <w:t>生态系统类型</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r>
                    <w:rPr>
                      <w:rFonts w:hint="eastAsia"/>
                      <w:sz w:val="21"/>
                      <w:szCs w:val="21"/>
                    </w:rPr>
                    <w:t>森林生态系统</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r>
                    <w:rPr>
                      <w:rFonts w:hint="eastAsia"/>
                      <w:sz w:val="21"/>
                      <w:szCs w:val="21"/>
                    </w:rPr>
                    <w:t>灌丛</w:t>
                  </w:r>
                  <w:r>
                    <w:rPr>
                      <w:sz w:val="21"/>
                      <w:szCs w:val="21"/>
                    </w:rPr>
                    <w:t>/</w:t>
                  </w:r>
                  <w:r>
                    <w:rPr>
                      <w:rFonts w:hint="eastAsia"/>
                      <w:sz w:val="21"/>
                      <w:szCs w:val="21"/>
                    </w:rPr>
                    <w:t>灌草丛生态系统</w:t>
                  </w:r>
                </w:p>
              </w:tc>
              <w:tc>
                <w:tcPr>
                  <w:tcW w:w="14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r>
                    <w:rPr>
                      <w:rFonts w:hint="eastAsia"/>
                      <w:sz w:val="21"/>
                      <w:szCs w:val="21"/>
                    </w:rPr>
                    <w:t>湿地生态系统</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r>
                    <w:rPr>
                      <w:rFonts w:hint="eastAsia"/>
                      <w:sz w:val="21"/>
                      <w:szCs w:val="21"/>
                    </w:rPr>
                    <w:t>农业生态系统</w:t>
                  </w:r>
                </w:p>
              </w:tc>
              <w:tc>
                <w:tcPr>
                  <w:tcW w:w="19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r>
                    <w:rPr>
                      <w:rFonts w:hint="eastAsia"/>
                      <w:sz w:val="21"/>
                      <w:szCs w:val="21"/>
                    </w:rPr>
                    <w:t>城镇</w:t>
                  </w:r>
                  <w:r>
                    <w:rPr>
                      <w:sz w:val="21"/>
                      <w:szCs w:val="21"/>
                    </w:rPr>
                    <w:t>/</w:t>
                  </w:r>
                  <w:r>
                    <w:rPr>
                      <w:rFonts w:hint="eastAsia"/>
                      <w:sz w:val="21"/>
                      <w:szCs w:val="21"/>
                    </w:rPr>
                    <w:t>村落生态系统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bookmarkStart w:id="19" w:name="RANGE!A19"/>
                  <w:r>
                    <w:rPr>
                      <w:rFonts w:hint="eastAsia"/>
                      <w:sz w:val="21"/>
                      <w:szCs w:val="21"/>
                    </w:rPr>
                    <w:t>面积（</w:t>
                  </w:r>
                  <w:r>
                    <w:rPr>
                      <w:sz w:val="21"/>
                      <w:szCs w:val="21"/>
                    </w:rPr>
                    <w:t>hm</w:t>
                  </w:r>
                  <w:r>
                    <w:rPr>
                      <w:sz w:val="21"/>
                      <w:szCs w:val="21"/>
                      <w:vertAlign w:val="superscript"/>
                    </w:rPr>
                    <w:t>2</w:t>
                  </w:r>
                  <w:r>
                    <w:rPr>
                      <w:rFonts w:hint="eastAsia"/>
                      <w:sz w:val="21"/>
                      <w:szCs w:val="21"/>
                    </w:rPr>
                    <w:t>）</w:t>
                  </w:r>
                  <w:bookmarkEnd w:id="19"/>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106.56</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34.22</w:t>
                  </w:r>
                </w:p>
              </w:tc>
              <w:tc>
                <w:tcPr>
                  <w:tcW w:w="14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9.84</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49.18</w:t>
                  </w:r>
                </w:p>
              </w:tc>
              <w:tc>
                <w:tcPr>
                  <w:tcW w:w="19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10.81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 w:hRule="atLeast"/>
                <w:jc w:val="center"/>
              </w:trPr>
              <w:tc>
                <w:tcPr>
                  <w:tcW w:w="187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rPr>
                  </w:pPr>
                  <w:bookmarkStart w:id="20" w:name="RANGE!A20"/>
                  <w:r>
                    <w:rPr>
                      <w:rFonts w:hint="eastAsia"/>
                      <w:sz w:val="21"/>
                      <w:szCs w:val="21"/>
                    </w:rPr>
                    <w:t>所占百分比（</w:t>
                  </w:r>
                  <w:r>
                    <w:rPr>
                      <w:sz w:val="21"/>
                      <w:szCs w:val="21"/>
                    </w:rPr>
                    <w:t>%</w:t>
                  </w:r>
                  <w:r>
                    <w:rPr>
                      <w:rFonts w:hint="eastAsia"/>
                      <w:sz w:val="21"/>
                      <w:szCs w:val="21"/>
                    </w:rPr>
                    <w:t>）</w:t>
                  </w:r>
                  <w:bookmarkEnd w:id="20"/>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50.60</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16.25</w:t>
                  </w:r>
                </w:p>
              </w:tc>
              <w:tc>
                <w:tcPr>
                  <w:tcW w:w="146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4.67</w:t>
                  </w:r>
                </w:p>
              </w:tc>
              <w:tc>
                <w:tcPr>
                  <w:tcW w:w="148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23.35</w:t>
                  </w:r>
                </w:p>
              </w:tc>
              <w:tc>
                <w:tcPr>
                  <w:tcW w:w="19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sz w:val="21"/>
                      <w:szCs w:val="21"/>
                      <w:u w:val="single"/>
                    </w:rPr>
                  </w:pPr>
                  <w:r>
                    <w:rPr>
                      <w:sz w:val="21"/>
                      <w:szCs w:val="21"/>
                      <w:u w:val="single"/>
                    </w:rPr>
                    <w:t>5.13</w:t>
                  </w:r>
                </w:p>
              </w:tc>
            </w:tr>
          </w:tbl>
          <w:p>
            <w:pPr>
              <w:spacing w:line="360" w:lineRule="auto"/>
              <w:ind w:firstLine="0" w:firstLineChars="0"/>
              <w:rPr>
                <w:b/>
              </w:rPr>
            </w:pPr>
            <w:r>
              <w:rPr>
                <w:rFonts w:hint="eastAsia"/>
                <w:b/>
              </w:rPr>
              <w:t>7</w:t>
            </w:r>
            <w:r>
              <w:rPr>
                <w:b/>
              </w:rPr>
              <w:t>.7</w:t>
            </w:r>
            <w:r>
              <w:rPr>
                <w:rFonts w:hint="eastAsia"/>
                <w:b/>
              </w:rPr>
              <w:t>生态环境质量现状评价</w:t>
            </w:r>
          </w:p>
          <w:p>
            <w:pPr>
              <w:spacing w:line="360" w:lineRule="auto"/>
              <w:ind w:firstLine="480"/>
            </w:pPr>
            <w:r>
              <w:rPr>
                <w:rFonts w:hint="eastAsia"/>
              </w:rPr>
              <w:t>（1）自然体系生物量现状</w:t>
            </w:r>
          </w:p>
          <w:p>
            <w:pPr>
              <w:spacing w:line="360" w:lineRule="auto"/>
              <w:ind w:firstLine="480"/>
            </w:pPr>
            <w:r>
              <w:rPr>
                <w:rFonts w:hint="eastAsia"/>
              </w:rPr>
              <w:t>根据评价区各类土地的现状调查数据，以针叶林、阔叶林、灌丛和灌草丛等的生物量及农业植被的近年平均粮食产量等参数来推算其实际生物量。评价区自然体系生物量现状见下表。</w:t>
            </w:r>
          </w:p>
          <w:p>
            <w:pPr>
              <w:pStyle w:val="2"/>
              <w:spacing w:line="360" w:lineRule="auto"/>
              <w:rPr>
                <w:b w:val="0"/>
                <w:color w:val="auto"/>
              </w:rPr>
            </w:pPr>
            <w:r>
              <w:rPr>
                <w:rFonts w:hint="eastAsia"/>
                <w:b w:val="0"/>
                <w:color w:val="auto"/>
              </w:rPr>
              <w:t>表3</w:t>
            </w:r>
            <w:r>
              <w:rPr>
                <w:b w:val="0"/>
                <w:color w:val="auto"/>
              </w:rPr>
              <w:t>-1</w:t>
            </w:r>
            <w:r>
              <w:rPr>
                <w:rFonts w:hint="eastAsia"/>
                <w:b w:val="0"/>
                <w:color w:val="auto"/>
              </w:rPr>
              <w:t>5</w:t>
            </w:r>
            <w:r>
              <w:rPr>
                <w:b w:val="0"/>
                <w:color w:val="auto"/>
              </w:rPr>
              <w:t xml:space="preserve"> </w:t>
            </w:r>
            <w:r>
              <w:rPr>
                <w:rFonts w:hint="eastAsia"/>
                <w:b w:val="0"/>
                <w:color w:val="auto"/>
              </w:rPr>
              <w:t>评价区各生态类型的生物量</w:t>
            </w:r>
          </w:p>
          <w:tbl>
            <w:tblPr>
              <w:tblStyle w:val="17"/>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873"/>
              <w:gridCol w:w="864"/>
              <w:gridCol w:w="1008"/>
              <w:gridCol w:w="1152"/>
              <w:gridCol w:w="91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pPr>
                  <w:r>
                    <w:rPr>
                      <w:rFonts w:hint="eastAsia"/>
                      <w:bCs/>
                      <w:sz w:val="21"/>
                      <w:szCs w:val="21"/>
                    </w:rPr>
                    <w:t>生态类型</w:t>
                  </w:r>
                </w:p>
              </w:tc>
              <w:tc>
                <w:tcPr>
                  <w:tcW w:w="1843" w:type="dxa"/>
                  <w:vAlign w:val="center"/>
                </w:tcPr>
                <w:p>
                  <w:pPr>
                    <w:spacing w:line="240" w:lineRule="auto"/>
                    <w:ind w:firstLine="0" w:firstLineChars="0"/>
                    <w:jc w:val="center"/>
                  </w:pPr>
                  <w:r>
                    <w:rPr>
                      <w:rFonts w:hint="eastAsia"/>
                      <w:bCs/>
                      <w:sz w:val="21"/>
                      <w:szCs w:val="21"/>
                    </w:rPr>
                    <w:t>代表植物</w:t>
                  </w:r>
                </w:p>
              </w:tc>
              <w:tc>
                <w:tcPr>
                  <w:tcW w:w="850" w:type="dxa"/>
                  <w:vAlign w:val="center"/>
                </w:tcPr>
                <w:p>
                  <w:pPr>
                    <w:spacing w:line="240" w:lineRule="auto"/>
                    <w:ind w:firstLine="0" w:firstLineChars="0"/>
                    <w:jc w:val="center"/>
                  </w:pPr>
                  <w:r>
                    <w:rPr>
                      <w:rFonts w:hint="eastAsia"/>
                      <w:bCs/>
                      <w:sz w:val="21"/>
                      <w:szCs w:val="21"/>
                    </w:rPr>
                    <w:t>面积(</w:t>
                  </w:r>
                  <w:r>
                    <w:rPr>
                      <w:bCs/>
                      <w:sz w:val="21"/>
                      <w:szCs w:val="21"/>
                    </w:rPr>
                    <w:t>hm</w:t>
                  </w:r>
                  <w:r>
                    <w:rPr>
                      <w:bCs/>
                      <w:sz w:val="21"/>
                      <w:szCs w:val="21"/>
                      <w:vertAlign w:val="superscript"/>
                    </w:rPr>
                    <w:t>2</w:t>
                  </w:r>
                  <w:r>
                    <w:rPr>
                      <w:rFonts w:hint="eastAsia"/>
                      <w:bCs/>
                      <w:sz w:val="21"/>
                      <w:szCs w:val="21"/>
                    </w:rPr>
                    <w:t>)</w:t>
                  </w:r>
                </w:p>
              </w:tc>
              <w:tc>
                <w:tcPr>
                  <w:tcW w:w="992" w:type="dxa"/>
                  <w:vAlign w:val="center"/>
                </w:tcPr>
                <w:p>
                  <w:pPr>
                    <w:spacing w:line="240" w:lineRule="auto"/>
                    <w:ind w:firstLine="0" w:firstLineChars="0"/>
                    <w:jc w:val="center"/>
                  </w:pPr>
                  <w:r>
                    <w:rPr>
                      <w:rFonts w:hint="eastAsia"/>
                      <w:bCs/>
                      <w:sz w:val="21"/>
                      <w:szCs w:val="21"/>
                    </w:rPr>
                    <w:t>占总面积(</w:t>
                  </w:r>
                  <w:r>
                    <w:rPr>
                      <w:bCs/>
                      <w:sz w:val="21"/>
                      <w:szCs w:val="21"/>
                    </w:rPr>
                    <w:t>%</w:t>
                  </w:r>
                  <w:r>
                    <w:rPr>
                      <w:rFonts w:hint="eastAsia"/>
                      <w:bCs/>
                      <w:sz w:val="21"/>
                      <w:szCs w:val="21"/>
                    </w:rPr>
                    <w:t>)</w:t>
                  </w:r>
                </w:p>
              </w:tc>
              <w:tc>
                <w:tcPr>
                  <w:tcW w:w="1134" w:type="dxa"/>
                  <w:vAlign w:val="center"/>
                </w:tcPr>
                <w:p>
                  <w:pPr>
                    <w:spacing w:line="240" w:lineRule="auto"/>
                    <w:ind w:firstLine="0" w:firstLineChars="0"/>
                    <w:jc w:val="center"/>
                  </w:pPr>
                  <w:r>
                    <w:rPr>
                      <w:rFonts w:hint="eastAsia"/>
                      <w:bCs/>
                      <w:sz w:val="21"/>
                      <w:szCs w:val="21"/>
                    </w:rPr>
                    <w:t>平均生物量(</w:t>
                  </w:r>
                  <w:r>
                    <w:rPr>
                      <w:bCs/>
                      <w:sz w:val="21"/>
                      <w:szCs w:val="21"/>
                    </w:rPr>
                    <w:t>t/hm</w:t>
                  </w:r>
                  <w:r>
                    <w:rPr>
                      <w:bCs/>
                      <w:sz w:val="21"/>
                      <w:szCs w:val="21"/>
                      <w:vertAlign w:val="superscript"/>
                    </w:rPr>
                    <w:t>2</w:t>
                  </w:r>
                  <w:r>
                    <w:rPr>
                      <w:rFonts w:hint="eastAsia"/>
                      <w:bCs/>
                      <w:sz w:val="21"/>
                      <w:szCs w:val="21"/>
                    </w:rPr>
                    <w:t>)</w:t>
                  </w:r>
                </w:p>
              </w:tc>
              <w:tc>
                <w:tcPr>
                  <w:tcW w:w="810" w:type="dxa"/>
                  <w:vAlign w:val="center"/>
                </w:tcPr>
                <w:p>
                  <w:pPr>
                    <w:spacing w:line="240" w:lineRule="auto"/>
                    <w:ind w:firstLine="0" w:firstLineChars="0"/>
                    <w:jc w:val="center"/>
                  </w:pPr>
                  <w:r>
                    <w:rPr>
                      <w:rFonts w:hint="eastAsia"/>
                      <w:bCs/>
                      <w:sz w:val="21"/>
                      <w:szCs w:val="21"/>
                    </w:rPr>
                    <w:t>生物量(</w:t>
                  </w:r>
                  <w:r>
                    <w:rPr>
                      <w:bCs/>
                      <w:sz w:val="21"/>
                      <w:szCs w:val="21"/>
                    </w:rPr>
                    <w:t>t</w:t>
                  </w:r>
                  <w:r>
                    <w:rPr>
                      <w:rFonts w:hint="eastAsia"/>
                      <w:bCs/>
                      <w:sz w:val="21"/>
                      <w:szCs w:val="21"/>
                    </w:rPr>
                    <w:t>)</w:t>
                  </w:r>
                </w:p>
              </w:tc>
              <w:tc>
                <w:tcPr>
                  <w:tcW w:w="1121" w:type="dxa"/>
                  <w:vAlign w:val="center"/>
                </w:tcPr>
                <w:p>
                  <w:pPr>
                    <w:spacing w:line="240" w:lineRule="auto"/>
                    <w:ind w:firstLine="0" w:firstLineChars="0"/>
                    <w:jc w:val="center"/>
                  </w:pPr>
                  <w:r>
                    <w:rPr>
                      <w:rFonts w:hint="eastAsia"/>
                      <w:bCs/>
                      <w:sz w:val="21"/>
                      <w:szCs w:val="21"/>
                    </w:rPr>
                    <w:t>占总生物量(</w:t>
                  </w:r>
                  <w:r>
                    <w:rPr>
                      <w:bCs/>
                      <w:sz w:val="21"/>
                      <w:szCs w:val="21"/>
                    </w:rPr>
                    <w:t>%</w:t>
                  </w: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pPr>
                  <w:r>
                    <w:rPr>
                      <w:rFonts w:hint="eastAsia"/>
                      <w:sz w:val="21"/>
                      <w:szCs w:val="21"/>
                    </w:rPr>
                    <w:t>针叶林</w:t>
                  </w:r>
                </w:p>
              </w:tc>
              <w:tc>
                <w:tcPr>
                  <w:tcW w:w="1843" w:type="dxa"/>
                  <w:vAlign w:val="center"/>
                </w:tcPr>
                <w:p>
                  <w:pPr>
                    <w:spacing w:line="240" w:lineRule="auto"/>
                    <w:ind w:firstLine="0" w:firstLineChars="0"/>
                    <w:jc w:val="center"/>
                  </w:pPr>
                  <w:r>
                    <w:rPr>
                      <w:rFonts w:hint="eastAsia"/>
                      <w:sz w:val="21"/>
                      <w:szCs w:val="21"/>
                    </w:rPr>
                    <w:t>马尾松、杉木等</w:t>
                  </w:r>
                </w:p>
              </w:tc>
              <w:tc>
                <w:tcPr>
                  <w:tcW w:w="850" w:type="dxa"/>
                  <w:vAlign w:val="center"/>
                </w:tcPr>
                <w:p>
                  <w:pPr>
                    <w:spacing w:line="240" w:lineRule="auto"/>
                    <w:ind w:firstLine="0" w:firstLineChars="0"/>
                    <w:jc w:val="center"/>
                  </w:pPr>
                  <w:r>
                    <w:rPr>
                      <w:sz w:val="21"/>
                      <w:szCs w:val="21"/>
                    </w:rPr>
                    <w:t>54.14</w:t>
                  </w:r>
                </w:p>
              </w:tc>
              <w:tc>
                <w:tcPr>
                  <w:tcW w:w="992" w:type="dxa"/>
                  <w:vAlign w:val="center"/>
                </w:tcPr>
                <w:p>
                  <w:pPr>
                    <w:spacing w:line="240" w:lineRule="auto"/>
                    <w:ind w:firstLine="0" w:firstLineChars="0"/>
                    <w:jc w:val="center"/>
                  </w:pPr>
                  <w:r>
                    <w:rPr>
                      <w:sz w:val="21"/>
                      <w:szCs w:val="21"/>
                      <w:lang w:bidi="ar"/>
                    </w:rPr>
                    <w:t>25.71</w:t>
                  </w:r>
                </w:p>
              </w:tc>
              <w:tc>
                <w:tcPr>
                  <w:tcW w:w="1134" w:type="dxa"/>
                  <w:vAlign w:val="center"/>
                </w:tcPr>
                <w:p>
                  <w:pPr>
                    <w:spacing w:line="240" w:lineRule="auto"/>
                    <w:ind w:firstLine="0" w:firstLineChars="0"/>
                    <w:jc w:val="center"/>
                  </w:pPr>
                  <w:r>
                    <w:rPr>
                      <w:sz w:val="21"/>
                      <w:szCs w:val="21"/>
                    </w:rPr>
                    <w:t>41.59</w:t>
                  </w:r>
                </w:p>
              </w:tc>
              <w:tc>
                <w:tcPr>
                  <w:tcW w:w="810" w:type="dxa"/>
                  <w:vAlign w:val="center"/>
                </w:tcPr>
                <w:p>
                  <w:pPr>
                    <w:spacing w:line="240" w:lineRule="auto"/>
                    <w:ind w:firstLine="0" w:firstLineChars="0"/>
                    <w:jc w:val="center"/>
                  </w:pPr>
                  <w:r>
                    <w:rPr>
                      <w:sz w:val="21"/>
                      <w:szCs w:val="21"/>
                    </w:rPr>
                    <w:t>2251.68</w:t>
                  </w:r>
                </w:p>
              </w:tc>
              <w:tc>
                <w:tcPr>
                  <w:tcW w:w="1121" w:type="dxa"/>
                  <w:vAlign w:val="center"/>
                </w:tcPr>
                <w:p>
                  <w:pPr>
                    <w:spacing w:line="240" w:lineRule="auto"/>
                    <w:ind w:firstLine="0" w:firstLineChars="0"/>
                    <w:jc w:val="center"/>
                  </w:pPr>
                  <w:r>
                    <w:rPr>
                      <w:sz w:val="21"/>
                      <w:szCs w:val="21"/>
                    </w:rPr>
                    <w:t>30.44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pPr>
                  <w:r>
                    <w:rPr>
                      <w:rFonts w:hint="eastAsia"/>
                      <w:sz w:val="21"/>
                      <w:szCs w:val="21"/>
                    </w:rPr>
                    <w:t>阔叶林</w:t>
                  </w:r>
                </w:p>
              </w:tc>
              <w:tc>
                <w:tcPr>
                  <w:tcW w:w="1843" w:type="dxa"/>
                  <w:vAlign w:val="center"/>
                </w:tcPr>
                <w:p>
                  <w:pPr>
                    <w:spacing w:line="240" w:lineRule="auto"/>
                    <w:ind w:firstLine="0" w:firstLineChars="0"/>
                    <w:jc w:val="center"/>
                  </w:pPr>
                  <w:r>
                    <w:rPr>
                      <w:rFonts w:hint="eastAsia"/>
                      <w:sz w:val="21"/>
                      <w:szCs w:val="21"/>
                    </w:rPr>
                    <w:t>毛竹、樟树、枫香树等</w:t>
                  </w:r>
                </w:p>
              </w:tc>
              <w:tc>
                <w:tcPr>
                  <w:tcW w:w="850" w:type="dxa"/>
                  <w:vAlign w:val="center"/>
                </w:tcPr>
                <w:p>
                  <w:pPr>
                    <w:spacing w:line="240" w:lineRule="auto"/>
                    <w:ind w:firstLine="0" w:firstLineChars="0"/>
                    <w:jc w:val="center"/>
                  </w:pPr>
                  <w:r>
                    <w:rPr>
                      <w:sz w:val="21"/>
                      <w:szCs w:val="21"/>
                    </w:rPr>
                    <w:t>52.42</w:t>
                  </w:r>
                </w:p>
              </w:tc>
              <w:tc>
                <w:tcPr>
                  <w:tcW w:w="992" w:type="dxa"/>
                  <w:vAlign w:val="center"/>
                </w:tcPr>
                <w:p>
                  <w:pPr>
                    <w:spacing w:line="240" w:lineRule="auto"/>
                    <w:ind w:firstLine="0" w:firstLineChars="0"/>
                    <w:jc w:val="center"/>
                  </w:pPr>
                  <w:r>
                    <w:rPr>
                      <w:sz w:val="21"/>
                      <w:szCs w:val="21"/>
                      <w:lang w:bidi="ar"/>
                    </w:rPr>
                    <w:t>24.89</w:t>
                  </w:r>
                </w:p>
              </w:tc>
              <w:tc>
                <w:tcPr>
                  <w:tcW w:w="1134" w:type="dxa"/>
                  <w:vAlign w:val="center"/>
                </w:tcPr>
                <w:p>
                  <w:pPr>
                    <w:spacing w:line="240" w:lineRule="auto"/>
                    <w:ind w:firstLine="0" w:firstLineChars="0"/>
                    <w:jc w:val="center"/>
                  </w:pPr>
                  <w:r>
                    <w:rPr>
                      <w:sz w:val="21"/>
                      <w:szCs w:val="21"/>
                    </w:rPr>
                    <w:t>85.46</w:t>
                  </w:r>
                </w:p>
              </w:tc>
              <w:tc>
                <w:tcPr>
                  <w:tcW w:w="810" w:type="dxa"/>
                  <w:vAlign w:val="center"/>
                </w:tcPr>
                <w:p>
                  <w:pPr>
                    <w:spacing w:line="240" w:lineRule="auto"/>
                    <w:ind w:firstLine="0" w:firstLineChars="0"/>
                    <w:jc w:val="center"/>
                  </w:pPr>
                  <w:r>
                    <w:rPr>
                      <w:sz w:val="21"/>
                      <w:szCs w:val="21"/>
                    </w:rPr>
                    <w:t>4479.81</w:t>
                  </w:r>
                </w:p>
              </w:tc>
              <w:tc>
                <w:tcPr>
                  <w:tcW w:w="1121" w:type="dxa"/>
                  <w:vAlign w:val="center"/>
                </w:tcPr>
                <w:p>
                  <w:pPr>
                    <w:spacing w:line="240" w:lineRule="auto"/>
                    <w:ind w:firstLine="0" w:firstLineChars="0"/>
                    <w:jc w:val="center"/>
                  </w:pPr>
                  <w:r>
                    <w:rPr>
                      <w:sz w:val="21"/>
                      <w:szCs w:val="21"/>
                    </w:rPr>
                    <w:t>60.56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pPr>
                  <w:r>
                    <w:rPr>
                      <w:rFonts w:hint="eastAsia"/>
                      <w:sz w:val="21"/>
                      <w:szCs w:val="21"/>
                    </w:rPr>
                    <w:t>灌丛</w:t>
                  </w:r>
                </w:p>
              </w:tc>
              <w:tc>
                <w:tcPr>
                  <w:tcW w:w="1843" w:type="dxa"/>
                  <w:vAlign w:val="center"/>
                </w:tcPr>
                <w:p>
                  <w:pPr>
                    <w:spacing w:line="240" w:lineRule="auto"/>
                    <w:ind w:firstLine="0" w:firstLineChars="0"/>
                    <w:jc w:val="center"/>
                  </w:pPr>
                  <w:r>
                    <w:rPr>
                      <w:rFonts w:hint="eastAsia"/>
                      <w:sz w:val="21"/>
                      <w:szCs w:val="21"/>
                    </w:rPr>
                    <w:t>盐肤木、牡荆、荆灌丛等</w:t>
                  </w:r>
                </w:p>
              </w:tc>
              <w:tc>
                <w:tcPr>
                  <w:tcW w:w="850" w:type="dxa"/>
                  <w:vAlign w:val="center"/>
                </w:tcPr>
                <w:p>
                  <w:pPr>
                    <w:spacing w:line="240" w:lineRule="auto"/>
                    <w:ind w:firstLine="0" w:firstLineChars="0"/>
                    <w:jc w:val="center"/>
                  </w:pPr>
                  <w:r>
                    <w:rPr>
                      <w:sz w:val="21"/>
                      <w:szCs w:val="21"/>
                    </w:rPr>
                    <w:t>6.99</w:t>
                  </w:r>
                </w:p>
              </w:tc>
              <w:tc>
                <w:tcPr>
                  <w:tcW w:w="992" w:type="dxa"/>
                  <w:vAlign w:val="center"/>
                </w:tcPr>
                <w:p>
                  <w:pPr>
                    <w:spacing w:line="240" w:lineRule="auto"/>
                    <w:ind w:firstLine="0" w:firstLineChars="0"/>
                    <w:jc w:val="center"/>
                  </w:pPr>
                  <w:r>
                    <w:rPr>
                      <w:sz w:val="21"/>
                      <w:szCs w:val="21"/>
                      <w:lang w:bidi="ar"/>
                    </w:rPr>
                    <w:t>3.32</w:t>
                  </w:r>
                </w:p>
              </w:tc>
              <w:tc>
                <w:tcPr>
                  <w:tcW w:w="1134" w:type="dxa"/>
                  <w:vAlign w:val="center"/>
                </w:tcPr>
                <w:p>
                  <w:pPr>
                    <w:spacing w:line="240" w:lineRule="auto"/>
                    <w:ind w:firstLine="0" w:firstLineChars="0"/>
                    <w:jc w:val="center"/>
                  </w:pPr>
                  <w:r>
                    <w:rPr>
                      <w:sz w:val="21"/>
                      <w:szCs w:val="21"/>
                    </w:rPr>
                    <w:t>19.05</w:t>
                  </w:r>
                </w:p>
              </w:tc>
              <w:tc>
                <w:tcPr>
                  <w:tcW w:w="810" w:type="dxa"/>
                  <w:vAlign w:val="center"/>
                </w:tcPr>
                <w:p>
                  <w:pPr>
                    <w:spacing w:line="240" w:lineRule="auto"/>
                    <w:ind w:firstLine="0" w:firstLineChars="0"/>
                    <w:jc w:val="center"/>
                  </w:pPr>
                  <w:r>
                    <w:rPr>
                      <w:sz w:val="21"/>
                      <w:szCs w:val="21"/>
                    </w:rPr>
                    <w:t>133.16</w:t>
                  </w:r>
                </w:p>
              </w:tc>
              <w:tc>
                <w:tcPr>
                  <w:tcW w:w="1121" w:type="dxa"/>
                  <w:vAlign w:val="center"/>
                </w:tcPr>
                <w:p>
                  <w:pPr>
                    <w:spacing w:line="240" w:lineRule="auto"/>
                    <w:ind w:firstLine="0" w:firstLineChars="0"/>
                    <w:jc w:val="center"/>
                  </w:pPr>
                  <w:r>
                    <w:rPr>
                      <w:sz w:val="21"/>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pPr>
                  <w:r>
                    <w:rPr>
                      <w:rFonts w:hint="eastAsia"/>
                      <w:sz w:val="21"/>
                      <w:szCs w:val="21"/>
                    </w:rPr>
                    <w:t>草地</w:t>
                  </w:r>
                </w:p>
              </w:tc>
              <w:tc>
                <w:tcPr>
                  <w:tcW w:w="1843" w:type="dxa"/>
                  <w:vAlign w:val="center"/>
                </w:tcPr>
                <w:p>
                  <w:pPr>
                    <w:spacing w:line="240" w:lineRule="auto"/>
                    <w:ind w:firstLine="0" w:firstLineChars="0"/>
                    <w:jc w:val="center"/>
                  </w:pPr>
                  <w:r>
                    <w:rPr>
                      <w:rFonts w:hint="eastAsia"/>
                      <w:sz w:val="21"/>
                      <w:szCs w:val="21"/>
                    </w:rPr>
                    <w:t>芒萁、五节芒、白茅等</w:t>
                  </w:r>
                </w:p>
              </w:tc>
              <w:tc>
                <w:tcPr>
                  <w:tcW w:w="850" w:type="dxa"/>
                  <w:vAlign w:val="center"/>
                </w:tcPr>
                <w:p>
                  <w:pPr>
                    <w:spacing w:line="240" w:lineRule="auto"/>
                    <w:ind w:firstLine="0" w:firstLineChars="0"/>
                    <w:jc w:val="center"/>
                  </w:pPr>
                  <w:r>
                    <w:rPr>
                      <w:sz w:val="21"/>
                      <w:szCs w:val="21"/>
                    </w:rPr>
                    <w:t>27.23</w:t>
                  </w:r>
                </w:p>
              </w:tc>
              <w:tc>
                <w:tcPr>
                  <w:tcW w:w="992" w:type="dxa"/>
                  <w:vAlign w:val="center"/>
                </w:tcPr>
                <w:p>
                  <w:pPr>
                    <w:spacing w:line="240" w:lineRule="auto"/>
                    <w:ind w:firstLine="0" w:firstLineChars="0"/>
                    <w:jc w:val="center"/>
                  </w:pPr>
                  <w:r>
                    <w:rPr>
                      <w:sz w:val="21"/>
                      <w:szCs w:val="21"/>
                      <w:lang w:bidi="ar"/>
                    </w:rPr>
                    <w:t>12.93</w:t>
                  </w:r>
                </w:p>
              </w:tc>
              <w:tc>
                <w:tcPr>
                  <w:tcW w:w="1134" w:type="dxa"/>
                  <w:vAlign w:val="center"/>
                </w:tcPr>
                <w:p>
                  <w:pPr>
                    <w:spacing w:line="240" w:lineRule="auto"/>
                    <w:ind w:firstLine="0" w:firstLineChars="0"/>
                    <w:jc w:val="center"/>
                  </w:pPr>
                  <w:r>
                    <w:rPr>
                      <w:sz w:val="21"/>
                      <w:szCs w:val="21"/>
                    </w:rPr>
                    <w:t>8.21</w:t>
                  </w:r>
                </w:p>
              </w:tc>
              <w:tc>
                <w:tcPr>
                  <w:tcW w:w="810" w:type="dxa"/>
                  <w:vAlign w:val="center"/>
                </w:tcPr>
                <w:p>
                  <w:pPr>
                    <w:spacing w:line="240" w:lineRule="auto"/>
                    <w:ind w:firstLine="0" w:firstLineChars="0"/>
                    <w:jc w:val="center"/>
                  </w:pPr>
                  <w:r>
                    <w:rPr>
                      <w:sz w:val="21"/>
                      <w:szCs w:val="21"/>
                    </w:rPr>
                    <w:t>223.56</w:t>
                  </w:r>
                </w:p>
              </w:tc>
              <w:tc>
                <w:tcPr>
                  <w:tcW w:w="1121" w:type="dxa"/>
                  <w:vAlign w:val="center"/>
                </w:tcPr>
                <w:p>
                  <w:pPr>
                    <w:spacing w:line="240" w:lineRule="auto"/>
                    <w:ind w:firstLine="0" w:firstLineChars="0"/>
                    <w:jc w:val="center"/>
                  </w:pPr>
                  <w:r>
                    <w:rPr>
                      <w:sz w:val="21"/>
                      <w:szCs w:val="21"/>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pPr>
                  <w:r>
                    <w:rPr>
                      <w:rFonts w:hint="eastAsia"/>
                      <w:sz w:val="21"/>
                      <w:szCs w:val="21"/>
                    </w:rPr>
                    <w:t>农作物</w:t>
                  </w:r>
                </w:p>
              </w:tc>
              <w:tc>
                <w:tcPr>
                  <w:tcW w:w="1843" w:type="dxa"/>
                  <w:vAlign w:val="center"/>
                </w:tcPr>
                <w:p>
                  <w:pPr>
                    <w:spacing w:line="240" w:lineRule="auto"/>
                    <w:ind w:firstLine="0" w:firstLineChars="0"/>
                    <w:jc w:val="center"/>
                  </w:pPr>
                  <w:r>
                    <w:rPr>
                      <w:rFonts w:hint="eastAsia"/>
                      <w:sz w:val="21"/>
                      <w:szCs w:val="21"/>
                    </w:rPr>
                    <w:t>玉米、水稻、玉米等</w:t>
                  </w:r>
                </w:p>
              </w:tc>
              <w:tc>
                <w:tcPr>
                  <w:tcW w:w="850" w:type="dxa"/>
                  <w:vAlign w:val="center"/>
                </w:tcPr>
                <w:p>
                  <w:pPr>
                    <w:spacing w:line="240" w:lineRule="auto"/>
                    <w:ind w:firstLine="0" w:firstLineChars="0"/>
                    <w:jc w:val="center"/>
                  </w:pPr>
                  <w:r>
                    <w:rPr>
                      <w:sz w:val="21"/>
                      <w:szCs w:val="21"/>
                    </w:rPr>
                    <w:t>49.18</w:t>
                  </w:r>
                </w:p>
              </w:tc>
              <w:tc>
                <w:tcPr>
                  <w:tcW w:w="992" w:type="dxa"/>
                  <w:vAlign w:val="center"/>
                </w:tcPr>
                <w:p>
                  <w:pPr>
                    <w:spacing w:line="240" w:lineRule="auto"/>
                    <w:ind w:firstLine="0" w:firstLineChars="0"/>
                    <w:jc w:val="center"/>
                  </w:pPr>
                  <w:r>
                    <w:rPr>
                      <w:sz w:val="21"/>
                      <w:szCs w:val="21"/>
                      <w:lang w:bidi="ar"/>
                    </w:rPr>
                    <w:t>23.35</w:t>
                  </w:r>
                </w:p>
              </w:tc>
              <w:tc>
                <w:tcPr>
                  <w:tcW w:w="1134" w:type="dxa"/>
                  <w:vAlign w:val="center"/>
                </w:tcPr>
                <w:p>
                  <w:pPr>
                    <w:spacing w:line="240" w:lineRule="auto"/>
                    <w:ind w:firstLine="0" w:firstLineChars="0"/>
                    <w:jc w:val="center"/>
                  </w:pPr>
                  <w:r>
                    <w:rPr>
                      <w:sz w:val="21"/>
                      <w:szCs w:val="21"/>
                    </w:rPr>
                    <w:t>6.00</w:t>
                  </w:r>
                </w:p>
              </w:tc>
              <w:tc>
                <w:tcPr>
                  <w:tcW w:w="810" w:type="dxa"/>
                  <w:vAlign w:val="center"/>
                </w:tcPr>
                <w:p>
                  <w:pPr>
                    <w:spacing w:line="240" w:lineRule="auto"/>
                    <w:ind w:firstLine="0" w:firstLineChars="0"/>
                    <w:jc w:val="center"/>
                  </w:pPr>
                  <w:r>
                    <w:rPr>
                      <w:sz w:val="21"/>
                      <w:szCs w:val="21"/>
                    </w:rPr>
                    <w:t>295.08</w:t>
                  </w:r>
                </w:p>
              </w:tc>
              <w:tc>
                <w:tcPr>
                  <w:tcW w:w="1121" w:type="dxa"/>
                  <w:vAlign w:val="center"/>
                </w:tcPr>
                <w:p>
                  <w:pPr>
                    <w:spacing w:line="240" w:lineRule="auto"/>
                    <w:ind w:firstLine="0" w:firstLineChars="0"/>
                    <w:jc w:val="center"/>
                  </w:pPr>
                  <w:r>
                    <w:rPr>
                      <w:sz w:val="21"/>
                      <w:szCs w:val="21"/>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pPr>
                  <w:r>
                    <w:rPr>
                      <w:rFonts w:hint="eastAsia"/>
                      <w:sz w:val="21"/>
                      <w:szCs w:val="21"/>
                    </w:rPr>
                    <w:t>湿地</w:t>
                  </w:r>
                </w:p>
              </w:tc>
              <w:tc>
                <w:tcPr>
                  <w:tcW w:w="1843" w:type="dxa"/>
                  <w:vAlign w:val="center"/>
                </w:tcPr>
                <w:p>
                  <w:pPr>
                    <w:spacing w:line="240" w:lineRule="auto"/>
                    <w:ind w:firstLine="0" w:firstLineChars="0"/>
                    <w:jc w:val="center"/>
                  </w:pPr>
                  <w:r>
                    <w:rPr>
                      <w:rFonts w:hint="eastAsia"/>
                      <w:sz w:val="21"/>
                      <w:szCs w:val="21"/>
                    </w:rPr>
                    <w:t>喜旱莲子草等</w:t>
                  </w:r>
                </w:p>
              </w:tc>
              <w:tc>
                <w:tcPr>
                  <w:tcW w:w="850" w:type="dxa"/>
                  <w:vAlign w:val="center"/>
                </w:tcPr>
                <w:p>
                  <w:pPr>
                    <w:spacing w:line="240" w:lineRule="auto"/>
                    <w:ind w:firstLine="0" w:firstLineChars="0"/>
                    <w:jc w:val="center"/>
                  </w:pPr>
                  <w:r>
                    <w:rPr>
                      <w:sz w:val="21"/>
                      <w:szCs w:val="21"/>
                    </w:rPr>
                    <w:t>9.84</w:t>
                  </w:r>
                </w:p>
              </w:tc>
              <w:tc>
                <w:tcPr>
                  <w:tcW w:w="992" w:type="dxa"/>
                  <w:vAlign w:val="center"/>
                </w:tcPr>
                <w:p>
                  <w:pPr>
                    <w:spacing w:line="240" w:lineRule="auto"/>
                    <w:ind w:firstLine="0" w:firstLineChars="0"/>
                    <w:jc w:val="center"/>
                  </w:pPr>
                  <w:r>
                    <w:rPr>
                      <w:sz w:val="21"/>
                      <w:szCs w:val="21"/>
                      <w:lang w:bidi="ar"/>
                    </w:rPr>
                    <w:t>4.67</w:t>
                  </w:r>
                </w:p>
              </w:tc>
              <w:tc>
                <w:tcPr>
                  <w:tcW w:w="1134" w:type="dxa"/>
                  <w:vAlign w:val="center"/>
                </w:tcPr>
                <w:p>
                  <w:pPr>
                    <w:spacing w:line="240" w:lineRule="auto"/>
                    <w:ind w:firstLine="0" w:firstLineChars="0"/>
                    <w:jc w:val="center"/>
                  </w:pPr>
                  <w:r>
                    <w:rPr>
                      <w:sz w:val="21"/>
                      <w:szCs w:val="21"/>
                    </w:rPr>
                    <w:t>1.43</w:t>
                  </w:r>
                </w:p>
              </w:tc>
              <w:tc>
                <w:tcPr>
                  <w:tcW w:w="810" w:type="dxa"/>
                  <w:vAlign w:val="center"/>
                </w:tcPr>
                <w:p>
                  <w:pPr>
                    <w:spacing w:line="240" w:lineRule="auto"/>
                    <w:ind w:firstLine="0" w:firstLineChars="0"/>
                    <w:jc w:val="center"/>
                  </w:pPr>
                  <w:r>
                    <w:rPr>
                      <w:sz w:val="21"/>
                      <w:szCs w:val="21"/>
                    </w:rPr>
                    <w:t>14.07</w:t>
                  </w:r>
                </w:p>
              </w:tc>
              <w:tc>
                <w:tcPr>
                  <w:tcW w:w="1121" w:type="dxa"/>
                  <w:vAlign w:val="center"/>
                </w:tcPr>
                <w:p>
                  <w:pPr>
                    <w:spacing w:line="240" w:lineRule="auto"/>
                    <w:ind w:firstLine="0" w:firstLineChars="0"/>
                    <w:jc w:val="center"/>
                  </w:pPr>
                  <w:r>
                    <w:rPr>
                      <w:sz w:val="21"/>
                      <w:szCs w:val="21"/>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pPr>
                    <w:spacing w:line="240" w:lineRule="auto"/>
                    <w:ind w:firstLine="0" w:firstLineChars="0"/>
                    <w:jc w:val="center"/>
                  </w:pPr>
                  <w:r>
                    <w:rPr>
                      <w:rFonts w:hint="eastAsia"/>
                      <w:bCs/>
                      <w:sz w:val="21"/>
                      <w:szCs w:val="21"/>
                    </w:rPr>
                    <w:t>总计</w:t>
                  </w:r>
                </w:p>
              </w:tc>
              <w:tc>
                <w:tcPr>
                  <w:tcW w:w="1843" w:type="dxa"/>
                  <w:vAlign w:val="center"/>
                </w:tcPr>
                <w:p>
                  <w:pPr>
                    <w:spacing w:line="240" w:lineRule="auto"/>
                    <w:ind w:firstLine="0" w:firstLineChars="0"/>
                    <w:jc w:val="center"/>
                  </w:pPr>
                  <w:r>
                    <w:rPr>
                      <w:bCs/>
                      <w:sz w:val="21"/>
                      <w:szCs w:val="21"/>
                    </w:rPr>
                    <w:t>199.8</w:t>
                  </w:r>
                </w:p>
              </w:tc>
              <w:tc>
                <w:tcPr>
                  <w:tcW w:w="850" w:type="dxa"/>
                  <w:vAlign w:val="center"/>
                </w:tcPr>
                <w:p>
                  <w:pPr>
                    <w:spacing w:line="240" w:lineRule="auto"/>
                    <w:ind w:firstLine="0" w:firstLineChars="0"/>
                    <w:jc w:val="center"/>
                  </w:pPr>
                  <w:r>
                    <w:rPr>
                      <w:bCs/>
                      <w:sz w:val="21"/>
                      <w:szCs w:val="21"/>
                    </w:rPr>
                    <w:t>94.87</w:t>
                  </w:r>
                </w:p>
              </w:tc>
              <w:tc>
                <w:tcPr>
                  <w:tcW w:w="992" w:type="dxa"/>
                  <w:vAlign w:val="center"/>
                </w:tcPr>
                <w:p>
                  <w:pPr>
                    <w:spacing w:line="240" w:lineRule="auto"/>
                    <w:ind w:firstLine="0" w:firstLineChars="0"/>
                    <w:jc w:val="center"/>
                  </w:pPr>
                  <w:r>
                    <w:rPr>
                      <w:bCs/>
                      <w:sz w:val="21"/>
                      <w:szCs w:val="21"/>
                    </w:rPr>
                    <w:t>—</w:t>
                  </w:r>
                </w:p>
              </w:tc>
              <w:tc>
                <w:tcPr>
                  <w:tcW w:w="1134" w:type="dxa"/>
                  <w:vAlign w:val="center"/>
                </w:tcPr>
                <w:p>
                  <w:pPr>
                    <w:spacing w:line="240" w:lineRule="auto"/>
                    <w:ind w:firstLine="0" w:firstLineChars="0"/>
                    <w:jc w:val="center"/>
                  </w:pPr>
                  <w:r>
                    <w:rPr>
                      <w:bCs/>
                      <w:sz w:val="21"/>
                      <w:szCs w:val="21"/>
                    </w:rPr>
                    <w:t>7397.36</w:t>
                  </w:r>
                </w:p>
              </w:tc>
              <w:tc>
                <w:tcPr>
                  <w:tcW w:w="810" w:type="dxa"/>
                  <w:vAlign w:val="center"/>
                </w:tcPr>
                <w:p>
                  <w:pPr>
                    <w:spacing w:line="240" w:lineRule="auto"/>
                    <w:ind w:firstLine="0" w:firstLineChars="0"/>
                    <w:jc w:val="center"/>
                  </w:pPr>
                  <w:r>
                    <w:rPr>
                      <w:bCs/>
                      <w:sz w:val="21"/>
                      <w:szCs w:val="21"/>
                    </w:rPr>
                    <w:t>100</w:t>
                  </w:r>
                </w:p>
              </w:tc>
              <w:tc>
                <w:tcPr>
                  <w:tcW w:w="1121" w:type="dxa"/>
                </w:tcPr>
                <w:p>
                  <w:pPr>
                    <w:spacing w:line="240" w:lineRule="auto"/>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7" w:type="dxa"/>
                  <w:gridSpan w:val="7"/>
                  <w:vAlign w:val="center"/>
                </w:tcPr>
                <w:p>
                  <w:pPr>
                    <w:spacing w:line="240" w:lineRule="auto"/>
                    <w:ind w:firstLine="0" w:firstLineChars="0"/>
                    <w:jc w:val="center"/>
                  </w:pPr>
                  <w:r>
                    <w:rPr>
                      <w:rFonts w:hint="eastAsia"/>
                      <w:bCs/>
                      <w:sz w:val="21"/>
                      <w:szCs w:val="21"/>
                    </w:rPr>
                    <w:t>备注：不包括建设用地（</w:t>
                  </w:r>
                  <w:r>
                    <w:rPr>
                      <w:bCs/>
                      <w:sz w:val="21"/>
                      <w:szCs w:val="21"/>
                    </w:rPr>
                    <w:t>10.81 hm</w:t>
                  </w:r>
                  <w:r>
                    <w:rPr>
                      <w:bCs/>
                      <w:sz w:val="21"/>
                      <w:szCs w:val="21"/>
                      <w:vertAlign w:val="superscript"/>
                    </w:rPr>
                    <w:t>2</w:t>
                  </w:r>
                  <w:r>
                    <w:rPr>
                      <w:rFonts w:hint="eastAsia"/>
                      <w:bCs/>
                      <w:sz w:val="21"/>
                      <w:szCs w:val="21"/>
                    </w:rPr>
                    <w:t>）</w:t>
                  </w:r>
                </w:p>
              </w:tc>
            </w:tr>
          </w:tbl>
          <w:p>
            <w:pPr>
              <w:spacing w:line="360" w:lineRule="auto"/>
              <w:ind w:firstLine="480"/>
              <w:rPr>
                <w:snapToGrid/>
                <w:u w:val="single"/>
              </w:rPr>
            </w:pPr>
            <w:r>
              <w:rPr>
                <w:rFonts w:hint="eastAsia"/>
                <w:u w:val="single"/>
              </w:rPr>
              <w:t>由上表可知。评价区植被总生物量为</w:t>
            </w:r>
            <w:r>
              <w:rPr>
                <w:u w:val="single"/>
              </w:rPr>
              <w:t>7397.36 t</w:t>
            </w:r>
            <w:r>
              <w:rPr>
                <w:rFonts w:hint="eastAsia"/>
                <w:u w:val="single"/>
              </w:rPr>
              <w:t>，各类型的生物量以森林植被最多，为</w:t>
            </w:r>
            <w:r>
              <w:rPr>
                <w:u w:val="single"/>
              </w:rPr>
              <w:t>91.00%</w:t>
            </w:r>
            <w:r>
              <w:rPr>
                <w:rFonts w:hint="eastAsia"/>
                <w:u w:val="single"/>
              </w:rPr>
              <w:t>。其中，针叶林占总生物量的</w:t>
            </w:r>
            <w:r>
              <w:rPr>
                <w:u w:val="single"/>
              </w:rPr>
              <w:t>30.44%</w:t>
            </w:r>
            <w:r>
              <w:rPr>
                <w:rFonts w:hint="eastAsia"/>
                <w:u w:val="single"/>
              </w:rPr>
              <w:t>，阔叶林占总生物量的</w:t>
            </w:r>
            <w:r>
              <w:rPr>
                <w:u w:val="single"/>
              </w:rPr>
              <w:t>60.56%</w:t>
            </w:r>
            <w:r>
              <w:rPr>
                <w:rFonts w:hint="eastAsia"/>
                <w:u w:val="single"/>
              </w:rPr>
              <w:t>，灌丛和灌草丛。</w:t>
            </w:r>
          </w:p>
          <w:p>
            <w:pPr>
              <w:spacing w:line="360" w:lineRule="auto"/>
              <w:ind w:firstLine="482"/>
              <w:rPr>
                <w:b/>
              </w:rPr>
            </w:pPr>
            <w:r>
              <w:rPr>
                <w:rFonts w:hint="eastAsia"/>
                <w:b/>
              </w:rPr>
              <w:t>（2）景观生态体系质量现状</w:t>
            </w:r>
          </w:p>
          <w:p>
            <w:pPr>
              <w:spacing w:line="360" w:lineRule="auto"/>
              <w:ind w:firstLine="480"/>
              <w:rPr>
                <w:snapToGrid/>
              </w:rPr>
            </w:pPr>
            <w:r>
              <w:rPr>
                <w:rFonts w:hint="eastAsia"/>
              </w:rPr>
              <w:t>评价区林地、灌丛及灌草地、耕地等景观类型均有分布，说明评价区内的生态系统在该地区经过多年发展，已形成了集农、林等综合的生态系统；林地是评价区内的模地，是本区域内对景观具有控制作用的生态体系部分，所以区域景观生态体系具有较强的生产能力和抗干扰能力，系统调控环境质量能力较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240" w:lineRule="auto"/>
              <w:ind w:firstLine="0" w:firstLineChars="0"/>
              <w:jc w:val="center"/>
            </w:pPr>
            <w:r>
              <w:rPr>
                <w:rFonts w:hint="eastAsia"/>
                <w:bCs/>
              </w:rPr>
              <w:t>与项目有关的原有环境污染和生态破坏问题</w:t>
            </w:r>
          </w:p>
        </w:tc>
        <w:tc>
          <w:tcPr>
            <w:tcW w:w="7805" w:type="dxa"/>
          </w:tcPr>
          <w:p>
            <w:pPr>
              <w:spacing w:line="360" w:lineRule="auto"/>
              <w:ind w:firstLine="480"/>
              <w:rPr>
                <w:u w:val="single"/>
              </w:rPr>
            </w:pPr>
            <w:r>
              <w:rPr>
                <w:rFonts w:hint="eastAsia"/>
                <w:u w:val="single"/>
              </w:rPr>
              <w:t>本项目为新建矿山项目，除本矿外矿区范围内未设置其它采矿权和探矿权。矿山现状未开采，但矿区曾经有民采活动，根据现场踏勘，目前矿区范围内揭露有3个民采老采场，为当地乱掘而成，矿区范围内3处老采坑的面积约38500m</w:t>
            </w:r>
            <w:r>
              <w:rPr>
                <w:u w:val="single"/>
                <w:vertAlign w:val="superscript"/>
              </w:rPr>
              <w:t>2</w:t>
            </w:r>
            <w:r>
              <w:rPr>
                <w:rFonts w:hint="eastAsia"/>
                <w:u w:val="single"/>
              </w:rPr>
              <w:t>，采场未按规范开采，形成坡面不规则，个别处较陡峭，废弃物随意堆放；现场3处民采坑局部已自然长草复绿，坑内存在周边居民进行农作物种植痕迹。</w:t>
            </w:r>
          </w:p>
          <w:p>
            <w:pPr>
              <w:spacing w:line="360" w:lineRule="auto"/>
              <w:ind w:firstLine="480"/>
              <w:rPr>
                <w:u w:val="single"/>
              </w:rPr>
            </w:pPr>
            <w:r>
              <w:rPr>
                <w:rFonts w:hint="eastAsia"/>
                <w:u w:val="single"/>
              </w:rPr>
              <w:t>要求项目在正式开工前将对现场废弃物进行清除，严格按照绿色矿山要求进行开采及加工，同时在后续生产运行过程中，矿区需加强管理，严禁越界开采及占地。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99" w:type="dxa"/>
            <w:vAlign w:val="center"/>
          </w:tcPr>
          <w:p>
            <w:pPr>
              <w:spacing w:line="240" w:lineRule="auto"/>
              <w:ind w:firstLine="0" w:firstLineChars="0"/>
              <w:jc w:val="center"/>
            </w:pPr>
            <w:r>
              <w:rPr>
                <w:rFonts w:hint="eastAsia"/>
              </w:rPr>
              <w:t>生态环境保护目标</w:t>
            </w:r>
          </w:p>
        </w:tc>
        <w:tc>
          <w:tcPr>
            <w:tcW w:w="7805" w:type="dxa"/>
            <w:vAlign w:val="center"/>
          </w:tcPr>
          <w:p>
            <w:pPr>
              <w:spacing w:line="360" w:lineRule="auto"/>
              <w:ind w:firstLine="480"/>
            </w:pPr>
            <w:r>
              <w:t>1</w:t>
            </w:r>
            <w:r>
              <w:rPr>
                <w:rFonts w:hint="eastAsia"/>
              </w:rPr>
              <w:t>、本项目施工期大气污染源主要为施工扬尘和机械尾气，影响范围在施工场地周围50m范围以内，确定施工期大气环境保护范围为50m；运营期大气污染源为生产加工过程中的粉尘，项目厂界外500m范围内无自然保护区、风景名胜区和文化区，主要敏感目标为村庄，空气环境属于二类功能区，确定本项目运营期大气环境保护范围为5</w:t>
            </w:r>
            <w:r>
              <w:t>00m</w:t>
            </w:r>
            <w:r>
              <w:rPr>
                <w:rFonts w:hint="eastAsia"/>
              </w:rPr>
              <w:t>。</w:t>
            </w:r>
          </w:p>
          <w:p>
            <w:pPr>
              <w:spacing w:line="360" w:lineRule="auto"/>
              <w:ind w:firstLine="480"/>
              <w:rPr>
                <w:u w:val="single"/>
              </w:rPr>
            </w:pPr>
            <w:r>
              <w:rPr>
                <w:rFonts w:hint="eastAsia"/>
                <w:u w:val="single"/>
              </w:rPr>
              <w:t>2、项目区为声环境功能2类区，确定本次声环境影响评价工作等级为二级，声环境影响评价范围为200m。</w:t>
            </w:r>
          </w:p>
          <w:p>
            <w:pPr>
              <w:spacing w:line="360" w:lineRule="auto"/>
              <w:ind w:firstLine="480"/>
              <w:rPr>
                <w:u w:val="single"/>
              </w:rPr>
            </w:pPr>
            <w:r>
              <w:rPr>
                <w:rFonts w:hint="eastAsia"/>
                <w:u w:val="single"/>
              </w:rPr>
              <w:t>3、项目生活污水处理后用于施肥；生产废水均处理后回用，不外排。地表水环境保护目标确定为本项目所在地北侧洋沙湖（北侧约3.2km处）及西侧湘江（西侧约6.1km）。</w:t>
            </w:r>
          </w:p>
          <w:p>
            <w:pPr>
              <w:spacing w:line="360" w:lineRule="auto"/>
              <w:ind w:firstLine="480"/>
              <w:rPr>
                <w:color w:val="FF0000"/>
              </w:rPr>
            </w:pPr>
            <w:r>
              <w:t>4</w:t>
            </w:r>
            <w:r>
              <w:rPr>
                <w:rFonts w:hint="eastAsia"/>
              </w:rPr>
              <w:t>、项目生态环境评价等级为二级，</w:t>
            </w:r>
            <w:r>
              <w:rPr>
                <w:rFonts w:hint="eastAsia"/>
                <w:spacing w:val="6"/>
                <w:kern w:val="28"/>
              </w:rPr>
              <w:t>矿区开采范围和矿山地面设施占地范围各外扩</w:t>
            </w:r>
            <w:r>
              <w:rPr>
                <w:spacing w:val="6"/>
                <w:kern w:val="28"/>
              </w:rPr>
              <w:t>300m</w:t>
            </w:r>
            <w:r>
              <w:rPr>
                <w:rFonts w:hint="eastAsia"/>
                <w:spacing w:val="6"/>
                <w:kern w:val="28"/>
              </w:rPr>
              <w:t>的范围，评价范围总面积</w:t>
            </w:r>
            <w:r>
              <w:rPr>
                <w:spacing w:val="6"/>
                <w:kern w:val="28"/>
              </w:rPr>
              <w:t>210.61hm</w:t>
            </w:r>
            <w:r>
              <w:rPr>
                <w:spacing w:val="6"/>
                <w:kern w:val="28"/>
                <w:vertAlign w:val="superscript"/>
              </w:rPr>
              <w:t>2</w:t>
            </w:r>
            <w:r>
              <w:rPr>
                <w:rFonts w:hint="eastAsia"/>
                <w:spacing w:val="6"/>
                <w:kern w:val="28"/>
              </w:rPr>
              <w:t>。</w:t>
            </w:r>
            <w:r>
              <w:rPr>
                <w:rFonts w:hint="eastAsia"/>
              </w:rPr>
              <w:t>保护目标为受影响的重要物种、生态敏感区以及其他需要保护的物种、种群、生物群落及生态空间等。</w:t>
            </w:r>
          </w:p>
          <w:p>
            <w:pPr>
              <w:spacing w:line="360" w:lineRule="auto"/>
              <w:ind w:firstLine="480"/>
              <w:rPr>
                <w:u w:val="single"/>
              </w:rPr>
            </w:pPr>
            <w:r>
              <w:rPr>
                <w:rFonts w:hint="eastAsia"/>
                <w:u w:val="single"/>
              </w:rPr>
              <w:t>本项目矿山开采区及加工区占地范围内不涉及房屋拆迁。最终确定本项目环境保护目标如下表，具体位置关系见附图</w:t>
            </w:r>
            <w:r>
              <w:rPr>
                <w:u w:val="single"/>
              </w:rPr>
              <w:t>4</w:t>
            </w:r>
            <w:r>
              <w:rPr>
                <w:rFonts w:hint="eastAsia"/>
                <w:u w:val="single"/>
              </w:rPr>
              <w:t>。</w:t>
            </w:r>
          </w:p>
          <w:p>
            <w:pPr>
              <w:pStyle w:val="2"/>
              <w:spacing w:line="360" w:lineRule="auto"/>
              <w:rPr>
                <w:b w:val="0"/>
              </w:rPr>
            </w:pPr>
            <w:r>
              <w:rPr>
                <w:rFonts w:hint="eastAsia"/>
                <w:b w:val="0"/>
              </w:rPr>
              <w:t>表3</w:t>
            </w:r>
            <w:r>
              <w:rPr>
                <w:b w:val="0"/>
              </w:rPr>
              <w:t xml:space="preserve">-15 </w:t>
            </w:r>
            <w:r>
              <w:rPr>
                <w:rFonts w:hint="eastAsia"/>
                <w:b w:val="0"/>
              </w:rPr>
              <w:t>大气环境保护目标一览表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66"/>
              <w:gridCol w:w="563"/>
              <w:gridCol w:w="565"/>
              <w:gridCol w:w="645"/>
              <w:gridCol w:w="1770"/>
              <w:gridCol w:w="932"/>
              <w:gridCol w:w="75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000" w:type="pct"/>
                  <w:gridSpan w:val="8"/>
                  <w:shd w:val="clear" w:color="auto" w:fill="auto"/>
                  <w:vAlign w:val="center"/>
                </w:tcPr>
                <w:p>
                  <w:pPr>
                    <w:pStyle w:val="13"/>
                  </w:pPr>
                  <w:r>
                    <w:rPr>
                      <w:rFonts w:hint="eastAsia"/>
                    </w:rPr>
                    <w:t>大气环境（5</w:t>
                  </w:r>
                  <w:r>
                    <w:t>00m</w:t>
                  </w:r>
                  <w:r>
                    <w:rPr>
                      <w:rFonts w:hint="eastAsia"/>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1092" w:type="pct"/>
                  <w:vMerge w:val="restart"/>
                  <w:shd w:val="clear" w:color="auto" w:fill="auto"/>
                  <w:vAlign w:val="center"/>
                </w:tcPr>
                <w:p>
                  <w:pPr>
                    <w:pStyle w:val="13"/>
                  </w:pPr>
                  <w:r>
                    <w:rPr>
                      <w:rFonts w:hint="eastAsia"/>
                    </w:rPr>
                    <w:t>名称</w:t>
                  </w:r>
                </w:p>
              </w:tc>
              <w:tc>
                <w:tcPr>
                  <w:tcW w:w="697" w:type="pct"/>
                  <w:gridSpan w:val="2"/>
                  <w:shd w:val="clear" w:color="auto" w:fill="auto"/>
                  <w:vAlign w:val="center"/>
                </w:tcPr>
                <w:p>
                  <w:pPr>
                    <w:pStyle w:val="13"/>
                  </w:pPr>
                  <w:r>
                    <w:rPr>
                      <w:rFonts w:hint="eastAsia"/>
                    </w:rPr>
                    <w:t>坐标/m</w:t>
                  </w:r>
                </w:p>
              </w:tc>
              <w:tc>
                <w:tcPr>
                  <w:tcW w:w="399" w:type="pct"/>
                  <w:vMerge w:val="restart"/>
                  <w:shd w:val="clear" w:color="auto" w:fill="auto"/>
                  <w:vAlign w:val="center"/>
                </w:tcPr>
                <w:p>
                  <w:pPr>
                    <w:pStyle w:val="13"/>
                  </w:pPr>
                  <w:r>
                    <w:rPr>
                      <w:rFonts w:hint="eastAsia"/>
                    </w:rPr>
                    <w:t>保护对象</w:t>
                  </w:r>
                </w:p>
              </w:tc>
              <w:tc>
                <w:tcPr>
                  <w:tcW w:w="1094" w:type="pct"/>
                  <w:vMerge w:val="restart"/>
                  <w:shd w:val="clear" w:color="auto" w:fill="auto"/>
                  <w:vAlign w:val="center"/>
                </w:tcPr>
                <w:p>
                  <w:pPr>
                    <w:pStyle w:val="13"/>
                  </w:pPr>
                  <w:r>
                    <w:rPr>
                      <w:rFonts w:hint="eastAsia"/>
                    </w:rPr>
                    <w:t>保护内容</w:t>
                  </w:r>
                </w:p>
              </w:tc>
              <w:tc>
                <w:tcPr>
                  <w:tcW w:w="576" w:type="pct"/>
                  <w:vMerge w:val="restart"/>
                  <w:shd w:val="clear" w:color="auto" w:fill="auto"/>
                  <w:vAlign w:val="center"/>
                </w:tcPr>
                <w:p>
                  <w:pPr>
                    <w:pStyle w:val="13"/>
                  </w:pPr>
                  <w:r>
                    <w:rPr>
                      <w:rFonts w:hint="eastAsia"/>
                    </w:rPr>
                    <w:t>环境功能区</w:t>
                  </w:r>
                </w:p>
              </w:tc>
              <w:tc>
                <w:tcPr>
                  <w:tcW w:w="467" w:type="pct"/>
                  <w:vMerge w:val="restart"/>
                  <w:shd w:val="clear" w:color="auto" w:fill="auto"/>
                  <w:vAlign w:val="center"/>
                </w:tcPr>
                <w:p>
                  <w:pPr>
                    <w:pStyle w:val="13"/>
                  </w:pPr>
                  <w:r>
                    <w:rPr>
                      <w:rFonts w:hint="eastAsia"/>
                    </w:rPr>
                    <w:t>相对厂址方位</w:t>
                  </w:r>
                </w:p>
              </w:tc>
              <w:tc>
                <w:tcPr>
                  <w:tcW w:w="675" w:type="pct"/>
                  <w:vMerge w:val="restart"/>
                  <w:shd w:val="clear" w:color="auto" w:fill="auto"/>
                  <w:vAlign w:val="center"/>
                </w:tcPr>
                <w:p>
                  <w:pPr>
                    <w:pStyle w:val="13"/>
                  </w:pPr>
                  <w:r>
                    <w:rPr>
                      <w:rFonts w:hint="eastAsia"/>
                    </w:rPr>
                    <w:t>相对厂界距离/</w:t>
                  </w:r>
                  <w: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92" w:type="pct"/>
                  <w:vMerge w:val="continue"/>
                  <w:shd w:val="clear" w:color="auto" w:fill="auto"/>
                  <w:vAlign w:val="center"/>
                </w:tcPr>
                <w:p>
                  <w:pPr>
                    <w:pStyle w:val="13"/>
                  </w:pPr>
                </w:p>
              </w:tc>
              <w:tc>
                <w:tcPr>
                  <w:tcW w:w="348" w:type="pct"/>
                  <w:shd w:val="clear" w:color="auto" w:fill="auto"/>
                  <w:vAlign w:val="center"/>
                </w:tcPr>
                <w:p>
                  <w:pPr>
                    <w:pStyle w:val="13"/>
                  </w:pPr>
                  <w:r>
                    <w:rPr>
                      <w:rFonts w:hint="eastAsia"/>
                    </w:rPr>
                    <w:t>X</w:t>
                  </w:r>
                </w:p>
              </w:tc>
              <w:tc>
                <w:tcPr>
                  <w:tcW w:w="349" w:type="pct"/>
                  <w:shd w:val="clear" w:color="auto" w:fill="auto"/>
                  <w:vAlign w:val="center"/>
                </w:tcPr>
                <w:p>
                  <w:pPr>
                    <w:pStyle w:val="13"/>
                  </w:pPr>
                  <w:r>
                    <w:rPr>
                      <w:rFonts w:hint="eastAsia"/>
                    </w:rPr>
                    <w:t>Y</w:t>
                  </w:r>
                </w:p>
              </w:tc>
              <w:tc>
                <w:tcPr>
                  <w:tcW w:w="399" w:type="pct"/>
                  <w:vMerge w:val="continue"/>
                  <w:shd w:val="clear" w:color="auto" w:fill="auto"/>
                  <w:vAlign w:val="center"/>
                </w:tcPr>
                <w:p>
                  <w:pPr>
                    <w:pStyle w:val="13"/>
                  </w:pPr>
                </w:p>
              </w:tc>
              <w:tc>
                <w:tcPr>
                  <w:tcW w:w="1094" w:type="pct"/>
                  <w:vMerge w:val="continue"/>
                  <w:shd w:val="clear" w:color="auto" w:fill="auto"/>
                  <w:vAlign w:val="center"/>
                </w:tcPr>
                <w:p>
                  <w:pPr>
                    <w:pStyle w:val="13"/>
                  </w:pPr>
                </w:p>
              </w:tc>
              <w:tc>
                <w:tcPr>
                  <w:tcW w:w="576" w:type="pct"/>
                  <w:vMerge w:val="continue"/>
                  <w:shd w:val="clear" w:color="auto" w:fill="auto"/>
                  <w:vAlign w:val="center"/>
                </w:tcPr>
                <w:p>
                  <w:pPr>
                    <w:pStyle w:val="13"/>
                  </w:pPr>
                </w:p>
              </w:tc>
              <w:tc>
                <w:tcPr>
                  <w:tcW w:w="467" w:type="pct"/>
                  <w:vMerge w:val="continue"/>
                  <w:shd w:val="clear" w:color="auto" w:fill="auto"/>
                  <w:vAlign w:val="center"/>
                </w:tcPr>
                <w:p>
                  <w:pPr>
                    <w:pStyle w:val="13"/>
                  </w:pPr>
                </w:p>
              </w:tc>
              <w:tc>
                <w:tcPr>
                  <w:tcW w:w="675" w:type="pct"/>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下大屋居民点1</w:t>
                  </w:r>
                  <w:r>
                    <w:t>#</w:t>
                  </w:r>
                </w:p>
              </w:tc>
              <w:tc>
                <w:tcPr>
                  <w:tcW w:w="348" w:type="pct"/>
                  <w:shd w:val="clear" w:color="auto" w:fill="auto"/>
                  <w:vAlign w:val="center"/>
                </w:tcPr>
                <w:p>
                  <w:pPr>
                    <w:pStyle w:val="13"/>
                  </w:pPr>
                  <w:r>
                    <w:rPr>
                      <w:rFonts w:hint="eastAsia"/>
                    </w:rPr>
                    <w:t>0</w:t>
                  </w:r>
                </w:p>
              </w:tc>
              <w:tc>
                <w:tcPr>
                  <w:tcW w:w="349" w:type="pct"/>
                  <w:shd w:val="clear" w:color="auto" w:fill="auto"/>
                  <w:vAlign w:val="center"/>
                </w:tcPr>
                <w:p>
                  <w:pPr>
                    <w:pStyle w:val="13"/>
                  </w:pPr>
                  <w:r>
                    <w:rPr>
                      <w:rFonts w:hint="eastAsia"/>
                    </w:rPr>
                    <w:t>2</w:t>
                  </w:r>
                  <w:r>
                    <w:t>30</w:t>
                  </w:r>
                </w:p>
              </w:tc>
              <w:tc>
                <w:tcPr>
                  <w:tcW w:w="399" w:type="pct"/>
                  <w:vMerge w:val="restart"/>
                  <w:shd w:val="clear" w:color="auto" w:fill="auto"/>
                  <w:vAlign w:val="center"/>
                </w:tcPr>
                <w:p>
                  <w:pPr>
                    <w:pStyle w:val="13"/>
                  </w:pPr>
                  <w:r>
                    <w:rPr>
                      <w:rFonts w:hint="eastAsia"/>
                    </w:rPr>
                    <w:t>居民区</w:t>
                  </w:r>
                </w:p>
              </w:tc>
              <w:tc>
                <w:tcPr>
                  <w:tcW w:w="1094" w:type="pct"/>
                  <w:shd w:val="clear" w:color="auto" w:fill="auto"/>
                  <w:vAlign w:val="center"/>
                </w:tcPr>
                <w:p>
                  <w:pPr>
                    <w:pStyle w:val="13"/>
                  </w:pPr>
                  <w:r>
                    <w:t>60户，约118人</w:t>
                  </w:r>
                </w:p>
              </w:tc>
              <w:tc>
                <w:tcPr>
                  <w:tcW w:w="576" w:type="pct"/>
                  <w:vMerge w:val="restart"/>
                  <w:shd w:val="clear" w:color="auto" w:fill="auto"/>
                  <w:vAlign w:val="center"/>
                </w:tcPr>
                <w:p>
                  <w:pPr>
                    <w:pStyle w:val="13"/>
                  </w:pPr>
                  <w:r>
                    <w:rPr>
                      <w:rFonts w:hint="eastAsia"/>
                    </w:rPr>
                    <w:t>二类</w:t>
                  </w:r>
                </w:p>
              </w:tc>
              <w:tc>
                <w:tcPr>
                  <w:tcW w:w="467" w:type="pct"/>
                  <w:shd w:val="clear" w:color="auto" w:fill="auto"/>
                  <w:vAlign w:val="center"/>
                </w:tcPr>
                <w:p>
                  <w:pPr>
                    <w:pStyle w:val="13"/>
                  </w:pPr>
                  <w:r>
                    <w:rPr>
                      <w:rFonts w:hint="eastAsia"/>
                    </w:rPr>
                    <w:t>N</w:t>
                  </w:r>
                </w:p>
              </w:tc>
              <w:tc>
                <w:tcPr>
                  <w:tcW w:w="675" w:type="pct"/>
                  <w:shd w:val="clear" w:color="auto" w:fill="auto"/>
                  <w:vAlign w:val="center"/>
                </w:tcPr>
                <w:p>
                  <w:pPr>
                    <w:pStyle w:val="13"/>
                  </w:pPr>
                  <w:r>
                    <w:rPr>
                      <w:rFonts w:hint="eastAsia"/>
                    </w:rPr>
                    <w:t>2</w:t>
                  </w:r>
                  <w:r>
                    <w:t>30-440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中大屋居民点</w:t>
                  </w:r>
                  <w:r>
                    <w:t>2#</w:t>
                  </w:r>
                </w:p>
              </w:tc>
              <w:tc>
                <w:tcPr>
                  <w:tcW w:w="348" w:type="pct"/>
                  <w:shd w:val="clear" w:color="auto" w:fill="auto"/>
                  <w:vAlign w:val="center"/>
                </w:tcPr>
                <w:p>
                  <w:pPr>
                    <w:pStyle w:val="13"/>
                  </w:pPr>
                  <w:r>
                    <w:t>45</w:t>
                  </w:r>
                </w:p>
              </w:tc>
              <w:tc>
                <w:tcPr>
                  <w:tcW w:w="349" w:type="pct"/>
                  <w:shd w:val="clear" w:color="auto" w:fill="auto"/>
                  <w:vAlign w:val="center"/>
                </w:tcPr>
                <w:p>
                  <w:pPr>
                    <w:pStyle w:val="13"/>
                  </w:pPr>
                  <w:r>
                    <w:rPr>
                      <w:rFonts w:hint="eastAsia"/>
                    </w:rPr>
                    <w:t>0</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t>62户，约125人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EN</w:t>
                  </w:r>
                </w:p>
              </w:tc>
              <w:tc>
                <w:tcPr>
                  <w:tcW w:w="675" w:type="pct"/>
                  <w:shd w:val="clear" w:color="auto" w:fill="auto"/>
                  <w:vAlign w:val="center"/>
                </w:tcPr>
                <w:p>
                  <w:pPr>
                    <w:pStyle w:val="13"/>
                  </w:pPr>
                  <w:r>
                    <w:rPr>
                      <w:rFonts w:hint="eastAsia"/>
                    </w:rPr>
                    <w:t>4</w:t>
                  </w:r>
                  <w:r>
                    <w:t>5-410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rPr>
                      <w:u w:val="single"/>
                    </w:rPr>
                  </w:pPr>
                  <w:r>
                    <w:rPr>
                      <w:rFonts w:hint="eastAsia"/>
                      <w:u w:val="single"/>
                    </w:rPr>
                    <w:t>上大屋居民点</w:t>
                  </w:r>
                  <w:r>
                    <w:rPr>
                      <w:u w:val="single"/>
                    </w:rPr>
                    <w:t>3#</w:t>
                  </w:r>
                </w:p>
              </w:tc>
              <w:tc>
                <w:tcPr>
                  <w:tcW w:w="348" w:type="pct"/>
                  <w:shd w:val="clear" w:color="auto" w:fill="auto"/>
                  <w:vAlign w:val="center"/>
                </w:tcPr>
                <w:p>
                  <w:pPr>
                    <w:pStyle w:val="13"/>
                    <w:rPr>
                      <w:u w:val="single"/>
                    </w:rPr>
                  </w:pPr>
                  <w:r>
                    <w:rPr>
                      <w:rFonts w:hint="eastAsia"/>
                      <w:u w:val="single"/>
                    </w:rPr>
                    <w:t>2</w:t>
                  </w:r>
                  <w:r>
                    <w:rPr>
                      <w:u w:val="single"/>
                    </w:rPr>
                    <w:t>8</w:t>
                  </w:r>
                </w:p>
              </w:tc>
              <w:tc>
                <w:tcPr>
                  <w:tcW w:w="349" w:type="pct"/>
                  <w:shd w:val="clear" w:color="auto" w:fill="auto"/>
                  <w:vAlign w:val="center"/>
                </w:tcPr>
                <w:p>
                  <w:pPr>
                    <w:pStyle w:val="13"/>
                    <w:rPr>
                      <w:u w:val="single"/>
                    </w:rPr>
                  </w:pPr>
                  <w:r>
                    <w:rPr>
                      <w:rFonts w:hint="eastAsia"/>
                      <w:u w:val="single"/>
                    </w:rPr>
                    <w:t>1</w:t>
                  </w:r>
                  <w:r>
                    <w:rPr>
                      <w:u w:val="single"/>
                    </w:rPr>
                    <w:t>00</w:t>
                  </w:r>
                </w:p>
              </w:tc>
              <w:tc>
                <w:tcPr>
                  <w:tcW w:w="399" w:type="pct"/>
                  <w:vMerge w:val="continue"/>
                  <w:shd w:val="clear" w:color="auto" w:fill="auto"/>
                  <w:vAlign w:val="center"/>
                </w:tcPr>
                <w:p>
                  <w:pPr>
                    <w:pStyle w:val="13"/>
                    <w:rPr>
                      <w:u w:val="single"/>
                    </w:rPr>
                  </w:pPr>
                </w:p>
              </w:tc>
              <w:tc>
                <w:tcPr>
                  <w:tcW w:w="1094" w:type="pct"/>
                  <w:shd w:val="clear" w:color="auto" w:fill="auto"/>
                  <w:vAlign w:val="center"/>
                </w:tcPr>
                <w:p>
                  <w:pPr>
                    <w:pStyle w:val="13"/>
                    <w:rPr>
                      <w:u w:val="single"/>
                    </w:rPr>
                  </w:pPr>
                  <w:r>
                    <w:rPr>
                      <w:rFonts w:hint="eastAsia"/>
                      <w:u w:val="single"/>
                    </w:rPr>
                    <w:t>2</w:t>
                  </w:r>
                  <w:r>
                    <w:rPr>
                      <w:u w:val="single"/>
                    </w:rPr>
                    <w:t>7户，约55人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E</w:t>
                  </w:r>
                </w:p>
              </w:tc>
              <w:tc>
                <w:tcPr>
                  <w:tcW w:w="675" w:type="pct"/>
                  <w:shd w:val="clear" w:color="auto" w:fill="auto"/>
                  <w:vAlign w:val="center"/>
                </w:tcPr>
                <w:p>
                  <w:pPr>
                    <w:pStyle w:val="13"/>
                    <w:rPr>
                      <w:u w:val="single"/>
                    </w:rPr>
                  </w:pPr>
                  <w:r>
                    <w:rPr>
                      <w:rFonts w:hint="eastAsia"/>
                      <w:u w:val="single"/>
                    </w:rPr>
                    <w:t>2</w:t>
                  </w:r>
                  <w:r>
                    <w:rPr>
                      <w:u w:val="single"/>
                    </w:rPr>
                    <w:t>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大阳冲居民点</w:t>
                  </w:r>
                  <w:r>
                    <w:t>4#</w:t>
                  </w:r>
                </w:p>
              </w:tc>
              <w:tc>
                <w:tcPr>
                  <w:tcW w:w="348" w:type="pct"/>
                  <w:shd w:val="clear" w:color="auto" w:fill="auto"/>
                  <w:vAlign w:val="center"/>
                </w:tcPr>
                <w:p>
                  <w:pPr>
                    <w:pStyle w:val="13"/>
                  </w:pPr>
                  <w:r>
                    <w:rPr>
                      <w:rFonts w:hint="eastAsia"/>
                    </w:rPr>
                    <w:t>5</w:t>
                  </w:r>
                  <w:r>
                    <w:t>0</w:t>
                  </w:r>
                </w:p>
              </w:tc>
              <w:tc>
                <w:tcPr>
                  <w:tcW w:w="349" w:type="pct"/>
                  <w:shd w:val="clear" w:color="auto" w:fill="auto"/>
                  <w:vAlign w:val="center"/>
                </w:tcPr>
                <w:p>
                  <w:pPr>
                    <w:pStyle w:val="13"/>
                  </w:pPr>
                  <w:r>
                    <w:rPr>
                      <w:rFonts w:hint="eastAsia"/>
                    </w:rPr>
                    <w:t>1</w:t>
                  </w:r>
                  <w:r>
                    <w:t>05</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t>12户，约20人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ES</w:t>
                  </w:r>
                </w:p>
              </w:tc>
              <w:tc>
                <w:tcPr>
                  <w:tcW w:w="675" w:type="pct"/>
                  <w:shd w:val="clear" w:color="auto" w:fill="auto"/>
                  <w:vAlign w:val="center"/>
                </w:tcPr>
                <w:p>
                  <w:pPr>
                    <w:pStyle w:val="13"/>
                  </w:pPr>
                  <w:r>
                    <w:rPr>
                      <w:rFonts w:hint="eastAsia"/>
                    </w:rPr>
                    <w:t>5</w:t>
                  </w:r>
                  <w:r>
                    <w:t>0-315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垄家简居民点</w:t>
                  </w:r>
                  <w:r>
                    <w:t>5#</w:t>
                  </w:r>
                </w:p>
              </w:tc>
              <w:tc>
                <w:tcPr>
                  <w:tcW w:w="348" w:type="pct"/>
                  <w:shd w:val="clear" w:color="auto" w:fill="auto"/>
                  <w:vAlign w:val="center"/>
                </w:tcPr>
                <w:p>
                  <w:pPr>
                    <w:pStyle w:val="13"/>
                  </w:pPr>
                  <w:r>
                    <w:rPr>
                      <w:rFonts w:hint="eastAsia"/>
                    </w:rPr>
                    <w:t>1</w:t>
                  </w:r>
                  <w:r>
                    <w:t>93</w:t>
                  </w:r>
                </w:p>
              </w:tc>
              <w:tc>
                <w:tcPr>
                  <w:tcW w:w="349" w:type="pct"/>
                  <w:shd w:val="clear" w:color="auto" w:fill="auto"/>
                  <w:vAlign w:val="center"/>
                </w:tcPr>
                <w:p>
                  <w:pPr>
                    <w:pStyle w:val="13"/>
                  </w:pPr>
                  <w:r>
                    <w:rPr>
                      <w:rFonts w:hint="eastAsia"/>
                    </w:rPr>
                    <w:t>-</w:t>
                  </w:r>
                  <w:r>
                    <w:t>283</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t>26户，约51人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ES</w:t>
                  </w:r>
                </w:p>
              </w:tc>
              <w:tc>
                <w:tcPr>
                  <w:tcW w:w="675" w:type="pct"/>
                  <w:shd w:val="clear" w:color="auto" w:fill="auto"/>
                  <w:vAlign w:val="center"/>
                </w:tcPr>
                <w:p>
                  <w:pPr>
                    <w:pStyle w:val="13"/>
                  </w:pPr>
                  <w:r>
                    <w:rPr>
                      <w:rFonts w:hint="eastAsia"/>
                    </w:rPr>
                    <w:t>3</w:t>
                  </w:r>
                  <w:r>
                    <w:t>18-463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芳塘冲居民点</w:t>
                  </w:r>
                  <w:r>
                    <w:t>6#</w:t>
                  </w:r>
                </w:p>
              </w:tc>
              <w:tc>
                <w:tcPr>
                  <w:tcW w:w="348" w:type="pct"/>
                  <w:shd w:val="clear" w:color="auto" w:fill="auto"/>
                  <w:vAlign w:val="center"/>
                </w:tcPr>
                <w:p>
                  <w:pPr>
                    <w:pStyle w:val="13"/>
                  </w:pPr>
                  <w:r>
                    <w:rPr>
                      <w:rFonts w:hint="eastAsia"/>
                    </w:rPr>
                    <w:t>-</w:t>
                  </w:r>
                  <w:r>
                    <w:t>133</w:t>
                  </w:r>
                </w:p>
              </w:tc>
              <w:tc>
                <w:tcPr>
                  <w:tcW w:w="349" w:type="pct"/>
                  <w:shd w:val="clear" w:color="auto" w:fill="auto"/>
                  <w:vAlign w:val="center"/>
                </w:tcPr>
                <w:p>
                  <w:pPr>
                    <w:pStyle w:val="13"/>
                  </w:pPr>
                  <w:r>
                    <w:rPr>
                      <w:rFonts w:hint="eastAsia"/>
                    </w:rPr>
                    <w:t>-</w:t>
                  </w:r>
                  <w:r>
                    <w:t>199</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t>22</w:t>
                  </w:r>
                  <w:r>
                    <w:rPr>
                      <w:rFonts w:hint="eastAsia"/>
                    </w:rPr>
                    <w:t>户，约</w:t>
                  </w:r>
                  <w:r>
                    <w:t>45</w:t>
                  </w:r>
                  <w:r>
                    <w:rPr>
                      <w:rFonts w:hint="eastAsia"/>
                    </w:rPr>
                    <w:t>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WS</w:t>
                  </w:r>
                </w:p>
              </w:tc>
              <w:tc>
                <w:tcPr>
                  <w:tcW w:w="675" w:type="pct"/>
                  <w:shd w:val="clear" w:color="auto" w:fill="auto"/>
                  <w:vAlign w:val="center"/>
                </w:tcPr>
                <w:p>
                  <w:pPr>
                    <w:pStyle w:val="13"/>
                  </w:pPr>
                  <w:r>
                    <w:rPr>
                      <w:rFonts w:hint="eastAsia"/>
                    </w:rPr>
                    <w:t>1</w:t>
                  </w:r>
                  <w:r>
                    <w:t>37-500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许塘坡居民点7</w:t>
                  </w:r>
                  <w:r>
                    <w:t>#</w:t>
                  </w:r>
                </w:p>
              </w:tc>
              <w:tc>
                <w:tcPr>
                  <w:tcW w:w="348" w:type="pct"/>
                  <w:shd w:val="clear" w:color="auto" w:fill="auto"/>
                  <w:vAlign w:val="center"/>
                </w:tcPr>
                <w:p>
                  <w:pPr>
                    <w:pStyle w:val="13"/>
                  </w:pPr>
                  <w:r>
                    <w:rPr>
                      <w:rFonts w:hint="eastAsia"/>
                    </w:rPr>
                    <w:t>-</w:t>
                  </w:r>
                  <w:r>
                    <w:t>126</w:t>
                  </w:r>
                </w:p>
              </w:tc>
              <w:tc>
                <w:tcPr>
                  <w:tcW w:w="349" w:type="pct"/>
                  <w:shd w:val="clear" w:color="auto" w:fill="auto"/>
                  <w:vAlign w:val="center"/>
                </w:tcPr>
                <w:p>
                  <w:pPr>
                    <w:pStyle w:val="13"/>
                  </w:pPr>
                  <w:r>
                    <w:rPr>
                      <w:rFonts w:hint="eastAsia"/>
                    </w:rPr>
                    <w:t>-</w:t>
                  </w:r>
                  <w:r>
                    <w:t>105</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rPr>
                      <w:rFonts w:hint="eastAsia"/>
                    </w:rPr>
                    <w:t>1</w:t>
                  </w:r>
                  <w:r>
                    <w:t>6</w:t>
                  </w:r>
                  <w:r>
                    <w:rPr>
                      <w:rFonts w:hint="eastAsia"/>
                    </w:rPr>
                    <w:t>户，约3</w:t>
                  </w:r>
                  <w:r>
                    <w:t>0</w:t>
                  </w:r>
                  <w:r>
                    <w:rPr>
                      <w:rFonts w:hint="eastAsia"/>
                    </w:rPr>
                    <w:t>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WS</w:t>
                  </w:r>
                </w:p>
              </w:tc>
              <w:tc>
                <w:tcPr>
                  <w:tcW w:w="675" w:type="pct"/>
                  <w:shd w:val="clear" w:color="auto" w:fill="auto"/>
                  <w:vAlign w:val="center"/>
                </w:tcPr>
                <w:p>
                  <w:pPr>
                    <w:pStyle w:val="13"/>
                  </w:pPr>
                  <w:r>
                    <w:rPr>
                      <w:rFonts w:hint="eastAsia"/>
                    </w:rPr>
                    <w:t>1</w:t>
                  </w:r>
                  <w:r>
                    <w:t>08-500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桐子坡居民点</w:t>
                  </w:r>
                  <w:r>
                    <w:t>8#</w:t>
                  </w:r>
                </w:p>
              </w:tc>
              <w:tc>
                <w:tcPr>
                  <w:tcW w:w="348" w:type="pct"/>
                  <w:shd w:val="clear" w:color="auto" w:fill="auto"/>
                  <w:vAlign w:val="center"/>
                </w:tcPr>
                <w:p>
                  <w:pPr>
                    <w:pStyle w:val="13"/>
                  </w:pPr>
                  <w:r>
                    <w:rPr>
                      <w:rFonts w:hint="eastAsia"/>
                    </w:rPr>
                    <w:t>-</w:t>
                  </w:r>
                  <w:r>
                    <w:t>48</w:t>
                  </w:r>
                </w:p>
              </w:tc>
              <w:tc>
                <w:tcPr>
                  <w:tcW w:w="349" w:type="pct"/>
                  <w:shd w:val="clear" w:color="auto" w:fill="auto"/>
                  <w:vAlign w:val="center"/>
                </w:tcPr>
                <w:p>
                  <w:pPr>
                    <w:pStyle w:val="13"/>
                  </w:pPr>
                  <w:r>
                    <w:rPr>
                      <w:rFonts w:hint="eastAsia"/>
                    </w:rPr>
                    <w:t>8</w:t>
                  </w:r>
                  <w:r>
                    <w:t>6</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t>14户，约26人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W</w:t>
                  </w:r>
                </w:p>
              </w:tc>
              <w:tc>
                <w:tcPr>
                  <w:tcW w:w="675" w:type="pct"/>
                  <w:shd w:val="clear" w:color="auto" w:fill="auto"/>
                  <w:vAlign w:val="center"/>
                </w:tcPr>
                <w:p>
                  <w:pPr>
                    <w:pStyle w:val="13"/>
                  </w:pPr>
                  <w:r>
                    <w:rPr>
                      <w:rFonts w:hint="eastAsia"/>
                    </w:rPr>
                    <w:t>3</w:t>
                  </w:r>
                  <w:r>
                    <w:t>8-150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王家坡居民点9</w:t>
                  </w:r>
                  <w:r>
                    <w:t>#</w:t>
                  </w:r>
                </w:p>
              </w:tc>
              <w:tc>
                <w:tcPr>
                  <w:tcW w:w="348" w:type="pct"/>
                  <w:shd w:val="clear" w:color="auto" w:fill="auto"/>
                  <w:vAlign w:val="center"/>
                </w:tcPr>
                <w:p>
                  <w:pPr>
                    <w:pStyle w:val="13"/>
                  </w:pPr>
                  <w:r>
                    <w:rPr>
                      <w:rFonts w:hint="eastAsia"/>
                    </w:rPr>
                    <w:t>-</w:t>
                  </w:r>
                  <w:r>
                    <w:t>394</w:t>
                  </w:r>
                </w:p>
              </w:tc>
              <w:tc>
                <w:tcPr>
                  <w:tcW w:w="349" w:type="pct"/>
                  <w:shd w:val="clear" w:color="auto" w:fill="auto"/>
                  <w:vAlign w:val="center"/>
                </w:tcPr>
                <w:p>
                  <w:pPr>
                    <w:pStyle w:val="13"/>
                  </w:pPr>
                  <w:r>
                    <w:rPr>
                      <w:rFonts w:hint="eastAsia"/>
                    </w:rPr>
                    <w:t>2</w:t>
                  </w:r>
                  <w:r>
                    <w:t>75</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rPr>
                      <w:rFonts w:hint="eastAsia"/>
                    </w:rPr>
                    <w:t>1</w:t>
                  </w:r>
                  <w:r>
                    <w:t>6</w:t>
                  </w:r>
                  <w:r>
                    <w:rPr>
                      <w:rFonts w:hint="eastAsia"/>
                    </w:rPr>
                    <w:t>户，约3</w:t>
                  </w:r>
                  <w:r>
                    <w:t>2</w:t>
                  </w:r>
                  <w:r>
                    <w:rPr>
                      <w:rFonts w:hint="eastAsia"/>
                    </w:rPr>
                    <w:t>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W</w:t>
                  </w:r>
                </w:p>
              </w:tc>
              <w:tc>
                <w:tcPr>
                  <w:tcW w:w="675" w:type="pct"/>
                  <w:shd w:val="clear" w:color="auto" w:fill="auto"/>
                  <w:vAlign w:val="center"/>
                </w:tcPr>
                <w:p>
                  <w:pPr>
                    <w:pStyle w:val="13"/>
                  </w:pPr>
                  <w:r>
                    <w:rPr>
                      <w:rFonts w:hint="eastAsia"/>
                    </w:rPr>
                    <w:t>3</w:t>
                  </w:r>
                  <w:r>
                    <w:t>30-500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芳冲里居民点</w:t>
                  </w:r>
                  <w:r>
                    <w:t>10#</w:t>
                  </w:r>
                </w:p>
              </w:tc>
              <w:tc>
                <w:tcPr>
                  <w:tcW w:w="348" w:type="pct"/>
                  <w:shd w:val="clear" w:color="auto" w:fill="auto"/>
                  <w:vAlign w:val="center"/>
                </w:tcPr>
                <w:p>
                  <w:pPr>
                    <w:pStyle w:val="13"/>
                  </w:pPr>
                  <w:r>
                    <w:rPr>
                      <w:rFonts w:hint="eastAsia"/>
                    </w:rPr>
                    <w:t>-</w:t>
                  </w:r>
                  <w:r>
                    <w:t>138</w:t>
                  </w:r>
                </w:p>
              </w:tc>
              <w:tc>
                <w:tcPr>
                  <w:tcW w:w="349" w:type="pct"/>
                  <w:shd w:val="clear" w:color="auto" w:fill="auto"/>
                  <w:vAlign w:val="center"/>
                </w:tcPr>
                <w:p>
                  <w:pPr>
                    <w:pStyle w:val="13"/>
                  </w:pPr>
                  <w:r>
                    <w:rPr>
                      <w:rFonts w:hint="eastAsia"/>
                    </w:rPr>
                    <w:t>1</w:t>
                  </w:r>
                  <w:r>
                    <w:t>11</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t>12户</w:t>
                  </w:r>
                  <w:r>
                    <w:rPr>
                      <w:rFonts w:hint="eastAsia"/>
                    </w:rPr>
                    <w:t>，约</w:t>
                  </w:r>
                  <w:r>
                    <w:t>24人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W</w:t>
                  </w:r>
                </w:p>
              </w:tc>
              <w:tc>
                <w:tcPr>
                  <w:tcW w:w="675" w:type="pct"/>
                  <w:shd w:val="clear" w:color="auto" w:fill="auto"/>
                  <w:vAlign w:val="center"/>
                </w:tcPr>
                <w:p>
                  <w:pPr>
                    <w:pStyle w:val="13"/>
                  </w:pPr>
                  <w:r>
                    <w:rPr>
                      <w:rFonts w:hint="eastAsia"/>
                    </w:rPr>
                    <w:t>1</w:t>
                  </w:r>
                  <w:r>
                    <w:t>53-410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2" w:type="pct"/>
                  <w:shd w:val="clear" w:color="auto" w:fill="auto"/>
                  <w:vAlign w:val="center"/>
                </w:tcPr>
                <w:p>
                  <w:pPr>
                    <w:pStyle w:val="13"/>
                  </w:pPr>
                  <w:r>
                    <w:rPr>
                      <w:rFonts w:hint="eastAsia"/>
                    </w:rPr>
                    <w:t>共兴村居民点1</w:t>
                  </w:r>
                  <w:r>
                    <w:t>1#</w:t>
                  </w:r>
                </w:p>
              </w:tc>
              <w:tc>
                <w:tcPr>
                  <w:tcW w:w="348" w:type="pct"/>
                  <w:shd w:val="clear" w:color="auto" w:fill="auto"/>
                  <w:vAlign w:val="center"/>
                </w:tcPr>
                <w:p>
                  <w:pPr>
                    <w:pStyle w:val="13"/>
                  </w:pPr>
                  <w:r>
                    <w:rPr>
                      <w:rFonts w:hint="eastAsia"/>
                    </w:rPr>
                    <w:t>-</w:t>
                  </w:r>
                  <w:r>
                    <w:t>418</w:t>
                  </w:r>
                </w:p>
              </w:tc>
              <w:tc>
                <w:tcPr>
                  <w:tcW w:w="349" w:type="pct"/>
                  <w:shd w:val="clear" w:color="auto" w:fill="auto"/>
                  <w:vAlign w:val="center"/>
                </w:tcPr>
                <w:p>
                  <w:pPr>
                    <w:pStyle w:val="13"/>
                  </w:pPr>
                  <w:r>
                    <w:rPr>
                      <w:rFonts w:hint="eastAsia"/>
                    </w:rPr>
                    <w:t>2</w:t>
                  </w:r>
                  <w:r>
                    <w:t>14</w:t>
                  </w:r>
                </w:p>
              </w:tc>
              <w:tc>
                <w:tcPr>
                  <w:tcW w:w="399" w:type="pct"/>
                  <w:vMerge w:val="continue"/>
                  <w:shd w:val="clear" w:color="auto" w:fill="auto"/>
                  <w:vAlign w:val="center"/>
                </w:tcPr>
                <w:p>
                  <w:pPr>
                    <w:pStyle w:val="13"/>
                  </w:pPr>
                </w:p>
              </w:tc>
              <w:tc>
                <w:tcPr>
                  <w:tcW w:w="1094" w:type="pct"/>
                  <w:shd w:val="clear" w:color="auto" w:fill="auto"/>
                  <w:vAlign w:val="center"/>
                </w:tcPr>
                <w:p>
                  <w:pPr>
                    <w:pStyle w:val="13"/>
                  </w:pPr>
                  <w:r>
                    <w:rPr>
                      <w:rFonts w:hint="eastAsia"/>
                    </w:rPr>
                    <w:t>1</w:t>
                  </w:r>
                  <w:r>
                    <w:t>5</w:t>
                  </w:r>
                  <w:r>
                    <w:rPr>
                      <w:rFonts w:hint="eastAsia"/>
                    </w:rPr>
                    <w:t>户，约2</w:t>
                  </w:r>
                  <w:r>
                    <w:t>9</w:t>
                  </w:r>
                  <w:r>
                    <w:rPr>
                      <w:rFonts w:hint="eastAsia"/>
                    </w:rPr>
                    <w:t>人</w:t>
                  </w:r>
                </w:p>
              </w:tc>
              <w:tc>
                <w:tcPr>
                  <w:tcW w:w="576" w:type="pct"/>
                  <w:vMerge w:val="continue"/>
                  <w:shd w:val="clear" w:color="auto" w:fill="auto"/>
                  <w:vAlign w:val="center"/>
                </w:tcPr>
                <w:p>
                  <w:pPr>
                    <w:pStyle w:val="13"/>
                  </w:pPr>
                </w:p>
              </w:tc>
              <w:tc>
                <w:tcPr>
                  <w:tcW w:w="467" w:type="pct"/>
                  <w:shd w:val="clear" w:color="auto" w:fill="auto"/>
                  <w:vAlign w:val="center"/>
                </w:tcPr>
                <w:p>
                  <w:pPr>
                    <w:pStyle w:val="13"/>
                  </w:pPr>
                  <w:r>
                    <w:rPr>
                      <w:rFonts w:hint="eastAsia"/>
                    </w:rPr>
                    <w:t>WN</w:t>
                  </w:r>
                </w:p>
              </w:tc>
              <w:tc>
                <w:tcPr>
                  <w:tcW w:w="675" w:type="pct"/>
                  <w:shd w:val="clear" w:color="auto" w:fill="auto"/>
                  <w:vAlign w:val="center"/>
                </w:tcPr>
                <w:p>
                  <w:pPr>
                    <w:pStyle w:val="13"/>
                  </w:pPr>
                  <w:r>
                    <w:rPr>
                      <w:rFonts w:hint="eastAsia"/>
                    </w:rPr>
                    <w:t>4</w:t>
                  </w:r>
                  <w:r>
                    <w:t>70-500</w:t>
                  </w:r>
                </w:p>
              </w:tc>
            </w:tr>
          </w:tbl>
          <w:p>
            <w:pPr>
              <w:pStyle w:val="2"/>
              <w:spacing w:line="240" w:lineRule="auto"/>
              <w:rPr>
                <w:b w:val="0"/>
                <w:sz w:val="21"/>
                <w:szCs w:val="21"/>
              </w:rPr>
            </w:pPr>
          </w:p>
          <w:p>
            <w:pPr>
              <w:pStyle w:val="2"/>
              <w:spacing w:line="360" w:lineRule="auto"/>
              <w:rPr>
                <w:b w:val="0"/>
              </w:rPr>
            </w:pPr>
            <w:r>
              <w:rPr>
                <w:rFonts w:hint="eastAsia"/>
                <w:b w:val="0"/>
              </w:rPr>
              <w:t>表3</w:t>
            </w:r>
            <w:r>
              <w:rPr>
                <w:b w:val="0"/>
              </w:rPr>
              <w:t xml:space="preserve">-16 </w:t>
            </w:r>
            <w:r>
              <w:rPr>
                <w:rFonts w:hint="eastAsia"/>
                <w:b w:val="0"/>
              </w:rPr>
              <w:t>声环境保护目标一览表</w:t>
            </w:r>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3"/>
              <w:gridCol w:w="919"/>
              <w:gridCol w:w="583"/>
              <w:gridCol w:w="583"/>
              <w:gridCol w:w="437"/>
              <w:gridCol w:w="729"/>
              <w:gridCol w:w="600"/>
              <w:gridCol w:w="856"/>
              <w:gridCol w:w="729"/>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413" w:type="dxa"/>
                  <w:vMerge w:val="restart"/>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序号</w:t>
                  </w:r>
                </w:p>
              </w:tc>
              <w:tc>
                <w:tcPr>
                  <w:tcW w:w="894" w:type="dxa"/>
                  <w:vMerge w:val="restart"/>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声环境保护目标名称</w:t>
                  </w:r>
                </w:p>
              </w:tc>
              <w:tc>
                <w:tcPr>
                  <w:tcW w:w="1559" w:type="dxa"/>
                  <w:gridSpan w:val="3"/>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空间相对位置/m</w:t>
                  </w:r>
                </w:p>
              </w:tc>
              <w:tc>
                <w:tcPr>
                  <w:tcW w:w="709" w:type="dxa"/>
                  <w:vMerge w:val="restart"/>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距厂界最近距离/m</w:t>
                  </w:r>
                </w:p>
              </w:tc>
              <w:tc>
                <w:tcPr>
                  <w:tcW w:w="584" w:type="dxa"/>
                  <w:vMerge w:val="restart"/>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方位</w:t>
                  </w:r>
                </w:p>
              </w:tc>
              <w:tc>
                <w:tcPr>
                  <w:tcW w:w="833" w:type="dxa"/>
                  <w:vMerge w:val="restart"/>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zh-CN"/>
                    </w:rPr>
                  </w:pPr>
                  <w:r>
                    <w:rPr>
                      <w:rFonts w:ascii="Times New Roman" w:hAnsi="Times New Roman" w:eastAsia="宋体" w:cs="Times New Roman"/>
                      <w:sz w:val="21"/>
                      <w:szCs w:val="21"/>
                      <w:u w:val="single"/>
                      <w:lang w:eastAsia="zh-CN"/>
                    </w:rPr>
                    <w:t>内容</w:t>
                  </w:r>
                </w:p>
              </w:tc>
              <w:tc>
                <w:tcPr>
                  <w:tcW w:w="709" w:type="dxa"/>
                  <w:vMerge w:val="restart"/>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执行标准/功能区类别</w:t>
                  </w:r>
                </w:p>
              </w:tc>
              <w:tc>
                <w:tcPr>
                  <w:tcW w:w="2169" w:type="dxa"/>
                  <w:vMerge w:val="restart"/>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声环境保护目标情况说明（介绍声环境保护目标建筑结构、朝向、楼层、周围环境情况）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413"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eastAsia="zh-CN" w:bidi="zh-CN"/>
                    </w:rPr>
                  </w:pPr>
                </w:p>
              </w:tc>
              <w:tc>
                <w:tcPr>
                  <w:tcW w:w="894"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eastAsia="zh-CN" w:bidi="zh-CN"/>
                    </w:rPr>
                  </w:pP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X</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Y</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Z</w:t>
                  </w: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eastAsia="en-US" w:bidi="zh-CN"/>
                    </w:rPr>
                  </w:pPr>
                </w:p>
              </w:tc>
              <w:tc>
                <w:tcPr>
                  <w:tcW w:w="584"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eastAsia="en-US" w:bidi="zh-CN"/>
                    </w:rPr>
                  </w:pPr>
                </w:p>
              </w:tc>
              <w:tc>
                <w:tcPr>
                  <w:tcW w:w="833"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val="zh-CN" w:eastAsia="en-US" w:bidi="zh-CN"/>
                    </w:rPr>
                  </w:pP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eastAsia="en-US" w:bidi="zh-CN"/>
                    </w:rPr>
                  </w:pPr>
                </w:p>
              </w:tc>
              <w:tc>
                <w:tcPr>
                  <w:tcW w:w="216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val="zh-CN" w:eastAsia="en-U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1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w:t>
                  </w:r>
                </w:p>
              </w:tc>
              <w:tc>
                <w:tcPr>
                  <w:tcW w:w="89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中大屋居民点1#</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45</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0</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6</w:t>
                  </w:r>
                </w:p>
              </w:tc>
              <w:tc>
                <w:tcPr>
                  <w:tcW w:w="70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45</w:t>
                  </w:r>
                </w:p>
              </w:tc>
              <w:tc>
                <w:tcPr>
                  <w:tcW w:w="58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zh-CN"/>
                    </w:rPr>
                    <w:t>EN</w:t>
                  </w:r>
                </w:p>
              </w:tc>
              <w:tc>
                <w:tcPr>
                  <w:tcW w:w="83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ascii="Times New Roman" w:hAnsi="Times New Roman" w:eastAsia="宋体" w:cs="Times New Roman"/>
                      <w:sz w:val="21"/>
                      <w:szCs w:val="21"/>
                      <w:u w:val="single"/>
                      <w:lang w:eastAsia="zh-CN"/>
                    </w:rPr>
                    <w:t>30户，约65人</w:t>
                  </w:r>
                </w:p>
              </w:tc>
              <w:tc>
                <w:tcPr>
                  <w:tcW w:w="709" w:type="dxa"/>
                  <w:vMerge w:val="restart"/>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1类</w:t>
                  </w:r>
                </w:p>
              </w:tc>
              <w:tc>
                <w:tcPr>
                  <w:tcW w:w="216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砖混、朝东、2-3层、坚实地面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1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2</w:t>
                  </w:r>
                </w:p>
              </w:tc>
              <w:tc>
                <w:tcPr>
                  <w:tcW w:w="89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zh-CN"/>
                    </w:rPr>
                  </w:pPr>
                  <w:r>
                    <w:rPr>
                      <w:rFonts w:ascii="Times New Roman" w:hAnsi="Times New Roman" w:eastAsia="宋体" w:cs="Times New Roman"/>
                      <w:sz w:val="21"/>
                      <w:szCs w:val="21"/>
                      <w:u w:val="single"/>
                      <w:lang w:eastAsia="zh-CN"/>
                    </w:rPr>
                    <w:t>上大屋居民点2#</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zh-CN"/>
                    </w:rPr>
                  </w:pPr>
                  <w:r>
                    <w:rPr>
                      <w:rFonts w:ascii="Times New Roman" w:hAnsi="Times New Roman" w:eastAsia="宋体" w:cs="Times New Roman"/>
                      <w:sz w:val="21"/>
                      <w:szCs w:val="21"/>
                      <w:u w:val="single"/>
                      <w:lang w:eastAsia="zh-CN"/>
                    </w:rPr>
                    <w:t>28</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zh-CN"/>
                    </w:rPr>
                  </w:pPr>
                  <w:r>
                    <w:rPr>
                      <w:rFonts w:ascii="Times New Roman" w:hAnsi="Times New Roman" w:eastAsia="宋体" w:cs="Times New Roman"/>
                      <w:sz w:val="21"/>
                      <w:szCs w:val="21"/>
                      <w:u w:val="single"/>
                      <w:lang w:eastAsia="zh-CN"/>
                    </w:rPr>
                    <w:t>100</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zh-CN"/>
                    </w:rPr>
                  </w:pPr>
                  <w:r>
                    <w:rPr>
                      <w:rFonts w:ascii="Times New Roman" w:hAnsi="Times New Roman" w:eastAsia="宋体" w:cs="Times New Roman"/>
                      <w:sz w:val="21"/>
                      <w:szCs w:val="21"/>
                      <w:u w:val="single"/>
                      <w:lang w:eastAsia="zh-CN"/>
                    </w:rPr>
                    <w:t>5</w:t>
                  </w:r>
                </w:p>
              </w:tc>
              <w:tc>
                <w:tcPr>
                  <w:tcW w:w="70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zh-CN"/>
                    </w:rPr>
                  </w:pPr>
                  <w:r>
                    <w:rPr>
                      <w:rFonts w:ascii="Times New Roman" w:hAnsi="Times New Roman" w:eastAsia="宋体" w:cs="Times New Roman"/>
                      <w:sz w:val="21"/>
                      <w:szCs w:val="21"/>
                      <w:u w:val="single"/>
                      <w:lang w:eastAsia="zh-CN"/>
                    </w:rPr>
                    <w:t>28</w:t>
                  </w:r>
                </w:p>
              </w:tc>
              <w:tc>
                <w:tcPr>
                  <w:tcW w:w="58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ascii="Times New Roman" w:hAnsi="Times New Roman" w:eastAsia="宋体" w:cs="Times New Roman"/>
                      <w:sz w:val="21"/>
                      <w:szCs w:val="21"/>
                      <w:u w:val="single"/>
                      <w:lang w:eastAsia="zh-CN"/>
                    </w:rPr>
                    <w:t>E</w:t>
                  </w:r>
                </w:p>
              </w:tc>
              <w:tc>
                <w:tcPr>
                  <w:tcW w:w="83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hint="eastAsia" w:ascii="Times New Roman" w:hAnsi="Times New Roman" w:eastAsia="宋体" w:cs="Times New Roman"/>
                      <w:sz w:val="21"/>
                      <w:szCs w:val="21"/>
                      <w:u w:val="single"/>
                      <w:lang w:eastAsia="zh-CN"/>
                    </w:rPr>
                    <w:t>6户，约10人</w:t>
                  </w: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p>
              </w:tc>
              <w:tc>
                <w:tcPr>
                  <w:tcW w:w="216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砖混、朝东、2-3层、坚实地面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1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w:t>
                  </w:r>
                </w:p>
              </w:tc>
              <w:tc>
                <w:tcPr>
                  <w:tcW w:w="89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大阳冲居民点3#</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50</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105</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9</w:t>
                  </w:r>
                </w:p>
              </w:tc>
              <w:tc>
                <w:tcPr>
                  <w:tcW w:w="70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50</w:t>
                  </w:r>
                </w:p>
              </w:tc>
              <w:tc>
                <w:tcPr>
                  <w:tcW w:w="58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zh-CN"/>
                    </w:rPr>
                    <w:t>ES</w:t>
                  </w:r>
                </w:p>
              </w:tc>
              <w:tc>
                <w:tcPr>
                  <w:tcW w:w="83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hint="eastAsia" w:ascii="Times New Roman" w:hAnsi="Times New Roman" w:eastAsia="宋体" w:cs="Times New Roman"/>
                      <w:sz w:val="21"/>
                      <w:szCs w:val="21"/>
                      <w:u w:val="single"/>
                      <w:lang w:eastAsia="zh-CN"/>
                    </w:rPr>
                    <w:t>8户，约15人</w:t>
                  </w: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p>
              </w:tc>
              <w:tc>
                <w:tcPr>
                  <w:tcW w:w="216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砖混、朝南、2-3层、坚实地面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1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w:t>
                  </w:r>
                </w:p>
              </w:tc>
              <w:tc>
                <w:tcPr>
                  <w:tcW w:w="89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en-US"/>
                    </w:rPr>
                    <w:t>垄家简居民点</w:t>
                  </w:r>
                  <w:r>
                    <w:rPr>
                      <w:rFonts w:ascii="Times New Roman" w:hAnsi="Times New Roman" w:eastAsia="宋体" w:cs="Times New Roman"/>
                      <w:sz w:val="21"/>
                      <w:szCs w:val="21"/>
                      <w:lang w:eastAsia="zh-CN"/>
                    </w:rPr>
                    <w:t>4#</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68</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-140</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w:t>
                  </w:r>
                </w:p>
              </w:tc>
              <w:tc>
                <w:tcPr>
                  <w:tcW w:w="70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152</w:t>
                  </w:r>
                </w:p>
              </w:tc>
              <w:tc>
                <w:tcPr>
                  <w:tcW w:w="58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zh-CN"/>
                    </w:rPr>
                    <w:t>S</w:t>
                  </w:r>
                </w:p>
              </w:tc>
              <w:tc>
                <w:tcPr>
                  <w:tcW w:w="83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hint="eastAsia" w:ascii="Times New Roman" w:hAnsi="Times New Roman" w:eastAsia="宋体" w:cs="Times New Roman"/>
                      <w:sz w:val="21"/>
                      <w:szCs w:val="21"/>
                      <w:u w:val="single"/>
                      <w:lang w:eastAsia="zh-CN"/>
                    </w:rPr>
                    <w:t>2户，约5人</w:t>
                  </w: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p>
              </w:tc>
              <w:tc>
                <w:tcPr>
                  <w:tcW w:w="216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砖混、朝南、1-2层、坚实地面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1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w:t>
                  </w:r>
                </w:p>
              </w:tc>
              <w:tc>
                <w:tcPr>
                  <w:tcW w:w="89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芳塘冲居民点5#</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-133</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-199</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w:t>
                  </w:r>
                </w:p>
              </w:tc>
              <w:tc>
                <w:tcPr>
                  <w:tcW w:w="70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133</w:t>
                  </w:r>
                </w:p>
              </w:tc>
              <w:tc>
                <w:tcPr>
                  <w:tcW w:w="58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zh-CN"/>
                    </w:rPr>
                    <w:t>WS</w:t>
                  </w:r>
                </w:p>
              </w:tc>
              <w:tc>
                <w:tcPr>
                  <w:tcW w:w="83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hint="eastAsia" w:ascii="Times New Roman" w:hAnsi="Times New Roman" w:eastAsia="宋体" w:cs="Times New Roman"/>
                      <w:sz w:val="21"/>
                      <w:szCs w:val="21"/>
                      <w:u w:val="single"/>
                      <w:lang w:eastAsia="zh-CN"/>
                    </w:rPr>
                    <w:t>2户，约4人</w:t>
                  </w: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p>
              </w:tc>
              <w:tc>
                <w:tcPr>
                  <w:tcW w:w="216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砖混、朝南、2-3层、坚实地面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1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6</w:t>
                  </w:r>
                </w:p>
              </w:tc>
              <w:tc>
                <w:tcPr>
                  <w:tcW w:w="89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许塘坡居民点6#</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-126</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-105</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3</w:t>
                  </w:r>
                </w:p>
              </w:tc>
              <w:tc>
                <w:tcPr>
                  <w:tcW w:w="70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126</w:t>
                  </w:r>
                </w:p>
              </w:tc>
              <w:tc>
                <w:tcPr>
                  <w:tcW w:w="58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zh-CN"/>
                    </w:rPr>
                    <w:t>WS</w:t>
                  </w:r>
                </w:p>
              </w:tc>
              <w:tc>
                <w:tcPr>
                  <w:tcW w:w="83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hint="eastAsia" w:ascii="Times New Roman" w:hAnsi="Times New Roman" w:eastAsia="宋体" w:cs="Times New Roman"/>
                      <w:sz w:val="21"/>
                      <w:szCs w:val="21"/>
                      <w:u w:val="single"/>
                      <w:lang w:eastAsia="zh-CN"/>
                    </w:rPr>
                    <w:t>4户，约7人</w:t>
                  </w: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p>
              </w:tc>
              <w:tc>
                <w:tcPr>
                  <w:tcW w:w="216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砖混、朝南、2-3层、坚实地面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1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7</w:t>
                  </w:r>
                </w:p>
              </w:tc>
              <w:tc>
                <w:tcPr>
                  <w:tcW w:w="89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桐子坡居民点7#</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-48</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86</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w:t>
                  </w:r>
                </w:p>
              </w:tc>
              <w:tc>
                <w:tcPr>
                  <w:tcW w:w="70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48</w:t>
                  </w:r>
                </w:p>
              </w:tc>
              <w:tc>
                <w:tcPr>
                  <w:tcW w:w="58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zh-CN"/>
                    </w:rPr>
                    <w:t>W</w:t>
                  </w:r>
                </w:p>
              </w:tc>
              <w:tc>
                <w:tcPr>
                  <w:tcW w:w="83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hint="eastAsia" w:ascii="Times New Roman" w:hAnsi="Times New Roman" w:eastAsia="宋体" w:cs="Times New Roman"/>
                      <w:sz w:val="21"/>
                      <w:szCs w:val="21"/>
                      <w:u w:val="single"/>
                      <w:lang w:eastAsia="zh-CN"/>
                    </w:rPr>
                    <w:t>15户，约33人</w:t>
                  </w: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p>
              </w:tc>
              <w:tc>
                <w:tcPr>
                  <w:tcW w:w="216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砖混、朝西、2-3层、坚实地面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41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8</w:t>
                  </w:r>
                </w:p>
              </w:tc>
              <w:tc>
                <w:tcPr>
                  <w:tcW w:w="89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芳冲里居民点8#</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-138</w:t>
                  </w:r>
                </w:p>
              </w:tc>
              <w:tc>
                <w:tcPr>
                  <w:tcW w:w="567"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en-US"/>
                    </w:rPr>
                    <w:t>111</w:t>
                  </w:r>
                </w:p>
              </w:tc>
              <w:tc>
                <w:tcPr>
                  <w:tcW w:w="425"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5</w:t>
                  </w:r>
                </w:p>
              </w:tc>
              <w:tc>
                <w:tcPr>
                  <w:tcW w:w="70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138</w:t>
                  </w:r>
                </w:p>
              </w:tc>
              <w:tc>
                <w:tcPr>
                  <w:tcW w:w="584"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r>
                    <w:rPr>
                      <w:rFonts w:ascii="Times New Roman" w:hAnsi="Times New Roman" w:eastAsia="宋体" w:cs="Times New Roman"/>
                      <w:sz w:val="21"/>
                      <w:szCs w:val="21"/>
                      <w:lang w:eastAsia="zh-CN"/>
                    </w:rPr>
                    <w:t>W</w:t>
                  </w:r>
                </w:p>
              </w:tc>
              <w:tc>
                <w:tcPr>
                  <w:tcW w:w="833" w:type="dxa"/>
                  <w:vAlign w:val="center"/>
                </w:tcPr>
                <w:p>
                  <w:pPr>
                    <w:autoSpaceDE w:val="0"/>
                    <w:autoSpaceDN w:val="0"/>
                    <w:spacing w:line="240" w:lineRule="auto"/>
                    <w:ind w:firstLine="0" w:firstLineChars="0"/>
                    <w:jc w:val="center"/>
                    <w:rPr>
                      <w:rFonts w:ascii="Times New Roman" w:hAnsi="Times New Roman" w:eastAsia="宋体" w:cs="Times New Roman"/>
                      <w:sz w:val="21"/>
                      <w:szCs w:val="21"/>
                      <w:u w:val="single"/>
                      <w:lang w:eastAsia="en-US"/>
                    </w:rPr>
                  </w:pPr>
                  <w:r>
                    <w:rPr>
                      <w:rFonts w:hint="eastAsia" w:ascii="Times New Roman" w:hAnsi="Times New Roman" w:eastAsia="宋体" w:cs="Times New Roman"/>
                      <w:sz w:val="21"/>
                      <w:szCs w:val="21"/>
                      <w:u w:val="single"/>
                      <w:lang w:eastAsia="zh-CN"/>
                    </w:rPr>
                    <w:t>5户，约9人</w:t>
                  </w:r>
                </w:p>
              </w:tc>
              <w:tc>
                <w:tcPr>
                  <w:tcW w:w="709" w:type="dxa"/>
                  <w:vMerge w:val="continue"/>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en-US"/>
                    </w:rPr>
                  </w:pPr>
                </w:p>
              </w:tc>
              <w:tc>
                <w:tcPr>
                  <w:tcW w:w="2169" w:type="dxa"/>
                  <w:vAlign w:val="center"/>
                </w:tcPr>
                <w:p>
                  <w:pPr>
                    <w:autoSpaceDE w:val="0"/>
                    <w:autoSpaceDN w:val="0"/>
                    <w:spacing w:line="240" w:lineRule="auto"/>
                    <w:ind w:firstLine="0" w:firstLineChars="0"/>
                    <w:jc w:val="center"/>
                    <w:rPr>
                      <w:rFonts w:ascii="Times New Roman" w:hAnsi="Times New Roman" w:eastAsia="宋体" w:cs="Times New Roman"/>
                      <w:sz w:val="21"/>
                      <w:szCs w:val="21"/>
                      <w:lang w:eastAsia="zh-CN"/>
                    </w:rPr>
                  </w:pPr>
                  <w:r>
                    <w:rPr>
                      <w:rFonts w:ascii="Times New Roman" w:hAnsi="Times New Roman" w:eastAsia="宋体" w:cs="Times New Roman"/>
                      <w:sz w:val="21"/>
                      <w:szCs w:val="21"/>
                      <w:lang w:eastAsia="zh-CN"/>
                    </w:rPr>
                    <w:t>砖混、朝南、2-3层、坚实地面</w:t>
                  </w:r>
                </w:p>
              </w:tc>
            </w:tr>
          </w:tbl>
          <w:p>
            <w:pPr>
              <w:ind w:firstLine="480"/>
            </w:pPr>
          </w:p>
          <w:p>
            <w:pPr>
              <w:pStyle w:val="2"/>
              <w:spacing w:line="360" w:lineRule="auto"/>
              <w:rPr>
                <w:b w:val="0"/>
              </w:rPr>
            </w:pPr>
            <w:r>
              <w:rPr>
                <w:rFonts w:hint="eastAsia"/>
                <w:b w:val="0"/>
              </w:rPr>
              <w:t>表3</w:t>
            </w:r>
            <w:r>
              <w:rPr>
                <w:b w:val="0"/>
              </w:rPr>
              <w:t xml:space="preserve">-17 </w:t>
            </w:r>
            <w:r>
              <w:rPr>
                <w:rFonts w:hint="eastAsia"/>
                <w:b w:val="0"/>
              </w:rPr>
              <w:t>地表水环境保护目标</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051"/>
              <w:gridCol w:w="1602"/>
              <w:gridCol w:w="1457"/>
              <w:gridCol w:w="1218"/>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23" w:type="dxa"/>
                  <w:shd w:val="clear" w:color="auto" w:fill="auto"/>
                  <w:vAlign w:val="center"/>
                </w:tcPr>
                <w:p>
                  <w:pPr>
                    <w:pStyle w:val="13"/>
                  </w:pPr>
                  <w:r>
                    <w:rPr>
                      <w:rFonts w:hint="eastAsia"/>
                    </w:rPr>
                    <w:t>目标名称</w:t>
                  </w:r>
                </w:p>
              </w:tc>
              <w:tc>
                <w:tcPr>
                  <w:tcW w:w="1559" w:type="dxa"/>
                  <w:shd w:val="clear" w:color="auto" w:fill="auto"/>
                  <w:vAlign w:val="center"/>
                </w:tcPr>
                <w:p>
                  <w:pPr>
                    <w:pStyle w:val="13"/>
                  </w:pPr>
                  <w:r>
                    <w:rPr>
                      <w:rFonts w:hint="eastAsia"/>
                    </w:rPr>
                    <w:t>规模</w:t>
                  </w:r>
                </w:p>
              </w:tc>
              <w:tc>
                <w:tcPr>
                  <w:tcW w:w="1418" w:type="dxa"/>
                  <w:shd w:val="clear" w:color="auto" w:fill="auto"/>
                  <w:vAlign w:val="center"/>
                </w:tcPr>
                <w:p>
                  <w:pPr>
                    <w:pStyle w:val="13"/>
                  </w:pPr>
                  <w:r>
                    <w:rPr>
                      <w:rFonts w:hint="eastAsia"/>
                    </w:rPr>
                    <w:t>功能</w:t>
                  </w:r>
                </w:p>
              </w:tc>
              <w:tc>
                <w:tcPr>
                  <w:tcW w:w="1185" w:type="dxa"/>
                  <w:shd w:val="clear" w:color="auto" w:fill="auto"/>
                  <w:vAlign w:val="center"/>
                </w:tcPr>
                <w:p>
                  <w:pPr>
                    <w:pStyle w:val="13"/>
                  </w:pPr>
                  <w:r>
                    <w:rPr>
                      <w:rFonts w:hint="eastAsia"/>
                    </w:rPr>
                    <w:t>方位</w:t>
                  </w:r>
                </w:p>
              </w:tc>
              <w:tc>
                <w:tcPr>
                  <w:tcW w:w="2685" w:type="dxa"/>
                  <w:shd w:val="clear" w:color="auto" w:fill="auto"/>
                  <w:vAlign w:val="center"/>
                </w:tcPr>
                <w:p>
                  <w:pPr>
                    <w:pStyle w:val="13"/>
                  </w:pPr>
                  <w:r>
                    <w:rPr>
                      <w:rFonts w:hint="eastAsia"/>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23" w:type="dxa"/>
                  <w:shd w:val="clear" w:color="auto" w:fill="auto"/>
                  <w:vAlign w:val="center"/>
                </w:tcPr>
                <w:p>
                  <w:pPr>
                    <w:pStyle w:val="13"/>
                    <w:rPr>
                      <w:u w:val="single"/>
                    </w:rPr>
                  </w:pPr>
                  <w:r>
                    <w:rPr>
                      <w:rFonts w:hint="eastAsia"/>
                      <w:u w:val="single"/>
                    </w:rPr>
                    <w:t>洋沙湖</w:t>
                  </w:r>
                </w:p>
              </w:tc>
              <w:tc>
                <w:tcPr>
                  <w:tcW w:w="1559" w:type="dxa"/>
                  <w:shd w:val="clear" w:color="auto" w:fill="auto"/>
                  <w:vAlign w:val="center"/>
                </w:tcPr>
                <w:p>
                  <w:pPr>
                    <w:pStyle w:val="13"/>
                    <w:rPr>
                      <w:u w:val="single"/>
                    </w:rPr>
                  </w:pPr>
                  <w:r>
                    <w:rPr>
                      <w:rFonts w:hint="eastAsia"/>
                      <w:u w:val="single"/>
                    </w:rPr>
                    <w:t>湖库</w:t>
                  </w:r>
                </w:p>
              </w:tc>
              <w:tc>
                <w:tcPr>
                  <w:tcW w:w="1418" w:type="dxa"/>
                  <w:shd w:val="clear" w:color="auto" w:fill="auto"/>
                  <w:vAlign w:val="center"/>
                </w:tcPr>
                <w:p>
                  <w:pPr>
                    <w:pStyle w:val="13"/>
                    <w:rPr>
                      <w:u w:val="single"/>
                    </w:rPr>
                  </w:pPr>
                  <w:r>
                    <w:rPr>
                      <w:rFonts w:hint="eastAsia"/>
                      <w:u w:val="single"/>
                    </w:rPr>
                    <w:t>娱乐</w:t>
                  </w:r>
                </w:p>
              </w:tc>
              <w:tc>
                <w:tcPr>
                  <w:tcW w:w="1185" w:type="dxa"/>
                  <w:shd w:val="clear" w:color="auto" w:fill="auto"/>
                  <w:vAlign w:val="center"/>
                </w:tcPr>
                <w:p>
                  <w:pPr>
                    <w:pStyle w:val="13"/>
                    <w:rPr>
                      <w:u w:val="single"/>
                    </w:rPr>
                  </w:pPr>
                  <w:r>
                    <w:rPr>
                      <w:rFonts w:hint="eastAsia"/>
                      <w:u w:val="single"/>
                    </w:rPr>
                    <w:t>N，</w:t>
                  </w:r>
                  <w:r>
                    <w:rPr>
                      <w:u w:val="single"/>
                    </w:rPr>
                    <w:t>3.2</w:t>
                  </w:r>
                  <w:r>
                    <w:rPr>
                      <w:rFonts w:hint="eastAsia"/>
                      <w:u w:val="single"/>
                    </w:rPr>
                    <w:t>km</w:t>
                  </w:r>
                </w:p>
              </w:tc>
              <w:tc>
                <w:tcPr>
                  <w:tcW w:w="2685" w:type="dxa"/>
                  <w:shd w:val="clear" w:color="auto" w:fill="auto"/>
                  <w:vAlign w:val="center"/>
                </w:tcPr>
                <w:p>
                  <w:pPr>
                    <w:pStyle w:val="13"/>
                    <w:rPr>
                      <w:u w:val="single"/>
                    </w:rPr>
                  </w:pPr>
                  <w:r>
                    <w:rPr>
                      <w:rFonts w:hint="eastAsia"/>
                      <w:u w:val="single"/>
                    </w:rPr>
                    <w:t>《地表水环境质量标准》（GB3838-2002）</w:t>
                  </w:r>
                  <w:r>
                    <w:rPr>
                      <w:u w:val="single"/>
                    </w:rPr>
                    <w:t>Ⅲ</w:t>
                  </w:r>
                  <w:r>
                    <w:rPr>
                      <w:rFonts w:hint="eastAsia"/>
                      <w:u w:val="singl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23" w:type="dxa"/>
                  <w:shd w:val="clear" w:color="auto" w:fill="auto"/>
                  <w:vAlign w:val="center"/>
                </w:tcPr>
                <w:p>
                  <w:pPr>
                    <w:pStyle w:val="13"/>
                    <w:rPr>
                      <w:u w:val="single"/>
                    </w:rPr>
                  </w:pPr>
                  <w:r>
                    <w:rPr>
                      <w:rFonts w:hint="eastAsia"/>
                      <w:u w:val="single"/>
                    </w:rPr>
                    <w:t>湘江</w:t>
                  </w:r>
                </w:p>
              </w:tc>
              <w:tc>
                <w:tcPr>
                  <w:tcW w:w="1559" w:type="dxa"/>
                  <w:shd w:val="clear" w:color="auto" w:fill="auto"/>
                  <w:vAlign w:val="center"/>
                </w:tcPr>
                <w:p>
                  <w:pPr>
                    <w:pStyle w:val="13"/>
                    <w:rPr>
                      <w:u w:val="single"/>
                    </w:rPr>
                  </w:pPr>
                  <w:r>
                    <w:rPr>
                      <w:u w:val="single"/>
                    </w:rPr>
                    <w:t>流域</w:t>
                  </w:r>
                  <w:r>
                    <w:rPr>
                      <w:rFonts w:hint="eastAsia"/>
                      <w:u w:val="single"/>
                    </w:rPr>
                    <w:t>总</w:t>
                  </w:r>
                  <w:r>
                    <w:rPr>
                      <w:u w:val="single"/>
                    </w:rPr>
                    <w:t>面积9.46万km</w:t>
                  </w:r>
                  <w:r>
                    <w:rPr>
                      <w:u w:val="single"/>
                      <w:vertAlign w:val="superscript"/>
                    </w:rPr>
                    <w:t>2</w:t>
                  </w:r>
                  <w:r>
                    <w:rPr>
                      <w:u w:val="single"/>
                    </w:rPr>
                    <w:t>，平均坡降1.34‰，多年平均径流量为791.6亿立方米</w:t>
                  </w:r>
                </w:p>
              </w:tc>
              <w:tc>
                <w:tcPr>
                  <w:tcW w:w="1418" w:type="dxa"/>
                  <w:shd w:val="clear" w:color="auto" w:fill="auto"/>
                  <w:vAlign w:val="center"/>
                </w:tcPr>
                <w:p>
                  <w:pPr>
                    <w:pStyle w:val="13"/>
                    <w:rPr>
                      <w:u w:val="single"/>
                    </w:rPr>
                  </w:pPr>
                  <w:r>
                    <w:rPr>
                      <w:rFonts w:hint="eastAsia"/>
                      <w:u w:val="single"/>
                    </w:rPr>
                    <w:t>供水、灌溉</w:t>
                  </w:r>
                </w:p>
              </w:tc>
              <w:tc>
                <w:tcPr>
                  <w:tcW w:w="1185" w:type="dxa"/>
                  <w:shd w:val="clear" w:color="auto" w:fill="auto"/>
                  <w:vAlign w:val="center"/>
                </w:tcPr>
                <w:p>
                  <w:pPr>
                    <w:pStyle w:val="13"/>
                    <w:rPr>
                      <w:u w:val="single"/>
                    </w:rPr>
                  </w:pPr>
                  <w:r>
                    <w:rPr>
                      <w:rFonts w:hint="eastAsia"/>
                      <w:u w:val="single"/>
                    </w:rPr>
                    <w:t>W，6.1km</w:t>
                  </w:r>
                </w:p>
              </w:tc>
              <w:tc>
                <w:tcPr>
                  <w:tcW w:w="2685" w:type="dxa"/>
                  <w:shd w:val="clear" w:color="auto" w:fill="auto"/>
                  <w:vAlign w:val="center"/>
                </w:tcPr>
                <w:p>
                  <w:pPr>
                    <w:pStyle w:val="13"/>
                    <w:rPr>
                      <w:u w:val="single"/>
                    </w:rPr>
                  </w:pPr>
                  <w:r>
                    <w:rPr>
                      <w:rFonts w:hint="eastAsia"/>
                      <w:u w:val="single"/>
                    </w:rPr>
                    <w:t>《地表水环境质量标准》（GB3838-2002）</w:t>
                  </w:r>
                  <w:r>
                    <w:rPr>
                      <w:u w:val="single"/>
                    </w:rPr>
                    <w:t>Ⅲ</w:t>
                  </w:r>
                  <w:r>
                    <w:rPr>
                      <w:rFonts w:hint="eastAsia"/>
                      <w:u w:val="single"/>
                    </w:rPr>
                    <w:t>类标准</w:t>
                  </w:r>
                </w:p>
              </w:tc>
            </w:tr>
          </w:tbl>
          <w:p>
            <w:pPr>
              <w:pStyle w:val="42"/>
            </w:pPr>
          </w:p>
          <w:p>
            <w:pPr>
              <w:pStyle w:val="2"/>
              <w:spacing w:line="360" w:lineRule="auto"/>
              <w:rPr>
                <w:b w:val="0"/>
              </w:rPr>
            </w:pPr>
            <w:r>
              <w:rPr>
                <w:rFonts w:hint="eastAsia"/>
                <w:b w:val="0"/>
              </w:rPr>
              <w:t>表3</w:t>
            </w:r>
            <w:r>
              <w:rPr>
                <w:b w:val="0"/>
              </w:rPr>
              <w:t xml:space="preserve">-18 </w:t>
            </w:r>
            <w:r>
              <w:rPr>
                <w:rFonts w:hint="eastAsia"/>
                <w:b w:val="0"/>
              </w:rPr>
              <w:t>生态环境保护目标</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63"/>
              <w:gridCol w:w="874"/>
              <w:gridCol w:w="2185"/>
              <w:gridCol w:w="1165"/>
              <w:gridCol w:w="717"/>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napToGrid/>
                      <w:sz w:val="21"/>
                      <w:szCs w:val="21"/>
                    </w:rPr>
                  </w:pPr>
                  <w:r>
                    <w:rPr>
                      <w:rFonts w:hint="eastAsia"/>
                      <w:bCs/>
                      <w:sz w:val="21"/>
                      <w:szCs w:val="21"/>
                    </w:rPr>
                    <w:t>环境因子</w:t>
                  </w:r>
                </w:p>
              </w:tc>
              <w:tc>
                <w:tcPr>
                  <w:tcW w:w="286"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类别</w:t>
                  </w:r>
                </w:p>
              </w:tc>
              <w:tc>
                <w:tcPr>
                  <w:tcW w:w="5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敏感目标</w:t>
                  </w:r>
                </w:p>
              </w:tc>
              <w:tc>
                <w:tcPr>
                  <w:tcW w:w="13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保护类别</w:t>
                  </w:r>
                  <w:r>
                    <w:rPr>
                      <w:bCs/>
                      <w:sz w:val="21"/>
                      <w:szCs w:val="21"/>
                    </w:rPr>
                    <w:t>/</w:t>
                  </w:r>
                  <w:r>
                    <w:rPr>
                      <w:rFonts w:hint="eastAsia"/>
                      <w:bCs/>
                      <w:sz w:val="21"/>
                      <w:szCs w:val="21"/>
                    </w:rPr>
                    <w:t>对象</w:t>
                  </w:r>
                </w:p>
              </w:tc>
              <w:tc>
                <w:tcPr>
                  <w:tcW w:w="72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与工程的位置关系</w:t>
                  </w:r>
                </w:p>
              </w:tc>
              <w:tc>
                <w:tcPr>
                  <w:tcW w:w="443"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影响方式</w:t>
                  </w:r>
                </w:p>
              </w:tc>
              <w:tc>
                <w:tcPr>
                  <w:tcW w:w="12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bCs/>
                      <w:sz w:val="21"/>
                      <w:szCs w:val="21"/>
                    </w:rPr>
                  </w:pPr>
                  <w:r>
                    <w:rPr>
                      <w:rFonts w:hint="eastAsia"/>
                      <w:bCs/>
                      <w:sz w:val="21"/>
                      <w:szCs w:val="21"/>
                    </w:rPr>
                    <w:t>影响因素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55"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生态环境</w:t>
                  </w:r>
                </w:p>
              </w:tc>
              <w:tc>
                <w:tcPr>
                  <w:tcW w:w="286"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陆生动物</w:t>
                  </w:r>
                </w:p>
              </w:tc>
              <w:tc>
                <w:tcPr>
                  <w:tcW w:w="5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国家二级保护动物</w:t>
                  </w:r>
                </w:p>
              </w:tc>
              <w:tc>
                <w:tcPr>
                  <w:tcW w:w="13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lang w:bidi="ar"/>
                    </w:rPr>
                    <w:t>1</w:t>
                  </w:r>
                  <w:r>
                    <w:rPr>
                      <w:rFonts w:hint="eastAsia"/>
                      <w:sz w:val="21"/>
                      <w:szCs w:val="21"/>
                      <w:lang w:bidi="ar"/>
                    </w:rPr>
                    <w:t>种：画眉</w:t>
                  </w:r>
                </w:p>
              </w:tc>
              <w:tc>
                <w:tcPr>
                  <w:tcW w:w="72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lang w:bidi="ar"/>
                    </w:rPr>
                    <w:t>在评价区内灌丛区域分布</w:t>
                  </w:r>
                </w:p>
              </w:tc>
              <w:tc>
                <w:tcPr>
                  <w:tcW w:w="443"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直接影响、间接影响</w:t>
                  </w:r>
                </w:p>
              </w:tc>
              <w:tc>
                <w:tcPr>
                  <w:tcW w:w="12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占地对其生境的占用，运营期对其驱赶影响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54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湖南省级保护野生动物</w:t>
                  </w:r>
                </w:p>
              </w:tc>
              <w:tc>
                <w:tcPr>
                  <w:tcW w:w="1351"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52</w:t>
                  </w:r>
                  <w:r>
                    <w:rPr>
                      <w:rFonts w:hint="eastAsia"/>
                      <w:sz w:val="21"/>
                      <w:szCs w:val="21"/>
                    </w:rPr>
                    <w:t>种（内含鸟类、两栖类、爬行类、哺乳类动物）：中华蟾蜍、北草蜥、环颈雉、白头鹎、黄鼬等</w:t>
                  </w:r>
                </w:p>
              </w:tc>
              <w:tc>
                <w:tcPr>
                  <w:tcW w:w="720"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评价区域广泛分布</w:t>
                  </w:r>
                </w:p>
              </w:tc>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sz w:val="21"/>
                      <w:szCs w:val="21"/>
                    </w:rPr>
                  </w:pPr>
                </w:p>
              </w:tc>
              <w:tc>
                <w:tcPr>
                  <w:tcW w:w="12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占地对其生境的占用生境占用、人为干扰、噪声等</w:t>
                  </w:r>
                </w:p>
              </w:tc>
            </w:tr>
          </w:tbl>
          <w:p>
            <w:pPr>
              <w:pStyle w:val="4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240" w:lineRule="auto"/>
              <w:ind w:firstLine="0" w:firstLineChars="0"/>
              <w:jc w:val="center"/>
            </w:pPr>
            <w:r>
              <w:rPr>
                <w:rFonts w:hint="eastAsia"/>
              </w:rPr>
              <w:t>评价标准</w:t>
            </w:r>
          </w:p>
        </w:tc>
        <w:tc>
          <w:tcPr>
            <w:tcW w:w="7805" w:type="dxa"/>
            <w:vAlign w:val="center"/>
          </w:tcPr>
          <w:p>
            <w:pPr>
              <w:spacing w:line="360" w:lineRule="auto"/>
              <w:ind w:firstLine="0" w:firstLineChars="0"/>
              <w:rPr>
                <w:b/>
                <w:sz w:val="28"/>
              </w:rPr>
            </w:pPr>
            <w:r>
              <w:rPr>
                <w:rFonts w:hint="eastAsia"/>
                <w:b/>
                <w:sz w:val="28"/>
              </w:rPr>
              <w:t>1、环境质量标准</w:t>
            </w:r>
          </w:p>
          <w:p>
            <w:pPr>
              <w:spacing w:line="360" w:lineRule="auto"/>
              <w:ind w:firstLine="480"/>
            </w:pPr>
            <w:r>
              <w:rPr>
                <w:rFonts w:hint="eastAsia"/>
              </w:rPr>
              <w:t>（1）环境空气质量标准</w:t>
            </w:r>
          </w:p>
          <w:p>
            <w:pPr>
              <w:spacing w:line="360" w:lineRule="auto"/>
              <w:ind w:firstLine="480"/>
            </w:pPr>
            <w:r>
              <w:rPr>
                <w:rFonts w:hint="eastAsia"/>
              </w:rPr>
              <w:t>本项目区域属于环境空气质量二类功能区，项目区域环境空气质量执行（GB3095-2012）及其修改单中的二级标准，相关污染物标准限值详见下表。</w:t>
            </w:r>
          </w:p>
          <w:p>
            <w:pPr>
              <w:pStyle w:val="2"/>
              <w:spacing w:line="360" w:lineRule="auto"/>
              <w:rPr>
                <w:b w:val="0"/>
              </w:rPr>
            </w:pPr>
            <w:r>
              <w:rPr>
                <w:rFonts w:hint="eastAsia"/>
                <w:b w:val="0"/>
              </w:rPr>
              <w:t>表3</w:t>
            </w:r>
            <w:r>
              <w:rPr>
                <w:b w:val="0"/>
              </w:rPr>
              <w:t xml:space="preserve">-19 </w:t>
            </w:r>
            <w:r>
              <w:rPr>
                <w:rFonts w:hint="eastAsia"/>
                <w:b w:val="0"/>
              </w:rPr>
              <w:t>《环境空气质量标准》（GB3095-2012）摘录</w:t>
            </w:r>
          </w:p>
          <w:p>
            <w:pPr>
              <w:pStyle w:val="2"/>
              <w:spacing w:line="240" w:lineRule="auto"/>
              <w:jc w:val="right"/>
              <w:rPr>
                <w:b w:val="0"/>
                <w:vertAlign w:val="superscript"/>
              </w:rPr>
            </w:pPr>
            <w:r>
              <w:rPr>
                <w:b w:val="0"/>
              </w:rPr>
              <w:t>单位：CO为mg/m</w:t>
            </w:r>
            <w:r>
              <w:rPr>
                <w:b w:val="0"/>
                <w:vertAlign w:val="superscript"/>
              </w:rPr>
              <w:t>3</w:t>
            </w:r>
            <w:r>
              <w:rPr>
                <w:b w:val="0"/>
              </w:rPr>
              <w:t>，其余为μg/m</w:t>
            </w:r>
            <w:r>
              <w:rPr>
                <w:b w:val="0"/>
                <w:vertAlign w:val="superscript"/>
              </w:rPr>
              <w:t>3</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77"/>
              <w:gridCol w:w="1254"/>
              <w:gridCol w:w="2607"/>
              <w:gridCol w:w="1088"/>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11" w:type="dxa"/>
                  <w:shd w:val="clear" w:color="auto" w:fill="auto"/>
                  <w:vAlign w:val="center"/>
                </w:tcPr>
                <w:p>
                  <w:pPr>
                    <w:pStyle w:val="13"/>
                  </w:pPr>
                  <w:r>
                    <w:rPr>
                      <w:rFonts w:hint="eastAsia"/>
                    </w:rPr>
                    <w:t>污染物</w:t>
                  </w:r>
                </w:p>
              </w:tc>
              <w:tc>
                <w:tcPr>
                  <w:tcW w:w="1194" w:type="dxa"/>
                  <w:shd w:val="clear" w:color="auto" w:fill="auto"/>
                  <w:vAlign w:val="center"/>
                </w:tcPr>
                <w:p>
                  <w:pPr>
                    <w:pStyle w:val="13"/>
                  </w:pPr>
                  <w:r>
                    <w:rPr>
                      <w:rFonts w:hint="eastAsia"/>
                    </w:rPr>
                    <w:t>1小时均值</w:t>
                  </w:r>
                </w:p>
              </w:tc>
              <w:tc>
                <w:tcPr>
                  <w:tcW w:w="2482" w:type="dxa"/>
                  <w:shd w:val="clear" w:color="auto" w:fill="auto"/>
                  <w:vAlign w:val="center"/>
                </w:tcPr>
                <w:p>
                  <w:pPr>
                    <w:pStyle w:val="13"/>
                  </w:pPr>
                  <w:r>
                    <w:rPr>
                      <w:rFonts w:hint="eastAsia"/>
                    </w:rPr>
                    <w:t>2</w:t>
                  </w:r>
                  <w:r>
                    <w:t>4</w:t>
                  </w:r>
                  <w:r>
                    <w:rPr>
                      <w:rFonts w:hint="eastAsia"/>
                    </w:rPr>
                    <w:t>小时平均</w:t>
                  </w:r>
                </w:p>
              </w:tc>
              <w:tc>
                <w:tcPr>
                  <w:tcW w:w="1036" w:type="dxa"/>
                  <w:shd w:val="clear" w:color="auto" w:fill="auto"/>
                  <w:vAlign w:val="center"/>
                </w:tcPr>
                <w:p>
                  <w:pPr>
                    <w:pStyle w:val="13"/>
                  </w:pPr>
                  <w:r>
                    <w:rPr>
                      <w:rFonts w:hint="eastAsia"/>
                    </w:rPr>
                    <w:t>年平均</w:t>
                  </w:r>
                </w:p>
              </w:tc>
              <w:tc>
                <w:tcPr>
                  <w:tcW w:w="1556" w:type="dxa"/>
                  <w:shd w:val="clear" w:color="auto" w:fill="auto"/>
                  <w:vAlign w:val="center"/>
                </w:tcPr>
                <w:p>
                  <w:pPr>
                    <w:pStyle w:val="13"/>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11" w:type="dxa"/>
                  <w:shd w:val="clear" w:color="auto" w:fill="auto"/>
                  <w:vAlign w:val="center"/>
                </w:tcPr>
                <w:p>
                  <w:pPr>
                    <w:pStyle w:val="13"/>
                  </w:pPr>
                  <w:r>
                    <w:t>SO</w:t>
                  </w:r>
                  <w:r>
                    <w:rPr>
                      <w:vertAlign w:val="subscript"/>
                    </w:rPr>
                    <w:t>2</w:t>
                  </w:r>
                </w:p>
              </w:tc>
              <w:tc>
                <w:tcPr>
                  <w:tcW w:w="1194" w:type="dxa"/>
                  <w:shd w:val="clear" w:color="auto" w:fill="auto"/>
                  <w:vAlign w:val="center"/>
                </w:tcPr>
                <w:p>
                  <w:pPr>
                    <w:pStyle w:val="13"/>
                  </w:pPr>
                  <w:r>
                    <w:rPr>
                      <w:rFonts w:hint="eastAsia"/>
                    </w:rPr>
                    <w:t>5</w:t>
                  </w:r>
                  <w:r>
                    <w:t>00</w:t>
                  </w:r>
                </w:p>
              </w:tc>
              <w:tc>
                <w:tcPr>
                  <w:tcW w:w="2482" w:type="dxa"/>
                  <w:shd w:val="clear" w:color="auto" w:fill="auto"/>
                  <w:vAlign w:val="center"/>
                </w:tcPr>
                <w:p>
                  <w:pPr>
                    <w:pStyle w:val="13"/>
                  </w:pPr>
                  <w:r>
                    <w:rPr>
                      <w:rFonts w:hint="eastAsia"/>
                    </w:rPr>
                    <w:t>1</w:t>
                  </w:r>
                  <w:r>
                    <w:t>50</w:t>
                  </w:r>
                </w:p>
              </w:tc>
              <w:tc>
                <w:tcPr>
                  <w:tcW w:w="1036" w:type="dxa"/>
                  <w:shd w:val="clear" w:color="auto" w:fill="auto"/>
                  <w:vAlign w:val="center"/>
                </w:tcPr>
                <w:p>
                  <w:pPr>
                    <w:pStyle w:val="13"/>
                  </w:pPr>
                  <w:r>
                    <w:rPr>
                      <w:rFonts w:hint="eastAsia"/>
                    </w:rPr>
                    <w:t>6</w:t>
                  </w:r>
                  <w:r>
                    <w:t>0</w:t>
                  </w:r>
                </w:p>
              </w:tc>
              <w:tc>
                <w:tcPr>
                  <w:tcW w:w="1556" w:type="dxa"/>
                  <w:vMerge w:val="restart"/>
                  <w:shd w:val="clear" w:color="auto" w:fill="auto"/>
                  <w:vAlign w:val="center"/>
                </w:tcPr>
                <w:p>
                  <w:pPr>
                    <w:pStyle w:val="13"/>
                  </w:pPr>
                  <w:r>
                    <w:t>《环境空气质量标准》（GB3095-2012）二级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11" w:type="dxa"/>
                  <w:shd w:val="clear" w:color="auto" w:fill="auto"/>
                  <w:vAlign w:val="center"/>
                </w:tcPr>
                <w:p>
                  <w:pPr>
                    <w:pStyle w:val="13"/>
                  </w:pPr>
                  <w:r>
                    <w:t>NO</w:t>
                  </w:r>
                  <w:r>
                    <w:rPr>
                      <w:vertAlign w:val="subscript"/>
                    </w:rPr>
                    <w:t>2</w:t>
                  </w:r>
                </w:p>
              </w:tc>
              <w:tc>
                <w:tcPr>
                  <w:tcW w:w="1194" w:type="dxa"/>
                  <w:shd w:val="clear" w:color="auto" w:fill="auto"/>
                  <w:vAlign w:val="center"/>
                </w:tcPr>
                <w:p>
                  <w:pPr>
                    <w:pStyle w:val="13"/>
                  </w:pPr>
                  <w:r>
                    <w:rPr>
                      <w:rFonts w:hint="eastAsia"/>
                    </w:rPr>
                    <w:t>4</w:t>
                  </w:r>
                  <w:r>
                    <w:t>0</w:t>
                  </w:r>
                </w:p>
              </w:tc>
              <w:tc>
                <w:tcPr>
                  <w:tcW w:w="2482" w:type="dxa"/>
                  <w:shd w:val="clear" w:color="auto" w:fill="auto"/>
                  <w:vAlign w:val="center"/>
                </w:tcPr>
                <w:p>
                  <w:pPr>
                    <w:pStyle w:val="13"/>
                  </w:pPr>
                  <w:r>
                    <w:rPr>
                      <w:rFonts w:hint="eastAsia"/>
                    </w:rPr>
                    <w:t>8</w:t>
                  </w:r>
                  <w:r>
                    <w:t>0</w:t>
                  </w:r>
                </w:p>
              </w:tc>
              <w:tc>
                <w:tcPr>
                  <w:tcW w:w="1036" w:type="dxa"/>
                  <w:shd w:val="clear" w:color="auto" w:fill="auto"/>
                  <w:vAlign w:val="center"/>
                </w:tcPr>
                <w:p>
                  <w:pPr>
                    <w:pStyle w:val="13"/>
                  </w:pPr>
                  <w:r>
                    <w:rPr>
                      <w:rFonts w:hint="eastAsia"/>
                    </w:rPr>
                    <w:t>2</w:t>
                  </w:r>
                  <w:r>
                    <w:t>00</w:t>
                  </w:r>
                </w:p>
              </w:tc>
              <w:tc>
                <w:tcPr>
                  <w:tcW w:w="1556" w:type="dxa"/>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11" w:type="dxa"/>
                  <w:shd w:val="clear" w:color="auto" w:fill="auto"/>
                  <w:vAlign w:val="center"/>
                </w:tcPr>
                <w:p>
                  <w:pPr>
                    <w:pStyle w:val="13"/>
                  </w:pPr>
                  <w:r>
                    <w:t>PM</w:t>
                  </w:r>
                  <w:r>
                    <w:rPr>
                      <w:vertAlign w:val="subscript"/>
                    </w:rPr>
                    <w:t>10</w:t>
                  </w:r>
                </w:p>
              </w:tc>
              <w:tc>
                <w:tcPr>
                  <w:tcW w:w="1194" w:type="dxa"/>
                  <w:shd w:val="clear" w:color="auto" w:fill="auto"/>
                  <w:vAlign w:val="center"/>
                </w:tcPr>
                <w:p>
                  <w:pPr>
                    <w:pStyle w:val="13"/>
                  </w:pPr>
                  <w:r>
                    <w:rPr>
                      <w:rFonts w:hint="eastAsia"/>
                    </w:rPr>
                    <w:t>/</w:t>
                  </w:r>
                </w:p>
              </w:tc>
              <w:tc>
                <w:tcPr>
                  <w:tcW w:w="2482" w:type="dxa"/>
                  <w:shd w:val="clear" w:color="auto" w:fill="auto"/>
                  <w:vAlign w:val="center"/>
                </w:tcPr>
                <w:p>
                  <w:pPr>
                    <w:pStyle w:val="13"/>
                  </w:pPr>
                  <w:r>
                    <w:t>150</w:t>
                  </w:r>
                </w:p>
              </w:tc>
              <w:tc>
                <w:tcPr>
                  <w:tcW w:w="1036" w:type="dxa"/>
                  <w:shd w:val="clear" w:color="auto" w:fill="auto"/>
                  <w:vAlign w:val="center"/>
                </w:tcPr>
                <w:p>
                  <w:pPr>
                    <w:pStyle w:val="13"/>
                  </w:pPr>
                  <w:r>
                    <w:rPr>
                      <w:rFonts w:hint="eastAsia"/>
                    </w:rPr>
                    <w:t>7</w:t>
                  </w:r>
                  <w:r>
                    <w:t>0</w:t>
                  </w:r>
                </w:p>
              </w:tc>
              <w:tc>
                <w:tcPr>
                  <w:tcW w:w="1556" w:type="dxa"/>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11" w:type="dxa"/>
                  <w:shd w:val="clear" w:color="auto" w:fill="auto"/>
                  <w:vAlign w:val="center"/>
                </w:tcPr>
                <w:p>
                  <w:pPr>
                    <w:pStyle w:val="13"/>
                  </w:pPr>
                  <w:r>
                    <w:t>PM</w:t>
                  </w:r>
                  <w:r>
                    <w:rPr>
                      <w:vertAlign w:val="subscript"/>
                    </w:rPr>
                    <w:t>2.5</w:t>
                  </w:r>
                </w:p>
              </w:tc>
              <w:tc>
                <w:tcPr>
                  <w:tcW w:w="1194" w:type="dxa"/>
                  <w:shd w:val="clear" w:color="auto" w:fill="auto"/>
                  <w:vAlign w:val="center"/>
                </w:tcPr>
                <w:p>
                  <w:pPr>
                    <w:pStyle w:val="13"/>
                  </w:pPr>
                  <w:r>
                    <w:rPr>
                      <w:rFonts w:hint="eastAsia"/>
                    </w:rPr>
                    <w:t>/</w:t>
                  </w:r>
                </w:p>
              </w:tc>
              <w:tc>
                <w:tcPr>
                  <w:tcW w:w="2482" w:type="dxa"/>
                  <w:shd w:val="clear" w:color="auto" w:fill="auto"/>
                  <w:vAlign w:val="center"/>
                </w:tcPr>
                <w:p>
                  <w:pPr>
                    <w:pStyle w:val="13"/>
                  </w:pPr>
                  <w:r>
                    <w:rPr>
                      <w:rFonts w:hint="eastAsia"/>
                    </w:rPr>
                    <w:t>7</w:t>
                  </w:r>
                  <w:r>
                    <w:t>5</w:t>
                  </w:r>
                </w:p>
              </w:tc>
              <w:tc>
                <w:tcPr>
                  <w:tcW w:w="1036" w:type="dxa"/>
                  <w:shd w:val="clear" w:color="auto" w:fill="auto"/>
                  <w:vAlign w:val="center"/>
                </w:tcPr>
                <w:p>
                  <w:pPr>
                    <w:pStyle w:val="13"/>
                  </w:pPr>
                  <w:r>
                    <w:rPr>
                      <w:rFonts w:hint="eastAsia"/>
                    </w:rPr>
                    <w:t>3</w:t>
                  </w:r>
                  <w:r>
                    <w:t>5</w:t>
                  </w:r>
                </w:p>
              </w:tc>
              <w:tc>
                <w:tcPr>
                  <w:tcW w:w="1556" w:type="dxa"/>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11" w:type="dxa"/>
                  <w:shd w:val="clear" w:color="auto" w:fill="auto"/>
                  <w:vAlign w:val="center"/>
                </w:tcPr>
                <w:p>
                  <w:pPr>
                    <w:pStyle w:val="13"/>
                  </w:pPr>
                  <w:r>
                    <w:t>CO</w:t>
                  </w:r>
                </w:p>
              </w:tc>
              <w:tc>
                <w:tcPr>
                  <w:tcW w:w="1194" w:type="dxa"/>
                  <w:shd w:val="clear" w:color="auto" w:fill="auto"/>
                  <w:vAlign w:val="center"/>
                </w:tcPr>
                <w:p>
                  <w:pPr>
                    <w:pStyle w:val="13"/>
                  </w:pPr>
                  <w:r>
                    <w:rPr>
                      <w:rFonts w:hint="eastAsia"/>
                    </w:rPr>
                    <w:t>1</w:t>
                  </w:r>
                  <w:r>
                    <w:t>0</w:t>
                  </w:r>
                </w:p>
              </w:tc>
              <w:tc>
                <w:tcPr>
                  <w:tcW w:w="2482" w:type="dxa"/>
                  <w:shd w:val="clear" w:color="auto" w:fill="auto"/>
                  <w:vAlign w:val="center"/>
                </w:tcPr>
                <w:p>
                  <w:pPr>
                    <w:pStyle w:val="13"/>
                  </w:pPr>
                  <w:r>
                    <w:rPr>
                      <w:rFonts w:hint="eastAsia"/>
                    </w:rPr>
                    <w:t>4</w:t>
                  </w:r>
                </w:p>
              </w:tc>
              <w:tc>
                <w:tcPr>
                  <w:tcW w:w="1036" w:type="dxa"/>
                  <w:shd w:val="clear" w:color="auto" w:fill="auto"/>
                  <w:vAlign w:val="center"/>
                </w:tcPr>
                <w:p>
                  <w:pPr>
                    <w:pStyle w:val="13"/>
                  </w:pPr>
                  <w:r>
                    <w:rPr>
                      <w:rFonts w:hint="eastAsia"/>
                    </w:rPr>
                    <w:t>/</w:t>
                  </w:r>
                </w:p>
              </w:tc>
              <w:tc>
                <w:tcPr>
                  <w:tcW w:w="1556" w:type="dxa"/>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11" w:type="dxa"/>
                  <w:shd w:val="clear" w:color="auto" w:fill="auto"/>
                  <w:vAlign w:val="center"/>
                </w:tcPr>
                <w:p>
                  <w:pPr>
                    <w:pStyle w:val="13"/>
                  </w:pPr>
                  <w:r>
                    <w:t>O</w:t>
                  </w:r>
                  <w:r>
                    <w:rPr>
                      <w:vertAlign w:val="subscript"/>
                    </w:rPr>
                    <w:t>3</w:t>
                  </w:r>
                </w:p>
              </w:tc>
              <w:tc>
                <w:tcPr>
                  <w:tcW w:w="1194" w:type="dxa"/>
                  <w:shd w:val="clear" w:color="auto" w:fill="auto"/>
                  <w:vAlign w:val="center"/>
                </w:tcPr>
                <w:p>
                  <w:pPr>
                    <w:pStyle w:val="13"/>
                  </w:pPr>
                  <w:r>
                    <w:rPr>
                      <w:rFonts w:hint="eastAsia"/>
                    </w:rPr>
                    <w:t>2</w:t>
                  </w:r>
                  <w:r>
                    <w:t>00</w:t>
                  </w:r>
                </w:p>
              </w:tc>
              <w:tc>
                <w:tcPr>
                  <w:tcW w:w="2482" w:type="dxa"/>
                  <w:shd w:val="clear" w:color="auto" w:fill="auto"/>
                  <w:vAlign w:val="center"/>
                </w:tcPr>
                <w:p>
                  <w:pPr>
                    <w:pStyle w:val="13"/>
                  </w:pPr>
                  <w:r>
                    <w:rPr>
                      <w:rFonts w:hint="eastAsia"/>
                    </w:rPr>
                    <w:t>1</w:t>
                  </w:r>
                  <w:r>
                    <w:t>60(日最大 8 小时平均)</w:t>
                  </w:r>
                </w:p>
              </w:tc>
              <w:tc>
                <w:tcPr>
                  <w:tcW w:w="1036" w:type="dxa"/>
                  <w:shd w:val="clear" w:color="auto" w:fill="auto"/>
                  <w:vAlign w:val="center"/>
                </w:tcPr>
                <w:p>
                  <w:pPr>
                    <w:pStyle w:val="13"/>
                  </w:pPr>
                  <w:r>
                    <w:rPr>
                      <w:rFonts w:hint="eastAsia"/>
                    </w:rPr>
                    <w:t>/</w:t>
                  </w:r>
                </w:p>
              </w:tc>
              <w:tc>
                <w:tcPr>
                  <w:tcW w:w="1556" w:type="dxa"/>
                  <w:vMerge w:val="continue"/>
                  <w:shd w:val="clear" w:color="auto" w:fill="auto"/>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311" w:type="dxa"/>
                  <w:shd w:val="clear" w:color="auto" w:fill="auto"/>
                  <w:vAlign w:val="center"/>
                </w:tcPr>
                <w:p>
                  <w:pPr>
                    <w:pStyle w:val="13"/>
                  </w:pPr>
                  <w:r>
                    <w:rPr>
                      <w:rFonts w:hint="eastAsia"/>
                    </w:rPr>
                    <w:t>T</w:t>
                  </w:r>
                  <w:r>
                    <w:t>SP</w:t>
                  </w:r>
                </w:p>
              </w:tc>
              <w:tc>
                <w:tcPr>
                  <w:tcW w:w="1194" w:type="dxa"/>
                  <w:shd w:val="clear" w:color="auto" w:fill="auto"/>
                  <w:vAlign w:val="center"/>
                </w:tcPr>
                <w:p>
                  <w:pPr>
                    <w:pStyle w:val="13"/>
                  </w:pPr>
                  <w:r>
                    <w:rPr>
                      <w:rFonts w:hint="eastAsia"/>
                    </w:rPr>
                    <w:t>/</w:t>
                  </w:r>
                </w:p>
              </w:tc>
              <w:tc>
                <w:tcPr>
                  <w:tcW w:w="2482" w:type="dxa"/>
                  <w:shd w:val="clear" w:color="auto" w:fill="auto"/>
                  <w:vAlign w:val="center"/>
                </w:tcPr>
                <w:p>
                  <w:pPr>
                    <w:pStyle w:val="13"/>
                  </w:pPr>
                  <w:r>
                    <w:rPr>
                      <w:rFonts w:hint="eastAsia"/>
                    </w:rPr>
                    <w:t>3</w:t>
                  </w:r>
                  <w:r>
                    <w:t>00</w:t>
                  </w:r>
                </w:p>
              </w:tc>
              <w:tc>
                <w:tcPr>
                  <w:tcW w:w="1036" w:type="dxa"/>
                  <w:shd w:val="clear" w:color="auto" w:fill="auto"/>
                  <w:vAlign w:val="center"/>
                </w:tcPr>
                <w:p>
                  <w:pPr>
                    <w:pStyle w:val="13"/>
                  </w:pPr>
                  <w:r>
                    <w:rPr>
                      <w:rFonts w:hint="eastAsia"/>
                    </w:rPr>
                    <w:t>2</w:t>
                  </w:r>
                  <w:r>
                    <w:t>00</w:t>
                  </w:r>
                </w:p>
              </w:tc>
              <w:tc>
                <w:tcPr>
                  <w:tcW w:w="1556" w:type="dxa"/>
                  <w:vMerge w:val="continue"/>
                  <w:shd w:val="clear" w:color="auto" w:fill="auto"/>
                  <w:vAlign w:val="center"/>
                </w:tcPr>
                <w:p>
                  <w:pPr>
                    <w:pStyle w:val="13"/>
                  </w:pPr>
                </w:p>
              </w:tc>
            </w:tr>
          </w:tbl>
          <w:p>
            <w:pPr>
              <w:spacing w:line="360" w:lineRule="auto"/>
              <w:ind w:firstLine="480"/>
            </w:pPr>
            <w:r>
              <w:rPr>
                <w:rFonts w:hint="eastAsia"/>
              </w:rPr>
              <w:t>（2）地表水环境质量标准</w:t>
            </w:r>
          </w:p>
          <w:p>
            <w:pPr>
              <w:spacing w:line="360" w:lineRule="auto"/>
              <w:ind w:firstLine="480"/>
            </w:pPr>
            <w:r>
              <w:rPr>
                <w:rFonts w:hint="eastAsia"/>
              </w:rPr>
              <w:t>项目最近水域为洋沙湖撇洪渠，后汇入洋沙湖，洋沙湖现状执行《地表水环境质量标准》（G</w:t>
            </w:r>
            <w:r>
              <w:t>B3838-2002</w:t>
            </w:r>
            <w:r>
              <w:rPr>
                <w:rFonts w:hint="eastAsia"/>
              </w:rPr>
              <w:t>）</w:t>
            </w:r>
            <w:r>
              <w:t>Ⅲ</w:t>
            </w:r>
            <w:r>
              <w:rPr>
                <w:rFonts w:hint="eastAsia"/>
              </w:rPr>
              <w:t>类水质标准。</w:t>
            </w:r>
          </w:p>
          <w:p>
            <w:pPr>
              <w:spacing w:line="360" w:lineRule="auto"/>
              <w:ind w:firstLine="480"/>
            </w:pPr>
          </w:p>
          <w:p>
            <w:pPr>
              <w:spacing w:line="240" w:lineRule="auto"/>
              <w:ind w:firstLine="420"/>
              <w:rPr>
                <w:sz w:val="21"/>
                <w:szCs w:val="21"/>
              </w:rPr>
            </w:pPr>
          </w:p>
          <w:p>
            <w:pPr>
              <w:pStyle w:val="2"/>
              <w:spacing w:line="360" w:lineRule="auto"/>
              <w:rPr>
                <w:b w:val="0"/>
              </w:rPr>
            </w:pPr>
            <w:r>
              <w:rPr>
                <w:rFonts w:hint="eastAsia"/>
                <w:b w:val="0"/>
              </w:rPr>
              <w:t>表3</w:t>
            </w:r>
            <w:r>
              <w:rPr>
                <w:b w:val="0"/>
              </w:rPr>
              <w:t xml:space="preserve">-20 </w:t>
            </w:r>
            <w:r>
              <w:rPr>
                <w:rFonts w:hint="eastAsia"/>
                <w:b w:val="0"/>
              </w:rPr>
              <w:t>《地表水环境质量标准》（G</w:t>
            </w:r>
            <w:r>
              <w:rPr>
                <w:b w:val="0"/>
              </w:rPr>
              <w:t>B3838-2002</w:t>
            </w:r>
            <w:r>
              <w:rPr>
                <w:rFonts w:hint="eastAsia"/>
                <w:b w:val="0"/>
              </w:rPr>
              <w:t>）</w:t>
            </w:r>
            <w:r>
              <w:rPr>
                <w:b w:val="0"/>
              </w:rPr>
              <w:t>Ⅲ</w:t>
            </w:r>
            <w:r>
              <w:rPr>
                <w:rFonts w:hint="eastAsia"/>
                <w:b w:val="0"/>
              </w:rPr>
              <w:t>类水质标准摘录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370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序号</w:t>
                  </w:r>
                </w:p>
              </w:tc>
              <w:tc>
                <w:tcPr>
                  <w:tcW w:w="3402" w:type="dxa"/>
                  <w:shd w:val="clear" w:color="auto" w:fill="auto"/>
                  <w:vAlign w:val="center"/>
                </w:tcPr>
                <w:p>
                  <w:pPr>
                    <w:pStyle w:val="13"/>
                  </w:pPr>
                  <w:r>
                    <w:rPr>
                      <w:rFonts w:hint="eastAsia"/>
                    </w:rPr>
                    <w:t>项目</w:t>
                  </w:r>
                </w:p>
              </w:tc>
              <w:tc>
                <w:tcPr>
                  <w:tcW w:w="2726" w:type="dxa"/>
                  <w:shd w:val="clear" w:color="auto" w:fill="auto"/>
                  <w:vAlign w:val="center"/>
                </w:tcPr>
                <w:p>
                  <w:pPr>
                    <w:pStyle w:val="13"/>
                  </w:pPr>
                  <w:r>
                    <w:rPr>
                      <w:rFonts w:hint="eastAsia"/>
                    </w:rPr>
                    <w:t>标准值（m</w:t>
                  </w:r>
                  <w:r>
                    <w:t>g/L</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1</w:t>
                  </w:r>
                </w:p>
              </w:tc>
              <w:tc>
                <w:tcPr>
                  <w:tcW w:w="3402" w:type="dxa"/>
                  <w:shd w:val="clear" w:color="auto" w:fill="auto"/>
                  <w:vAlign w:val="center"/>
                </w:tcPr>
                <w:p>
                  <w:pPr>
                    <w:pStyle w:val="13"/>
                  </w:pPr>
                  <w:r>
                    <w:rPr>
                      <w:rFonts w:hint="eastAsia"/>
                      <w:szCs w:val="21"/>
                    </w:rPr>
                    <w:t>p</w:t>
                  </w:r>
                  <w:r>
                    <w:rPr>
                      <w:szCs w:val="21"/>
                    </w:rPr>
                    <w:t>H</w:t>
                  </w:r>
                </w:p>
              </w:tc>
              <w:tc>
                <w:tcPr>
                  <w:tcW w:w="2726" w:type="dxa"/>
                  <w:shd w:val="clear" w:color="auto" w:fill="auto"/>
                  <w:vAlign w:val="center"/>
                </w:tcPr>
                <w:p>
                  <w:pPr>
                    <w:pStyle w:val="13"/>
                  </w:pPr>
                  <w: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t>2</w:t>
                  </w:r>
                </w:p>
              </w:tc>
              <w:tc>
                <w:tcPr>
                  <w:tcW w:w="3402" w:type="dxa"/>
                  <w:shd w:val="clear" w:color="auto" w:fill="auto"/>
                  <w:vAlign w:val="center"/>
                </w:tcPr>
                <w:p>
                  <w:pPr>
                    <w:pStyle w:val="13"/>
                  </w:pPr>
                  <w:r>
                    <w:rPr>
                      <w:rFonts w:hint="eastAsia"/>
                      <w:szCs w:val="21"/>
                    </w:rPr>
                    <w:t>D</w:t>
                  </w:r>
                  <w:r>
                    <w:rPr>
                      <w:szCs w:val="21"/>
                    </w:rPr>
                    <w:t>O</w:t>
                  </w:r>
                </w:p>
              </w:tc>
              <w:tc>
                <w:tcPr>
                  <w:tcW w:w="2726" w:type="dxa"/>
                  <w:shd w:val="clear" w:color="auto" w:fill="auto"/>
                  <w:vAlign w:val="center"/>
                </w:tcPr>
                <w:p>
                  <w:pPr>
                    <w:pStyle w:val="13"/>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3</w:t>
                  </w:r>
                </w:p>
              </w:tc>
              <w:tc>
                <w:tcPr>
                  <w:tcW w:w="3402" w:type="dxa"/>
                  <w:shd w:val="clear" w:color="auto" w:fill="auto"/>
                  <w:vAlign w:val="center"/>
                </w:tcPr>
                <w:p>
                  <w:pPr>
                    <w:pStyle w:val="13"/>
                  </w:pPr>
                  <w:r>
                    <w:rPr>
                      <w:rFonts w:hint="eastAsia"/>
                      <w:szCs w:val="21"/>
                    </w:rPr>
                    <w:t>C</w:t>
                  </w:r>
                  <w:r>
                    <w:rPr>
                      <w:szCs w:val="21"/>
                    </w:rPr>
                    <w:t>OD</w:t>
                  </w:r>
                </w:p>
              </w:tc>
              <w:tc>
                <w:tcPr>
                  <w:tcW w:w="2726" w:type="dxa"/>
                  <w:shd w:val="clear" w:color="auto" w:fill="auto"/>
                  <w:vAlign w:val="center"/>
                </w:tcPr>
                <w:p>
                  <w:pPr>
                    <w:pStyle w:val="13"/>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4</w:t>
                  </w:r>
                </w:p>
              </w:tc>
              <w:tc>
                <w:tcPr>
                  <w:tcW w:w="3402" w:type="dxa"/>
                  <w:shd w:val="clear" w:color="auto" w:fill="auto"/>
                  <w:vAlign w:val="center"/>
                </w:tcPr>
                <w:p>
                  <w:pPr>
                    <w:pStyle w:val="13"/>
                  </w:pPr>
                  <w:r>
                    <w:rPr>
                      <w:rFonts w:hint="eastAsia"/>
                      <w:szCs w:val="21"/>
                    </w:rPr>
                    <w:t>B</w:t>
                  </w:r>
                  <w:r>
                    <w:rPr>
                      <w:szCs w:val="21"/>
                    </w:rPr>
                    <w:t>OD</w:t>
                  </w:r>
                  <w:r>
                    <w:rPr>
                      <w:szCs w:val="21"/>
                      <w:vertAlign w:val="subscript"/>
                    </w:rPr>
                    <w:t>5</w:t>
                  </w:r>
                </w:p>
              </w:tc>
              <w:tc>
                <w:tcPr>
                  <w:tcW w:w="2726" w:type="dxa"/>
                  <w:shd w:val="clear" w:color="auto" w:fill="auto"/>
                  <w:vAlign w:val="center"/>
                </w:tcPr>
                <w:p>
                  <w:pPr>
                    <w:pStyle w:val="13"/>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5</w:t>
                  </w:r>
                </w:p>
              </w:tc>
              <w:tc>
                <w:tcPr>
                  <w:tcW w:w="3402" w:type="dxa"/>
                  <w:shd w:val="clear" w:color="auto" w:fill="auto"/>
                  <w:vAlign w:val="center"/>
                </w:tcPr>
                <w:p>
                  <w:pPr>
                    <w:pStyle w:val="13"/>
                  </w:pPr>
                  <w:r>
                    <w:rPr>
                      <w:rFonts w:hint="eastAsia"/>
                      <w:szCs w:val="21"/>
                    </w:rPr>
                    <w:t>N</w:t>
                  </w:r>
                  <w:r>
                    <w:rPr>
                      <w:szCs w:val="21"/>
                    </w:rPr>
                    <w:t>H</w:t>
                  </w:r>
                  <w:r>
                    <w:rPr>
                      <w:szCs w:val="21"/>
                      <w:vertAlign w:val="subscript"/>
                    </w:rPr>
                    <w:t>3</w:t>
                  </w:r>
                  <w:r>
                    <w:rPr>
                      <w:szCs w:val="21"/>
                    </w:rPr>
                    <w:t>-N</w:t>
                  </w:r>
                </w:p>
              </w:tc>
              <w:tc>
                <w:tcPr>
                  <w:tcW w:w="2726" w:type="dxa"/>
                  <w:shd w:val="clear" w:color="auto" w:fill="auto"/>
                  <w:vAlign w:val="center"/>
                </w:tcPr>
                <w:p>
                  <w:pPr>
                    <w:pStyle w:val="13"/>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6</w:t>
                  </w:r>
                </w:p>
              </w:tc>
              <w:tc>
                <w:tcPr>
                  <w:tcW w:w="3402" w:type="dxa"/>
                  <w:shd w:val="clear" w:color="auto" w:fill="auto"/>
                  <w:vAlign w:val="center"/>
                </w:tcPr>
                <w:p>
                  <w:pPr>
                    <w:pStyle w:val="13"/>
                  </w:pPr>
                  <w:r>
                    <w:rPr>
                      <w:rFonts w:hint="eastAsia"/>
                      <w:color w:val="000000"/>
                      <w:szCs w:val="21"/>
                    </w:rPr>
                    <w:t>总磷</w:t>
                  </w:r>
                </w:p>
              </w:tc>
              <w:tc>
                <w:tcPr>
                  <w:tcW w:w="2726" w:type="dxa"/>
                  <w:shd w:val="clear" w:color="auto" w:fill="auto"/>
                  <w:vAlign w:val="center"/>
                </w:tcPr>
                <w:p>
                  <w:pPr>
                    <w:pStyle w:val="13"/>
                  </w:pPr>
                  <w:r>
                    <w:rPr>
                      <w:rFonts w:eastAsia="等线"/>
                      <w:color w:val="00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7</w:t>
                  </w:r>
                </w:p>
              </w:tc>
              <w:tc>
                <w:tcPr>
                  <w:tcW w:w="3402" w:type="dxa"/>
                  <w:shd w:val="clear" w:color="auto" w:fill="auto"/>
                  <w:vAlign w:val="center"/>
                </w:tcPr>
                <w:p>
                  <w:pPr>
                    <w:pStyle w:val="13"/>
                  </w:pPr>
                  <w:r>
                    <w:rPr>
                      <w:rFonts w:hint="eastAsia"/>
                      <w:color w:val="000000"/>
                      <w:szCs w:val="21"/>
                    </w:rPr>
                    <w:t>总氮</w:t>
                  </w:r>
                </w:p>
              </w:tc>
              <w:tc>
                <w:tcPr>
                  <w:tcW w:w="2726" w:type="dxa"/>
                  <w:shd w:val="clear" w:color="auto" w:fill="auto"/>
                  <w:vAlign w:val="center"/>
                </w:tcPr>
                <w:p>
                  <w:pPr>
                    <w:pStyle w:val="13"/>
                  </w:pPr>
                  <w:r>
                    <w:rPr>
                      <w:rFonts w:eastAsia="等线"/>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8</w:t>
                  </w:r>
                </w:p>
              </w:tc>
              <w:tc>
                <w:tcPr>
                  <w:tcW w:w="3402" w:type="dxa"/>
                  <w:shd w:val="clear" w:color="auto" w:fill="auto"/>
                  <w:vAlign w:val="center"/>
                </w:tcPr>
                <w:p>
                  <w:pPr>
                    <w:pStyle w:val="13"/>
                  </w:pPr>
                  <w:r>
                    <w:rPr>
                      <w:rFonts w:eastAsia="等线"/>
                      <w:color w:val="000000"/>
                      <w:szCs w:val="21"/>
                    </w:rPr>
                    <w:t>LAS</w:t>
                  </w:r>
                </w:p>
              </w:tc>
              <w:tc>
                <w:tcPr>
                  <w:tcW w:w="2726" w:type="dxa"/>
                  <w:shd w:val="clear" w:color="auto" w:fill="auto"/>
                  <w:vAlign w:val="center"/>
                </w:tcPr>
                <w:p>
                  <w:pPr>
                    <w:pStyle w:val="13"/>
                  </w:pPr>
                  <w:r>
                    <w:rPr>
                      <w:rFonts w:eastAsia="等线"/>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8" w:type="dxa"/>
                  <w:shd w:val="clear" w:color="auto" w:fill="auto"/>
                  <w:vAlign w:val="center"/>
                </w:tcPr>
                <w:p>
                  <w:pPr>
                    <w:pStyle w:val="13"/>
                  </w:pPr>
                  <w:r>
                    <w:rPr>
                      <w:rFonts w:hint="eastAsia"/>
                    </w:rPr>
                    <w:t>9</w:t>
                  </w:r>
                </w:p>
              </w:tc>
              <w:tc>
                <w:tcPr>
                  <w:tcW w:w="3402" w:type="dxa"/>
                  <w:shd w:val="clear" w:color="auto" w:fill="auto"/>
                  <w:vAlign w:val="center"/>
                </w:tcPr>
                <w:p>
                  <w:pPr>
                    <w:pStyle w:val="13"/>
                  </w:pPr>
                  <w:r>
                    <w:rPr>
                      <w:rFonts w:hint="eastAsia"/>
                      <w:color w:val="000000"/>
                      <w:szCs w:val="21"/>
                    </w:rPr>
                    <w:t>粪大肠菌群</w:t>
                  </w:r>
                </w:p>
              </w:tc>
              <w:tc>
                <w:tcPr>
                  <w:tcW w:w="2726" w:type="dxa"/>
                  <w:shd w:val="clear" w:color="auto" w:fill="auto"/>
                  <w:vAlign w:val="center"/>
                </w:tcPr>
                <w:p>
                  <w:pPr>
                    <w:pStyle w:val="13"/>
                  </w:pPr>
                  <w:r>
                    <w:rPr>
                      <w:rFonts w:eastAsia="等线"/>
                      <w:color w:val="000000"/>
                      <w:szCs w:val="21"/>
                    </w:rPr>
                    <w:t>≤10000</w:t>
                  </w:r>
                </w:p>
              </w:tc>
            </w:tr>
          </w:tbl>
          <w:p>
            <w:pPr>
              <w:spacing w:line="360" w:lineRule="auto"/>
              <w:ind w:firstLine="480"/>
            </w:pPr>
            <w:r>
              <w:rPr>
                <w:rFonts w:hint="eastAsia"/>
              </w:rPr>
              <w:t>（3）声环境质量标准</w:t>
            </w:r>
          </w:p>
          <w:p>
            <w:pPr>
              <w:spacing w:line="360" w:lineRule="auto"/>
              <w:ind w:firstLine="480"/>
            </w:pPr>
            <w:r>
              <w:rPr>
                <w:rFonts w:hint="eastAsia"/>
              </w:rPr>
              <w:t>本项目周边居民点声环境执行《声环境质量标准》（GB3096-2008）中的2类标准，具体见下表。</w:t>
            </w:r>
          </w:p>
          <w:p>
            <w:pPr>
              <w:pStyle w:val="2"/>
              <w:spacing w:line="360" w:lineRule="auto"/>
              <w:rPr>
                <w:b w:val="0"/>
              </w:rPr>
            </w:pPr>
            <w:r>
              <w:rPr>
                <w:rFonts w:hint="eastAsia"/>
                <w:b w:val="0"/>
              </w:rPr>
              <w:t>表3</w:t>
            </w:r>
            <w:r>
              <w:rPr>
                <w:b w:val="0"/>
              </w:rPr>
              <w:t xml:space="preserve">-21 </w:t>
            </w:r>
            <w:r>
              <w:rPr>
                <w:rFonts w:hint="eastAsia"/>
                <w:b w:val="0"/>
              </w:rPr>
              <w:t>《声环境质量标准》（GB3096-2008）2类标准限值</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8"/>
              <w:gridCol w:w="2588"/>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612" w:type="pct"/>
                  <w:vAlign w:val="center"/>
                </w:tcPr>
                <w:p>
                  <w:pPr>
                    <w:pStyle w:val="13"/>
                  </w:pPr>
                  <w:r>
                    <w:t>声环境功能区</w:t>
                  </w:r>
                </w:p>
              </w:tc>
              <w:tc>
                <w:tcPr>
                  <w:tcW w:w="1600" w:type="pct"/>
                  <w:vAlign w:val="center"/>
                </w:tcPr>
                <w:p>
                  <w:pPr>
                    <w:pStyle w:val="13"/>
                  </w:pPr>
                  <w:r>
                    <w:t>昼间</w:t>
                  </w:r>
                </w:p>
              </w:tc>
              <w:tc>
                <w:tcPr>
                  <w:tcW w:w="1788" w:type="pct"/>
                  <w:vAlign w:val="center"/>
                </w:tcPr>
                <w:p>
                  <w:pPr>
                    <w:pStyle w:val="13"/>
                  </w:pPr>
                  <w: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1612" w:type="pct"/>
                  <w:vAlign w:val="center"/>
                </w:tcPr>
                <w:p>
                  <w:pPr>
                    <w:pStyle w:val="13"/>
                  </w:pPr>
                  <w:r>
                    <w:rPr>
                      <w:rFonts w:hint="eastAsia"/>
                    </w:rPr>
                    <w:t>2类</w:t>
                  </w:r>
                </w:p>
              </w:tc>
              <w:tc>
                <w:tcPr>
                  <w:tcW w:w="1600" w:type="pct"/>
                  <w:vAlign w:val="center"/>
                </w:tcPr>
                <w:p>
                  <w:pPr>
                    <w:pStyle w:val="13"/>
                  </w:pPr>
                  <w:r>
                    <w:rPr>
                      <w:rFonts w:hint="eastAsia"/>
                    </w:rPr>
                    <w:t>60</w:t>
                  </w:r>
                </w:p>
              </w:tc>
              <w:tc>
                <w:tcPr>
                  <w:tcW w:w="1788" w:type="pct"/>
                  <w:vAlign w:val="center"/>
                </w:tcPr>
                <w:p>
                  <w:pPr>
                    <w:pStyle w:val="13"/>
                  </w:pPr>
                  <w:r>
                    <w:rPr>
                      <w:rFonts w:hint="eastAsia"/>
                    </w:rPr>
                    <w:t>50</w:t>
                  </w:r>
                </w:p>
              </w:tc>
            </w:tr>
          </w:tbl>
          <w:p>
            <w:pPr>
              <w:spacing w:line="360" w:lineRule="auto"/>
              <w:ind w:firstLine="480"/>
            </w:pPr>
            <w:r>
              <w:rPr>
                <w:rFonts w:hint="eastAsia"/>
              </w:rPr>
              <w:t>（4）土壤环境质量标准</w:t>
            </w:r>
          </w:p>
          <w:p>
            <w:pPr>
              <w:spacing w:line="360" w:lineRule="auto"/>
              <w:ind w:firstLine="480"/>
            </w:pPr>
            <w:r>
              <w:rPr>
                <w:rFonts w:hint="eastAsia"/>
              </w:rPr>
              <w:t>项目占地范围内执行《土壤环境质量 建设用地土壤污染风险管控标准（试行）》（GB 36600-2018）表1中第二类用地筛选值；占地范围外为居民，执行《土壤环境质量 建设用地土壤污染风险管控标准（试行）》（GB 36600-2018）表1中第一类用地筛选值；占地范围外为林地或耕地，执行《土壤环境质量 农用地土壤污染风险管控标准（试行）》（GB 15618-2018）表1中风险筛选值，具体见下表。</w:t>
            </w:r>
          </w:p>
          <w:p>
            <w:pPr>
              <w:pStyle w:val="2"/>
              <w:spacing w:line="360" w:lineRule="auto"/>
              <w:rPr>
                <w:b w:val="0"/>
              </w:rPr>
            </w:pPr>
            <w:r>
              <w:rPr>
                <w:rFonts w:hint="eastAsia"/>
                <w:b w:val="0"/>
              </w:rPr>
              <w:t>表3</w:t>
            </w:r>
            <w:r>
              <w:rPr>
                <w:b w:val="0"/>
              </w:rPr>
              <w:t xml:space="preserve">-22  </w:t>
            </w:r>
            <w:r>
              <w:rPr>
                <w:rFonts w:hint="eastAsia"/>
                <w:b w:val="0"/>
              </w:rPr>
              <w:t>GB36600-2018表1第二类用地筛选值</w:t>
            </w:r>
          </w:p>
          <w:tbl>
            <w:tblPr>
              <w:tblStyle w:val="16"/>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8"/>
              <w:gridCol w:w="1744"/>
              <w:gridCol w:w="1453"/>
              <w:gridCol w:w="908"/>
              <w:gridCol w:w="197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序号</w:t>
                  </w:r>
                </w:p>
              </w:tc>
              <w:tc>
                <w:tcPr>
                  <w:tcW w:w="1958" w:type="dxa"/>
                  <w:vAlign w:val="center"/>
                </w:tcPr>
                <w:p>
                  <w:pPr>
                    <w:pStyle w:val="13"/>
                  </w:pPr>
                  <w:r>
                    <w:t>项目</w:t>
                  </w:r>
                </w:p>
              </w:tc>
              <w:tc>
                <w:tcPr>
                  <w:tcW w:w="1634" w:type="dxa"/>
                  <w:vAlign w:val="center"/>
                </w:tcPr>
                <w:p>
                  <w:pPr>
                    <w:pStyle w:val="13"/>
                  </w:pPr>
                  <w:r>
                    <w:t>标准值</w:t>
                  </w:r>
                </w:p>
              </w:tc>
              <w:tc>
                <w:tcPr>
                  <w:tcW w:w="1002" w:type="dxa"/>
                  <w:vAlign w:val="center"/>
                </w:tcPr>
                <w:p>
                  <w:pPr>
                    <w:pStyle w:val="13"/>
                  </w:pPr>
                  <w:r>
                    <w:rPr>
                      <w:rFonts w:hint="eastAsia"/>
                    </w:rPr>
                    <w:t>序号</w:t>
                  </w:r>
                </w:p>
              </w:tc>
              <w:tc>
                <w:tcPr>
                  <w:tcW w:w="2203" w:type="dxa"/>
                  <w:vAlign w:val="center"/>
                </w:tcPr>
                <w:p>
                  <w:pPr>
                    <w:pStyle w:val="13"/>
                  </w:pPr>
                  <w:r>
                    <w:t>项目</w:t>
                  </w:r>
                </w:p>
              </w:tc>
              <w:tc>
                <w:tcPr>
                  <w:tcW w:w="1417" w:type="dxa"/>
                  <w:vAlign w:val="center"/>
                </w:tcPr>
                <w:p>
                  <w:pPr>
                    <w:pStyle w:val="13"/>
                  </w:pPr>
                  <w: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w:t>
                  </w:r>
                </w:p>
              </w:tc>
              <w:tc>
                <w:tcPr>
                  <w:tcW w:w="1958" w:type="dxa"/>
                  <w:vAlign w:val="center"/>
                </w:tcPr>
                <w:p>
                  <w:pPr>
                    <w:pStyle w:val="13"/>
                  </w:pPr>
                  <w:r>
                    <w:rPr>
                      <w:rFonts w:hint="eastAsia"/>
                    </w:rPr>
                    <w:t>砷</w:t>
                  </w:r>
                </w:p>
              </w:tc>
              <w:tc>
                <w:tcPr>
                  <w:tcW w:w="1634" w:type="dxa"/>
                  <w:vAlign w:val="center"/>
                </w:tcPr>
                <w:p>
                  <w:pPr>
                    <w:pStyle w:val="13"/>
                  </w:pPr>
                  <w:r>
                    <w:rPr>
                      <w:rFonts w:hint="eastAsia"/>
                    </w:rPr>
                    <w:t>60</w:t>
                  </w:r>
                </w:p>
              </w:tc>
              <w:tc>
                <w:tcPr>
                  <w:tcW w:w="1002" w:type="dxa"/>
                  <w:vAlign w:val="center"/>
                </w:tcPr>
                <w:p>
                  <w:pPr>
                    <w:pStyle w:val="13"/>
                  </w:pPr>
                  <w:r>
                    <w:rPr>
                      <w:rFonts w:hint="eastAsia"/>
                    </w:rPr>
                    <w:t>24</w:t>
                  </w:r>
                </w:p>
              </w:tc>
              <w:tc>
                <w:tcPr>
                  <w:tcW w:w="2203" w:type="dxa"/>
                  <w:vAlign w:val="center"/>
                </w:tcPr>
                <w:p>
                  <w:pPr>
                    <w:pStyle w:val="13"/>
                  </w:pPr>
                  <w:r>
                    <w:rPr>
                      <w:rFonts w:hint="eastAsia"/>
                    </w:rPr>
                    <w:t>1,2,3-三氯丙烷</w:t>
                  </w:r>
                </w:p>
              </w:tc>
              <w:tc>
                <w:tcPr>
                  <w:tcW w:w="1417" w:type="dxa"/>
                  <w:vAlign w:val="center"/>
                </w:tcPr>
                <w:p>
                  <w:pPr>
                    <w:pStyle w:val="13"/>
                  </w:pP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2</w:t>
                  </w:r>
                </w:p>
              </w:tc>
              <w:tc>
                <w:tcPr>
                  <w:tcW w:w="1958" w:type="dxa"/>
                  <w:vAlign w:val="center"/>
                </w:tcPr>
                <w:p>
                  <w:pPr>
                    <w:pStyle w:val="13"/>
                  </w:pPr>
                  <w:r>
                    <w:rPr>
                      <w:rFonts w:hint="eastAsia"/>
                    </w:rPr>
                    <w:t>镉</w:t>
                  </w:r>
                </w:p>
              </w:tc>
              <w:tc>
                <w:tcPr>
                  <w:tcW w:w="1634" w:type="dxa"/>
                  <w:vAlign w:val="center"/>
                </w:tcPr>
                <w:p>
                  <w:pPr>
                    <w:pStyle w:val="13"/>
                  </w:pPr>
                  <w:r>
                    <w:rPr>
                      <w:rFonts w:hint="eastAsia"/>
                    </w:rPr>
                    <w:t>65</w:t>
                  </w:r>
                </w:p>
              </w:tc>
              <w:tc>
                <w:tcPr>
                  <w:tcW w:w="1002" w:type="dxa"/>
                  <w:vAlign w:val="center"/>
                </w:tcPr>
                <w:p>
                  <w:pPr>
                    <w:pStyle w:val="13"/>
                  </w:pPr>
                  <w:r>
                    <w:rPr>
                      <w:rFonts w:hint="eastAsia"/>
                    </w:rPr>
                    <w:t>25</w:t>
                  </w:r>
                </w:p>
              </w:tc>
              <w:tc>
                <w:tcPr>
                  <w:tcW w:w="2203" w:type="dxa"/>
                  <w:vAlign w:val="center"/>
                </w:tcPr>
                <w:p>
                  <w:pPr>
                    <w:pStyle w:val="13"/>
                  </w:pPr>
                  <w:r>
                    <w:rPr>
                      <w:rFonts w:hint="eastAsia"/>
                    </w:rPr>
                    <w:t>氯乙烯</w:t>
                  </w:r>
                </w:p>
              </w:tc>
              <w:tc>
                <w:tcPr>
                  <w:tcW w:w="1417" w:type="dxa"/>
                  <w:vAlign w:val="center"/>
                </w:tcPr>
                <w:p>
                  <w:pPr>
                    <w:pStyle w:val="13"/>
                  </w:pPr>
                  <w:r>
                    <w:rPr>
                      <w:rFonts w:hint="eastAsia"/>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3</w:t>
                  </w:r>
                </w:p>
              </w:tc>
              <w:tc>
                <w:tcPr>
                  <w:tcW w:w="1958" w:type="dxa"/>
                  <w:vAlign w:val="center"/>
                </w:tcPr>
                <w:p>
                  <w:pPr>
                    <w:pStyle w:val="13"/>
                  </w:pPr>
                  <w:r>
                    <w:rPr>
                      <w:rFonts w:hint="eastAsia"/>
                    </w:rPr>
                    <w:t>铬（六价铬）</w:t>
                  </w:r>
                </w:p>
              </w:tc>
              <w:tc>
                <w:tcPr>
                  <w:tcW w:w="1634" w:type="dxa"/>
                  <w:vAlign w:val="center"/>
                </w:tcPr>
                <w:p>
                  <w:pPr>
                    <w:pStyle w:val="13"/>
                  </w:pPr>
                  <w:r>
                    <w:rPr>
                      <w:rFonts w:hint="eastAsia"/>
                    </w:rPr>
                    <w:t>5.7</w:t>
                  </w:r>
                </w:p>
              </w:tc>
              <w:tc>
                <w:tcPr>
                  <w:tcW w:w="1002" w:type="dxa"/>
                  <w:vAlign w:val="center"/>
                </w:tcPr>
                <w:p>
                  <w:pPr>
                    <w:pStyle w:val="13"/>
                  </w:pPr>
                  <w:r>
                    <w:rPr>
                      <w:rFonts w:hint="eastAsia"/>
                    </w:rPr>
                    <w:t>26</w:t>
                  </w:r>
                </w:p>
              </w:tc>
              <w:tc>
                <w:tcPr>
                  <w:tcW w:w="2203" w:type="dxa"/>
                  <w:vAlign w:val="center"/>
                </w:tcPr>
                <w:p>
                  <w:pPr>
                    <w:pStyle w:val="13"/>
                  </w:pPr>
                  <w:r>
                    <w:rPr>
                      <w:rFonts w:hint="eastAsia"/>
                    </w:rPr>
                    <w:t>苯</w:t>
                  </w:r>
                </w:p>
              </w:tc>
              <w:tc>
                <w:tcPr>
                  <w:tcW w:w="1417" w:type="dxa"/>
                  <w:vAlign w:val="center"/>
                </w:tcPr>
                <w:p>
                  <w:pPr>
                    <w:pStyle w:val="13"/>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4</w:t>
                  </w:r>
                </w:p>
              </w:tc>
              <w:tc>
                <w:tcPr>
                  <w:tcW w:w="1958" w:type="dxa"/>
                  <w:vAlign w:val="center"/>
                </w:tcPr>
                <w:p>
                  <w:pPr>
                    <w:pStyle w:val="13"/>
                  </w:pPr>
                  <w:r>
                    <w:rPr>
                      <w:rFonts w:hint="eastAsia"/>
                    </w:rPr>
                    <w:t>铜</w:t>
                  </w:r>
                </w:p>
              </w:tc>
              <w:tc>
                <w:tcPr>
                  <w:tcW w:w="1634" w:type="dxa"/>
                  <w:vAlign w:val="center"/>
                </w:tcPr>
                <w:p>
                  <w:pPr>
                    <w:pStyle w:val="13"/>
                  </w:pPr>
                  <w:r>
                    <w:rPr>
                      <w:rFonts w:hint="eastAsia"/>
                    </w:rPr>
                    <w:t>18000</w:t>
                  </w:r>
                </w:p>
              </w:tc>
              <w:tc>
                <w:tcPr>
                  <w:tcW w:w="1002" w:type="dxa"/>
                  <w:vAlign w:val="center"/>
                </w:tcPr>
                <w:p>
                  <w:pPr>
                    <w:pStyle w:val="13"/>
                  </w:pPr>
                  <w:r>
                    <w:rPr>
                      <w:rFonts w:hint="eastAsia"/>
                    </w:rPr>
                    <w:t>27</w:t>
                  </w:r>
                </w:p>
              </w:tc>
              <w:tc>
                <w:tcPr>
                  <w:tcW w:w="2203" w:type="dxa"/>
                  <w:vAlign w:val="center"/>
                </w:tcPr>
                <w:p>
                  <w:pPr>
                    <w:pStyle w:val="13"/>
                  </w:pPr>
                  <w:r>
                    <w:rPr>
                      <w:rFonts w:hint="eastAsia"/>
                    </w:rPr>
                    <w:t>氯苯</w:t>
                  </w:r>
                </w:p>
              </w:tc>
              <w:tc>
                <w:tcPr>
                  <w:tcW w:w="1417" w:type="dxa"/>
                  <w:vAlign w:val="center"/>
                </w:tcPr>
                <w:p>
                  <w:pPr>
                    <w:pStyle w:val="13"/>
                  </w:pPr>
                  <w:r>
                    <w:rPr>
                      <w:rFonts w:hint="eastAsia"/>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5</w:t>
                  </w:r>
                </w:p>
              </w:tc>
              <w:tc>
                <w:tcPr>
                  <w:tcW w:w="1958" w:type="dxa"/>
                  <w:vAlign w:val="center"/>
                </w:tcPr>
                <w:p>
                  <w:pPr>
                    <w:pStyle w:val="13"/>
                  </w:pPr>
                  <w:r>
                    <w:rPr>
                      <w:rFonts w:hint="eastAsia"/>
                    </w:rPr>
                    <w:t>铅</w:t>
                  </w:r>
                </w:p>
              </w:tc>
              <w:tc>
                <w:tcPr>
                  <w:tcW w:w="1634" w:type="dxa"/>
                  <w:vAlign w:val="center"/>
                </w:tcPr>
                <w:p>
                  <w:pPr>
                    <w:pStyle w:val="13"/>
                  </w:pPr>
                  <w:r>
                    <w:rPr>
                      <w:rFonts w:hint="eastAsia"/>
                    </w:rPr>
                    <w:t>800</w:t>
                  </w:r>
                </w:p>
              </w:tc>
              <w:tc>
                <w:tcPr>
                  <w:tcW w:w="1002" w:type="dxa"/>
                  <w:vAlign w:val="center"/>
                </w:tcPr>
                <w:p>
                  <w:pPr>
                    <w:pStyle w:val="13"/>
                  </w:pPr>
                  <w:r>
                    <w:rPr>
                      <w:rFonts w:hint="eastAsia"/>
                    </w:rPr>
                    <w:t>28</w:t>
                  </w:r>
                </w:p>
              </w:tc>
              <w:tc>
                <w:tcPr>
                  <w:tcW w:w="2203" w:type="dxa"/>
                  <w:vAlign w:val="center"/>
                </w:tcPr>
                <w:p>
                  <w:pPr>
                    <w:pStyle w:val="13"/>
                  </w:pPr>
                  <w:r>
                    <w:rPr>
                      <w:rFonts w:hint="eastAsia"/>
                    </w:rPr>
                    <w:t>1,2-二氯苯</w:t>
                  </w:r>
                </w:p>
              </w:tc>
              <w:tc>
                <w:tcPr>
                  <w:tcW w:w="1417" w:type="dxa"/>
                  <w:vAlign w:val="center"/>
                </w:tcPr>
                <w:p>
                  <w:pPr>
                    <w:pStyle w:val="13"/>
                  </w:pPr>
                  <w:r>
                    <w:rPr>
                      <w:rFonts w:hint="eastAsia"/>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6</w:t>
                  </w:r>
                </w:p>
              </w:tc>
              <w:tc>
                <w:tcPr>
                  <w:tcW w:w="1958" w:type="dxa"/>
                  <w:vAlign w:val="center"/>
                </w:tcPr>
                <w:p>
                  <w:pPr>
                    <w:pStyle w:val="13"/>
                  </w:pPr>
                  <w:r>
                    <w:rPr>
                      <w:rFonts w:hint="eastAsia"/>
                    </w:rPr>
                    <w:t>汞</w:t>
                  </w:r>
                </w:p>
              </w:tc>
              <w:tc>
                <w:tcPr>
                  <w:tcW w:w="1634" w:type="dxa"/>
                  <w:vAlign w:val="center"/>
                </w:tcPr>
                <w:p>
                  <w:pPr>
                    <w:pStyle w:val="13"/>
                  </w:pPr>
                  <w:r>
                    <w:rPr>
                      <w:rFonts w:hint="eastAsia"/>
                    </w:rPr>
                    <w:t>38</w:t>
                  </w:r>
                </w:p>
              </w:tc>
              <w:tc>
                <w:tcPr>
                  <w:tcW w:w="1002" w:type="dxa"/>
                  <w:vAlign w:val="center"/>
                </w:tcPr>
                <w:p>
                  <w:pPr>
                    <w:pStyle w:val="13"/>
                  </w:pPr>
                  <w:r>
                    <w:rPr>
                      <w:rFonts w:hint="eastAsia"/>
                    </w:rPr>
                    <w:t>29</w:t>
                  </w:r>
                </w:p>
              </w:tc>
              <w:tc>
                <w:tcPr>
                  <w:tcW w:w="2203" w:type="dxa"/>
                  <w:vAlign w:val="center"/>
                </w:tcPr>
                <w:p>
                  <w:pPr>
                    <w:pStyle w:val="13"/>
                  </w:pPr>
                  <w:r>
                    <w:rPr>
                      <w:rFonts w:hint="eastAsia"/>
                    </w:rPr>
                    <w:t>1,4-二氯苯</w:t>
                  </w:r>
                </w:p>
              </w:tc>
              <w:tc>
                <w:tcPr>
                  <w:tcW w:w="1417" w:type="dxa"/>
                  <w:vAlign w:val="center"/>
                </w:tcPr>
                <w:p>
                  <w:pPr>
                    <w:pStyle w:val="13"/>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7</w:t>
                  </w:r>
                </w:p>
              </w:tc>
              <w:tc>
                <w:tcPr>
                  <w:tcW w:w="1958" w:type="dxa"/>
                  <w:vAlign w:val="center"/>
                </w:tcPr>
                <w:p>
                  <w:pPr>
                    <w:pStyle w:val="13"/>
                  </w:pPr>
                  <w:r>
                    <w:rPr>
                      <w:rFonts w:hint="eastAsia"/>
                    </w:rPr>
                    <w:t>镍</w:t>
                  </w:r>
                </w:p>
              </w:tc>
              <w:tc>
                <w:tcPr>
                  <w:tcW w:w="1634" w:type="dxa"/>
                  <w:vAlign w:val="center"/>
                </w:tcPr>
                <w:p>
                  <w:pPr>
                    <w:pStyle w:val="13"/>
                  </w:pPr>
                  <w:r>
                    <w:rPr>
                      <w:rFonts w:hint="eastAsia"/>
                    </w:rPr>
                    <w:t>900</w:t>
                  </w:r>
                </w:p>
              </w:tc>
              <w:tc>
                <w:tcPr>
                  <w:tcW w:w="1002" w:type="dxa"/>
                  <w:vAlign w:val="center"/>
                </w:tcPr>
                <w:p>
                  <w:pPr>
                    <w:pStyle w:val="13"/>
                  </w:pPr>
                  <w:r>
                    <w:rPr>
                      <w:rFonts w:hint="eastAsia"/>
                    </w:rPr>
                    <w:t>30</w:t>
                  </w:r>
                </w:p>
              </w:tc>
              <w:tc>
                <w:tcPr>
                  <w:tcW w:w="2203" w:type="dxa"/>
                  <w:vAlign w:val="center"/>
                </w:tcPr>
                <w:p>
                  <w:pPr>
                    <w:pStyle w:val="13"/>
                  </w:pPr>
                  <w:r>
                    <w:rPr>
                      <w:rFonts w:hint="eastAsia"/>
                    </w:rPr>
                    <w:t>乙苯</w:t>
                  </w:r>
                </w:p>
              </w:tc>
              <w:tc>
                <w:tcPr>
                  <w:tcW w:w="1417" w:type="dxa"/>
                  <w:vAlign w:val="center"/>
                </w:tcPr>
                <w:p>
                  <w:pPr>
                    <w:pStyle w:val="13"/>
                  </w:pPr>
                  <w:r>
                    <w:rPr>
                      <w:rFonts w:hint="eastAsi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8</w:t>
                  </w:r>
                </w:p>
              </w:tc>
              <w:tc>
                <w:tcPr>
                  <w:tcW w:w="1958" w:type="dxa"/>
                  <w:vAlign w:val="center"/>
                </w:tcPr>
                <w:p>
                  <w:pPr>
                    <w:pStyle w:val="13"/>
                  </w:pPr>
                  <w:r>
                    <w:rPr>
                      <w:rFonts w:hint="eastAsia"/>
                    </w:rPr>
                    <w:t>四氯化碳</w:t>
                  </w:r>
                </w:p>
              </w:tc>
              <w:tc>
                <w:tcPr>
                  <w:tcW w:w="1634" w:type="dxa"/>
                  <w:vAlign w:val="center"/>
                </w:tcPr>
                <w:p>
                  <w:pPr>
                    <w:pStyle w:val="13"/>
                  </w:pPr>
                  <w:r>
                    <w:rPr>
                      <w:rFonts w:hint="eastAsia"/>
                    </w:rPr>
                    <w:t>2.8</w:t>
                  </w:r>
                </w:p>
              </w:tc>
              <w:tc>
                <w:tcPr>
                  <w:tcW w:w="1002" w:type="dxa"/>
                  <w:vAlign w:val="center"/>
                </w:tcPr>
                <w:p>
                  <w:pPr>
                    <w:pStyle w:val="13"/>
                  </w:pPr>
                  <w:r>
                    <w:rPr>
                      <w:rFonts w:hint="eastAsia"/>
                    </w:rPr>
                    <w:t>31</w:t>
                  </w:r>
                </w:p>
              </w:tc>
              <w:tc>
                <w:tcPr>
                  <w:tcW w:w="2203" w:type="dxa"/>
                  <w:vAlign w:val="center"/>
                </w:tcPr>
                <w:p>
                  <w:pPr>
                    <w:pStyle w:val="13"/>
                  </w:pPr>
                  <w:r>
                    <w:rPr>
                      <w:rFonts w:hint="eastAsia"/>
                    </w:rPr>
                    <w:t>苯乙烯</w:t>
                  </w:r>
                </w:p>
              </w:tc>
              <w:tc>
                <w:tcPr>
                  <w:tcW w:w="1417" w:type="dxa"/>
                  <w:vAlign w:val="center"/>
                </w:tcPr>
                <w:p>
                  <w:pPr>
                    <w:pStyle w:val="13"/>
                  </w:pPr>
                  <w:r>
                    <w:rPr>
                      <w:rFonts w:hint="eastAsia"/>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9</w:t>
                  </w:r>
                </w:p>
              </w:tc>
              <w:tc>
                <w:tcPr>
                  <w:tcW w:w="1958" w:type="dxa"/>
                  <w:vAlign w:val="center"/>
                </w:tcPr>
                <w:p>
                  <w:pPr>
                    <w:pStyle w:val="13"/>
                  </w:pPr>
                  <w:r>
                    <w:rPr>
                      <w:rFonts w:hint="eastAsia"/>
                    </w:rPr>
                    <w:t>氯仿</w:t>
                  </w:r>
                </w:p>
              </w:tc>
              <w:tc>
                <w:tcPr>
                  <w:tcW w:w="1634" w:type="dxa"/>
                  <w:vAlign w:val="center"/>
                </w:tcPr>
                <w:p>
                  <w:pPr>
                    <w:pStyle w:val="13"/>
                  </w:pPr>
                  <w:r>
                    <w:rPr>
                      <w:rFonts w:hint="eastAsia"/>
                    </w:rPr>
                    <w:t>0.9</w:t>
                  </w:r>
                </w:p>
              </w:tc>
              <w:tc>
                <w:tcPr>
                  <w:tcW w:w="1002" w:type="dxa"/>
                  <w:vAlign w:val="center"/>
                </w:tcPr>
                <w:p>
                  <w:pPr>
                    <w:pStyle w:val="13"/>
                  </w:pPr>
                  <w:r>
                    <w:rPr>
                      <w:rFonts w:hint="eastAsia"/>
                    </w:rPr>
                    <w:t>32</w:t>
                  </w:r>
                </w:p>
              </w:tc>
              <w:tc>
                <w:tcPr>
                  <w:tcW w:w="2203" w:type="dxa"/>
                  <w:vAlign w:val="center"/>
                </w:tcPr>
                <w:p>
                  <w:pPr>
                    <w:pStyle w:val="13"/>
                  </w:pPr>
                  <w:r>
                    <w:rPr>
                      <w:rFonts w:hint="eastAsia"/>
                    </w:rPr>
                    <w:t>甲苯</w:t>
                  </w:r>
                </w:p>
              </w:tc>
              <w:tc>
                <w:tcPr>
                  <w:tcW w:w="1417" w:type="dxa"/>
                  <w:vAlign w:val="center"/>
                </w:tcPr>
                <w:p>
                  <w:pPr>
                    <w:pStyle w:val="13"/>
                  </w:pPr>
                  <w:r>
                    <w:rPr>
                      <w:rFonts w:hint="eastAsia"/>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10</w:t>
                  </w:r>
                </w:p>
              </w:tc>
              <w:tc>
                <w:tcPr>
                  <w:tcW w:w="1958" w:type="dxa"/>
                  <w:vAlign w:val="center"/>
                </w:tcPr>
                <w:p>
                  <w:pPr>
                    <w:pStyle w:val="13"/>
                  </w:pPr>
                  <w:r>
                    <w:rPr>
                      <w:rFonts w:hint="eastAsia"/>
                    </w:rPr>
                    <w:t>氯甲烷</w:t>
                  </w:r>
                </w:p>
              </w:tc>
              <w:tc>
                <w:tcPr>
                  <w:tcW w:w="1634" w:type="dxa"/>
                  <w:vAlign w:val="center"/>
                </w:tcPr>
                <w:p>
                  <w:pPr>
                    <w:pStyle w:val="13"/>
                  </w:pPr>
                  <w:r>
                    <w:rPr>
                      <w:rFonts w:hint="eastAsia"/>
                    </w:rPr>
                    <w:t>37</w:t>
                  </w:r>
                </w:p>
              </w:tc>
              <w:tc>
                <w:tcPr>
                  <w:tcW w:w="1002" w:type="dxa"/>
                  <w:vAlign w:val="center"/>
                </w:tcPr>
                <w:p>
                  <w:pPr>
                    <w:pStyle w:val="13"/>
                  </w:pPr>
                  <w:r>
                    <w:rPr>
                      <w:rFonts w:hint="eastAsia"/>
                    </w:rPr>
                    <w:t>33</w:t>
                  </w:r>
                </w:p>
              </w:tc>
              <w:tc>
                <w:tcPr>
                  <w:tcW w:w="2203" w:type="dxa"/>
                  <w:vAlign w:val="center"/>
                </w:tcPr>
                <w:p>
                  <w:pPr>
                    <w:pStyle w:val="13"/>
                  </w:pPr>
                  <w:r>
                    <w:rPr>
                      <w:rFonts w:hint="eastAsia"/>
                    </w:rPr>
                    <w:t>间二甲苯+对二甲苯</w:t>
                  </w:r>
                </w:p>
              </w:tc>
              <w:tc>
                <w:tcPr>
                  <w:tcW w:w="1417" w:type="dxa"/>
                  <w:vAlign w:val="center"/>
                </w:tcPr>
                <w:p>
                  <w:pPr>
                    <w:pStyle w:val="13"/>
                  </w:pPr>
                  <w:r>
                    <w:rPr>
                      <w:rFonts w:hint="eastAsia"/>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11</w:t>
                  </w:r>
                </w:p>
              </w:tc>
              <w:tc>
                <w:tcPr>
                  <w:tcW w:w="1958" w:type="dxa"/>
                  <w:vAlign w:val="center"/>
                </w:tcPr>
                <w:p>
                  <w:pPr>
                    <w:pStyle w:val="13"/>
                  </w:pPr>
                  <w:r>
                    <w:rPr>
                      <w:rFonts w:hint="eastAsia"/>
                    </w:rPr>
                    <w:t>1,1-二氯乙烷</w:t>
                  </w:r>
                </w:p>
              </w:tc>
              <w:tc>
                <w:tcPr>
                  <w:tcW w:w="1634" w:type="dxa"/>
                  <w:vAlign w:val="center"/>
                </w:tcPr>
                <w:p>
                  <w:pPr>
                    <w:pStyle w:val="13"/>
                  </w:pPr>
                  <w:r>
                    <w:rPr>
                      <w:rFonts w:hint="eastAsia"/>
                    </w:rPr>
                    <w:t>9</w:t>
                  </w:r>
                </w:p>
              </w:tc>
              <w:tc>
                <w:tcPr>
                  <w:tcW w:w="1002" w:type="dxa"/>
                  <w:vAlign w:val="center"/>
                </w:tcPr>
                <w:p>
                  <w:pPr>
                    <w:pStyle w:val="13"/>
                  </w:pPr>
                  <w:r>
                    <w:rPr>
                      <w:rFonts w:hint="eastAsia"/>
                    </w:rPr>
                    <w:t>34</w:t>
                  </w:r>
                </w:p>
              </w:tc>
              <w:tc>
                <w:tcPr>
                  <w:tcW w:w="2203" w:type="dxa"/>
                  <w:vAlign w:val="center"/>
                </w:tcPr>
                <w:p>
                  <w:pPr>
                    <w:pStyle w:val="13"/>
                  </w:pPr>
                  <w:r>
                    <w:rPr>
                      <w:rFonts w:hint="eastAsia"/>
                    </w:rPr>
                    <w:t>邻二甲苯</w:t>
                  </w:r>
                </w:p>
              </w:tc>
              <w:tc>
                <w:tcPr>
                  <w:tcW w:w="1417" w:type="dxa"/>
                  <w:vAlign w:val="center"/>
                </w:tcPr>
                <w:p>
                  <w:pPr>
                    <w:pStyle w:val="13"/>
                  </w:pPr>
                  <w:r>
                    <w:rPr>
                      <w:rFonts w:hint="eastAsia"/>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12</w:t>
                  </w:r>
                </w:p>
              </w:tc>
              <w:tc>
                <w:tcPr>
                  <w:tcW w:w="1958" w:type="dxa"/>
                  <w:vAlign w:val="center"/>
                </w:tcPr>
                <w:p>
                  <w:pPr>
                    <w:pStyle w:val="13"/>
                  </w:pPr>
                  <w:r>
                    <w:rPr>
                      <w:rFonts w:hint="eastAsia"/>
                    </w:rPr>
                    <w:t>1,2-二氯乙烷</w:t>
                  </w:r>
                </w:p>
              </w:tc>
              <w:tc>
                <w:tcPr>
                  <w:tcW w:w="1634" w:type="dxa"/>
                  <w:vAlign w:val="center"/>
                </w:tcPr>
                <w:p>
                  <w:pPr>
                    <w:pStyle w:val="13"/>
                  </w:pPr>
                  <w:r>
                    <w:rPr>
                      <w:rFonts w:hint="eastAsia"/>
                    </w:rPr>
                    <w:t>5</w:t>
                  </w:r>
                </w:p>
              </w:tc>
              <w:tc>
                <w:tcPr>
                  <w:tcW w:w="1002" w:type="dxa"/>
                  <w:vAlign w:val="center"/>
                </w:tcPr>
                <w:p>
                  <w:pPr>
                    <w:pStyle w:val="13"/>
                  </w:pPr>
                  <w:r>
                    <w:rPr>
                      <w:rFonts w:hint="eastAsia"/>
                    </w:rPr>
                    <w:t>35</w:t>
                  </w:r>
                </w:p>
              </w:tc>
              <w:tc>
                <w:tcPr>
                  <w:tcW w:w="2203" w:type="dxa"/>
                  <w:vAlign w:val="center"/>
                </w:tcPr>
                <w:p>
                  <w:pPr>
                    <w:pStyle w:val="13"/>
                  </w:pPr>
                  <w:r>
                    <w:rPr>
                      <w:rFonts w:hint="eastAsia"/>
                    </w:rPr>
                    <w:t>硝基苯</w:t>
                  </w:r>
                </w:p>
              </w:tc>
              <w:tc>
                <w:tcPr>
                  <w:tcW w:w="1417" w:type="dxa"/>
                  <w:vAlign w:val="center"/>
                </w:tcPr>
                <w:p>
                  <w:pPr>
                    <w:pStyle w:val="13"/>
                  </w:pPr>
                  <w:r>
                    <w:rPr>
                      <w:rFonts w:hint="eastAsia"/>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13</w:t>
                  </w:r>
                </w:p>
              </w:tc>
              <w:tc>
                <w:tcPr>
                  <w:tcW w:w="1958" w:type="dxa"/>
                  <w:vAlign w:val="center"/>
                </w:tcPr>
                <w:p>
                  <w:pPr>
                    <w:pStyle w:val="13"/>
                  </w:pPr>
                  <w:r>
                    <w:rPr>
                      <w:rFonts w:hint="eastAsia"/>
                    </w:rPr>
                    <w:t>1,1-二氯乙烯</w:t>
                  </w:r>
                </w:p>
              </w:tc>
              <w:tc>
                <w:tcPr>
                  <w:tcW w:w="1634" w:type="dxa"/>
                  <w:vAlign w:val="center"/>
                </w:tcPr>
                <w:p>
                  <w:pPr>
                    <w:pStyle w:val="13"/>
                  </w:pPr>
                  <w:r>
                    <w:rPr>
                      <w:rFonts w:hint="eastAsia"/>
                    </w:rPr>
                    <w:t>66</w:t>
                  </w:r>
                </w:p>
              </w:tc>
              <w:tc>
                <w:tcPr>
                  <w:tcW w:w="1002" w:type="dxa"/>
                  <w:vAlign w:val="center"/>
                </w:tcPr>
                <w:p>
                  <w:pPr>
                    <w:pStyle w:val="13"/>
                  </w:pPr>
                  <w:r>
                    <w:rPr>
                      <w:rFonts w:hint="eastAsia"/>
                    </w:rPr>
                    <w:t>36</w:t>
                  </w:r>
                </w:p>
              </w:tc>
              <w:tc>
                <w:tcPr>
                  <w:tcW w:w="2203" w:type="dxa"/>
                  <w:vAlign w:val="center"/>
                </w:tcPr>
                <w:p>
                  <w:pPr>
                    <w:pStyle w:val="13"/>
                  </w:pPr>
                  <w:r>
                    <w:rPr>
                      <w:rFonts w:hint="eastAsia"/>
                    </w:rPr>
                    <w:t>苯胺</w:t>
                  </w:r>
                </w:p>
              </w:tc>
              <w:tc>
                <w:tcPr>
                  <w:tcW w:w="1417" w:type="dxa"/>
                  <w:vAlign w:val="center"/>
                </w:tcPr>
                <w:p>
                  <w:pPr>
                    <w:pStyle w:val="13"/>
                  </w:pPr>
                  <w:r>
                    <w:rPr>
                      <w:rFonts w:hint="eastAsia"/>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14</w:t>
                  </w:r>
                </w:p>
              </w:tc>
              <w:tc>
                <w:tcPr>
                  <w:tcW w:w="1958" w:type="dxa"/>
                  <w:vAlign w:val="center"/>
                </w:tcPr>
                <w:p>
                  <w:pPr>
                    <w:pStyle w:val="13"/>
                  </w:pPr>
                  <w:r>
                    <w:rPr>
                      <w:rFonts w:hint="eastAsia"/>
                    </w:rPr>
                    <w:t>顺-1,2-二氯乙烯</w:t>
                  </w:r>
                </w:p>
              </w:tc>
              <w:tc>
                <w:tcPr>
                  <w:tcW w:w="1634" w:type="dxa"/>
                  <w:vAlign w:val="center"/>
                </w:tcPr>
                <w:p>
                  <w:pPr>
                    <w:pStyle w:val="13"/>
                  </w:pPr>
                  <w:r>
                    <w:rPr>
                      <w:rFonts w:hint="eastAsia"/>
                    </w:rPr>
                    <w:t>596</w:t>
                  </w:r>
                </w:p>
              </w:tc>
              <w:tc>
                <w:tcPr>
                  <w:tcW w:w="1002" w:type="dxa"/>
                  <w:vAlign w:val="center"/>
                </w:tcPr>
                <w:p>
                  <w:pPr>
                    <w:pStyle w:val="13"/>
                  </w:pPr>
                  <w:r>
                    <w:rPr>
                      <w:rFonts w:hint="eastAsia"/>
                    </w:rPr>
                    <w:t>37</w:t>
                  </w:r>
                </w:p>
              </w:tc>
              <w:tc>
                <w:tcPr>
                  <w:tcW w:w="2203" w:type="dxa"/>
                  <w:vAlign w:val="center"/>
                </w:tcPr>
                <w:p>
                  <w:pPr>
                    <w:pStyle w:val="13"/>
                  </w:pPr>
                  <w:r>
                    <w:rPr>
                      <w:rFonts w:hint="eastAsia"/>
                    </w:rPr>
                    <w:t>1-氯酚</w:t>
                  </w:r>
                </w:p>
              </w:tc>
              <w:tc>
                <w:tcPr>
                  <w:tcW w:w="1417" w:type="dxa"/>
                  <w:vAlign w:val="center"/>
                </w:tcPr>
                <w:p>
                  <w:pPr>
                    <w:pStyle w:val="13"/>
                  </w:pPr>
                  <w:r>
                    <w:rPr>
                      <w:rFonts w:hint="eastAsia"/>
                    </w:rPr>
                    <w:t>2256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15</w:t>
                  </w:r>
                </w:p>
              </w:tc>
              <w:tc>
                <w:tcPr>
                  <w:tcW w:w="1958" w:type="dxa"/>
                  <w:vAlign w:val="center"/>
                </w:tcPr>
                <w:p>
                  <w:pPr>
                    <w:pStyle w:val="13"/>
                  </w:pPr>
                  <w:r>
                    <w:rPr>
                      <w:rFonts w:hint="eastAsia"/>
                    </w:rPr>
                    <w:t>反-1,2-二氯乙烯</w:t>
                  </w:r>
                </w:p>
              </w:tc>
              <w:tc>
                <w:tcPr>
                  <w:tcW w:w="1634" w:type="dxa"/>
                  <w:vAlign w:val="center"/>
                </w:tcPr>
                <w:p>
                  <w:pPr>
                    <w:pStyle w:val="13"/>
                  </w:pPr>
                  <w:r>
                    <w:rPr>
                      <w:rFonts w:hint="eastAsia"/>
                    </w:rPr>
                    <w:t>54</w:t>
                  </w:r>
                </w:p>
              </w:tc>
              <w:tc>
                <w:tcPr>
                  <w:tcW w:w="1002" w:type="dxa"/>
                  <w:vAlign w:val="center"/>
                </w:tcPr>
                <w:p>
                  <w:pPr>
                    <w:pStyle w:val="13"/>
                  </w:pPr>
                  <w:r>
                    <w:rPr>
                      <w:rFonts w:hint="eastAsia"/>
                    </w:rPr>
                    <w:t>38</w:t>
                  </w:r>
                </w:p>
              </w:tc>
              <w:tc>
                <w:tcPr>
                  <w:tcW w:w="2203" w:type="dxa"/>
                  <w:vAlign w:val="center"/>
                </w:tcPr>
                <w:p>
                  <w:pPr>
                    <w:pStyle w:val="13"/>
                  </w:pPr>
                  <w:r>
                    <w:rPr>
                      <w:rFonts w:hint="eastAsia"/>
                    </w:rPr>
                    <w:t>苯并[a]蒽</w:t>
                  </w:r>
                </w:p>
              </w:tc>
              <w:tc>
                <w:tcPr>
                  <w:tcW w:w="1417" w:type="dxa"/>
                  <w:vAlign w:val="center"/>
                </w:tcPr>
                <w:p>
                  <w:pPr>
                    <w:pStyle w:val="13"/>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16</w:t>
                  </w:r>
                </w:p>
              </w:tc>
              <w:tc>
                <w:tcPr>
                  <w:tcW w:w="1958" w:type="dxa"/>
                  <w:vAlign w:val="center"/>
                </w:tcPr>
                <w:p>
                  <w:pPr>
                    <w:pStyle w:val="13"/>
                  </w:pPr>
                  <w:r>
                    <w:rPr>
                      <w:rFonts w:hint="eastAsia"/>
                    </w:rPr>
                    <w:t>二氯甲烷</w:t>
                  </w:r>
                </w:p>
              </w:tc>
              <w:tc>
                <w:tcPr>
                  <w:tcW w:w="1634" w:type="dxa"/>
                  <w:vAlign w:val="center"/>
                </w:tcPr>
                <w:p>
                  <w:pPr>
                    <w:pStyle w:val="13"/>
                  </w:pPr>
                  <w:r>
                    <w:rPr>
                      <w:rFonts w:hint="eastAsia"/>
                    </w:rPr>
                    <w:t>616</w:t>
                  </w:r>
                </w:p>
              </w:tc>
              <w:tc>
                <w:tcPr>
                  <w:tcW w:w="1002" w:type="dxa"/>
                  <w:vAlign w:val="center"/>
                </w:tcPr>
                <w:p>
                  <w:pPr>
                    <w:pStyle w:val="13"/>
                  </w:pPr>
                  <w:r>
                    <w:rPr>
                      <w:rFonts w:hint="eastAsia"/>
                    </w:rPr>
                    <w:t>39</w:t>
                  </w:r>
                </w:p>
              </w:tc>
              <w:tc>
                <w:tcPr>
                  <w:tcW w:w="2203" w:type="dxa"/>
                  <w:vAlign w:val="center"/>
                </w:tcPr>
                <w:p>
                  <w:pPr>
                    <w:pStyle w:val="13"/>
                  </w:pPr>
                  <w:r>
                    <w:rPr>
                      <w:rFonts w:hint="eastAsia"/>
                    </w:rPr>
                    <w:t>苯并[a]芘</w:t>
                  </w:r>
                </w:p>
              </w:tc>
              <w:tc>
                <w:tcPr>
                  <w:tcW w:w="1417" w:type="dxa"/>
                  <w:vAlign w:val="center"/>
                </w:tcPr>
                <w:p>
                  <w:pPr>
                    <w:pStyle w:val="13"/>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17</w:t>
                  </w:r>
                </w:p>
              </w:tc>
              <w:tc>
                <w:tcPr>
                  <w:tcW w:w="1958" w:type="dxa"/>
                  <w:vAlign w:val="center"/>
                </w:tcPr>
                <w:p>
                  <w:pPr>
                    <w:pStyle w:val="13"/>
                  </w:pPr>
                  <w:r>
                    <w:rPr>
                      <w:rFonts w:hint="eastAsia"/>
                    </w:rPr>
                    <w:t>1,2-二氯丙烷</w:t>
                  </w:r>
                </w:p>
              </w:tc>
              <w:tc>
                <w:tcPr>
                  <w:tcW w:w="1634" w:type="dxa"/>
                  <w:vAlign w:val="center"/>
                </w:tcPr>
                <w:p>
                  <w:pPr>
                    <w:pStyle w:val="13"/>
                  </w:pPr>
                  <w:r>
                    <w:rPr>
                      <w:rFonts w:hint="eastAsia"/>
                    </w:rPr>
                    <w:t>5</w:t>
                  </w:r>
                </w:p>
              </w:tc>
              <w:tc>
                <w:tcPr>
                  <w:tcW w:w="1002" w:type="dxa"/>
                  <w:vAlign w:val="center"/>
                </w:tcPr>
                <w:p>
                  <w:pPr>
                    <w:pStyle w:val="13"/>
                  </w:pPr>
                  <w:r>
                    <w:rPr>
                      <w:rFonts w:hint="eastAsia"/>
                    </w:rPr>
                    <w:t>40</w:t>
                  </w:r>
                </w:p>
              </w:tc>
              <w:tc>
                <w:tcPr>
                  <w:tcW w:w="2203" w:type="dxa"/>
                  <w:vAlign w:val="center"/>
                </w:tcPr>
                <w:p>
                  <w:pPr>
                    <w:pStyle w:val="13"/>
                  </w:pPr>
                  <w:r>
                    <w:rPr>
                      <w:rFonts w:hint="eastAsia"/>
                    </w:rPr>
                    <w:t>苯并[b]荧蒽</w:t>
                  </w:r>
                </w:p>
              </w:tc>
              <w:tc>
                <w:tcPr>
                  <w:tcW w:w="1417" w:type="dxa"/>
                  <w:vAlign w:val="center"/>
                </w:tcPr>
                <w:p>
                  <w:pPr>
                    <w:pStyle w:val="13"/>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18</w:t>
                  </w:r>
                </w:p>
              </w:tc>
              <w:tc>
                <w:tcPr>
                  <w:tcW w:w="1958" w:type="dxa"/>
                  <w:vAlign w:val="center"/>
                </w:tcPr>
                <w:p>
                  <w:pPr>
                    <w:pStyle w:val="13"/>
                  </w:pPr>
                  <w:r>
                    <w:rPr>
                      <w:rFonts w:hint="eastAsia"/>
                    </w:rPr>
                    <w:t>1,1,1,2-四氯乙烷</w:t>
                  </w:r>
                </w:p>
              </w:tc>
              <w:tc>
                <w:tcPr>
                  <w:tcW w:w="1634" w:type="dxa"/>
                  <w:vAlign w:val="center"/>
                </w:tcPr>
                <w:p>
                  <w:pPr>
                    <w:pStyle w:val="13"/>
                  </w:pPr>
                  <w:r>
                    <w:rPr>
                      <w:rFonts w:hint="eastAsia"/>
                    </w:rPr>
                    <w:t>10</w:t>
                  </w:r>
                </w:p>
              </w:tc>
              <w:tc>
                <w:tcPr>
                  <w:tcW w:w="1002" w:type="dxa"/>
                  <w:vAlign w:val="center"/>
                </w:tcPr>
                <w:p>
                  <w:pPr>
                    <w:pStyle w:val="13"/>
                  </w:pPr>
                  <w:r>
                    <w:rPr>
                      <w:rFonts w:hint="eastAsia"/>
                    </w:rPr>
                    <w:t>41</w:t>
                  </w:r>
                </w:p>
              </w:tc>
              <w:tc>
                <w:tcPr>
                  <w:tcW w:w="2203" w:type="dxa"/>
                  <w:vAlign w:val="center"/>
                </w:tcPr>
                <w:p>
                  <w:pPr>
                    <w:pStyle w:val="13"/>
                  </w:pPr>
                  <w:r>
                    <w:rPr>
                      <w:rFonts w:hint="eastAsia"/>
                    </w:rPr>
                    <w:t>苯并[k]荧蒽</w:t>
                  </w:r>
                </w:p>
              </w:tc>
              <w:tc>
                <w:tcPr>
                  <w:tcW w:w="1417" w:type="dxa"/>
                  <w:vAlign w:val="center"/>
                </w:tcPr>
                <w:p>
                  <w:pPr>
                    <w:pStyle w:val="13"/>
                  </w:pPr>
                  <w:r>
                    <w:rPr>
                      <w:rFonts w:hint="eastAsia"/>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19</w:t>
                  </w:r>
                </w:p>
              </w:tc>
              <w:tc>
                <w:tcPr>
                  <w:tcW w:w="1958" w:type="dxa"/>
                  <w:vAlign w:val="center"/>
                </w:tcPr>
                <w:p>
                  <w:pPr>
                    <w:pStyle w:val="13"/>
                  </w:pPr>
                  <w:r>
                    <w:rPr>
                      <w:rFonts w:hint="eastAsia"/>
                    </w:rPr>
                    <w:t>1,1,2,2-四氯乙烷</w:t>
                  </w:r>
                </w:p>
              </w:tc>
              <w:tc>
                <w:tcPr>
                  <w:tcW w:w="1634" w:type="dxa"/>
                  <w:vAlign w:val="center"/>
                </w:tcPr>
                <w:p>
                  <w:pPr>
                    <w:pStyle w:val="13"/>
                  </w:pPr>
                  <w:r>
                    <w:rPr>
                      <w:rFonts w:hint="eastAsia"/>
                    </w:rPr>
                    <w:t>6.8</w:t>
                  </w:r>
                </w:p>
              </w:tc>
              <w:tc>
                <w:tcPr>
                  <w:tcW w:w="1002" w:type="dxa"/>
                  <w:vAlign w:val="center"/>
                </w:tcPr>
                <w:p>
                  <w:pPr>
                    <w:pStyle w:val="13"/>
                  </w:pPr>
                  <w:r>
                    <w:rPr>
                      <w:rFonts w:hint="eastAsia"/>
                    </w:rPr>
                    <w:t>42</w:t>
                  </w:r>
                </w:p>
              </w:tc>
              <w:tc>
                <w:tcPr>
                  <w:tcW w:w="2203" w:type="dxa"/>
                  <w:vAlign w:val="center"/>
                </w:tcPr>
                <w:p>
                  <w:pPr>
                    <w:pStyle w:val="13"/>
                  </w:pPr>
                  <w:r>
                    <w:t>䓛</w:t>
                  </w:r>
                </w:p>
              </w:tc>
              <w:tc>
                <w:tcPr>
                  <w:tcW w:w="1417" w:type="dxa"/>
                  <w:vAlign w:val="center"/>
                </w:tcPr>
                <w:p>
                  <w:pPr>
                    <w:pStyle w:val="13"/>
                  </w:pPr>
                  <w:r>
                    <w:rPr>
                      <w:rFonts w:hint="eastAsia"/>
                    </w:rPr>
                    <w:t>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20</w:t>
                  </w:r>
                </w:p>
              </w:tc>
              <w:tc>
                <w:tcPr>
                  <w:tcW w:w="1958" w:type="dxa"/>
                  <w:vAlign w:val="center"/>
                </w:tcPr>
                <w:p>
                  <w:pPr>
                    <w:pStyle w:val="13"/>
                  </w:pPr>
                  <w:r>
                    <w:rPr>
                      <w:rFonts w:hint="eastAsia"/>
                    </w:rPr>
                    <w:t>四氯乙烯</w:t>
                  </w:r>
                </w:p>
              </w:tc>
              <w:tc>
                <w:tcPr>
                  <w:tcW w:w="1634" w:type="dxa"/>
                  <w:vAlign w:val="center"/>
                </w:tcPr>
                <w:p>
                  <w:pPr>
                    <w:pStyle w:val="13"/>
                  </w:pPr>
                  <w:r>
                    <w:rPr>
                      <w:rFonts w:hint="eastAsia"/>
                    </w:rPr>
                    <w:t>53</w:t>
                  </w:r>
                </w:p>
              </w:tc>
              <w:tc>
                <w:tcPr>
                  <w:tcW w:w="1002" w:type="dxa"/>
                  <w:vAlign w:val="center"/>
                </w:tcPr>
                <w:p>
                  <w:pPr>
                    <w:pStyle w:val="13"/>
                  </w:pPr>
                  <w:r>
                    <w:rPr>
                      <w:rFonts w:hint="eastAsia"/>
                    </w:rPr>
                    <w:t>43</w:t>
                  </w:r>
                </w:p>
              </w:tc>
              <w:tc>
                <w:tcPr>
                  <w:tcW w:w="2203" w:type="dxa"/>
                  <w:vAlign w:val="center"/>
                </w:tcPr>
                <w:p>
                  <w:pPr>
                    <w:pStyle w:val="13"/>
                  </w:pPr>
                  <w:r>
                    <w:rPr>
                      <w:rFonts w:hint="eastAsia"/>
                    </w:rPr>
                    <w:t>二苯并[a,h]蒽</w:t>
                  </w:r>
                </w:p>
              </w:tc>
              <w:tc>
                <w:tcPr>
                  <w:tcW w:w="1417" w:type="dxa"/>
                  <w:vAlign w:val="center"/>
                </w:tcPr>
                <w:p>
                  <w:pPr>
                    <w:pStyle w:val="13"/>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21</w:t>
                  </w:r>
                </w:p>
              </w:tc>
              <w:tc>
                <w:tcPr>
                  <w:tcW w:w="1958" w:type="dxa"/>
                  <w:vAlign w:val="center"/>
                </w:tcPr>
                <w:p>
                  <w:pPr>
                    <w:pStyle w:val="13"/>
                  </w:pPr>
                  <w:r>
                    <w:rPr>
                      <w:rFonts w:hint="eastAsia"/>
                    </w:rPr>
                    <w:t>1,1,1-三氯乙烷</w:t>
                  </w:r>
                </w:p>
              </w:tc>
              <w:tc>
                <w:tcPr>
                  <w:tcW w:w="1634" w:type="dxa"/>
                  <w:vAlign w:val="center"/>
                </w:tcPr>
                <w:p>
                  <w:pPr>
                    <w:pStyle w:val="13"/>
                  </w:pPr>
                  <w:r>
                    <w:rPr>
                      <w:rFonts w:hint="eastAsia"/>
                    </w:rPr>
                    <w:t>840</w:t>
                  </w:r>
                </w:p>
              </w:tc>
              <w:tc>
                <w:tcPr>
                  <w:tcW w:w="1002" w:type="dxa"/>
                  <w:vAlign w:val="center"/>
                </w:tcPr>
                <w:p>
                  <w:pPr>
                    <w:pStyle w:val="13"/>
                  </w:pPr>
                  <w:r>
                    <w:rPr>
                      <w:rFonts w:hint="eastAsia"/>
                    </w:rPr>
                    <w:t>44</w:t>
                  </w:r>
                </w:p>
              </w:tc>
              <w:tc>
                <w:tcPr>
                  <w:tcW w:w="2203" w:type="dxa"/>
                  <w:vAlign w:val="center"/>
                </w:tcPr>
                <w:p>
                  <w:pPr>
                    <w:pStyle w:val="13"/>
                  </w:pPr>
                  <w:r>
                    <w:rPr>
                      <w:rFonts w:hint="eastAsia"/>
                    </w:rPr>
                    <w:t>并[1,2,3-cd]芘</w:t>
                  </w:r>
                </w:p>
              </w:tc>
              <w:tc>
                <w:tcPr>
                  <w:tcW w:w="1417" w:type="dxa"/>
                  <w:vAlign w:val="center"/>
                </w:tcPr>
                <w:p>
                  <w:pPr>
                    <w:pStyle w:val="13"/>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22</w:t>
                  </w:r>
                </w:p>
              </w:tc>
              <w:tc>
                <w:tcPr>
                  <w:tcW w:w="1958" w:type="dxa"/>
                  <w:vAlign w:val="center"/>
                </w:tcPr>
                <w:p>
                  <w:pPr>
                    <w:pStyle w:val="13"/>
                  </w:pPr>
                  <w:r>
                    <w:rPr>
                      <w:rFonts w:hint="eastAsia"/>
                    </w:rPr>
                    <w:t>1,1,2-三氯乙烷</w:t>
                  </w:r>
                </w:p>
              </w:tc>
              <w:tc>
                <w:tcPr>
                  <w:tcW w:w="1634" w:type="dxa"/>
                  <w:vAlign w:val="center"/>
                </w:tcPr>
                <w:p>
                  <w:pPr>
                    <w:pStyle w:val="13"/>
                  </w:pPr>
                  <w:r>
                    <w:rPr>
                      <w:rFonts w:hint="eastAsia"/>
                    </w:rPr>
                    <w:t>2.8</w:t>
                  </w:r>
                </w:p>
              </w:tc>
              <w:tc>
                <w:tcPr>
                  <w:tcW w:w="1002" w:type="dxa"/>
                  <w:vAlign w:val="center"/>
                </w:tcPr>
                <w:p>
                  <w:pPr>
                    <w:pStyle w:val="13"/>
                  </w:pPr>
                  <w:r>
                    <w:rPr>
                      <w:rFonts w:hint="eastAsia"/>
                    </w:rPr>
                    <w:t>45</w:t>
                  </w:r>
                </w:p>
              </w:tc>
              <w:tc>
                <w:tcPr>
                  <w:tcW w:w="2203" w:type="dxa"/>
                  <w:vAlign w:val="center"/>
                </w:tcPr>
                <w:p>
                  <w:pPr>
                    <w:pStyle w:val="13"/>
                  </w:pPr>
                  <w:r>
                    <w:rPr>
                      <w:rFonts w:hint="eastAsia"/>
                    </w:rPr>
                    <w:t>萘</w:t>
                  </w:r>
                </w:p>
              </w:tc>
              <w:tc>
                <w:tcPr>
                  <w:tcW w:w="1417" w:type="dxa"/>
                  <w:vAlign w:val="center"/>
                </w:tcPr>
                <w:p>
                  <w:pPr>
                    <w:pStyle w:val="13"/>
                  </w:pPr>
                  <w:r>
                    <w:rPr>
                      <w:rFonts w:hint="eastAsia"/>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76" w:type="dxa"/>
                  <w:vAlign w:val="center"/>
                </w:tcPr>
                <w:p>
                  <w:pPr>
                    <w:pStyle w:val="13"/>
                  </w:pPr>
                  <w:r>
                    <w:rPr>
                      <w:rFonts w:hint="eastAsia"/>
                    </w:rPr>
                    <w:t>23</w:t>
                  </w:r>
                </w:p>
              </w:tc>
              <w:tc>
                <w:tcPr>
                  <w:tcW w:w="1958" w:type="dxa"/>
                  <w:vAlign w:val="center"/>
                </w:tcPr>
                <w:p>
                  <w:pPr>
                    <w:pStyle w:val="13"/>
                  </w:pPr>
                  <w:r>
                    <w:rPr>
                      <w:rFonts w:hint="eastAsia"/>
                    </w:rPr>
                    <w:t>三氯乙烯</w:t>
                  </w:r>
                </w:p>
              </w:tc>
              <w:tc>
                <w:tcPr>
                  <w:tcW w:w="1634" w:type="dxa"/>
                  <w:vAlign w:val="center"/>
                </w:tcPr>
                <w:p>
                  <w:pPr>
                    <w:pStyle w:val="13"/>
                  </w:pPr>
                  <w:r>
                    <w:rPr>
                      <w:rFonts w:hint="eastAsia"/>
                    </w:rPr>
                    <w:t>2.8</w:t>
                  </w:r>
                </w:p>
              </w:tc>
              <w:tc>
                <w:tcPr>
                  <w:tcW w:w="1002" w:type="dxa"/>
                  <w:vAlign w:val="center"/>
                </w:tcPr>
                <w:p>
                  <w:pPr>
                    <w:pStyle w:val="13"/>
                  </w:pPr>
                  <w:r>
                    <w:rPr>
                      <w:rFonts w:hint="eastAsia"/>
                    </w:rPr>
                    <w:t>——</w:t>
                  </w:r>
                </w:p>
              </w:tc>
              <w:tc>
                <w:tcPr>
                  <w:tcW w:w="2203" w:type="dxa"/>
                  <w:vAlign w:val="center"/>
                </w:tcPr>
                <w:p>
                  <w:pPr>
                    <w:pStyle w:val="13"/>
                  </w:pPr>
                  <w:r>
                    <w:rPr>
                      <w:rFonts w:hint="eastAsia"/>
                    </w:rPr>
                    <w:t>——</w:t>
                  </w:r>
                </w:p>
              </w:tc>
              <w:tc>
                <w:tcPr>
                  <w:tcW w:w="1417" w:type="dxa"/>
                  <w:vAlign w:val="center"/>
                </w:tcPr>
                <w:p>
                  <w:pPr>
                    <w:pStyle w:val="13"/>
                  </w:pPr>
                  <w:r>
                    <w:rPr>
                      <w:rFonts w:hint="eastAsia"/>
                    </w:rPr>
                    <w:t>——</w:t>
                  </w:r>
                </w:p>
              </w:tc>
            </w:tr>
          </w:tbl>
          <w:p>
            <w:pPr>
              <w:pStyle w:val="42"/>
            </w:pPr>
          </w:p>
          <w:p>
            <w:pPr>
              <w:pStyle w:val="2"/>
              <w:spacing w:line="360" w:lineRule="auto"/>
              <w:rPr>
                <w:b w:val="0"/>
              </w:rPr>
            </w:pPr>
            <w:r>
              <w:rPr>
                <w:rFonts w:hint="eastAsia"/>
                <w:b w:val="0"/>
              </w:rPr>
              <w:t>表3</w:t>
            </w:r>
            <w:r>
              <w:rPr>
                <w:b w:val="0"/>
              </w:rPr>
              <w:t xml:space="preserve">-23 </w:t>
            </w:r>
            <w:r>
              <w:rPr>
                <w:rFonts w:hint="eastAsia"/>
                <w:b w:val="0"/>
              </w:rPr>
              <w:t xml:space="preserve"> GB36600-2018表1第一类用地筛选值</w:t>
            </w:r>
          </w:p>
          <w:tbl>
            <w:tblPr>
              <w:tblStyle w:val="16"/>
              <w:tblW w:w="7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0"/>
              <w:gridCol w:w="1693"/>
              <w:gridCol w:w="1413"/>
              <w:gridCol w:w="868"/>
              <w:gridCol w:w="1904"/>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序号</w:t>
                  </w:r>
                </w:p>
              </w:tc>
              <w:tc>
                <w:tcPr>
                  <w:tcW w:w="1693" w:type="dxa"/>
                  <w:vAlign w:val="center"/>
                </w:tcPr>
                <w:p>
                  <w:pPr>
                    <w:pStyle w:val="13"/>
                  </w:pPr>
                  <w:r>
                    <w:t>项目</w:t>
                  </w:r>
                </w:p>
              </w:tc>
              <w:tc>
                <w:tcPr>
                  <w:tcW w:w="1413" w:type="dxa"/>
                  <w:vAlign w:val="center"/>
                </w:tcPr>
                <w:p>
                  <w:pPr>
                    <w:pStyle w:val="13"/>
                  </w:pPr>
                  <w:r>
                    <w:t>标准值</w:t>
                  </w:r>
                </w:p>
              </w:tc>
              <w:tc>
                <w:tcPr>
                  <w:tcW w:w="868" w:type="dxa"/>
                  <w:vAlign w:val="center"/>
                </w:tcPr>
                <w:p>
                  <w:pPr>
                    <w:pStyle w:val="13"/>
                  </w:pPr>
                  <w:r>
                    <w:rPr>
                      <w:rFonts w:hint="eastAsia"/>
                    </w:rPr>
                    <w:t>序号</w:t>
                  </w:r>
                </w:p>
              </w:tc>
              <w:tc>
                <w:tcPr>
                  <w:tcW w:w="1904" w:type="dxa"/>
                  <w:vAlign w:val="center"/>
                </w:tcPr>
                <w:p>
                  <w:pPr>
                    <w:pStyle w:val="13"/>
                  </w:pPr>
                  <w:r>
                    <w:t>项目</w:t>
                  </w:r>
                </w:p>
              </w:tc>
              <w:tc>
                <w:tcPr>
                  <w:tcW w:w="1226" w:type="dxa"/>
                  <w:vAlign w:val="center"/>
                </w:tcPr>
                <w:p>
                  <w:pPr>
                    <w:pStyle w:val="13"/>
                  </w:pPr>
                  <w: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w:t>
                  </w:r>
                </w:p>
              </w:tc>
              <w:tc>
                <w:tcPr>
                  <w:tcW w:w="1693" w:type="dxa"/>
                  <w:vAlign w:val="center"/>
                </w:tcPr>
                <w:p>
                  <w:pPr>
                    <w:pStyle w:val="13"/>
                  </w:pPr>
                  <w:r>
                    <w:rPr>
                      <w:rFonts w:hint="eastAsia"/>
                    </w:rPr>
                    <w:t>砷</w:t>
                  </w:r>
                </w:p>
              </w:tc>
              <w:tc>
                <w:tcPr>
                  <w:tcW w:w="1413" w:type="dxa"/>
                  <w:vAlign w:val="center"/>
                </w:tcPr>
                <w:p>
                  <w:pPr>
                    <w:pStyle w:val="13"/>
                  </w:pPr>
                  <w:r>
                    <w:rPr>
                      <w:rFonts w:hint="eastAsia"/>
                      <w:bCs w:val="0"/>
                      <w:szCs w:val="21"/>
                    </w:rPr>
                    <w:t>2</w:t>
                  </w:r>
                  <w:r>
                    <w:rPr>
                      <w:bCs w:val="0"/>
                      <w:szCs w:val="21"/>
                    </w:rPr>
                    <w:t>0</w:t>
                  </w:r>
                </w:p>
              </w:tc>
              <w:tc>
                <w:tcPr>
                  <w:tcW w:w="868" w:type="dxa"/>
                  <w:vAlign w:val="center"/>
                </w:tcPr>
                <w:p>
                  <w:pPr>
                    <w:pStyle w:val="13"/>
                  </w:pPr>
                  <w:r>
                    <w:rPr>
                      <w:rFonts w:hint="eastAsia"/>
                    </w:rPr>
                    <w:t>24</w:t>
                  </w:r>
                </w:p>
              </w:tc>
              <w:tc>
                <w:tcPr>
                  <w:tcW w:w="1904" w:type="dxa"/>
                  <w:vAlign w:val="center"/>
                </w:tcPr>
                <w:p>
                  <w:pPr>
                    <w:pStyle w:val="13"/>
                  </w:pPr>
                  <w:r>
                    <w:rPr>
                      <w:rFonts w:hint="eastAsia"/>
                    </w:rPr>
                    <w:t>1,2,3-三氯丙烷</w:t>
                  </w:r>
                </w:p>
              </w:tc>
              <w:tc>
                <w:tcPr>
                  <w:tcW w:w="1226" w:type="dxa"/>
                  <w:vAlign w:val="center"/>
                </w:tcPr>
                <w:p>
                  <w:pPr>
                    <w:pStyle w:val="13"/>
                  </w:pPr>
                  <w:r>
                    <w:rPr>
                      <w:rFonts w:hint="eastAsia"/>
                      <w:bCs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760" w:type="dxa"/>
                  <w:vAlign w:val="center"/>
                </w:tcPr>
                <w:p>
                  <w:pPr>
                    <w:pStyle w:val="13"/>
                  </w:pPr>
                  <w:r>
                    <w:rPr>
                      <w:rFonts w:hint="eastAsia"/>
                    </w:rPr>
                    <w:t>2</w:t>
                  </w:r>
                </w:p>
              </w:tc>
              <w:tc>
                <w:tcPr>
                  <w:tcW w:w="1693" w:type="dxa"/>
                  <w:vAlign w:val="center"/>
                </w:tcPr>
                <w:p>
                  <w:pPr>
                    <w:pStyle w:val="13"/>
                  </w:pPr>
                  <w:r>
                    <w:rPr>
                      <w:rFonts w:hint="eastAsia"/>
                    </w:rPr>
                    <w:t>镉</w:t>
                  </w:r>
                </w:p>
              </w:tc>
              <w:tc>
                <w:tcPr>
                  <w:tcW w:w="1413" w:type="dxa"/>
                  <w:vAlign w:val="center"/>
                </w:tcPr>
                <w:p>
                  <w:pPr>
                    <w:pStyle w:val="13"/>
                  </w:pPr>
                  <w:r>
                    <w:rPr>
                      <w:rFonts w:hint="eastAsia"/>
                      <w:bCs w:val="0"/>
                      <w:szCs w:val="21"/>
                    </w:rPr>
                    <w:t>2</w:t>
                  </w:r>
                  <w:r>
                    <w:rPr>
                      <w:bCs w:val="0"/>
                      <w:szCs w:val="21"/>
                    </w:rPr>
                    <w:t>0</w:t>
                  </w:r>
                </w:p>
              </w:tc>
              <w:tc>
                <w:tcPr>
                  <w:tcW w:w="868" w:type="dxa"/>
                  <w:vAlign w:val="center"/>
                </w:tcPr>
                <w:p>
                  <w:pPr>
                    <w:pStyle w:val="13"/>
                  </w:pPr>
                  <w:r>
                    <w:rPr>
                      <w:rFonts w:hint="eastAsia"/>
                    </w:rPr>
                    <w:t>25</w:t>
                  </w:r>
                </w:p>
              </w:tc>
              <w:tc>
                <w:tcPr>
                  <w:tcW w:w="1904" w:type="dxa"/>
                  <w:vAlign w:val="center"/>
                </w:tcPr>
                <w:p>
                  <w:pPr>
                    <w:pStyle w:val="13"/>
                  </w:pPr>
                  <w:r>
                    <w:rPr>
                      <w:rFonts w:hint="eastAsia"/>
                    </w:rPr>
                    <w:t>氯乙烯</w:t>
                  </w:r>
                </w:p>
              </w:tc>
              <w:tc>
                <w:tcPr>
                  <w:tcW w:w="1226" w:type="dxa"/>
                  <w:vAlign w:val="center"/>
                </w:tcPr>
                <w:p>
                  <w:pPr>
                    <w:pStyle w:val="13"/>
                  </w:pPr>
                  <w:r>
                    <w:rPr>
                      <w:rFonts w:hint="eastAsia"/>
                      <w:bCs w:val="0"/>
                      <w:szCs w:val="21"/>
                    </w:rPr>
                    <w:t>6</w:t>
                  </w:r>
                  <w:r>
                    <w:rPr>
                      <w:bCs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3</w:t>
                  </w:r>
                </w:p>
              </w:tc>
              <w:tc>
                <w:tcPr>
                  <w:tcW w:w="1693" w:type="dxa"/>
                  <w:vAlign w:val="center"/>
                </w:tcPr>
                <w:p>
                  <w:pPr>
                    <w:pStyle w:val="13"/>
                  </w:pPr>
                  <w:r>
                    <w:rPr>
                      <w:rFonts w:hint="eastAsia"/>
                    </w:rPr>
                    <w:t>铬（六价铬）</w:t>
                  </w:r>
                </w:p>
              </w:tc>
              <w:tc>
                <w:tcPr>
                  <w:tcW w:w="1413" w:type="dxa"/>
                  <w:vAlign w:val="center"/>
                </w:tcPr>
                <w:p>
                  <w:pPr>
                    <w:pStyle w:val="13"/>
                  </w:pPr>
                  <w:r>
                    <w:rPr>
                      <w:rFonts w:hint="eastAsia"/>
                      <w:bCs w:val="0"/>
                      <w:szCs w:val="21"/>
                    </w:rPr>
                    <w:t>3</w:t>
                  </w:r>
                  <w:r>
                    <w:rPr>
                      <w:bCs w:val="0"/>
                      <w:szCs w:val="21"/>
                    </w:rPr>
                    <w:t>.0</w:t>
                  </w:r>
                </w:p>
              </w:tc>
              <w:tc>
                <w:tcPr>
                  <w:tcW w:w="868" w:type="dxa"/>
                  <w:vAlign w:val="center"/>
                </w:tcPr>
                <w:p>
                  <w:pPr>
                    <w:pStyle w:val="13"/>
                  </w:pPr>
                  <w:r>
                    <w:rPr>
                      <w:rFonts w:hint="eastAsia"/>
                    </w:rPr>
                    <w:t>26</w:t>
                  </w:r>
                </w:p>
              </w:tc>
              <w:tc>
                <w:tcPr>
                  <w:tcW w:w="1904" w:type="dxa"/>
                  <w:vAlign w:val="center"/>
                </w:tcPr>
                <w:p>
                  <w:pPr>
                    <w:pStyle w:val="13"/>
                  </w:pPr>
                  <w:r>
                    <w:rPr>
                      <w:rFonts w:hint="eastAsia"/>
                    </w:rPr>
                    <w:t>苯</w:t>
                  </w:r>
                </w:p>
              </w:tc>
              <w:tc>
                <w:tcPr>
                  <w:tcW w:w="1226" w:type="dxa"/>
                  <w:vAlign w:val="center"/>
                </w:tcPr>
                <w:p>
                  <w:pPr>
                    <w:pStyle w:val="13"/>
                  </w:pPr>
                  <w:r>
                    <w:rPr>
                      <w:rFonts w:hint="eastAsia"/>
                      <w:bCs w:val="0"/>
                      <w:szCs w:val="21"/>
                    </w:rPr>
                    <w:t>5</w:t>
                  </w:r>
                  <w:r>
                    <w:rPr>
                      <w:bCs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4</w:t>
                  </w:r>
                </w:p>
              </w:tc>
              <w:tc>
                <w:tcPr>
                  <w:tcW w:w="1693" w:type="dxa"/>
                  <w:vAlign w:val="center"/>
                </w:tcPr>
                <w:p>
                  <w:pPr>
                    <w:pStyle w:val="13"/>
                  </w:pPr>
                  <w:r>
                    <w:rPr>
                      <w:rFonts w:hint="eastAsia"/>
                    </w:rPr>
                    <w:t>铜</w:t>
                  </w:r>
                </w:p>
              </w:tc>
              <w:tc>
                <w:tcPr>
                  <w:tcW w:w="1413" w:type="dxa"/>
                  <w:vAlign w:val="center"/>
                </w:tcPr>
                <w:p>
                  <w:pPr>
                    <w:pStyle w:val="13"/>
                  </w:pPr>
                  <w:r>
                    <w:rPr>
                      <w:rFonts w:hint="eastAsia"/>
                      <w:bCs w:val="0"/>
                      <w:szCs w:val="21"/>
                    </w:rPr>
                    <w:t>2</w:t>
                  </w:r>
                  <w:r>
                    <w:rPr>
                      <w:bCs w:val="0"/>
                      <w:szCs w:val="21"/>
                    </w:rPr>
                    <w:t>000</w:t>
                  </w:r>
                </w:p>
              </w:tc>
              <w:tc>
                <w:tcPr>
                  <w:tcW w:w="868" w:type="dxa"/>
                  <w:vAlign w:val="center"/>
                </w:tcPr>
                <w:p>
                  <w:pPr>
                    <w:pStyle w:val="13"/>
                  </w:pPr>
                  <w:r>
                    <w:rPr>
                      <w:rFonts w:hint="eastAsia"/>
                    </w:rPr>
                    <w:t>27</w:t>
                  </w:r>
                </w:p>
              </w:tc>
              <w:tc>
                <w:tcPr>
                  <w:tcW w:w="1904" w:type="dxa"/>
                  <w:vAlign w:val="center"/>
                </w:tcPr>
                <w:p>
                  <w:pPr>
                    <w:pStyle w:val="13"/>
                  </w:pPr>
                  <w:r>
                    <w:rPr>
                      <w:rFonts w:hint="eastAsia"/>
                    </w:rPr>
                    <w:t>氯苯</w:t>
                  </w:r>
                </w:p>
              </w:tc>
              <w:tc>
                <w:tcPr>
                  <w:tcW w:w="1226" w:type="dxa"/>
                  <w:vAlign w:val="center"/>
                </w:tcPr>
                <w:p>
                  <w:pPr>
                    <w:pStyle w:val="13"/>
                  </w:pPr>
                  <w:r>
                    <w:rPr>
                      <w:rFonts w:hint="eastAsia"/>
                      <w:bCs w:val="0"/>
                      <w:szCs w:val="21"/>
                    </w:rPr>
                    <w:t>5</w:t>
                  </w:r>
                  <w:r>
                    <w:rPr>
                      <w:bCs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5</w:t>
                  </w:r>
                </w:p>
              </w:tc>
              <w:tc>
                <w:tcPr>
                  <w:tcW w:w="1693" w:type="dxa"/>
                  <w:vAlign w:val="center"/>
                </w:tcPr>
                <w:p>
                  <w:pPr>
                    <w:pStyle w:val="13"/>
                  </w:pPr>
                  <w:r>
                    <w:rPr>
                      <w:rFonts w:hint="eastAsia"/>
                    </w:rPr>
                    <w:t>铅</w:t>
                  </w:r>
                </w:p>
              </w:tc>
              <w:tc>
                <w:tcPr>
                  <w:tcW w:w="1413" w:type="dxa"/>
                  <w:vAlign w:val="center"/>
                </w:tcPr>
                <w:p>
                  <w:pPr>
                    <w:pStyle w:val="13"/>
                  </w:pPr>
                  <w:r>
                    <w:rPr>
                      <w:rFonts w:hint="eastAsia"/>
                      <w:bCs w:val="0"/>
                      <w:szCs w:val="21"/>
                    </w:rPr>
                    <w:t>4</w:t>
                  </w:r>
                  <w:r>
                    <w:rPr>
                      <w:bCs w:val="0"/>
                      <w:szCs w:val="21"/>
                    </w:rPr>
                    <w:t>00</w:t>
                  </w:r>
                </w:p>
              </w:tc>
              <w:tc>
                <w:tcPr>
                  <w:tcW w:w="868" w:type="dxa"/>
                  <w:vAlign w:val="center"/>
                </w:tcPr>
                <w:p>
                  <w:pPr>
                    <w:pStyle w:val="13"/>
                  </w:pPr>
                  <w:r>
                    <w:rPr>
                      <w:rFonts w:hint="eastAsia"/>
                    </w:rPr>
                    <w:t>28</w:t>
                  </w:r>
                </w:p>
              </w:tc>
              <w:tc>
                <w:tcPr>
                  <w:tcW w:w="1904" w:type="dxa"/>
                  <w:vAlign w:val="center"/>
                </w:tcPr>
                <w:p>
                  <w:pPr>
                    <w:pStyle w:val="13"/>
                  </w:pPr>
                  <w:r>
                    <w:rPr>
                      <w:rFonts w:hint="eastAsia"/>
                    </w:rPr>
                    <w:t>1,2-二氯苯</w:t>
                  </w:r>
                </w:p>
              </w:tc>
              <w:tc>
                <w:tcPr>
                  <w:tcW w:w="1226" w:type="dxa"/>
                  <w:vAlign w:val="center"/>
                </w:tcPr>
                <w:p>
                  <w:pPr>
                    <w:pStyle w:val="13"/>
                  </w:pPr>
                  <w:r>
                    <w:rPr>
                      <w:rFonts w:hint="eastAsia"/>
                      <w:bCs w:val="0"/>
                      <w:szCs w:val="21"/>
                    </w:rPr>
                    <w:t>7</w:t>
                  </w:r>
                  <w:r>
                    <w:rPr>
                      <w:bCs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6</w:t>
                  </w:r>
                </w:p>
              </w:tc>
              <w:tc>
                <w:tcPr>
                  <w:tcW w:w="1693" w:type="dxa"/>
                  <w:vAlign w:val="center"/>
                </w:tcPr>
                <w:p>
                  <w:pPr>
                    <w:pStyle w:val="13"/>
                  </w:pPr>
                  <w:r>
                    <w:rPr>
                      <w:rFonts w:hint="eastAsia"/>
                    </w:rPr>
                    <w:t>汞</w:t>
                  </w:r>
                </w:p>
              </w:tc>
              <w:tc>
                <w:tcPr>
                  <w:tcW w:w="1413" w:type="dxa"/>
                  <w:vAlign w:val="center"/>
                </w:tcPr>
                <w:p>
                  <w:pPr>
                    <w:pStyle w:val="13"/>
                  </w:pPr>
                  <w:r>
                    <w:rPr>
                      <w:rFonts w:hint="eastAsia"/>
                      <w:bCs w:val="0"/>
                      <w:szCs w:val="21"/>
                    </w:rPr>
                    <w:t>8</w:t>
                  </w:r>
                </w:p>
              </w:tc>
              <w:tc>
                <w:tcPr>
                  <w:tcW w:w="868" w:type="dxa"/>
                  <w:vAlign w:val="center"/>
                </w:tcPr>
                <w:p>
                  <w:pPr>
                    <w:pStyle w:val="13"/>
                  </w:pPr>
                  <w:r>
                    <w:rPr>
                      <w:rFonts w:hint="eastAsia"/>
                    </w:rPr>
                    <w:t>29</w:t>
                  </w:r>
                </w:p>
              </w:tc>
              <w:tc>
                <w:tcPr>
                  <w:tcW w:w="1904" w:type="dxa"/>
                  <w:vAlign w:val="center"/>
                </w:tcPr>
                <w:p>
                  <w:pPr>
                    <w:pStyle w:val="13"/>
                  </w:pPr>
                  <w:r>
                    <w:rPr>
                      <w:rFonts w:hint="eastAsia"/>
                    </w:rPr>
                    <w:t>1,4-二氯苯</w:t>
                  </w:r>
                </w:p>
              </w:tc>
              <w:tc>
                <w:tcPr>
                  <w:tcW w:w="1226" w:type="dxa"/>
                  <w:vAlign w:val="center"/>
                </w:tcPr>
                <w:p>
                  <w:pPr>
                    <w:pStyle w:val="13"/>
                  </w:pPr>
                  <w:r>
                    <w:rPr>
                      <w:rFonts w:hint="eastAsia"/>
                      <w:bCs w:val="0"/>
                      <w:szCs w:val="21"/>
                    </w:rPr>
                    <w:t>1</w:t>
                  </w:r>
                  <w:r>
                    <w:rPr>
                      <w:bCs w:val="0"/>
                      <w:szCs w:val="21"/>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7</w:t>
                  </w:r>
                </w:p>
              </w:tc>
              <w:tc>
                <w:tcPr>
                  <w:tcW w:w="1693" w:type="dxa"/>
                  <w:vAlign w:val="center"/>
                </w:tcPr>
                <w:p>
                  <w:pPr>
                    <w:pStyle w:val="13"/>
                  </w:pPr>
                  <w:r>
                    <w:rPr>
                      <w:rFonts w:hint="eastAsia"/>
                    </w:rPr>
                    <w:t>镍</w:t>
                  </w:r>
                </w:p>
              </w:tc>
              <w:tc>
                <w:tcPr>
                  <w:tcW w:w="1413" w:type="dxa"/>
                  <w:vAlign w:val="center"/>
                </w:tcPr>
                <w:p>
                  <w:pPr>
                    <w:pStyle w:val="13"/>
                  </w:pPr>
                  <w:r>
                    <w:rPr>
                      <w:rFonts w:hint="eastAsia"/>
                      <w:bCs w:val="0"/>
                      <w:szCs w:val="21"/>
                    </w:rPr>
                    <w:t>1</w:t>
                  </w:r>
                  <w:r>
                    <w:rPr>
                      <w:bCs w:val="0"/>
                      <w:szCs w:val="21"/>
                    </w:rPr>
                    <w:t>50</w:t>
                  </w:r>
                </w:p>
              </w:tc>
              <w:tc>
                <w:tcPr>
                  <w:tcW w:w="868" w:type="dxa"/>
                  <w:vAlign w:val="center"/>
                </w:tcPr>
                <w:p>
                  <w:pPr>
                    <w:pStyle w:val="13"/>
                  </w:pPr>
                  <w:r>
                    <w:rPr>
                      <w:rFonts w:hint="eastAsia"/>
                    </w:rPr>
                    <w:t>30</w:t>
                  </w:r>
                </w:p>
              </w:tc>
              <w:tc>
                <w:tcPr>
                  <w:tcW w:w="1904" w:type="dxa"/>
                  <w:vAlign w:val="center"/>
                </w:tcPr>
                <w:p>
                  <w:pPr>
                    <w:pStyle w:val="13"/>
                  </w:pPr>
                  <w:r>
                    <w:rPr>
                      <w:rFonts w:hint="eastAsia"/>
                    </w:rPr>
                    <w:t>乙苯</w:t>
                  </w:r>
                </w:p>
              </w:tc>
              <w:tc>
                <w:tcPr>
                  <w:tcW w:w="1226" w:type="dxa"/>
                  <w:vAlign w:val="center"/>
                </w:tcPr>
                <w:p>
                  <w:pPr>
                    <w:pStyle w:val="13"/>
                  </w:pPr>
                  <w:r>
                    <w:rPr>
                      <w:rFonts w:hint="eastAsia"/>
                      <w:bCs w:val="0"/>
                      <w:szCs w:val="21"/>
                    </w:rPr>
                    <w:t>1</w:t>
                  </w:r>
                  <w:r>
                    <w:rPr>
                      <w:bCs w:val="0"/>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8</w:t>
                  </w:r>
                </w:p>
              </w:tc>
              <w:tc>
                <w:tcPr>
                  <w:tcW w:w="1693" w:type="dxa"/>
                  <w:vAlign w:val="center"/>
                </w:tcPr>
                <w:p>
                  <w:pPr>
                    <w:pStyle w:val="13"/>
                  </w:pPr>
                  <w:r>
                    <w:rPr>
                      <w:rFonts w:hint="eastAsia"/>
                    </w:rPr>
                    <w:t>四氯化碳</w:t>
                  </w:r>
                </w:p>
              </w:tc>
              <w:tc>
                <w:tcPr>
                  <w:tcW w:w="1413" w:type="dxa"/>
                  <w:vAlign w:val="center"/>
                </w:tcPr>
                <w:p>
                  <w:pPr>
                    <w:pStyle w:val="13"/>
                  </w:pPr>
                  <w:r>
                    <w:rPr>
                      <w:rFonts w:hint="eastAsia"/>
                      <w:bCs w:val="0"/>
                      <w:szCs w:val="21"/>
                    </w:rPr>
                    <w:t>0</w:t>
                  </w:r>
                  <w:r>
                    <w:rPr>
                      <w:bCs w:val="0"/>
                      <w:szCs w:val="21"/>
                    </w:rPr>
                    <w:t>.9</w:t>
                  </w:r>
                </w:p>
              </w:tc>
              <w:tc>
                <w:tcPr>
                  <w:tcW w:w="868" w:type="dxa"/>
                  <w:vAlign w:val="center"/>
                </w:tcPr>
                <w:p>
                  <w:pPr>
                    <w:pStyle w:val="13"/>
                  </w:pPr>
                  <w:r>
                    <w:rPr>
                      <w:rFonts w:hint="eastAsia"/>
                    </w:rPr>
                    <w:t>31</w:t>
                  </w:r>
                </w:p>
              </w:tc>
              <w:tc>
                <w:tcPr>
                  <w:tcW w:w="1904" w:type="dxa"/>
                  <w:vAlign w:val="center"/>
                </w:tcPr>
                <w:p>
                  <w:pPr>
                    <w:pStyle w:val="13"/>
                  </w:pPr>
                  <w:r>
                    <w:rPr>
                      <w:rFonts w:hint="eastAsia"/>
                    </w:rPr>
                    <w:t>苯乙烯</w:t>
                  </w:r>
                </w:p>
              </w:tc>
              <w:tc>
                <w:tcPr>
                  <w:tcW w:w="1226" w:type="dxa"/>
                  <w:vAlign w:val="center"/>
                </w:tcPr>
                <w:p>
                  <w:pPr>
                    <w:pStyle w:val="13"/>
                  </w:pPr>
                  <w:r>
                    <w:rPr>
                      <w:rFonts w:hint="eastAsia"/>
                      <w:bCs w:val="0"/>
                      <w:szCs w:val="21"/>
                    </w:rPr>
                    <w:t>1</w:t>
                  </w:r>
                  <w:r>
                    <w:rPr>
                      <w:bCs w:val="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9</w:t>
                  </w:r>
                </w:p>
              </w:tc>
              <w:tc>
                <w:tcPr>
                  <w:tcW w:w="1693" w:type="dxa"/>
                  <w:vAlign w:val="center"/>
                </w:tcPr>
                <w:p>
                  <w:pPr>
                    <w:pStyle w:val="13"/>
                  </w:pPr>
                  <w:r>
                    <w:rPr>
                      <w:rFonts w:hint="eastAsia"/>
                    </w:rPr>
                    <w:t>氯仿</w:t>
                  </w:r>
                </w:p>
              </w:tc>
              <w:tc>
                <w:tcPr>
                  <w:tcW w:w="1413" w:type="dxa"/>
                  <w:vAlign w:val="center"/>
                </w:tcPr>
                <w:p>
                  <w:pPr>
                    <w:pStyle w:val="13"/>
                  </w:pPr>
                  <w:r>
                    <w:rPr>
                      <w:rFonts w:hint="eastAsia"/>
                      <w:bCs w:val="0"/>
                      <w:szCs w:val="21"/>
                    </w:rPr>
                    <w:t>0</w:t>
                  </w:r>
                  <w:r>
                    <w:rPr>
                      <w:bCs w:val="0"/>
                      <w:szCs w:val="21"/>
                    </w:rPr>
                    <w:t>.3</w:t>
                  </w:r>
                </w:p>
              </w:tc>
              <w:tc>
                <w:tcPr>
                  <w:tcW w:w="868" w:type="dxa"/>
                  <w:vAlign w:val="center"/>
                </w:tcPr>
                <w:p>
                  <w:pPr>
                    <w:pStyle w:val="13"/>
                  </w:pPr>
                  <w:r>
                    <w:rPr>
                      <w:rFonts w:hint="eastAsia"/>
                    </w:rPr>
                    <w:t>32</w:t>
                  </w:r>
                </w:p>
              </w:tc>
              <w:tc>
                <w:tcPr>
                  <w:tcW w:w="1904" w:type="dxa"/>
                  <w:vAlign w:val="center"/>
                </w:tcPr>
                <w:p>
                  <w:pPr>
                    <w:pStyle w:val="13"/>
                  </w:pPr>
                  <w:r>
                    <w:rPr>
                      <w:rFonts w:hint="eastAsia"/>
                    </w:rPr>
                    <w:t>甲苯</w:t>
                  </w:r>
                </w:p>
              </w:tc>
              <w:tc>
                <w:tcPr>
                  <w:tcW w:w="1226" w:type="dxa"/>
                  <w:vAlign w:val="center"/>
                </w:tcPr>
                <w:p>
                  <w:pPr>
                    <w:pStyle w:val="13"/>
                  </w:pPr>
                  <w:r>
                    <w:rPr>
                      <w:rFonts w:hint="eastAsia"/>
                      <w:bCs w:val="0"/>
                      <w:szCs w:val="21"/>
                    </w:rPr>
                    <w:t>2</w:t>
                  </w:r>
                  <w:r>
                    <w:rPr>
                      <w:bCs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10</w:t>
                  </w:r>
                </w:p>
              </w:tc>
              <w:tc>
                <w:tcPr>
                  <w:tcW w:w="1693" w:type="dxa"/>
                  <w:vAlign w:val="center"/>
                </w:tcPr>
                <w:p>
                  <w:pPr>
                    <w:pStyle w:val="13"/>
                  </w:pPr>
                  <w:r>
                    <w:rPr>
                      <w:rFonts w:hint="eastAsia"/>
                    </w:rPr>
                    <w:t>氯甲烷</w:t>
                  </w:r>
                </w:p>
              </w:tc>
              <w:tc>
                <w:tcPr>
                  <w:tcW w:w="1413" w:type="dxa"/>
                  <w:vAlign w:val="center"/>
                </w:tcPr>
                <w:p>
                  <w:pPr>
                    <w:pStyle w:val="13"/>
                  </w:pPr>
                  <w:r>
                    <w:rPr>
                      <w:rFonts w:hint="eastAsia"/>
                      <w:bCs w:val="0"/>
                      <w:szCs w:val="21"/>
                    </w:rPr>
                    <w:t>1</w:t>
                  </w:r>
                  <w:r>
                    <w:rPr>
                      <w:bCs w:val="0"/>
                      <w:szCs w:val="21"/>
                    </w:rPr>
                    <w:t>2</w:t>
                  </w:r>
                </w:p>
              </w:tc>
              <w:tc>
                <w:tcPr>
                  <w:tcW w:w="868" w:type="dxa"/>
                  <w:vAlign w:val="center"/>
                </w:tcPr>
                <w:p>
                  <w:pPr>
                    <w:pStyle w:val="13"/>
                  </w:pPr>
                  <w:r>
                    <w:rPr>
                      <w:rFonts w:hint="eastAsia"/>
                    </w:rPr>
                    <w:t>33</w:t>
                  </w:r>
                </w:p>
              </w:tc>
              <w:tc>
                <w:tcPr>
                  <w:tcW w:w="1904" w:type="dxa"/>
                  <w:vAlign w:val="center"/>
                </w:tcPr>
                <w:p>
                  <w:pPr>
                    <w:pStyle w:val="13"/>
                  </w:pPr>
                  <w:r>
                    <w:rPr>
                      <w:rFonts w:hint="eastAsia"/>
                    </w:rPr>
                    <w:t>间二甲苯+对二甲苯</w:t>
                  </w:r>
                </w:p>
              </w:tc>
              <w:tc>
                <w:tcPr>
                  <w:tcW w:w="1226" w:type="dxa"/>
                  <w:vAlign w:val="center"/>
                </w:tcPr>
                <w:p>
                  <w:pPr>
                    <w:pStyle w:val="13"/>
                  </w:pPr>
                  <w:r>
                    <w:rPr>
                      <w:rFonts w:hint="eastAsia"/>
                      <w:bCs w:val="0"/>
                      <w:szCs w:val="21"/>
                    </w:rPr>
                    <w:t>3</w:t>
                  </w:r>
                  <w:r>
                    <w:rPr>
                      <w:bCs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11</w:t>
                  </w:r>
                </w:p>
              </w:tc>
              <w:tc>
                <w:tcPr>
                  <w:tcW w:w="1693" w:type="dxa"/>
                  <w:vAlign w:val="center"/>
                </w:tcPr>
                <w:p>
                  <w:pPr>
                    <w:pStyle w:val="13"/>
                  </w:pPr>
                  <w:r>
                    <w:rPr>
                      <w:rFonts w:hint="eastAsia"/>
                    </w:rPr>
                    <w:t>1,1-二氯乙烷</w:t>
                  </w:r>
                </w:p>
              </w:tc>
              <w:tc>
                <w:tcPr>
                  <w:tcW w:w="1413" w:type="dxa"/>
                  <w:vAlign w:val="center"/>
                </w:tcPr>
                <w:p>
                  <w:pPr>
                    <w:pStyle w:val="13"/>
                  </w:pPr>
                  <w:r>
                    <w:rPr>
                      <w:rFonts w:hint="eastAsia"/>
                      <w:bCs w:val="0"/>
                      <w:szCs w:val="21"/>
                    </w:rPr>
                    <w:t>3</w:t>
                  </w:r>
                </w:p>
              </w:tc>
              <w:tc>
                <w:tcPr>
                  <w:tcW w:w="868" w:type="dxa"/>
                  <w:vAlign w:val="center"/>
                </w:tcPr>
                <w:p>
                  <w:pPr>
                    <w:pStyle w:val="13"/>
                  </w:pPr>
                  <w:r>
                    <w:rPr>
                      <w:rFonts w:hint="eastAsia"/>
                    </w:rPr>
                    <w:t>34</w:t>
                  </w:r>
                </w:p>
              </w:tc>
              <w:tc>
                <w:tcPr>
                  <w:tcW w:w="1904" w:type="dxa"/>
                  <w:vAlign w:val="center"/>
                </w:tcPr>
                <w:p>
                  <w:pPr>
                    <w:pStyle w:val="13"/>
                  </w:pPr>
                  <w:r>
                    <w:rPr>
                      <w:rFonts w:hint="eastAsia"/>
                    </w:rPr>
                    <w:t>邻二甲苯</w:t>
                  </w:r>
                </w:p>
              </w:tc>
              <w:tc>
                <w:tcPr>
                  <w:tcW w:w="1226" w:type="dxa"/>
                  <w:vAlign w:val="center"/>
                </w:tcPr>
                <w:p>
                  <w:pPr>
                    <w:pStyle w:val="13"/>
                  </w:pPr>
                  <w:r>
                    <w:rPr>
                      <w:rFonts w:hint="eastAsia"/>
                      <w:bCs w:val="0"/>
                      <w:szCs w:val="21"/>
                    </w:rPr>
                    <w:t>9</w:t>
                  </w:r>
                  <w:r>
                    <w:rPr>
                      <w:bCs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12</w:t>
                  </w:r>
                </w:p>
              </w:tc>
              <w:tc>
                <w:tcPr>
                  <w:tcW w:w="1693" w:type="dxa"/>
                  <w:vAlign w:val="center"/>
                </w:tcPr>
                <w:p>
                  <w:pPr>
                    <w:pStyle w:val="13"/>
                  </w:pPr>
                  <w:r>
                    <w:rPr>
                      <w:rFonts w:hint="eastAsia"/>
                    </w:rPr>
                    <w:t>1,2-二氯乙烷</w:t>
                  </w:r>
                </w:p>
              </w:tc>
              <w:tc>
                <w:tcPr>
                  <w:tcW w:w="1413" w:type="dxa"/>
                  <w:vAlign w:val="center"/>
                </w:tcPr>
                <w:p>
                  <w:pPr>
                    <w:pStyle w:val="13"/>
                  </w:pPr>
                  <w:r>
                    <w:rPr>
                      <w:rFonts w:hint="eastAsia"/>
                      <w:bCs w:val="0"/>
                      <w:szCs w:val="21"/>
                    </w:rPr>
                    <w:t>0</w:t>
                  </w:r>
                  <w:r>
                    <w:rPr>
                      <w:bCs w:val="0"/>
                      <w:szCs w:val="21"/>
                    </w:rPr>
                    <w:t>.52</w:t>
                  </w:r>
                </w:p>
              </w:tc>
              <w:tc>
                <w:tcPr>
                  <w:tcW w:w="868" w:type="dxa"/>
                  <w:vAlign w:val="center"/>
                </w:tcPr>
                <w:p>
                  <w:pPr>
                    <w:pStyle w:val="13"/>
                  </w:pPr>
                  <w:r>
                    <w:rPr>
                      <w:rFonts w:hint="eastAsia"/>
                    </w:rPr>
                    <w:t>35</w:t>
                  </w:r>
                </w:p>
              </w:tc>
              <w:tc>
                <w:tcPr>
                  <w:tcW w:w="1904" w:type="dxa"/>
                  <w:vAlign w:val="center"/>
                </w:tcPr>
                <w:p>
                  <w:pPr>
                    <w:pStyle w:val="13"/>
                  </w:pPr>
                  <w:r>
                    <w:rPr>
                      <w:rFonts w:hint="eastAsia"/>
                    </w:rPr>
                    <w:t>硝基苯</w:t>
                  </w:r>
                </w:p>
              </w:tc>
              <w:tc>
                <w:tcPr>
                  <w:tcW w:w="1226" w:type="dxa"/>
                  <w:vAlign w:val="center"/>
                </w:tcPr>
                <w:p>
                  <w:pPr>
                    <w:pStyle w:val="13"/>
                  </w:pPr>
                  <w:r>
                    <w:rPr>
                      <w:rFonts w:hint="eastAsia"/>
                      <w:bCs w:val="0"/>
                      <w:szCs w:val="21"/>
                    </w:rPr>
                    <w:t>2</w:t>
                  </w:r>
                  <w:r>
                    <w:rPr>
                      <w:bCs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13</w:t>
                  </w:r>
                </w:p>
              </w:tc>
              <w:tc>
                <w:tcPr>
                  <w:tcW w:w="1693" w:type="dxa"/>
                  <w:vAlign w:val="center"/>
                </w:tcPr>
                <w:p>
                  <w:pPr>
                    <w:pStyle w:val="13"/>
                  </w:pPr>
                  <w:r>
                    <w:rPr>
                      <w:rFonts w:hint="eastAsia"/>
                    </w:rPr>
                    <w:t>1,1-二氯乙烯</w:t>
                  </w:r>
                </w:p>
              </w:tc>
              <w:tc>
                <w:tcPr>
                  <w:tcW w:w="1413" w:type="dxa"/>
                  <w:vAlign w:val="center"/>
                </w:tcPr>
                <w:p>
                  <w:pPr>
                    <w:pStyle w:val="13"/>
                  </w:pPr>
                  <w:r>
                    <w:rPr>
                      <w:rFonts w:hint="eastAsia"/>
                      <w:bCs w:val="0"/>
                      <w:szCs w:val="21"/>
                    </w:rPr>
                    <w:t>1</w:t>
                  </w:r>
                  <w:r>
                    <w:rPr>
                      <w:bCs w:val="0"/>
                      <w:szCs w:val="21"/>
                    </w:rPr>
                    <w:t>2</w:t>
                  </w:r>
                </w:p>
              </w:tc>
              <w:tc>
                <w:tcPr>
                  <w:tcW w:w="868" w:type="dxa"/>
                  <w:vAlign w:val="center"/>
                </w:tcPr>
                <w:p>
                  <w:pPr>
                    <w:pStyle w:val="13"/>
                  </w:pPr>
                  <w:r>
                    <w:rPr>
                      <w:rFonts w:hint="eastAsia"/>
                    </w:rPr>
                    <w:t>36</w:t>
                  </w:r>
                </w:p>
              </w:tc>
              <w:tc>
                <w:tcPr>
                  <w:tcW w:w="1904" w:type="dxa"/>
                  <w:vAlign w:val="center"/>
                </w:tcPr>
                <w:p>
                  <w:pPr>
                    <w:pStyle w:val="13"/>
                  </w:pPr>
                  <w:r>
                    <w:rPr>
                      <w:rFonts w:hint="eastAsia"/>
                    </w:rPr>
                    <w:t>苯胺</w:t>
                  </w:r>
                </w:p>
              </w:tc>
              <w:tc>
                <w:tcPr>
                  <w:tcW w:w="1226" w:type="dxa"/>
                  <w:vAlign w:val="center"/>
                </w:tcPr>
                <w:p>
                  <w:pPr>
                    <w:pStyle w:val="13"/>
                  </w:pPr>
                  <w:r>
                    <w:rPr>
                      <w:rFonts w:hint="eastAsia"/>
                      <w:bCs w:val="0"/>
                      <w:szCs w:val="21"/>
                    </w:rPr>
                    <w:t>5</w:t>
                  </w:r>
                  <w:r>
                    <w:rPr>
                      <w:bCs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14</w:t>
                  </w:r>
                </w:p>
              </w:tc>
              <w:tc>
                <w:tcPr>
                  <w:tcW w:w="1693" w:type="dxa"/>
                  <w:vAlign w:val="center"/>
                </w:tcPr>
                <w:p>
                  <w:pPr>
                    <w:pStyle w:val="13"/>
                  </w:pPr>
                  <w:r>
                    <w:rPr>
                      <w:rFonts w:hint="eastAsia"/>
                    </w:rPr>
                    <w:t>顺-1,2-二氯乙烯</w:t>
                  </w:r>
                </w:p>
              </w:tc>
              <w:tc>
                <w:tcPr>
                  <w:tcW w:w="1413" w:type="dxa"/>
                  <w:vAlign w:val="center"/>
                </w:tcPr>
                <w:p>
                  <w:pPr>
                    <w:pStyle w:val="13"/>
                  </w:pPr>
                  <w:r>
                    <w:rPr>
                      <w:rFonts w:hint="eastAsia"/>
                      <w:bCs w:val="0"/>
                      <w:szCs w:val="21"/>
                    </w:rPr>
                    <w:t>6</w:t>
                  </w:r>
                  <w:r>
                    <w:rPr>
                      <w:bCs w:val="0"/>
                      <w:szCs w:val="21"/>
                    </w:rPr>
                    <w:t>6</w:t>
                  </w:r>
                </w:p>
              </w:tc>
              <w:tc>
                <w:tcPr>
                  <w:tcW w:w="868" w:type="dxa"/>
                  <w:vAlign w:val="center"/>
                </w:tcPr>
                <w:p>
                  <w:pPr>
                    <w:pStyle w:val="13"/>
                  </w:pPr>
                  <w:r>
                    <w:rPr>
                      <w:rFonts w:hint="eastAsia"/>
                    </w:rPr>
                    <w:t>37</w:t>
                  </w:r>
                </w:p>
              </w:tc>
              <w:tc>
                <w:tcPr>
                  <w:tcW w:w="1904" w:type="dxa"/>
                  <w:vAlign w:val="center"/>
                </w:tcPr>
                <w:p>
                  <w:pPr>
                    <w:pStyle w:val="13"/>
                  </w:pPr>
                  <w:r>
                    <w:rPr>
                      <w:rFonts w:hint="eastAsia"/>
                    </w:rPr>
                    <w:t>1-氯酚</w:t>
                  </w:r>
                </w:p>
              </w:tc>
              <w:tc>
                <w:tcPr>
                  <w:tcW w:w="1226" w:type="dxa"/>
                  <w:vAlign w:val="center"/>
                </w:tcPr>
                <w:p>
                  <w:pPr>
                    <w:pStyle w:val="13"/>
                  </w:pPr>
                  <w:r>
                    <w:rPr>
                      <w:rFonts w:hint="eastAsia"/>
                      <w:bCs w:val="0"/>
                      <w:szCs w:val="21"/>
                    </w:rPr>
                    <w:t>0</w:t>
                  </w:r>
                  <w:r>
                    <w:rPr>
                      <w:bCs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15</w:t>
                  </w:r>
                </w:p>
              </w:tc>
              <w:tc>
                <w:tcPr>
                  <w:tcW w:w="1693" w:type="dxa"/>
                  <w:vAlign w:val="center"/>
                </w:tcPr>
                <w:p>
                  <w:pPr>
                    <w:pStyle w:val="13"/>
                  </w:pPr>
                  <w:r>
                    <w:rPr>
                      <w:rFonts w:hint="eastAsia"/>
                    </w:rPr>
                    <w:t>反-1,2-二氯乙烯</w:t>
                  </w:r>
                </w:p>
              </w:tc>
              <w:tc>
                <w:tcPr>
                  <w:tcW w:w="1413" w:type="dxa"/>
                  <w:vAlign w:val="center"/>
                </w:tcPr>
                <w:p>
                  <w:pPr>
                    <w:pStyle w:val="13"/>
                  </w:pPr>
                  <w:r>
                    <w:rPr>
                      <w:rFonts w:hint="eastAsia"/>
                      <w:bCs w:val="0"/>
                      <w:szCs w:val="21"/>
                    </w:rPr>
                    <w:t>1</w:t>
                  </w:r>
                  <w:r>
                    <w:rPr>
                      <w:bCs w:val="0"/>
                      <w:szCs w:val="21"/>
                    </w:rPr>
                    <w:t>0</w:t>
                  </w:r>
                </w:p>
              </w:tc>
              <w:tc>
                <w:tcPr>
                  <w:tcW w:w="868" w:type="dxa"/>
                  <w:vAlign w:val="center"/>
                </w:tcPr>
                <w:p>
                  <w:pPr>
                    <w:pStyle w:val="13"/>
                  </w:pPr>
                  <w:r>
                    <w:rPr>
                      <w:rFonts w:hint="eastAsia"/>
                    </w:rPr>
                    <w:t>38</w:t>
                  </w:r>
                </w:p>
              </w:tc>
              <w:tc>
                <w:tcPr>
                  <w:tcW w:w="1904" w:type="dxa"/>
                  <w:vAlign w:val="center"/>
                </w:tcPr>
                <w:p>
                  <w:pPr>
                    <w:pStyle w:val="13"/>
                  </w:pPr>
                  <w:r>
                    <w:rPr>
                      <w:rFonts w:hint="eastAsia"/>
                    </w:rPr>
                    <w:t>苯并[a]蒽</w:t>
                  </w:r>
                </w:p>
              </w:tc>
              <w:tc>
                <w:tcPr>
                  <w:tcW w:w="1226" w:type="dxa"/>
                  <w:vAlign w:val="center"/>
                </w:tcPr>
                <w:p>
                  <w:pPr>
                    <w:pStyle w:val="13"/>
                  </w:pPr>
                  <w:r>
                    <w:rPr>
                      <w:rFonts w:hint="eastAsia"/>
                      <w:bCs w:val="0"/>
                      <w:szCs w:val="21"/>
                    </w:rPr>
                    <w:t>5</w:t>
                  </w:r>
                  <w:r>
                    <w:rPr>
                      <w:bCs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16</w:t>
                  </w:r>
                </w:p>
              </w:tc>
              <w:tc>
                <w:tcPr>
                  <w:tcW w:w="1693" w:type="dxa"/>
                  <w:vAlign w:val="center"/>
                </w:tcPr>
                <w:p>
                  <w:pPr>
                    <w:pStyle w:val="13"/>
                  </w:pPr>
                  <w:r>
                    <w:rPr>
                      <w:rFonts w:hint="eastAsia"/>
                    </w:rPr>
                    <w:t>二氯甲烷</w:t>
                  </w:r>
                </w:p>
              </w:tc>
              <w:tc>
                <w:tcPr>
                  <w:tcW w:w="1413" w:type="dxa"/>
                  <w:vAlign w:val="center"/>
                </w:tcPr>
                <w:p>
                  <w:pPr>
                    <w:pStyle w:val="13"/>
                  </w:pPr>
                  <w:r>
                    <w:rPr>
                      <w:rFonts w:hint="eastAsia"/>
                      <w:bCs w:val="0"/>
                      <w:szCs w:val="21"/>
                    </w:rPr>
                    <w:t>9</w:t>
                  </w:r>
                  <w:r>
                    <w:rPr>
                      <w:bCs w:val="0"/>
                      <w:szCs w:val="21"/>
                    </w:rPr>
                    <w:t>4</w:t>
                  </w:r>
                </w:p>
              </w:tc>
              <w:tc>
                <w:tcPr>
                  <w:tcW w:w="868" w:type="dxa"/>
                  <w:vAlign w:val="center"/>
                </w:tcPr>
                <w:p>
                  <w:pPr>
                    <w:pStyle w:val="13"/>
                  </w:pPr>
                  <w:r>
                    <w:rPr>
                      <w:rFonts w:hint="eastAsia"/>
                    </w:rPr>
                    <w:t>39</w:t>
                  </w:r>
                </w:p>
              </w:tc>
              <w:tc>
                <w:tcPr>
                  <w:tcW w:w="1904" w:type="dxa"/>
                  <w:vAlign w:val="center"/>
                </w:tcPr>
                <w:p>
                  <w:pPr>
                    <w:pStyle w:val="13"/>
                  </w:pPr>
                  <w:r>
                    <w:rPr>
                      <w:rFonts w:hint="eastAsia"/>
                    </w:rPr>
                    <w:t>苯并[a]芘</w:t>
                  </w:r>
                </w:p>
              </w:tc>
              <w:tc>
                <w:tcPr>
                  <w:tcW w:w="1226" w:type="dxa"/>
                  <w:vAlign w:val="center"/>
                </w:tcPr>
                <w:p>
                  <w:pPr>
                    <w:pStyle w:val="13"/>
                  </w:pPr>
                  <w:r>
                    <w:rPr>
                      <w:rFonts w:hint="eastAsia"/>
                      <w:bCs w:val="0"/>
                      <w:szCs w:val="21"/>
                    </w:rPr>
                    <w:t>5</w:t>
                  </w:r>
                  <w:r>
                    <w:rPr>
                      <w:bCs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17</w:t>
                  </w:r>
                </w:p>
              </w:tc>
              <w:tc>
                <w:tcPr>
                  <w:tcW w:w="1693" w:type="dxa"/>
                  <w:vAlign w:val="center"/>
                </w:tcPr>
                <w:p>
                  <w:pPr>
                    <w:pStyle w:val="13"/>
                  </w:pPr>
                  <w:r>
                    <w:rPr>
                      <w:rFonts w:hint="eastAsia"/>
                    </w:rPr>
                    <w:t>1,2-二氯丙烷</w:t>
                  </w:r>
                </w:p>
              </w:tc>
              <w:tc>
                <w:tcPr>
                  <w:tcW w:w="1413" w:type="dxa"/>
                  <w:vAlign w:val="center"/>
                </w:tcPr>
                <w:p>
                  <w:pPr>
                    <w:pStyle w:val="13"/>
                  </w:pPr>
                  <w:r>
                    <w:rPr>
                      <w:rFonts w:hint="eastAsia"/>
                      <w:bCs w:val="0"/>
                      <w:szCs w:val="21"/>
                    </w:rPr>
                    <w:t>1</w:t>
                  </w:r>
                </w:p>
              </w:tc>
              <w:tc>
                <w:tcPr>
                  <w:tcW w:w="868" w:type="dxa"/>
                  <w:vAlign w:val="center"/>
                </w:tcPr>
                <w:p>
                  <w:pPr>
                    <w:pStyle w:val="13"/>
                  </w:pPr>
                  <w:r>
                    <w:rPr>
                      <w:rFonts w:hint="eastAsia"/>
                    </w:rPr>
                    <w:t>40</w:t>
                  </w:r>
                </w:p>
              </w:tc>
              <w:tc>
                <w:tcPr>
                  <w:tcW w:w="1904" w:type="dxa"/>
                  <w:vAlign w:val="center"/>
                </w:tcPr>
                <w:p>
                  <w:pPr>
                    <w:pStyle w:val="13"/>
                  </w:pPr>
                  <w:r>
                    <w:rPr>
                      <w:rFonts w:hint="eastAsia"/>
                    </w:rPr>
                    <w:t>苯并[b]荧蒽</w:t>
                  </w:r>
                </w:p>
              </w:tc>
              <w:tc>
                <w:tcPr>
                  <w:tcW w:w="1226" w:type="dxa"/>
                  <w:vAlign w:val="center"/>
                </w:tcPr>
                <w:p>
                  <w:pPr>
                    <w:pStyle w:val="13"/>
                  </w:pPr>
                  <w:r>
                    <w:rPr>
                      <w:rFonts w:hint="eastAsia"/>
                      <w:bCs w:val="0"/>
                      <w:szCs w:val="21"/>
                    </w:rPr>
                    <w:t>4</w:t>
                  </w:r>
                  <w:r>
                    <w:rPr>
                      <w:bCs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760" w:type="dxa"/>
                  <w:vAlign w:val="center"/>
                </w:tcPr>
                <w:p>
                  <w:pPr>
                    <w:pStyle w:val="13"/>
                  </w:pPr>
                  <w:r>
                    <w:rPr>
                      <w:rFonts w:hint="eastAsia"/>
                    </w:rPr>
                    <w:t>18</w:t>
                  </w:r>
                </w:p>
              </w:tc>
              <w:tc>
                <w:tcPr>
                  <w:tcW w:w="1693" w:type="dxa"/>
                  <w:vAlign w:val="center"/>
                </w:tcPr>
                <w:p>
                  <w:pPr>
                    <w:pStyle w:val="13"/>
                  </w:pPr>
                  <w:r>
                    <w:rPr>
                      <w:rFonts w:hint="eastAsia"/>
                    </w:rPr>
                    <w:t>1,1,1,2-四氯乙烷</w:t>
                  </w:r>
                </w:p>
              </w:tc>
              <w:tc>
                <w:tcPr>
                  <w:tcW w:w="1413" w:type="dxa"/>
                  <w:vAlign w:val="center"/>
                </w:tcPr>
                <w:p>
                  <w:pPr>
                    <w:pStyle w:val="13"/>
                  </w:pPr>
                  <w:r>
                    <w:rPr>
                      <w:rFonts w:hint="eastAsia"/>
                      <w:bCs w:val="0"/>
                      <w:szCs w:val="21"/>
                    </w:rPr>
                    <w:t>2</w:t>
                  </w:r>
                  <w:r>
                    <w:rPr>
                      <w:bCs w:val="0"/>
                      <w:szCs w:val="21"/>
                    </w:rPr>
                    <w:t>.6</w:t>
                  </w:r>
                </w:p>
              </w:tc>
              <w:tc>
                <w:tcPr>
                  <w:tcW w:w="868" w:type="dxa"/>
                  <w:vAlign w:val="center"/>
                </w:tcPr>
                <w:p>
                  <w:pPr>
                    <w:pStyle w:val="13"/>
                  </w:pPr>
                  <w:r>
                    <w:rPr>
                      <w:rFonts w:hint="eastAsia"/>
                    </w:rPr>
                    <w:t>41</w:t>
                  </w:r>
                </w:p>
              </w:tc>
              <w:tc>
                <w:tcPr>
                  <w:tcW w:w="1904" w:type="dxa"/>
                  <w:vAlign w:val="center"/>
                </w:tcPr>
                <w:p>
                  <w:pPr>
                    <w:pStyle w:val="13"/>
                  </w:pPr>
                  <w:r>
                    <w:rPr>
                      <w:rFonts w:hint="eastAsia"/>
                    </w:rPr>
                    <w:t>苯并[k]荧蒽</w:t>
                  </w:r>
                </w:p>
              </w:tc>
              <w:tc>
                <w:tcPr>
                  <w:tcW w:w="1226" w:type="dxa"/>
                  <w:vAlign w:val="center"/>
                </w:tcPr>
                <w:p>
                  <w:pPr>
                    <w:pStyle w:val="13"/>
                  </w:pPr>
                  <w:r>
                    <w:rPr>
                      <w:rFonts w:hint="eastAsia"/>
                      <w:bCs w:val="0"/>
                      <w:szCs w:val="21"/>
                    </w:rPr>
                    <w:t>0</w:t>
                  </w:r>
                  <w:r>
                    <w:rPr>
                      <w:bCs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19</w:t>
                  </w:r>
                </w:p>
              </w:tc>
              <w:tc>
                <w:tcPr>
                  <w:tcW w:w="1693" w:type="dxa"/>
                  <w:vAlign w:val="center"/>
                </w:tcPr>
                <w:p>
                  <w:pPr>
                    <w:pStyle w:val="13"/>
                  </w:pPr>
                  <w:r>
                    <w:rPr>
                      <w:rFonts w:hint="eastAsia"/>
                    </w:rPr>
                    <w:t>1,1,2,2-四氯乙烷</w:t>
                  </w:r>
                </w:p>
              </w:tc>
              <w:tc>
                <w:tcPr>
                  <w:tcW w:w="1413" w:type="dxa"/>
                  <w:vAlign w:val="center"/>
                </w:tcPr>
                <w:p>
                  <w:pPr>
                    <w:pStyle w:val="13"/>
                  </w:pPr>
                  <w:r>
                    <w:rPr>
                      <w:rFonts w:hint="eastAsia"/>
                      <w:bCs w:val="0"/>
                      <w:szCs w:val="21"/>
                    </w:rPr>
                    <w:t>1</w:t>
                  </w:r>
                  <w:r>
                    <w:rPr>
                      <w:bCs w:val="0"/>
                      <w:szCs w:val="21"/>
                    </w:rPr>
                    <w:t>.6</w:t>
                  </w:r>
                </w:p>
              </w:tc>
              <w:tc>
                <w:tcPr>
                  <w:tcW w:w="868" w:type="dxa"/>
                  <w:vAlign w:val="center"/>
                </w:tcPr>
                <w:p>
                  <w:pPr>
                    <w:pStyle w:val="13"/>
                  </w:pPr>
                  <w:r>
                    <w:rPr>
                      <w:rFonts w:hint="eastAsia"/>
                    </w:rPr>
                    <w:t>42</w:t>
                  </w:r>
                </w:p>
              </w:tc>
              <w:tc>
                <w:tcPr>
                  <w:tcW w:w="1904" w:type="dxa"/>
                  <w:vAlign w:val="center"/>
                </w:tcPr>
                <w:p>
                  <w:pPr>
                    <w:pStyle w:val="13"/>
                  </w:pPr>
                  <w:r>
                    <w:t>䓛</w:t>
                  </w:r>
                </w:p>
              </w:tc>
              <w:tc>
                <w:tcPr>
                  <w:tcW w:w="1226" w:type="dxa"/>
                  <w:vAlign w:val="center"/>
                </w:tcPr>
                <w:p>
                  <w:pPr>
                    <w:pStyle w:val="13"/>
                  </w:pPr>
                  <w:r>
                    <w:rPr>
                      <w:rFonts w:hint="eastAsia"/>
                      <w:bCs w:val="0"/>
                      <w:szCs w:val="21"/>
                    </w:rPr>
                    <w:t>5</w:t>
                  </w:r>
                  <w:r>
                    <w:rPr>
                      <w:bCs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20</w:t>
                  </w:r>
                </w:p>
              </w:tc>
              <w:tc>
                <w:tcPr>
                  <w:tcW w:w="1693" w:type="dxa"/>
                  <w:vAlign w:val="center"/>
                </w:tcPr>
                <w:p>
                  <w:pPr>
                    <w:pStyle w:val="13"/>
                  </w:pPr>
                  <w:r>
                    <w:rPr>
                      <w:rFonts w:hint="eastAsia"/>
                    </w:rPr>
                    <w:t>四氯乙烯</w:t>
                  </w:r>
                </w:p>
              </w:tc>
              <w:tc>
                <w:tcPr>
                  <w:tcW w:w="1413" w:type="dxa"/>
                  <w:vAlign w:val="center"/>
                </w:tcPr>
                <w:p>
                  <w:pPr>
                    <w:pStyle w:val="13"/>
                  </w:pPr>
                  <w:r>
                    <w:rPr>
                      <w:rFonts w:hint="eastAsia"/>
                      <w:bCs w:val="0"/>
                      <w:szCs w:val="21"/>
                    </w:rPr>
                    <w:t>1</w:t>
                  </w:r>
                  <w:r>
                    <w:rPr>
                      <w:bCs w:val="0"/>
                      <w:szCs w:val="21"/>
                    </w:rPr>
                    <w:t>1</w:t>
                  </w:r>
                </w:p>
              </w:tc>
              <w:tc>
                <w:tcPr>
                  <w:tcW w:w="868" w:type="dxa"/>
                  <w:vAlign w:val="center"/>
                </w:tcPr>
                <w:p>
                  <w:pPr>
                    <w:pStyle w:val="13"/>
                  </w:pPr>
                  <w:r>
                    <w:rPr>
                      <w:rFonts w:hint="eastAsia"/>
                    </w:rPr>
                    <w:t>43</w:t>
                  </w:r>
                </w:p>
              </w:tc>
              <w:tc>
                <w:tcPr>
                  <w:tcW w:w="1904" w:type="dxa"/>
                  <w:vAlign w:val="center"/>
                </w:tcPr>
                <w:p>
                  <w:pPr>
                    <w:pStyle w:val="13"/>
                  </w:pPr>
                  <w:r>
                    <w:rPr>
                      <w:rFonts w:hint="eastAsia"/>
                    </w:rPr>
                    <w:t>二苯并[a,h]蒽</w:t>
                  </w:r>
                </w:p>
              </w:tc>
              <w:tc>
                <w:tcPr>
                  <w:tcW w:w="1226" w:type="dxa"/>
                  <w:vAlign w:val="center"/>
                </w:tcPr>
                <w:p>
                  <w:pPr>
                    <w:pStyle w:val="13"/>
                  </w:pPr>
                  <w:r>
                    <w:rPr>
                      <w:rFonts w:hint="eastAsia"/>
                      <w:bCs w:val="0"/>
                      <w:szCs w:val="21"/>
                    </w:rPr>
                    <w:t>2</w:t>
                  </w:r>
                  <w:r>
                    <w:rPr>
                      <w:bCs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760" w:type="dxa"/>
                  <w:vAlign w:val="center"/>
                </w:tcPr>
                <w:p>
                  <w:pPr>
                    <w:pStyle w:val="13"/>
                  </w:pPr>
                  <w:r>
                    <w:rPr>
                      <w:rFonts w:hint="eastAsia"/>
                    </w:rPr>
                    <w:t>21</w:t>
                  </w:r>
                </w:p>
              </w:tc>
              <w:tc>
                <w:tcPr>
                  <w:tcW w:w="1693" w:type="dxa"/>
                  <w:vAlign w:val="center"/>
                </w:tcPr>
                <w:p>
                  <w:pPr>
                    <w:pStyle w:val="13"/>
                  </w:pPr>
                  <w:r>
                    <w:rPr>
                      <w:rFonts w:hint="eastAsia"/>
                    </w:rPr>
                    <w:t>1,1,1-三氯乙烷</w:t>
                  </w:r>
                </w:p>
              </w:tc>
              <w:tc>
                <w:tcPr>
                  <w:tcW w:w="1413" w:type="dxa"/>
                  <w:vAlign w:val="center"/>
                </w:tcPr>
                <w:p>
                  <w:pPr>
                    <w:pStyle w:val="13"/>
                  </w:pPr>
                  <w:r>
                    <w:rPr>
                      <w:rFonts w:hint="eastAsia"/>
                      <w:bCs w:val="0"/>
                      <w:szCs w:val="21"/>
                    </w:rPr>
                    <w:t>7</w:t>
                  </w:r>
                  <w:r>
                    <w:rPr>
                      <w:bCs w:val="0"/>
                      <w:szCs w:val="21"/>
                    </w:rPr>
                    <w:t>01</w:t>
                  </w:r>
                </w:p>
              </w:tc>
              <w:tc>
                <w:tcPr>
                  <w:tcW w:w="868" w:type="dxa"/>
                  <w:vAlign w:val="center"/>
                </w:tcPr>
                <w:p>
                  <w:pPr>
                    <w:pStyle w:val="13"/>
                  </w:pPr>
                  <w:r>
                    <w:rPr>
                      <w:rFonts w:hint="eastAsia"/>
                    </w:rPr>
                    <w:t>44</w:t>
                  </w:r>
                </w:p>
              </w:tc>
              <w:tc>
                <w:tcPr>
                  <w:tcW w:w="1904" w:type="dxa"/>
                  <w:vAlign w:val="center"/>
                </w:tcPr>
                <w:p>
                  <w:pPr>
                    <w:pStyle w:val="13"/>
                  </w:pPr>
                  <w:r>
                    <w:rPr>
                      <w:rFonts w:hint="eastAsia"/>
                    </w:rPr>
                    <w:t>并[1,2,3-cd]芘</w:t>
                  </w:r>
                </w:p>
              </w:tc>
              <w:tc>
                <w:tcPr>
                  <w:tcW w:w="1226" w:type="dxa"/>
                  <w:vAlign w:val="center"/>
                </w:tcPr>
                <w:p>
                  <w:pPr>
                    <w:pStyle w:val="13"/>
                  </w:pPr>
                  <w:r>
                    <w:rPr>
                      <w:rFonts w:hint="eastAsia"/>
                      <w:bCs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22</w:t>
                  </w:r>
                </w:p>
              </w:tc>
              <w:tc>
                <w:tcPr>
                  <w:tcW w:w="1693" w:type="dxa"/>
                  <w:vAlign w:val="center"/>
                </w:tcPr>
                <w:p>
                  <w:pPr>
                    <w:pStyle w:val="13"/>
                  </w:pPr>
                  <w:r>
                    <w:rPr>
                      <w:rFonts w:hint="eastAsia"/>
                    </w:rPr>
                    <w:t>1,1,2-三氯乙烷</w:t>
                  </w:r>
                </w:p>
              </w:tc>
              <w:tc>
                <w:tcPr>
                  <w:tcW w:w="1413" w:type="dxa"/>
                  <w:vAlign w:val="center"/>
                </w:tcPr>
                <w:p>
                  <w:pPr>
                    <w:pStyle w:val="13"/>
                  </w:pPr>
                  <w:r>
                    <w:rPr>
                      <w:rFonts w:hint="eastAsia"/>
                      <w:bCs w:val="0"/>
                      <w:szCs w:val="21"/>
                    </w:rPr>
                    <w:t>0</w:t>
                  </w:r>
                  <w:r>
                    <w:rPr>
                      <w:bCs w:val="0"/>
                      <w:szCs w:val="21"/>
                    </w:rPr>
                    <w:t>.6</w:t>
                  </w:r>
                </w:p>
              </w:tc>
              <w:tc>
                <w:tcPr>
                  <w:tcW w:w="868" w:type="dxa"/>
                  <w:vAlign w:val="center"/>
                </w:tcPr>
                <w:p>
                  <w:pPr>
                    <w:pStyle w:val="13"/>
                  </w:pPr>
                  <w:r>
                    <w:rPr>
                      <w:rFonts w:hint="eastAsia"/>
                    </w:rPr>
                    <w:t>45</w:t>
                  </w:r>
                </w:p>
              </w:tc>
              <w:tc>
                <w:tcPr>
                  <w:tcW w:w="1904" w:type="dxa"/>
                  <w:vAlign w:val="center"/>
                </w:tcPr>
                <w:p>
                  <w:pPr>
                    <w:pStyle w:val="13"/>
                  </w:pPr>
                  <w:r>
                    <w:rPr>
                      <w:rFonts w:hint="eastAsia"/>
                    </w:rPr>
                    <w:t>萘</w:t>
                  </w:r>
                </w:p>
              </w:tc>
              <w:tc>
                <w:tcPr>
                  <w:tcW w:w="1226" w:type="dxa"/>
                  <w:vAlign w:val="center"/>
                </w:tcPr>
                <w:p>
                  <w:pPr>
                    <w:pStyle w:val="13"/>
                  </w:pPr>
                  <w:r>
                    <w:rPr>
                      <w:rFonts w:hint="eastAsia"/>
                      <w:bCs w:val="0"/>
                      <w:szCs w:val="21"/>
                    </w:rPr>
                    <w:t>6</w:t>
                  </w:r>
                  <w:r>
                    <w:rPr>
                      <w:bCs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60" w:type="dxa"/>
                  <w:vAlign w:val="center"/>
                </w:tcPr>
                <w:p>
                  <w:pPr>
                    <w:pStyle w:val="13"/>
                  </w:pPr>
                  <w:r>
                    <w:rPr>
                      <w:rFonts w:hint="eastAsia"/>
                    </w:rPr>
                    <w:t>23</w:t>
                  </w:r>
                </w:p>
              </w:tc>
              <w:tc>
                <w:tcPr>
                  <w:tcW w:w="1693" w:type="dxa"/>
                  <w:vAlign w:val="center"/>
                </w:tcPr>
                <w:p>
                  <w:pPr>
                    <w:pStyle w:val="13"/>
                  </w:pPr>
                  <w:r>
                    <w:rPr>
                      <w:rFonts w:hint="eastAsia"/>
                    </w:rPr>
                    <w:t>三氯乙烯</w:t>
                  </w:r>
                </w:p>
              </w:tc>
              <w:tc>
                <w:tcPr>
                  <w:tcW w:w="1413" w:type="dxa"/>
                  <w:vAlign w:val="center"/>
                </w:tcPr>
                <w:p>
                  <w:pPr>
                    <w:pStyle w:val="13"/>
                  </w:pPr>
                  <w:r>
                    <w:rPr>
                      <w:rFonts w:hint="eastAsia"/>
                      <w:bCs w:val="0"/>
                      <w:szCs w:val="21"/>
                    </w:rPr>
                    <w:t>0</w:t>
                  </w:r>
                  <w:r>
                    <w:rPr>
                      <w:bCs w:val="0"/>
                      <w:szCs w:val="21"/>
                    </w:rPr>
                    <w:t>.7</w:t>
                  </w:r>
                </w:p>
              </w:tc>
              <w:tc>
                <w:tcPr>
                  <w:tcW w:w="868" w:type="dxa"/>
                  <w:vAlign w:val="center"/>
                </w:tcPr>
                <w:p>
                  <w:pPr>
                    <w:pStyle w:val="13"/>
                  </w:pPr>
                  <w:r>
                    <w:rPr>
                      <w:rFonts w:hint="eastAsia"/>
                    </w:rPr>
                    <w:t>——</w:t>
                  </w:r>
                </w:p>
              </w:tc>
              <w:tc>
                <w:tcPr>
                  <w:tcW w:w="1904" w:type="dxa"/>
                  <w:vAlign w:val="center"/>
                </w:tcPr>
                <w:p>
                  <w:pPr>
                    <w:pStyle w:val="13"/>
                  </w:pPr>
                  <w:r>
                    <w:rPr>
                      <w:rFonts w:hint="eastAsia"/>
                    </w:rPr>
                    <w:t>——</w:t>
                  </w:r>
                </w:p>
              </w:tc>
              <w:tc>
                <w:tcPr>
                  <w:tcW w:w="1226" w:type="dxa"/>
                  <w:vAlign w:val="center"/>
                </w:tcPr>
                <w:p>
                  <w:pPr>
                    <w:pStyle w:val="13"/>
                  </w:pPr>
                  <w:r>
                    <w:rPr>
                      <w:rFonts w:hint="eastAsia"/>
                    </w:rPr>
                    <w:t>——</w:t>
                  </w:r>
                </w:p>
              </w:tc>
            </w:tr>
          </w:tbl>
          <w:p>
            <w:pPr>
              <w:pStyle w:val="42"/>
            </w:pPr>
          </w:p>
          <w:p>
            <w:pPr>
              <w:pStyle w:val="2"/>
              <w:spacing w:line="360" w:lineRule="auto"/>
              <w:rPr>
                <w:b w:val="0"/>
              </w:rPr>
            </w:pPr>
            <w:r>
              <w:rPr>
                <w:rFonts w:hint="eastAsia"/>
                <w:b w:val="0"/>
              </w:rPr>
              <w:t>表3</w:t>
            </w:r>
            <w:r>
              <w:rPr>
                <w:b w:val="0"/>
              </w:rPr>
              <w:t xml:space="preserve">-24 </w:t>
            </w:r>
            <w:r>
              <w:rPr>
                <w:rFonts w:hint="eastAsia"/>
                <w:b w:val="0"/>
              </w:rPr>
              <w:t xml:space="preserve"> GB15618-2018表1中风险筛选值</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30"/>
              <w:gridCol w:w="914"/>
              <w:gridCol w:w="1039"/>
              <w:gridCol w:w="1429"/>
              <w:gridCol w:w="1429"/>
              <w:gridCol w:w="1429"/>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0" w:hRule="atLeast"/>
                <w:jc w:val="center"/>
              </w:trPr>
              <w:tc>
                <w:tcPr>
                  <w:tcW w:w="562" w:type="dxa"/>
                  <w:vMerge w:val="restart"/>
                  <w:shd w:val="clear" w:color="auto" w:fill="auto"/>
                  <w:vAlign w:val="center"/>
                </w:tcPr>
                <w:p>
                  <w:pPr>
                    <w:pStyle w:val="13"/>
                  </w:pPr>
                  <w:r>
                    <w:rPr>
                      <w:rFonts w:hint="eastAsia"/>
                    </w:rPr>
                    <w:t>序号</w:t>
                  </w:r>
                </w:p>
              </w:tc>
              <w:tc>
                <w:tcPr>
                  <w:tcW w:w="2127" w:type="dxa"/>
                  <w:gridSpan w:val="2"/>
                  <w:vMerge w:val="restart"/>
                  <w:shd w:val="clear" w:color="auto" w:fill="auto"/>
                  <w:vAlign w:val="center"/>
                </w:tcPr>
                <w:p>
                  <w:pPr>
                    <w:pStyle w:val="13"/>
                  </w:pPr>
                  <w:r>
                    <w:rPr>
                      <w:rFonts w:hint="eastAsia"/>
                    </w:rPr>
                    <w:t>污染物项目</w:t>
                  </w:r>
                </w:p>
              </w:tc>
              <w:tc>
                <w:tcPr>
                  <w:tcW w:w="6111" w:type="dxa"/>
                  <w:gridSpan w:val="4"/>
                  <w:shd w:val="clear" w:color="auto" w:fill="auto"/>
                  <w:vAlign w:val="center"/>
                </w:tcPr>
                <w:p>
                  <w:pPr>
                    <w:pStyle w:val="13"/>
                  </w:pPr>
                  <w:r>
                    <w:rPr>
                      <w:rFonts w:hint="eastAsia"/>
                    </w:rPr>
                    <w:t>风险筛选值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jc w:val="center"/>
              </w:trPr>
              <w:tc>
                <w:tcPr>
                  <w:tcW w:w="562" w:type="dxa"/>
                  <w:vMerge w:val="continue"/>
                  <w:shd w:val="clear" w:color="auto" w:fill="auto"/>
                  <w:vAlign w:val="center"/>
                </w:tcPr>
                <w:p>
                  <w:pPr>
                    <w:pStyle w:val="13"/>
                  </w:pPr>
                </w:p>
              </w:tc>
              <w:tc>
                <w:tcPr>
                  <w:tcW w:w="2127" w:type="dxa"/>
                  <w:gridSpan w:val="2"/>
                  <w:vMerge w:val="continue"/>
                  <w:shd w:val="clear" w:color="auto" w:fill="auto"/>
                  <w:vAlign w:val="center"/>
                </w:tcPr>
                <w:p>
                  <w:pPr>
                    <w:pStyle w:val="13"/>
                  </w:pPr>
                </w:p>
              </w:tc>
              <w:tc>
                <w:tcPr>
                  <w:tcW w:w="1559" w:type="dxa"/>
                  <w:shd w:val="clear" w:color="auto" w:fill="auto"/>
                  <w:vAlign w:val="center"/>
                </w:tcPr>
                <w:p>
                  <w:pPr>
                    <w:pStyle w:val="13"/>
                  </w:pPr>
                  <w:r>
                    <w:rPr>
                      <w:rFonts w:hint="eastAsia"/>
                    </w:rPr>
                    <w:t>p</w:t>
                  </w:r>
                  <w:r>
                    <w:t>H</w:t>
                  </w:r>
                  <w:r>
                    <w:rPr>
                      <w:rFonts w:hint="eastAsia"/>
                    </w:rPr>
                    <w:t>≤5.5</w:t>
                  </w:r>
                </w:p>
              </w:tc>
              <w:tc>
                <w:tcPr>
                  <w:tcW w:w="1559" w:type="dxa"/>
                  <w:shd w:val="clear" w:color="auto" w:fill="auto"/>
                  <w:vAlign w:val="center"/>
                </w:tcPr>
                <w:p>
                  <w:pPr>
                    <w:pStyle w:val="13"/>
                  </w:pPr>
                  <w:r>
                    <w:rPr>
                      <w:rFonts w:hint="eastAsia"/>
                    </w:rPr>
                    <w:t>5.5＜p</w:t>
                  </w:r>
                  <w:r>
                    <w:t>H</w:t>
                  </w:r>
                  <w:r>
                    <w:rPr>
                      <w:rFonts w:hint="eastAsia"/>
                    </w:rPr>
                    <w:t>≤6.5</w:t>
                  </w:r>
                </w:p>
              </w:tc>
              <w:tc>
                <w:tcPr>
                  <w:tcW w:w="1559" w:type="dxa"/>
                  <w:shd w:val="clear" w:color="auto" w:fill="auto"/>
                  <w:vAlign w:val="center"/>
                </w:tcPr>
                <w:p>
                  <w:pPr>
                    <w:pStyle w:val="13"/>
                  </w:pPr>
                  <w:r>
                    <w:rPr>
                      <w:rFonts w:hint="eastAsia"/>
                    </w:rPr>
                    <w:t>6.5＜p</w:t>
                  </w:r>
                  <w:r>
                    <w:t>H</w:t>
                  </w:r>
                  <w:r>
                    <w:rPr>
                      <w:rFonts w:hint="eastAsia"/>
                    </w:rPr>
                    <w:t>≤7.5</w:t>
                  </w:r>
                </w:p>
              </w:tc>
              <w:tc>
                <w:tcPr>
                  <w:tcW w:w="1434" w:type="dxa"/>
                  <w:shd w:val="clear" w:color="auto" w:fill="auto"/>
                  <w:vAlign w:val="center"/>
                </w:tcPr>
                <w:p>
                  <w:pPr>
                    <w:pStyle w:val="13"/>
                  </w:pPr>
                  <w:r>
                    <w:rPr>
                      <w:rFonts w:hint="eastAsia"/>
                    </w:rPr>
                    <w:t>p</w:t>
                  </w:r>
                  <w:r>
                    <w:t>H</w:t>
                  </w:r>
                  <w:r>
                    <w:rPr>
                      <w:rFonts w:hint="eastAsia"/>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shd w:val="clear" w:color="auto" w:fill="auto"/>
                  <w:vAlign w:val="center"/>
                </w:tcPr>
                <w:p>
                  <w:pPr>
                    <w:pStyle w:val="13"/>
                  </w:pPr>
                  <w:r>
                    <w:rPr>
                      <w:rFonts w:hint="eastAsia"/>
                    </w:rPr>
                    <w:t>1</w:t>
                  </w:r>
                </w:p>
              </w:tc>
              <w:tc>
                <w:tcPr>
                  <w:tcW w:w="993" w:type="dxa"/>
                  <w:vMerge w:val="restart"/>
                  <w:shd w:val="clear" w:color="auto" w:fill="auto"/>
                  <w:vAlign w:val="center"/>
                </w:tcPr>
                <w:p>
                  <w:pPr>
                    <w:pStyle w:val="13"/>
                  </w:pPr>
                  <w:r>
                    <w:t>镉</w:t>
                  </w:r>
                </w:p>
              </w:tc>
              <w:tc>
                <w:tcPr>
                  <w:tcW w:w="1134" w:type="dxa"/>
                  <w:shd w:val="clear" w:color="auto" w:fill="auto"/>
                  <w:vAlign w:val="center"/>
                </w:tcPr>
                <w:p>
                  <w:pPr>
                    <w:pStyle w:val="13"/>
                  </w:pPr>
                  <w:r>
                    <w:rPr>
                      <w:rFonts w:hint="eastAsia"/>
                    </w:rPr>
                    <w:t>水田</w:t>
                  </w:r>
                </w:p>
              </w:tc>
              <w:tc>
                <w:tcPr>
                  <w:tcW w:w="1559" w:type="dxa"/>
                  <w:shd w:val="clear" w:color="auto" w:fill="auto"/>
                  <w:vAlign w:val="center"/>
                </w:tcPr>
                <w:p>
                  <w:pPr>
                    <w:pStyle w:val="13"/>
                  </w:pPr>
                  <w:r>
                    <w:rPr>
                      <w:rFonts w:hint="eastAsia"/>
                    </w:rPr>
                    <w:t>0.3</w:t>
                  </w:r>
                </w:p>
              </w:tc>
              <w:tc>
                <w:tcPr>
                  <w:tcW w:w="1559" w:type="dxa"/>
                  <w:shd w:val="clear" w:color="auto" w:fill="auto"/>
                  <w:vAlign w:val="center"/>
                </w:tcPr>
                <w:p>
                  <w:pPr>
                    <w:pStyle w:val="13"/>
                  </w:pPr>
                  <w:r>
                    <w:rPr>
                      <w:rFonts w:hint="eastAsia"/>
                    </w:rPr>
                    <w:t>0.4</w:t>
                  </w:r>
                </w:p>
              </w:tc>
              <w:tc>
                <w:tcPr>
                  <w:tcW w:w="1559" w:type="dxa"/>
                  <w:shd w:val="clear" w:color="auto" w:fill="auto"/>
                  <w:vAlign w:val="center"/>
                </w:tcPr>
                <w:p>
                  <w:pPr>
                    <w:pStyle w:val="13"/>
                  </w:pPr>
                  <w:r>
                    <w:rPr>
                      <w:rFonts w:hint="eastAsia"/>
                    </w:rPr>
                    <w:t>0.6</w:t>
                  </w:r>
                </w:p>
              </w:tc>
              <w:tc>
                <w:tcPr>
                  <w:tcW w:w="1434" w:type="dxa"/>
                  <w:shd w:val="clear" w:color="auto" w:fill="auto"/>
                  <w:vAlign w:val="center"/>
                </w:tcPr>
                <w:p>
                  <w:pPr>
                    <w:pStyle w:val="13"/>
                  </w:pPr>
                  <w:r>
                    <w:rPr>
                      <w:rFonts w:hint="eastAsi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shd w:val="clear" w:color="auto" w:fill="auto"/>
                  <w:vAlign w:val="center"/>
                </w:tcPr>
                <w:p>
                  <w:pPr>
                    <w:pStyle w:val="13"/>
                  </w:pPr>
                </w:p>
              </w:tc>
              <w:tc>
                <w:tcPr>
                  <w:tcW w:w="993" w:type="dxa"/>
                  <w:vMerge w:val="continue"/>
                  <w:shd w:val="clear" w:color="auto" w:fill="auto"/>
                  <w:vAlign w:val="center"/>
                </w:tcPr>
                <w:p>
                  <w:pPr>
                    <w:pStyle w:val="13"/>
                  </w:pPr>
                </w:p>
              </w:tc>
              <w:tc>
                <w:tcPr>
                  <w:tcW w:w="1134" w:type="dxa"/>
                  <w:shd w:val="clear" w:color="auto" w:fill="auto"/>
                  <w:vAlign w:val="center"/>
                </w:tcPr>
                <w:p>
                  <w:pPr>
                    <w:pStyle w:val="13"/>
                  </w:pPr>
                  <w:r>
                    <w:rPr>
                      <w:rFonts w:hint="eastAsia"/>
                    </w:rPr>
                    <w:t>其他</w:t>
                  </w:r>
                </w:p>
              </w:tc>
              <w:tc>
                <w:tcPr>
                  <w:tcW w:w="1559" w:type="dxa"/>
                  <w:shd w:val="clear" w:color="auto" w:fill="auto"/>
                  <w:vAlign w:val="center"/>
                </w:tcPr>
                <w:p>
                  <w:pPr>
                    <w:pStyle w:val="13"/>
                  </w:pPr>
                  <w:r>
                    <w:rPr>
                      <w:rFonts w:hint="eastAsia"/>
                    </w:rPr>
                    <w:t>0.3</w:t>
                  </w:r>
                </w:p>
              </w:tc>
              <w:tc>
                <w:tcPr>
                  <w:tcW w:w="1559" w:type="dxa"/>
                  <w:shd w:val="clear" w:color="auto" w:fill="auto"/>
                  <w:vAlign w:val="center"/>
                </w:tcPr>
                <w:p>
                  <w:pPr>
                    <w:pStyle w:val="13"/>
                  </w:pPr>
                  <w:r>
                    <w:rPr>
                      <w:rFonts w:hint="eastAsia"/>
                    </w:rPr>
                    <w:t>0.3</w:t>
                  </w:r>
                </w:p>
              </w:tc>
              <w:tc>
                <w:tcPr>
                  <w:tcW w:w="1559" w:type="dxa"/>
                  <w:shd w:val="clear" w:color="auto" w:fill="auto"/>
                  <w:vAlign w:val="center"/>
                </w:tcPr>
                <w:p>
                  <w:pPr>
                    <w:pStyle w:val="13"/>
                  </w:pPr>
                  <w:r>
                    <w:rPr>
                      <w:rFonts w:hint="eastAsia"/>
                    </w:rPr>
                    <w:t>0.3</w:t>
                  </w:r>
                </w:p>
              </w:tc>
              <w:tc>
                <w:tcPr>
                  <w:tcW w:w="1434" w:type="dxa"/>
                  <w:shd w:val="clear" w:color="auto" w:fill="auto"/>
                  <w:vAlign w:val="center"/>
                </w:tcPr>
                <w:p>
                  <w:pPr>
                    <w:pStyle w:val="13"/>
                  </w:pPr>
                  <w:r>
                    <w:rPr>
                      <w:rFonts w:hint="eastAsi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shd w:val="clear" w:color="auto" w:fill="auto"/>
                  <w:vAlign w:val="center"/>
                </w:tcPr>
                <w:p>
                  <w:pPr>
                    <w:pStyle w:val="13"/>
                  </w:pPr>
                  <w:r>
                    <w:rPr>
                      <w:rFonts w:hint="eastAsia"/>
                    </w:rPr>
                    <w:t>2</w:t>
                  </w:r>
                </w:p>
              </w:tc>
              <w:tc>
                <w:tcPr>
                  <w:tcW w:w="993" w:type="dxa"/>
                  <w:vMerge w:val="restart"/>
                  <w:shd w:val="clear" w:color="auto" w:fill="auto"/>
                  <w:vAlign w:val="center"/>
                </w:tcPr>
                <w:p>
                  <w:pPr>
                    <w:pStyle w:val="13"/>
                  </w:pPr>
                  <w:r>
                    <w:rPr>
                      <w:rFonts w:hint="eastAsia"/>
                    </w:rPr>
                    <w:t>汞</w:t>
                  </w:r>
                </w:p>
              </w:tc>
              <w:tc>
                <w:tcPr>
                  <w:tcW w:w="1134" w:type="dxa"/>
                  <w:shd w:val="clear" w:color="auto" w:fill="auto"/>
                  <w:vAlign w:val="center"/>
                </w:tcPr>
                <w:p>
                  <w:pPr>
                    <w:pStyle w:val="13"/>
                  </w:pPr>
                  <w:r>
                    <w:rPr>
                      <w:rFonts w:hint="eastAsia"/>
                    </w:rPr>
                    <w:t>水田</w:t>
                  </w:r>
                </w:p>
              </w:tc>
              <w:tc>
                <w:tcPr>
                  <w:tcW w:w="1559" w:type="dxa"/>
                  <w:shd w:val="clear" w:color="auto" w:fill="auto"/>
                  <w:vAlign w:val="center"/>
                </w:tcPr>
                <w:p>
                  <w:pPr>
                    <w:pStyle w:val="13"/>
                  </w:pPr>
                  <w:r>
                    <w:rPr>
                      <w:rFonts w:hint="eastAsia"/>
                    </w:rPr>
                    <w:t>0.5</w:t>
                  </w:r>
                </w:p>
              </w:tc>
              <w:tc>
                <w:tcPr>
                  <w:tcW w:w="1559" w:type="dxa"/>
                  <w:shd w:val="clear" w:color="auto" w:fill="auto"/>
                  <w:vAlign w:val="center"/>
                </w:tcPr>
                <w:p>
                  <w:pPr>
                    <w:pStyle w:val="13"/>
                  </w:pPr>
                  <w:r>
                    <w:rPr>
                      <w:rFonts w:hint="eastAsia"/>
                    </w:rPr>
                    <w:t>0.5</w:t>
                  </w:r>
                </w:p>
              </w:tc>
              <w:tc>
                <w:tcPr>
                  <w:tcW w:w="1559" w:type="dxa"/>
                  <w:shd w:val="clear" w:color="auto" w:fill="auto"/>
                  <w:vAlign w:val="center"/>
                </w:tcPr>
                <w:p>
                  <w:pPr>
                    <w:pStyle w:val="13"/>
                  </w:pPr>
                  <w:r>
                    <w:rPr>
                      <w:rFonts w:hint="eastAsia"/>
                    </w:rPr>
                    <w:t>0.6</w:t>
                  </w:r>
                </w:p>
              </w:tc>
              <w:tc>
                <w:tcPr>
                  <w:tcW w:w="1434" w:type="dxa"/>
                  <w:shd w:val="clear" w:color="auto" w:fill="auto"/>
                  <w:vAlign w:val="center"/>
                </w:tcPr>
                <w:p>
                  <w:pPr>
                    <w:pStyle w:val="13"/>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shd w:val="clear" w:color="auto" w:fill="auto"/>
                  <w:vAlign w:val="center"/>
                </w:tcPr>
                <w:p>
                  <w:pPr>
                    <w:pStyle w:val="13"/>
                  </w:pPr>
                </w:p>
              </w:tc>
              <w:tc>
                <w:tcPr>
                  <w:tcW w:w="993" w:type="dxa"/>
                  <w:vMerge w:val="continue"/>
                  <w:shd w:val="clear" w:color="auto" w:fill="auto"/>
                  <w:vAlign w:val="center"/>
                </w:tcPr>
                <w:p>
                  <w:pPr>
                    <w:pStyle w:val="13"/>
                  </w:pPr>
                </w:p>
              </w:tc>
              <w:tc>
                <w:tcPr>
                  <w:tcW w:w="1134" w:type="dxa"/>
                  <w:shd w:val="clear" w:color="auto" w:fill="auto"/>
                  <w:vAlign w:val="center"/>
                </w:tcPr>
                <w:p>
                  <w:pPr>
                    <w:pStyle w:val="13"/>
                  </w:pPr>
                  <w:r>
                    <w:rPr>
                      <w:rFonts w:hint="eastAsia"/>
                    </w:rPr>
                    <w:t>其他</w:t>
                  </w:r>
                </w:p>
              </w:tc>
              <w:tc>
                <w:tcPr>
                  <w:tcW w:w="1559" w:type="dxa"/>
                  <w:shd w:val="clear" w:color="auto" w:fill="auto"/>
                  <w:vAlign w:val="center"/>
                </w:tcPr>
                <w:p>
                  <w:pPr>
                    <w:pStyle w:val="13"/>
                  </w:pPr>
                  <w:r>
                    <w:rPr>
                      <w:rFonts w:hint="eastAsia"/>
                    </w:rPr>
                    <w:t>1.3</w:t>
                  </w:r>
                </w:p>
              </w:tc>
              <w:tc>
                <w:tcPr>
                  <w:tcW w:w="1559" w:type="dxa"/>
                  <w:shd w:val="clear" w:color="auto" w:fill="auto"/>
                  <w:vAlign w:val="center"/>
                </w:tcPr>
                <w:p>
                  <w:pPr>
                    <w:pStyle w:val="13"/>
                  </w:pPr>
                  <w:r>
                    <w:rPr>
                      <w:rFonts w:hint="eastAsia"/>
                    </w:rPr>
                    <w:t>1.8</w:t>
                  </w:r>
                </w:p>
              </w:tc>
              <w:tc>
                <w:tcPr>
                  <w:tcW w:w="1559" w:type="dxa"/>
                  <w:shd w:val="clear" w:color="auto" w:fill="auto"/>
                  <w:vAlign w:val="center"/>
                </w:tcPr>
                <w:p>
                  <w:pPr>
                    <w:pStyle w:val="13"/>
                  </w:pPr>
                  <w:r>
                    <w:rPr>
                      <w:rFonts w:hint="eastAsia"/>
                    </w:rPr>
                    <w:t>2.4</w:t>
                  </w:r>
                </w:p>
              </w:tc>
              <w:tc>
                <w:tcPr>
                  <w:tcW w:w="1434" w:type="dxa"/>
                  <w:shd w:val="clear" w:color="auto" w:fill="auto"/>
                  <w:vAlign w:val="center"/>
                </w:tcPr>
                <w:p>
                  <w:pPr>
                    <w:pStyle w:val="13"/>
                  </w:pPr>
                  <w:r>
                    <w:rPr>
                      <w:rFonts w:hint="eastAsia"/>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shd w:val="clear" w:color="auto" w:fill="auto"/>
                  <w:vAlign w:val="center"/>
                </w:tcPr>
                <w:p>
                  <w:pPr>
                    <w:pStyle w:val="13"/>
                  </w:pPr>
                  <w:r>
                    <w:rPr>
                      <w:rFonts w:hint="eastAsia"/>
                    </w:rPr>
                    <w:t>3</w:t>
                  </w:r>
                </w:p>
              </w:tc>
              <w:tc>
                <w:tcPr>
                  <w:tcW w:w="993" w:type="dxa"/>
                  <w:vMerge w:val="restart"/>
                  <w:shd w:val="clear" w:color="auto" w:fill="auto"/>
                  <w:vAlign w:val="center"/>
                </w:tcPr>
                <w:p>
                  <w:pPr>
                    <w:pStyle w:val="13"/>
                  </w:pPr>
                  <w:r>
                    <w:rPr>
                      <w:rFonts w:hint="eastAsia"/>
                    </w:rPr>
                    <w:t>砷</w:t>
                  </w:r>
                </w:p>
              </w:tc>
              <w:tc>
                <w:tcPr>
                  <w:tcW w:w="1134" w:type="dxa"/>
                  <w:shd w:val="clear" w:color="auto" w:fill="auto"/>
                  <w:vAlign w:val="center"/>
                </w:tcPr>
                <w:p>
                  <w:pPr>
                    <w:pStyle w:val="13"/>
                  </w:pPr>
                  <w:r>
                    <w:rPr>
                      <w:rFonts w:hint="eastAsia"/>
                    </w:rPr>
                    <w:t>水田</w:t>
                  </w:r>
                </w:p>
              </w:tc>
              <w:tc>
                <w:tcPr>
                  <w:tcW w:w="1559" w:type="dxa"/>
                  <w:shd w:val="clear" w:color="auto" w:fill="auto"/>
                  <w:vAlign w:val="center"/>
                </w:tcPr>
                <w:p>
                  <w:pPr>
                    <w:pStyle w:val="13"/>
                  </w:pPr>
                  <w:r>
                    <w:rPr>
                      <w:rFonts w:hint="eastAsia"/>
                    </w:rPr>
                    <w:t>30</w:t>
                  </w:r>
                </w:p>
              </w:tc>
              <w:tc>
                <w:tcPr>
                  <w:tcW w:w="1559" w:type="dxa"/>
                  <w:shd w:val="clear" w:color="auto" w:fill="auto"/>
                  <w:vAlign w:val="center"/>
                </w:tcPr>
                <w:p>
                  <w:pPr>
                    <w:pStyle w:val="13"/>
                  </w:pPr>
                  <w:r>
                    <w:rPr>
                      <w:rFonts w:hint="eastAsia"/>
                    </w:rPr>
                    <w:t>30</w:t>
                  </w:r>
                </w:p>
              </w:tc>
              <w:tc>
                <w:tcPr>
                  <w:tcW w:w="1559" w:type="dxa"/>
                  <w:shd w:val="clear" w:color="auto" w:fill="auto"/>
                  <w:vAlign w:val="center"/>
                </w:tcPr>
                <w:p>
                  <w:pPr>
                    <w:pStyle w:val="13"/>
                  </w:pPr>
                  <w:r>
                    <w:rPr>
                      <w:rFonts w:hint="eastAsia"/>
                    </w:rPr>
                    <w:t>25</w:t>
                  </w:r>
                </w:p>
              </w:tc>
              <w:tc>
                <w:tcPr>
                  <w:tcW w:w="1434" w:type="dxa"/>
                  <w:shd w:val="clear" w:color="auto" w:fill="auto"/>
                  <w:vAlign w:val="center"/>
                </w:tcPr>
                <w:p>
                  <w:pPr>
                    <w:pStyle w:val="13"/>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shd w:val="clear" w:color="auto" w:fill="auto"/>
                  <w:vAlign w:val="center"/>
                </w:tcPr>
                <w:p>
                  <w:pPr>
                    <w:pStyle w:val="13"/>
                  </w:pPr>
                </w:p>
              </w:tc>
              <w:tc>
                <w:tcPr>
                  <w:tcW w:w="993" w:type="dxa"/>
                  <w:vMerge w:val="continue"/>
                  <w:shd w:val="clear" w:color="auto" w:fill="auto"/>
                  <w:vAlign w:val="center"/>
                </w:tcPr>
                <w:p>
                  <w:pPr>
                    <w:pStyle w:val="13"/>
                  </w:pPr>
                </w:p>
              </w:tc>
              <w:tc>
                <w:tcPr>
                  <w:tcW w:w="1134" w:type="dxa"/>
                  <w:shd w:val="clear" w:color="auto" w:fill="auto"/>
                  <w:vAlign w:val="center"/>
                </w:tcPr>
                <w:p>
                  <w:pPr>
                    <w:pStyle w:val="13"/>
                  </w:pPr>
                  <w:r>
                    <w:rPr>
                      <w:rFonts w:hint="eastAsia"/>
                    </w:rPr>
                    <w:t>其他</w:t>
                  </w:r>
                </w:p>
              </w:tc>
              <w:tc>
                <w:tcPr>
                  <w:tcW w:w="1559" w:type="dxa"/>
                  <w:shd w:val="clear" w:color="auto" w:fill="auto"/>
                  <w:vAlign w:val="center"/>
                </w:tcPr>
                <w:p>
                  <w:pPr>
                    <w:pStyle w:val="13"/>
                  </w:pPr>
                  <w:r>
                    <w:rPr>
                      <w:rFonts w:hint="eastAsia"/>
                    </w:rPr>
                    <w:t>40</w:t>
                  </w:r>
                </w:p>
              </w:tc>
              <w:tc>
                <w:tcPr>
                  <w:tcW w:w="1559" w:type="dxa"/>
                  <w:shd w:val="clear" w:color="auto" w:fill="auto"/>
                  <w:vAlign w:val="center"/>
                </w:tcPr>
                <w:p>
                  <w:pPr>
                    <w:pStyle w:val="13"/>
                  </w:pPr>
                  <w:r>
                    <w:rPr>
                      <w:rFonts w:hint="eastAsia"/>
                    </w:rPr>
                    <w:t>40</w:t>
                  </w:r>
                </w:p>
              </w:tc>
              <w:tc>
                <w:tcPr>
                  <w:tcW w:w="1559" w:type="dxa"/>
                  <w:shd w:val="clear" w:color="auto" w:fill="auto"/>
                  <w:vAlign w:val="center"/>
                </w:tcPr>
                <w:p>
                  <w:pPr>
                    <w:pStyle w:val="13"/>
                  </w:pPr>
                  <w:r>
                    <w:rPr>
                      <w:rFonts w:hint="eastAsia"/>
                    </w:rPr>
                    <w:t>30</w:t>
                  </w:r>
                </w:p>
              </w:tc>
              <w:tc>
                <w:tcPr>
                  <w:tcW w:w="1434" w:type="dxa"/>
                  <w:shd w:val="clear" w:color="auto" w:fill="auto"/>
                  <w:vAlign w:val="center"/>
                </w:tcPr>
                <w:p>
                  <w:pPr>
                    <w:pStyle w:val="13"/>
                  </w:pPr>
                  <w:r>
                    <w:rPr>
                      <w:rFonts w:hint="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shd w:val="clear" w:color="auto" w:fill="auto"/>
                  <w:vAlign w:val="center"/>
                </w:tcPr>
                <w:p>
                  <w:pPr>
                    <w:pStyle w:val="13"/>
                  </w:pPr>
                  <w:r>
                    <w:rPr>
                      <w:rFonts w:hint="eastAsia"/>
                    </w:rPr>
                    <w:t>4</w:t>
                  </w:r>
                </w:p>
              </w:tc>
              <w:tc>
                <w:tcPr>
                  <w:tcW w:w="993" w:type="dxa"/>
                  <w:vMerge w:val="restart"/>
                  <w:shd w:val="clear" w:color="auto" w:fill="auto"/>
                  <w:vAlign w:val="center"/>
                </w:tcPr>
                <w:p>
                  <w:pPr>
                    <w:pStyle w:val="13"/>
                  </w:pPr>
                  <w:r>
                    <w:rPr>
                      <w:rFonts w:hint="eastAsia"/>
                    </w:rPr>
                    <w:t>铅</w:t>
                  </w:r>
                </w:p>
              </w:tc>
              <w:tc>
                <w:tcPr>
                  <w:tcW w:w="1134" w:type="dxa"/>
                  <w:shd w:val="clear" w:color="auto" w:fill="auto"/>
                  <w:vAlign w:val="center"/>
                </w:tcPr>
                <w:p>
                  <w:pPr>
                    <w:pStyle w:val="13"/>
                  </w:pPr>
                  <w:r>
                    <w:rPr>
                      <w:rFonts w:hint="eastAsia"/>
                    </w:rPr>
                    <w:t>水田</w:t>
                  </w:r>
                </w:p>
              </w:tc>
              <w:tc>
                <w:tcPr>
                  <w:tcW w:w="1559" w:type="dxa"/>
                  <w:shd w:val="clear" w:color="auto" w:fill="auto"/>
                  <w:vAlign w:val="center"/>
                </w:tcPr>
                <w:p>
                  <w:pPr>
                    <w:pStyle w:val="13"/>
                  </w:pPr>
                  <w:r>
                    <w:rPr>
                      <w:rFonts w:hint="eastAsia"/>
                    </w:rPr>
                    <w:t>80</w:t>
                  </w:r>
                </w:p>
              </w:tc>
              <w:tc>
                <w:tcPr>
                  <w:tcW w:w="1559" w:type="dxa"/>
                  <w:shd w:val="clear" w:color="auto" w:fill="auto"/>
                  <w:vAlign w:val="center"/>
                </w:tcPr>
                <w:p>
                  <w:pPr>
                    <w:pStyle w:val="13"/>
                  </w:pPr>
                  <w:r>
                    <w:rPr>
                      <w:rFonts w:hint="eastAsia"/>
                    </w:rPr>
                    <w:t>100</w:t>
                  </w:r>
                </w:p>
              </w:tc>
              <w:tc>
                <w:tcPr>
                  <w:tcW w:w="1559" w:type="dxa"/>
                  <w:shd w:val="clear" w:color="auto" w:fill="auto"/>
                  <w:vAlign w:val="center"/>
                </w:tcPr>
                <w:p>
                  <w:pPr>
                    <w:pStyle w:val="13"/>
                  </w:pPr>
                  <w:r>
                    <w:rPr>
                      <w:rFonts w:hint="eastAsia"/>
                    </w:rPr>
                    <w:t>140</w:t>
                  </w:r>
                </w:p>
              </w:tc>
              <w:tc>
                <w:tcPr>
                  <w:tcW w:w="1434" w:type="dxa"/>
                  <w:shd w:val="clear" w:color="auto" w:fill="auto"/>
                  <w:vAlign w:val="center"/>
                </w:tcPr>
                <w:p>
                  <w:pPr>
                    <w:pStyle w:val="13"/>
                  </w:pPr>
                  <w:r>
                    <w:rPr>
                      <w:rFonts w:hint="eastAsia"/>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shd w:val="clear" w:color="auto" w:fill="auto"/>
                  <w:vAlign w:val="center"/>
                </w:tcPr>
                <w:p>
                  <w:pPr>
                    <w:pStyle w:val="13"/>
                  </w:pPr>
                </w:p>
              </w:tc>
              <w:tc>
                <w:tcPr>
                  <w:tcW w:w="993" w:type="dxa"/>
                  <w:vMerge w:val="continue"/>
                  <w:shd w:val="clear" w:color="auto" w:fill="auto"/>
                  <w:vAlign w:val="center"/>
                </w:tcPr>
                <w:p>
                  <w:pPr>
                    <w:pStyle w:val="13"/>
                  </w:pPr>
                </w:p>
              </w:tc>
              <w:tc>
                <w:tcPr>
                  <w:tcW w:w="1134" w:type="dxa"/>
                  <w:shd w:val="clear" w:color="auto" w:fill="auto"/>
                  <w:vAlign w:val="center"/>
                </w:tcPr>
                <w:p>
                  <w:pPr>
                    <w:pStyle w:val="13"/>
                  </w:pPr>
                  <w:r>
                    <w:rPr>
                      <w:rFonts w:hint="eastAsia"/>
                    </w:rPr>
                    <w:t>其他</w:t>
                  </w:r>
                </w:p>
              </w:tc>
              <w:tc>
                <w:tcPr>
                  <w:tcW w:w="1559" w:type="dxa"/>
                  <w:shd w:val="clear" w:color="auto" w:fill="auto"/>
                  <w:vAlign w:val="center"/>
                </w:tcPr>
                <w:p>
                  <w:pPr>
                    <w:pStyle w:val="13"/>
                  </w:pPr>
                  <w:r>
                    <w:rPr>
                      <w:rFonts w:hint="eastAsia"/>
                    </w:rPr>
                    <w:t>70</w:t>
                  </w:r>
                </w:p>
              </w:tc>
              <w:tc>
                <w:tcPr>
                  <w:tcW w:w="1559" w:type="dxa"/>
                  <w:shd w:val="clear" w:color="auto" w:fill="auto"/>
                  <w:vAlign w:val="center"/>
                </w:tcPr>
                <w:p>
                  <w:pPr>
                    <w:pStyle w:val="13"/>
                  </w:pPr>
                  <w:r>
                    <w:rPr>
                      <w:rFonts w:hint="eastAsia"/>
                    </w:rPr>
                    <w:t>90</w:t>
                  </w:r>
                </w:p>
              </w:tc>
              <w:tc>
                <w:tcPr>
                  <w:tcW w:w="1559" w:type="dxa"/>
                  <w:shd w:val="clear" w:color="auto" w:fill="auto"/>
                  <w:vAlign w:val="center"/>
                </w:tcPr>
                <w:p>
                  <w:pPr>
                    <w:pStyle w:val="13"/>
                  </w:pPr>
                  <w:r>
                    <w:rPr>
                      <w:rFonts w:hint="eastAsia"/>
                    </w:rPr>
                    <w:t>120</w:t>
                  </w:r>
                </w:p>
              </w:tc>
              <w:tc>
                <w:tcPr>
                  <w:tcW w:w="1434" w:type="dxa"/>
                  <w:shd w:val="clear" w:color="auto" w:fill="auto"/>
                  <w:vAlign w:val="center"/>
                </w:tcPr>
                <w:p>
                  <w:pPr>
                    <w:pStyle w:val="13"/>
                  </w:pPr>
                  <w:r>
                    <w:rPr>
                      <w:rFonts w:hint="eastAsia"/>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shd w:val="clear" w:color="auto" w:fill="auto"/>
                  <w:vAlign w:val="center"/>
                </w:tcPr>
                <w:p>
                  <w:pPr>
                    <w:pStyle w:val="13"/>
                  </w:pPr>
                  <w:r>
                    <w:rPr>
                      <w:rFonts w:hint="eastAsia"/>
                    </w:rPr>
                    <w:t>5</w:t>
                  </w:r>
                </w:p>
              </w:tc>
              <w:tc>
                <w:tcPr>
                  <w:tcW w:w="993" w:type="dxa"/>
                  <w:vMerge w:val="restart"/>
                  <w:shd w:val="clear" w:color="auto" w:fill="auto"/>
                  <w:vAlign w:val="center"/>
                </w:tcPr>
                <w:p>
                  <w:pPr>
                    <w:pStyle w:val="13"/>
                  </w:pPr>
                  <w:r>
                    <w:rPr>
                      <w:rFonts w:hint="eastAsia"/>
                    </w:rPr>
                    <w:t>铬</w:t>
                  </w:r>
                </w:p>
              </w:tc>
              <w:tc>
                <w:tcPr>
                  <w:tcW w:w="1134" w:type="dxa"/>
                  <w:shd w:val="clear" w:color="auto" w:fill="auto"/>
                  <w:vAlign w:val="center"/>
                </w:tcPr>
                <w:p>
                  <w:pPr>
                    <w:pStyle w:val="13"/>
                  </w:pPr>
                  <w:r>
                    <w:rPr>
                      <w:rFonts w:hint="eastAsia"/>
                    </w:rPr>
                    <w:t>水田</w:t>
                  </w:r>
                </w:p>
              </w:tc>
              <w:tc>
                <w:tcPr>
                  <w:tcW w:w="1559" w:type="dxa"/>
                  <w:shd w:val="clear" w:color="auto" w:fill="auto"/>
                  <w:vAlign w:val="center"/>
                </w:tcPr>
                <w:p>
                  <w:pPr>
                    <w:pStyle w:val="13"/>
                  </w:pPr>
                  <w:r>
                    <w:rPr>
                      <w:rFonts w:hint="eastAsia"/>
                    </w:rPr>
                    <w:t>250</w:t>
                  </w:r>
                </w:p>
              </w:tc>
              <w:tc>
                <w:tcPr>
                  <w:tcW w:w="1559" w:type="dxa"/>
                  <w:shd w:val="clear" w:color="auto" w:fill="auto"/>
                  <w:vAlign w:val="center"/>
                </w:tcPr>
                <w:p>
                  <w:pPr>
                    <w:pStyle w:val="13"/>
                  </w:pPr>
                  <w:r>
                    <w:rPr>
                      <w:rFonts w:hint="eastAsia"/>
                    </w:rPr>
                    <w:t>250</w:t>
                  </w:r>
                </w:p>
              </w:tc>
              <w:tc>
                <w:tcPr>
                  <w:tcW w:w="1559" w:type="dxa"/>
                  <w:shd w:val="clear" w:color="auto" w:fill="auto"/>
                  <w:vAlign w:val="center"/>
                </w:tcPr>
                <w:p>
                  <w:pPr>
                    <w:pStyle w:val="13"/>
                  </w:pPr>
                  <w:r>
                    <w:rPr>
                      <w:rFonts w:hint="eastAsia"/>
                    </w:rPr>
                    <w:t>300</w:t>
                  </w:r>
                </w:p>
              </w:tc>
              <w:tc>
                <w:tcPr>
                  <w:tcW w:w="1434" w:type="dxa"/>
                  <w:shd w:val="clear" w:color="auto" w:fill="auto"/>
                  <w:vAlign w:val="center"/>
                </w:tcPr>
                <w:p>
                  <w:pPr>
                    <w:pStyle w:val="13"/>
                  </w:pPr>
                  <w:r>
                    <w:rPr>
                      <w:rFonts w:hint="eastAsia"/>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shd w:val="clear" w:color="auto" w:fill="auto"/>
                  <w:vAlign w:val="center"/>
                </w:tcPr>
                <w:p>
                  <w:pPr>
                    <w:pStyle w:val="13"/>
                  </w:pPr>
                </w:p>
              </w:tc>
              <w:tc>
                <w:tcPr>
                  <w:tcW w:w="993" w:type="dxa"/>
                  <w:vMerge w:val="continue"/>
                  <w:shd w:val="clear" w:color="auto" w:fill="auto"/>
                  <w:vAlign w:val="center"/>
                </w:tcPr>
                <w:p>
                  <w:pPr>
                    <w:pStyle w:val="13"/>
                  </w:pPr>
                </w:p>
              </w:tc>
              <w:tc>
                <w:tcPr>
                  <w:tcW w:w="1134" w:type="dxa"/>
                  <w:shd w:val="clear" w:color="auto" w:fill="auto"/>
                  <w:vAlign w:val="center"/>
                </w:tcPr>
                <w:p>
                  <w:pPr>
                    <w:pStyle w:val="13"/>
                  </w:pPr>
                  <w:r>
                    <w:rPr>
                      <w:rFonts w:hint="eastAsia"/>
                    </w:rPr>
                    <w:t>其他</w:t>
                  </w:r>
                </w:p>
              </w:tc>
              <w:tc>
                <w:tcPr>
                  <w:tcW w:w="1559" w:type="dxa"/>
                  <w:shd w:val="clear" w:color="auto" w:fill="auto"/>
                  <w:vAlign w:val="center"/>
                </w:tcPr>
                <w:p>
                  <w:pPr>
                    <w:pStyle w:val="13"/>
                  </w:pPr>
                  <w:r>
                    <w:rPr>
                      <w:rFonts w:hint="eastAsia"/>
                    </w:rPr>
                    <w:t>150</w:t>
                  </w:r>
                </w:p>
              </w:tc>
              <w:tc>
                <w:tcPr>
                  <w:tcW w:w="1559" w:type="dxa"/>
                  <w:shd w:val="clear" w:color="auto" w:fill="auto"/>
                  <w:vAlign w:val="center"/>
                </w:tcPr>
                <w:p>
                  <w:pPr>
                    <w:pStyle w:val="13"/>
                  </w:pPr>
                  <w:r>
                    <w:rPr>
                      <w:rFonts w:hint="eastAsia"/>
                    </w:rPr>
                    <w:t>150</w:t>
                  </w:r>
                </w:p>
              </w:tc>
              <w:tc>
                <w:tcPr>
                  <w:tcW w:w="1559" w:type="dxa"/>
                  <w:shd w:val="clear" w:color="auto" w:fill="auto"/>
                  <w:vAlign w:val="center"/>
                </w:tcPr>
                <w:p>
                  <w:pPr>
                    <w:pStyle w:val="13"/>
                  </w:pPr>
                  <w:r>
                    <w:rPr>
                      <w:rFonts w:hint="eastAsia"/>
                    </w:rPr>
                    <w:t>200</w:t>
                  </w:r>
                </w:p>
              </w:tc>
              <w:tc>
                <w:tcPr>
                  <w:tcW w:w="1434" w:type="dxa"/>
                  <w:shd w:val="clear" w:color="auto" w:fill="auto"/>
                  <w:vAlign w:val="center"/>
                </w:tcPr>
                <w:p>
                  <w:pPr>
                    <w:pStyle w:val="13"/>
                  </w:pPr>
                  <w:r>
                    <w:rPr>
                      <w:rFonts w:hint="eastAsia"/>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restart"/>
                  <w:shd w:val="clear" w:color="auto" w:fill="auto"/>
                  <w:vAlign w:val="center"/>
                </w:tcPr>
                <w:p>
                  <w:pPr>
                    <w:pStyle w:val="13"/>
                  </w:pPr>
                  <w:r>
                    <w:rPr>
                      <w:rFonts w:hint="eastAsia"/>
                    </w:rPr>
                    <w:t>6</w:t>
                  </w:r>
                </w:p>
              </w:tc>
              <w:tc>
                <w:tcPr>
                  <w:tcW w:w="993" w:type="dxa"/>
                  <w:vMerge w:val="restart"/>
                  <w:shd w:val="clear" w:color="auto" w:fill="auto"/>
                  <w:vAlign w:val="center"/>
                </w:tcPr>
                <w:p>
                  <w:pPr>
                    <w:pStyle w:val="13"/>
                  </w:pPr>
                  <w:r>
                    <w:rPr>
                      <w:rFonts w:hint="eastAsia"/>
                    </w:rPr>
                    <w:t>铜</w:t>
                  </w:r>
                </w:p>
              </w:tc>
              <w:tc>
                <w:tcPr>
                  <w:tcW w:w="1134" w:type="dxa"/>
                  <w:shd w:val="clear" w:color="auto" w:fill="auto"/>
                  <w:vAlign w:val="center"/>
                </w:tcPr>
                <w:p>
                  <w:pPr>
                    <w:pStyle w:val="13"/>
                  </w:pPr>
                  <w:r>
                    <w:rPr>
                      <w:rFonts w:hint="eastAsia"/>
                    </w:rPr>
                    <w:t>果园</w:t>
                  </w:r>
                </w:p>
              </w:tc>
              <w:tc>
                <w:tcPr>
                  <w:tcW w:w="1559" w:type="dxa"/>
                  <w:shd w:val="clear" w:color="auto" w:fill="auto"/>
                  <w:vAlign w:val="center"/>
                </w:tcPr>
                <w:p>
                  <w:pPr>
                    <w:pStyle w:val="13"/>
                  </w:pPr>
                  <w:r>
                    <w:rPr>
                      <w:rFonts w:hint="eastAsia"/>
                    </w:rPr>
                    <w:t>150</w:t>
                  </w:r>
                </w:p>
              </w:tc>
              <w:tc>
                <w:tcPr>
                  <w:tcW w:w="1559" w:type="dxa"/>
                  <w:shd w:val="clear" w:color="auto" w:fill="auto"/>
                  <w:vAlign w:val="center"/>
                </w:tcPr>
                <w:p>
                  <w:pPr>
                    <w:pStyle w:val="13"/>
                  </w:pPr>
                  <w:r>
                    <w:rPr>
                      <w:rFonts w:hint="eastAsia"/>
                    </w:rPr>
                    <w:t>150</w:t>
                  </w:r>
                </w:p>
              </w:tc>
              <w:tc>
                <w:tcPr>
                  <w:tcW w:w="1559" w:type="dxa"/>
                  <w:shd w:val="clear" w:color="auto" w:fill="auto"/>
                  <w:vAlign w:val="center"/>
                </w:tcPr>
                <w:p>
                  <w:pPr>
                    <w:pStyle w:val="13"/>
                  </w:pPr>
                  <w:r>
                    <w:rPr>
                      <w:rFonts w:hint="eastAsia"/>
                    </w:rPr>
                    <w:t>200</w:t>
                  </w:r>
                </w:p>
              </w:tc>
              <w:tc>
                <w:tcPr>
                  <w:tcW w:w="1434" w:type="dxa"/>
                  <w:shd w:val="clear" w:color="auto" w:fill="auto"/>
                  <w:vAlign w:val="center"/>
                </w:tcPr>
                <w:p>
                  <w:pPr>
                    <w:pStyle w:val="13"/>
                  </w:pPr>
                  <w:r>
                    <w:rPr>
                      <w:rFonts w:hint="eastAsi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vMerge w:val="continue"/>
                  <w:shd w:val="clear" w:color="auto" w:fill="auto"/>
                  <w:vAlign w:val="center"/>
                </w:tcPr>
                <w:p>
                  <w:pPr>
                    <w:pStyle w:val="13"/>
                  </w:pPr>
                </w:p>
              </w:tc>
              <w:tc>
                <w:tcPr>
                  <w:tcW w:w="993" w:type="dxa"/>
                  <w:vMerge w:val="continue"/>
                  <w:shd w:val="clear" w:color="auto" w:fill="auto"/>
                  <w:vAlign w:val="center"/>
                </w:tcPr>
                <w:p>
                  <w:pPr>
                    <w:pStyle w:val="13"/>
                  </w:pPr>
                </w:p>
              </w:tc>
              <w:tc>
                <w:tcPr>
                  <w:tcW w:w="1134" w:type="dxa"/>
                  <w:shd w:val="clear" w:color="auto" w:fill="auto"/>
                  <w:vAlign w:val="center"/>
                </w:tcPr>
                <w:p>
                  <w:pPr>
                    <w:pStyle w:val="13"/>
                  </w:pPr>
                  <w:r>
                    <w:rPr>
                      <w:rFonts w:hint="eastAsia"/>
                    </w:rPr>
                    <w:t>其他</w:t>
                  </w:r>
                </w:p>
              </w:tc>
              <w:tc>
                <w:tcPr>
                  <w:tcW w:w="1559" w:type="dxa"/>
                  <w:shd w:val="clear" w:color="auto" w:fill="auto"/>
                  <w:vAlign w:val="center"/>
                </w:tcPr>
                <w:p>
                  <w:pPr>
                    <w:pStyle w:val="13"/>
                  </w:pPr>
                  <w:r>
                    <w:rPr>
                      <w:rFonts w:hint="eastAsia"/>
                    </w:rPr>
                    <w:t>50</w:t>
                  </w:r>
                </w:p>
              </w:tc>
              <w:tc>
                <w:tcPr>
                  <w:tcW w:w="1559" w:type="dxa"/>
                  <w:shd w:val="clear" w:color="auto" w:fill="auto"/>
                  <w:vAlign w:val="center"/>
                </w:tcPr>
                <w:p>
                  <w:pPr>
                    <w:pStyle w:val="13"/>
                  </w:pPr>
                  <w:r>
                    <w:rPr>
                      <w:rFonts w:hint="eastAsia"/>
                    </w:rPr>
                    <w:t>50</w:t>
                  </w:r>
                </w:p>
              </w:tc>
              <w:tc>
                <w:tcPr>
                  <w:tcW w:w="1559" w:type="dxa"/>
                  <w:shd w:val="clear" w:color="auto" w:fill="auto"/>
                  <w:vAlign w:val="center"/>
                </w:tcPr>
                <w:p>
                  <w:pPr>
                    <w:pStyle w:val="13"/>
                  </w:pPr>
                  <w:r>
                    <w:rPr>
                      <w:rFonts w:hint="eastAsia"/>
                    </w:rPr>
                    <w:t>100</w:t>
                  </w:r>
                </w:p>
              </w:tc>
              <w:tc>
                <w:tcPr>
                  <w:tcW w:w="1434" w:type="dxa"/>
                  <w:shd w:val="clear" w:color="auto" w:fill="auto"/>
                  <w:vAlign w:val="center"/>
                </w:tcPr>
                <w:p>
                  <w:pPr>
                    <w:pStyle w:val="13"/>
                  </w:pP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shd w:val="clear" w:color="auto" w:fill="auto"/>
                  <w:vAlign w:val="center"/>
                </w:tcPr>
                <w:p>
                  <w:pPr>
                    <w:pStyle w:val="13"/>
                  </w:pPr>
                  <w:r>
                    <w:rPr>
                      <w:rFonts w:hint="eastAsia"/>
                    </w:rPr>
                    <w:t>7</w:t>
                  </w:r>
                </w:p>
              </w:tc>
              <w:tc>
                <w:tcPr>
                  <w:tcW w:w="2127" w:type="dxa"/>
                  <w:gridSpan w:val="2"/>
                  <w:shd w:val="clear" w:color="auto" w:fill="auto"/>
                  <w:vAlign w:val="center"/>
                </w:tcPr>
                <w:p>
                  <w:pPr>
                    <w:pStyle w:val="13"/>
                  </w:pPr>
                  <w:r>
                    <w:rPr>
                      <w:rFonts w:hint="eastAsia"/>
                    </w:rPr>
                    <w:t>镍</w:t>
                  </w:r>
                </w:p>
              </w:tc>
              <w:tc>
                <w:tcPr>
                  <w:tcW w:w="1559" w:type="dxa"/>
                  <w:shd w:val="clear" w:color="auto" w:fill="auto"/>
                  <w:vAlign w:val="center"/>
                </w:tcPr>
                <w:p>
                  <w:pPr>
                    <w:pStyle w:val="13"/>
                  </w:pPr>
                  <w:r>
                    <w:rPr>
                      <w:rFonts w:hint="eastAsia"/>
                    </w:rPr>
                    <w:t>60</w:t>
                  </w:r>
                </w:p>
              </w:tc>
              <w:tc>
                <w:tcPr>
                  <w:tcW w:w="1559" w:type="dxa"/>
                  <w:shd w:val="clear" w:color="auto" w:fill="auto"/>
                  <w:vAlign w:val="center"/>
                </w:tcPr>
                <w:p>
                  <w:pPr>
                    <w:pStyle w:val="13"/>
                  </w:pPr>
                  <w:r>
                    <w:rPr>
                      <w:rFonts w:hint="eastAsia"/>
                    </w:rPr>
                    <w:t>70</w:t>
                  </w:r>
                </w:p>
              </w:tc>
              <w:tc>
                <w:tcPr>
                  <w:tcW w:w="1559" w:type="dxa"/>
                  <w:shd w:val="clear" w:color="auto" w:fill="auto"/>
                  <w:vAlign w:val="center"/>
                </w:tcPr>
                <w:p>
                  <w:pPr>
                    <w:pStyle w:val="13"/>
                  </w:pPr>
                  <w:r>
                    <w:rPr>
                      <w:rFonts w:hint="eastAsia"/>
                    </w:rPr>
                    <w:t>100</w:t>
                  </w:r>
                </w:p>
              </w:tc>
              <w:tc>
                <w:tcPr>
                  <w:tcW w:w="1434" w:type="dxa"/>
                  <w:shd w:val="clear" w:color="auto" w:fill="auto"/>
                  <w:vAlign w:val="center"/>
                </w:tcPr>
                <w:p>
                  <w:pPr>
                    <w:pStyle w:val="13"/>
                  </w:pPr>
                  <w:r>
                    <w:rPr>
                      <w:rFonts w:hint="eastAsia"/>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562" w:type="dxa"/>
                  <w:shd w:val="clear" w:color="auto" w:fill="auto"/>
                  <w:vAlign w:val="center"/>
                </w:tcPr>
                <w:p>
                  <w:pPr>
                    <w:pStyle w:val="13"/>
                  </w:pPr>
                  <w:r>
                    <w:rPr>
                      <w:rFonts w:hint="eastAsia"/>
                    </w:rPr>
                    <w:t>8</w:t>
                  </w:r>
                </w:p>
              </w:tc>
              <w:tc>
                <w:tcPr>
                  <w:tcW w:w="2127" w:type="dxa"/>
                  <w:gridSpan w:val="2"/>
                  <w:shd w:val="clear" w:color="auto" w:fill="auto"/>
                  <w:vAlign w:val="center"/>
                </w:tcPr>
                <w:p>
                  <w:pPr>
                    <w:pStyle w:val="13"/>
                  </w:pPr>
                  <w:r>
                    <w:rPr>
                      <w:rFonts w:hint="eastAsia"/>
                    </w:rPr>
                    <w:t>锌</w:t>
                  </w:r>
                </w:p>
              </w:tc>
              <w:tc>
                <w:tcPr>
                  <w:tcW w:w="1559" w:type="dxa"/>
                  <w:shd w:val="clear" w:color="auto" w:fill="auto"/>
                  <w:vAlign w:val="center"/>
                </w:tcPr>
                <w:p>
                  <w:pPr>
                    <w:pStyle w:val="13"/>
                  </w:pPr>
                  <w:r>
                    <w:rPr>
                      <w:rFonts w:hint="eastAsia"/>
                    </w:rPr>
                    <w:t>200</w:t>
                  </w:r>
                </w:p>
              </w:tc>
              <w:tc>
                <w:tcPr>
                  <w:tcW w:w="1559" w:type="dxa"/>
                  <w:shd w:val="clear" w:color="auto" w:fill="auto"/>
                  <w:vAlign w:val="center"/>
                </w:tcPr>
                <w:p>
                  <w:pPr>
                    <w:pStyle w:val="13"/>
                  </w:pPr>
                  <w:r>
                    <w:rPr>
                      <w:rFonts w:hint="eastAsia"/>
                    </w:rPr>
                    <w:t>200</w:t>
                  </w:r>
                </w:p>
              </w:tc>
              <w:tc>
                <w:tcPr>
                  <w:tcW w:w="1559" w:type="dxa"/>
                  <w:shd w:val="clear" w:color="auto" w:fill="auto"/>
                  <w:vAlign w:val="center"/>
                </w:tcPr>
                <w:p>
                  <w:pPr>
                    <w:pStyle w:val="13"/>
                  </w:pPr>
                  <w:r>
                    <w:rPr>
                      <w:rFonts w:hint="eastAsia"/>
                    </w:rPr>
                    <w:t>250</w:t>
                  </w:r>
                </w:p>
              </w:tc>
              <w:tc>
                <w:tcPr>
                  <w:tcW w:w="1434" w:type="dxa"/>
                  <w:shd w:val="clear" w:color="auto" w:fill="auto"/>
                  <w:vAlign w:val="center"/>
                </w:tcPr>
                <w:p>
                  <w:pPr>
                    <w:pStyle w:val="13"/>
                  </w:pPr>
                  <w:r>
                    <w:rPr>
                      <w:rFonts w:hint="eastAsia"/>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8800" w:type="dxa"/>
                  <w:gridSpan w:val="7"/>
                  <w:shd w:val="clear" w:color="auto" w:fill="auto"/>
                  <w:vAlign w:val="center"/>
                </w:tcPr>
                <w:p>
                  <w:pPr>
                    <w:pStyle w:val="13"/>
                    <w:jc w:val="both"/>
                  </w:pPr>
                  <w:r>
                    <w:rPr>
                      <w:rFonts w:hint="eastAsia"/>
                    </w:rPr>
                    <w:t>注：①重金属和类金属砷均按元素总量计</w:t>
                  </w:r>
                </w:p>
                <w:p>
                  <w:pPr>
                    <w:pStyle w:val="13"/>
                    <w:jc w:val="both"/>
                  </w:pPr>
                  <w:r>
                    <w:rPr>
                      <w:rFonts w:hint="eastAsia"/>
                    </w:rPr>
                    <w:t>②对于水旱轮作地，采用其中较严格的风险筛选值</w:t>
                  </w:r>
                </w:p>
              </w:tc>
            </w:tr>
          </w:tbl>
          <w:p>
            <w:pPr>
              <w:spacing w:line="360" w:lineRule="auto"/>
              <w:ind w:firstLine="0" w:firstLineChars="0"/>
              <w:rPr>
                <w:b/>
                <w:sz w:val="28"/>
              </w:rPr>
            </w:pPr>
            <w:r>
              <w:rPr>
                <w:rFonts w:hint="eastAsia"/>
                <w:b/>
                <w:sz w:val="28"/>
              </w:rPr>
              <w:t>2、污染物排放标准</w:t>
            </w:r>
          </w:p>
          <w:p>
            <w:pPr>
              <w:spacing w:line="360" w:lineRule="auto"/>
              <w:ind w:firstLine="480"/>
            </w:pPr>
            <w:r>
              <w:rPr>
                <w:rFonts w:hint="eastAsia"/>
              </w:rPr>
              <w:t>（1）大气污染物</w:t>
            </w:r>
          </w:p>
          <w:p>
            <w:pPr>
              <w:spacing w:line="360" w:lineRule="auto"/>
              <w:ind w:firstLine="482"/>
            </w:pPr>
            <w:r>
              <w:rPr>
                <w:rFonts w:hint="eastAsia"/>
                <w:b/>
              </w:rPr>
              <w:t>施工期：</w:t>
            </w:r>
            <w:r>
              <w:rPr>
                <w:rFonts w:hint="eastAsia"/>
              </w:rPr>
              <w:t>颗粒物执行</w:t>
            </w:r>
            <w:r>
              <w:t>《大气污染物排放限值》（DB44/27-2001）</w:t>
            </w:r>
            <w:r>
              <w:rPr>
                <w:rFonts w:hint="eastAsia"/>
              </w:rPr>
              <w:t>中第二时段无组织排放监控浓度限值1</w:t>
            </w:r>
            <w:r>
              <w:t>.0mg/m</w:t>
            </w:r>
            <w:r>
              <w:rPr>
                <w:vertAlign w:val="superscript"/>
              </w:rPr>
              <w:t>3</w:t>
            </w:r>
            <w:r>
              <w:rPr>
                <w:rFonts w:hint="eastAsia"/>
              </w:rPr>
              <w:t>。</w:t>
            </w:r>
          </w:p>
          <w:p>
            <w:pPr>
              <w:spacing w:line="360" w:lineRule="auto"/>
              <w:ind w:firstLine="482"/>
            </w:pPr>
            <w:r>
              <w:rPr>
                <w:rFonts w:hint="eastAsia"/>
                <w:b/>
              </w:rPr>
              <w:t>运营期：</w:t>
            </w:r>
            <w:r>
              <w:rPr>
                <w:rFonts w:hint="eastAsia"/>
              </w:rPr>
              <w:t>本项目大气污染源主要集中在露天采矿场、工业广场，产生的废气主要为：矿山开采、石料运输、堆存及制砂环节产生的粉尘（颗粒物），机械设备运行过程产生的燃油尾气（C</w:t>
            </w:r>
            <w:r>
              <w:t>O</w:t>
            </w:r>
            <w:r>
              <w:rPr>
                <w:rFonts w:hint="eastAsia"/>
              </w:rPr>
              <w:t>、N</w:t>
            </w:r>
            <w:r>
              <w:t>O</w:t>
            </w:r>
            <w:r>
              <w:rPr>
                <w:vertAlign w:val="subscript"/>
              </w:rPr>
              <w:t>X</w:t>
            </w:r>
            <w:r>
              <w:rPr>
                <w:rFonts w:hint="eastAsia"/>
              </w:rPr>
              <w:t>），运输车辆废气（C</w:t>
            </w:r>
            <w:r>
              <w:t>O</w:t>
            </w:r>
            <w:r>
              <w:rPr>
                <w:rFonts w:hint="eastAsia"/>
              </w:rPr>
              <w:t>、N</w:t>
            </w:r>
            <w:r>
              <w:t>O</w:t>
            </w:r>
            <w:r>
              <w:rPr>
                <w:vertAlign w:val="subscript"/>
              </w:rPr>
              <w:t>X</w:t>
            </w:r>
            <w:r>
              <w:rPr>
                <w:rFonts w:hint="eastAsia"/>
              </w:rPr>
              <w:t>），均为无组织排放，食堂油烟通过管道排放至屋顶。</w:t>
            </w:r>
          </w:p>
          <w:p>
            <w:pPr>
              <w:spacing w:line="360" w:lineRule="auto"/>
              <w:ind w:firstLine="480"/>
            </w:pPr>
            <w:r>
              <w:rPr>
                <w:rFonts w:hint="eastAsia"/>
              </w:rPr>
              <w:t>粉尘及机械燃油尾气、运输车辆废气排放标准执行</w:t>
            </w:r>
            <w:bookmarkStart w:id="21" w:name="_Hlk126346253"/>
            <w:r>
              <w:rPr>
                <w:rFonts w:hint="eastAsia"/>
              </w:rPr>
              <w:t>《大气污染物综合排放标准》（GB</w:t>
            </w:r>
            <w:r>
              <w:t>6297-1996</w:t>
            </w:r>
            <w:r>
              <w:rPr>
                <w:rFonts w:hint="eastAsia"/>
              </w:rPr>
              <w:t>）</w:t>
            </w:r>
            <w:bookmarkEnd w:id="21"/>
            <w:r>
              <w:rPr>
                <w:rFonts w:hint="eastAsia"/>
              </w:rPr>
              <w:t>表2无组织排放监控浓度限值，具体限值见下表；食堂油烟执行《饮食业油烟排放标准》（GB18483-2001）小型规模标准（排放浓度≤2mg/m</w:t>
            </w:r>
            <w:r>
              <w:rPr>
                <w:rFonts w:hint="eastAsia"/>
                <w:vertAlign w:val="superscript"/>
              </w:rPr>
              <w:t>3</w:t>
            </w:r>
            <w:r>
              <w:rPr>
                <w:rFonts w:hint="eastAsia"/>
              </w:rPr>
              <w:t>，处理效率大于60%）。</w:t>
            </w:r>
          </w:p>
          <w:p>
            <w:pPr>
              <w:pStyle w:val="2"/>
              <w:spacing w:line="360" w:lineRule="auto"/>
              <w:rPr>
                <w:b w:val="0"/>
              </w:rPr>
            </w:pPr>
            <w:r>
              <w:rPr>
                <w:rFonts w:hint="eastAsia"/>
                <w:b w:val="0"/>
              </w:rPr>
              <w:t>表3</w:t>
            </w:r>
            <w:r>
              <w:rPr>
                <w:b w:val="0"/>
              </w:rPr>
              <w:t xml:space="preserve">-25 </w:t>
            </w:r>
            <w:r>
              <w:rPr>
                <w:rFonts w:hint="eastAsia"/>
                <w:b w:val="0"/>
              </w:rPr>
              <w:t>《大气污染物排放限值》（DB44/27-2001）第二时段摘录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466"/>
              <w:gridCol w:w="3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2" w:type="dxa"/>
                  <w:shd w:val="clear" w:color="auto" w:fill="auto"/>
                  <w:vAlign w:val="center"/>
                </w:tcPr>
                <w:p>
                  <w:pPr>
                    <w:pStyle w:val="13"/>
                  </w:pPr>
                  <w:r>
                    <w:rPr>
                      <w:rFonts w:hint="eastAsia"/>
                    </w:rPr>
                    <w:t>序号</w:t>
                  </w:r>
                </w:p>
              </w:tc>
              <w:tc>
                <w:tcPr>
                  <w:tcW w:w="2393" w:type="dxa"/>
                  <w:shd w:val="clear" w:color="auto" w:fill="auto"/>
                  <w:vAlign w:val="center"/>
                </w:tcPr>
                <w:p>
                  <w:pPr>
                    <w:pStyle w:val="13"/>
                  </w:pPr>
                  <w:r>
                    <w:rPr>
                      <w:rFonts w:hint="eastAsia"/>
                    </w:rPr>
                    <w:t>污染物</w:t>
                  </w:r>
                </w:p>
              </w:tc>
              <w:tc>
                <w:tcPr>
                  <w:tcW w:w="3772" w:type="dxa"/>
                  <w:shd w:val="clear" w:color="auto" w:fill="auto"/>
                  <w:vAlign w:val="center"/>
                </w:tcPr>
                <w:p>
                  <w:pPr>
                    <w:pStyle w:val="13"/>
                  </w:pPr>
                  <w:r>
                    <w:rPr>
                      <w:rFonts w:hint="eastAsia"/>
                    </w:rPr>
                    <w:t>无组织排放监控浓度限值（</w:t>
                  </w:r>
                  <w:r>
                    <w:t>mg/m</w:t>
                  </w:r>
                  <w:r>
                    <w:rPr>
                      <w:vertAlign w:val="superscript"/>
                    </w:rPr>
                    <w:t>3</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82" w:type="dxa"/>
                  <w:shd w:val="clear" w:color="auto" w:fill="auto"/>
                  <w:vAlign w:val="center"/>
                </w:tcPr>
                <w:p>
                  <w:pPr>
                    <w:pStyle w:val="13"/>
                  </w:pPr>
                  <w:r>
                    <w:rPr>
                      <w:rFonts w:hint="eastAsia"/>
                    </w:rPr>
                    <w:t>1</w:t>
                  </w:r>
                </w:p>
              </w:tc>
              <w:tc>
                <w:tcPr>
                  <w:tcW w:w="2393" w:type="dxa"/>
                  <w:shd w:val="clear" w:color="auto" w:fill="auto"/>
                  <w:vAlign w:val="center"/>
                </w:tcPr>
                <w:p>
                  <w:pPr>
                    <w:pStyle w:val="13"/>
                  </w:pPr>
                  <w:r>
                    <w:rPr>
                      <w:rFonts w:hint="eastAsia"/>
                    </w:rPr>
                    <w:t>颗粒物</w:t>
                  </w:r>
                </w:p>
              </w:tc>
              <w:tc>
                <w:tcPr>
                  <w:tcW w:w="3772" w:type="dxa"/>
                  <w:shd w:val="clear" w:color="auto" w:fill="auto"/>
                  <w:vAlign w:val="center"/>
                </w:tcPr>
                <w:p>
                  <w:pPr>
                    <w:pStyle w:val="13"/>
                  </w:pPr>
                  <w:r>
                    <w:rPr>
                      <w:rFonts w:hint="eastAsia"/>
                    </w:rPr>
                    <w:t>1</w:t>
                  </w:r>
                  <w:r>
                    <w:t>.0</w:t>
                  </w:r>
                </w:p>
              </w:tc>
            </w:tr>
          </w:tbl>
          <w:p>
            <w:pPr>
              <w:spacing w:line="360" w:lineRule="auto"/>
              <w:ind w:firstLine="480"/>
            </w:pPr>
            <w:r>
              <w:rPr>
                <w:rFonts w:hint="eastAsia"/>
              </w:rPr>
              <w:t>（2）水污染物</w:t>
            </w:r>
          </w:p>
          <w:p>
            <w:pPr>
              <w:spacing w:line="360" w:lineRule="auto"/>
              <w:ind w:firstLine="480"/>
            </w:pPr>
            <w:r>
              <w:rPr>
                <w:rFonts w:hint="eastAsia"/>
              </w:rPr>
              <w:t>本项目施工期施工人员租用当地民房，利用已有生活污水处理设施处理；施工废水经沉淀处理后回用于场地洒水抑尘。</w:t>
            </w:r>
          </w:p>
          <w:p>
            <w:pPr>
              <w:spacing w:line="360" w:lineRule="auto"/>
              <w:ind w:firstLine="480"/>
            </w:pPr>
            <w:r>
              <w:rPr>
                <w:rFonts w:hint="eastAsia"/>
              </w:rPr>
              <w:t>项目运营期生活污水经隔油池、沉淀池处理后用于矿区绿化、周边林地、菜地等施肥；生产废水经处理后回用，不外排；初期雨水经沉砂池沉淀后用于矿区抑尘。</w:t>
            </w:r>
          </w:p>
          <w:p>
            <w:pPr>
              <w:spacing w:line="360" w:lineRule="auto"/>
              <w:ind w:firstLine="480"/>
            </w:pPr>
            <w:r>
              <w:rPr>
                <w:rFonts w:hint="eastAsia"/>
              </w:rPr>
              <w:t>（3）噪声</w:t>
            </w:r>
          </w:p>
          <w:p>
            <w:pPr>
              <w:spacing w:line="360" w:lineRule="auto"/>
              <w:ind w:firstLine="480"/>
            </w:pPr>
            <w:r>
              <w:rPr>
                <w:rFonts w:hint="eastAsia"/>
              </w:rPr>
              <w:t>施工期：执行《建筑施工场界环境噪声排放标准》（G</w:t>
            </w:r>
            <w:r>
              <w:t>B12523-2011</w:t>
            </w:r>
            <w:r>
              <w:rPr>
                <w:rFonts w:hint="eastAsia"/>
              </w:rPr>
              <w:t>）。</w:t>
            </w:r>
          </w:p>
          <w:p>
            <w:pPr>
              <w:spacing w:line="360" w:lineRule="auto"/>
              <w:ind w:firstLine="480"/>
            </w:pPr>
            <w:r>
              <w:rPr>
                <w:rFonts w:hint="eastAsia"/>
              </w:rPr>
              <w:t>运营期：项目边界噪声执行《工业企业厂界环境噪声排放标准》（GB12348-2008）2类标准，具体限值如下表。</w:t>
            </w:r>
          </w:p>
          <w:p>
            <w:pPr>
              <w:pStyle w:val="2"/>
              <w:spacing w:line="360" w:lineRule="auto"/>
              <w:rPr>
                <w:b w:val="0"/>
              </w:rPr>
            </w:pPr>
            <w:r>
              <w:rPr>
                <w:rFonts w:hint="eastAsia"/>
                <w:b w:val="0"/>
              </w:rPr>
              <w:t>表3</w:t>
            </w:r>
            <w:r>
              <w:rPr>
                <w:b w:val="0"/>
              </w:rPr>
              <w:t xml:space="preserve">-26 </w:t>
            </w:r>
            <w:r>
              <w:rPr>
                <w:rFonts w:hint="eastAsia"/>
                <w:b w:val="0"/>
              </w:rPr>
              <w:t>噪声排放标准限值</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46"/>
              <w:gridCol w:w="92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38" w:type="pct"/>
                  <w:vAlign w:val="center"/>
                </w:tcPr>
                <w:p>
                  <w:pPr>
                    <w:pStyle w:val="13"/>
                  </w:pPr>
                  <w:r>
                    <w:rPr>
                      <w:rFonts w:hint="eastAsia"/>
                    </w:rPr>
                    <w:t>类别</w:t>
                  </w:r>
                </w:p>
              </w:tc>
              <w:tc>
                <w:tcPr>
                  <w:tcW w:w="571" w:type="pct"/>
                  <w:vAlign w:val="center"/>
                </w:tcPr>
                <w:p>
                  <w:pPr>
                    <w:pStyle w:val="13"/>
                  </w:pPr>
                  <w:r>
                    <w:t>昼间</w:t>
                  </w:r>
                </w:p>
              </w:tc>
              <w:tc>
                <w:tcPr>
                  <w:tcW w:w="691" w:type="pct"/>
                  <w:vAlign w:val="center"/>
                </w:tcPr>
                <w:p>
                  <w:pPr>
                    <w:pStyle w:val="13"/>
                  </w:pPr>
                  <w: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38" w:type="pct"/>
                  <w:vAlign w:val="center"/>
                </w:tcPr>
                <w:p>
                  <w:pPr>
                    <w:pStyle w:val="13"/>
                  </w:pPr>
                  <w:r>
                    <w:rPr>
                      <w:rFonts w:hint="eastAsia"/>
                    </w:rPr>
                    <w:t>《建筑施工场界环境噪声排放标准》（G</w:t>
                  </w:r>
                  <w:r>
                    <w:t>B12523-2011</w:t>
                  </w:r>
                  <w:r>
                    <w:rPr>
                      <w:rFonts w:hint="eastAsia"/>
                    </w:rPr>
                    <w:t>）</w:t>
                  </w:r>
                </w:p>
              </w:tc>
              <w:tc>
                <w:tcPr>
                  <w:tcW w:w="571" w:type="pct"/>
                  <w:vAlign w:val="center"/>
                </w:tcPr>
                <w:p>
                  <w:pPr>
                    <w:pStyle w:val="13"/>
                  </w:pPr>
                  <w:r>
                    <w:rPr>
                      <w:rFonts w:hint="eastAsia"/>
                    </w:rPr>
                    <w:t>7</w:t>
                  </w:r>
                  <w:r>
                    <w:t>0</w:t>
                  </w:r>
                </w:p>
              </w:tc>
              <w:tc>
                <w:tcPr>
                  <w:tcW w:w="691" w:type="pct"/>
                  <w:vAlign w:val="center"/>
                </w:tcPr>
                <w:p>
                  <w:pPr>
                    <w:pStyle w:val="13"/>
                  </w:pPr>
                  <w:r>
                    <w:rPr>
                      <w:rFonts w:hint="eastAsia"/>
                    </w:rPr>
                    <w:t>5</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738" w:type="pct"/>
                  <w:vAlign w:val="center"/>
                </w:tcPr>
                <w:p>
                  <w:pPr>
                    <w:pStyle w:val="13"/>
                  </w:pPr>
                  <w:r>
                    <w:rPr>
                      <w:rFonts w:hint="eastAsia"/>
                    </w:rPr>
                    <w:t>《工业企业厂界环境噪声排放标准》（GB12348-2008）2类</w:t>
                  </w:r>
                </w:p>
              </w:tc>
              <w:tc>
                <w:tcPr>
                  <w:tcW w:w="571" w:type="pct"/>
                  <w:vAlign w:val="center"/>
                </w:tcPr>
                <w:p>
                  <w:pPr>
                    <w:pStyle w:val="13"/>
                  </w:pPr>
                  <w:r>
                    <w:rPr>
                      <w:rFonts w:hint="eastAsia"/>
                    </w:rPr>
                    <w:t>60</w:t>
                  </w:r>
                </w:p>
              </w:tc>
              <w:tc>
                <w:tcPr>
                  <w:tcW w:w="691" w:type="pct"/>
                  <w:vAlign w:val="center"/>
                </w:tcPr>
                <w:p>
                  <w:pPr>
                    <w:pStyle w:val="13"/>
                  </w:pPr>
                  <w:r>
                    <w:rPr>
                      <w:rFonts w:hint="eastAsia"/>
                    </w:rPr>
                    <w:t>50</w:t>
                  </w:r>
                </w:p>
              </w:tc>
            </w:tr>
          </w:tbl>
          <w:p>
            <w:pPr>
              <w:spacing w:line="360" w:lineRule="auto"/>
              <w:ind w:firstLine="480"/>
            </w:pPr>
            <w:r>
              <w:rPr>
                <w:rFonts w:hint="eastAsia"/>
              </w:rPr>
              <w:t>（4）固体废物</w:t>
            </w:r>
          </w:p>
          <w:p>
            <w:pPr>
              <w:spacing w:line="360" w:lineRule="auto"/>
              <w:ind w:firstLine="480"/>
            </w:pPr>
            <w:r>
              <w:rPr>
                <w:rFonts w:hint="eastAsia"/>
              </w:rPr>
              <w:t>生活垃圾经垃圾桶收集交由环卫部门统一处理；一般工业固体废物贮存、处置执行</w:t>
            </w:r>
            <w:bookmarkStart w:id="22" w:name="_Hlk126514440"/>
            <w:r>
              <w:rPr>
                <w:rFonts w:hint="eastAsia"/>
              </w:rPr>
              <w:t>《一般工业固体废物贮存和填埋污染控制标准》（GB18599-2020）</w:t>
            </w:r>
            <w:bookmarkEnd w:id="22"/>
            <w:r>
              <w:rPr>
                <w:rFonts w:hint="eastAsia"/>
              </w:rPr>
              <w:t>；</w:t>
            </w:r>
            <w:r>
              <w:rPr>
                <w:rFonts w:hint="eastAsia"/>
                <w:u w:val="single"/>
              </w:rPr>
              <w:t>危险废物执行《危险废物贮存污染控制标准》（GB18597-20</w:t>
            </w:r>
            <w:r>
              <w:rPr>
                <w:u w:val="single"/>
              </w:rPr>
              <w:t>23</w:t>
            </w:r>
            <w:r>
              <w:rPr>
                <w:rFonts w:hint="eastAsia"/>
                <w:u w:val="single"/>
              </w:rPr>
              <w:t>）</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699" w:type="dxa"/>
            <w:vAlign w:val="center"/>
          </w:tcPr>
          <w:p>
            <w:pPr>
              <w:spacing w:line="240" w:lineRule="auto"/>
              <w:ind w:firstLine="0" w:firstLineChars="0"/>
              <w:jc w:val="center"/>
            </w:pPr>
            <w:r>
              <w:rPr>
                <w:rFonts w:hint="eastAsia"/>
              </w:rPr>
              <w:t>其他</w:t>
            </w:r>
          </w:p>
        </w:tc>
        <w:tc>
          <w:tcPr>
            <w:tcW w:w="7805" w:type="dxa"/>
          </w:tcPr>
          <w:p>
            <w:pPr>
              <w:pStyle w:val="13"/>
              <w:spacing w:line="360" w:lineRule="auto"/>
              <w:ind w:firstLine="480" w:firstLineChars="200"/>
              <w:jc w:val="both"/>
              <w:rPr>
                <w:sz w:val="24"/>
                <w:szCs w:val="24"/>
              </w:rPr>
            </w:pPr>
            <w:r>
              <w:rPr>
                <w:rFonts w:hint="eastAsia"/>
                <w:sz w:val="24"/>
                <w:szCs w:val="24"/>
              </w:rPr>
              <w:t>本项目废水不外排，废气排放主要是粉尘，固废全部综合利用，结合项目排污特点，本项目不做总量控制要求。</w:t>
            </w: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20"/>
              <w:rPr>
                <w:sz w:val="21"/>
                <w:szCs w:val="21"/>
              </w:rPr>
            </w:pPr>
          </w:p>
          <w:p>
            <w:pPr>
              <w:spacing w:line="360" w:lineRule="auto"/>
              <w:ind w:firstLine="420"/>
              <w:rPr>
                <w:sz w:val="21"/>
                <w:szCs w:val="21"/>
              </w:rPr>
            </w:pPr>
          </w:p>
        </w:tc>
      </w:tr>
    </w:tbl>
    <w:p>
      <w:pPr>
        <w:pStyle w:val="12"/>
        <w:adjustRightInd w:val="0"/>
        <w:snapToGrid w:val="0"/>
        <w:spacing w:before="0" w:beforeAutospacing="0" w:after="0" w:afterAutospacing="0"/>
        <w:ind w:firstLineChars="0"/>
        <w:jc w:val="center"/>
        <w:outlineLvl w:val="0"/>
        <w:rPr>
          <w:rFonts w:ascii="黑体" w:hAnsi="黑体" w:eastAsia="黑体"/>
          <w:sz w:val="30"/>
          <w:szCs w:val="30"/>
        </w:rPr>
        <w:sectPr>
          <w:pgSz w:w="11906" w:h="16838"/>
          <w:pgMar w:top="1378" w:right="1531" w:bottom="1378" w:left="1559" w:header="709" w:footer="907" w:gutter="0"/>
          <w:pgNumType w:fmt="numberInDash"/>
          <w:cols w:space="720" w:num="1"/>
          <w:docGrid w:linePitch="326" w:charSpace="0"/>
        </w:sectPr>
      </w:pPr>
      <w:bookmarkStart w:id="23" w:name="_Toc120544636"/>
    </w:p>
    <w:p>
      <w:pPr>
        <w:pStyle w:val="12"/>
        <w:adjustRightInd w:val="0"/>
        <w:snapToGrid w:val="0"/>
        <w:spacing w:before="0" w:beforeAutospacing="0" w:after="0" w:afterAutospacing="0"/>
        <w:ind w:firstLineChars="0"/>
        <w:jc w:val="center"/>
        <w:outlineLvl w:val="0"/>
        <w:rPr>
          <w:rFonts w:ascii="黑体" w:hAnsi="黑体" w:eastAsia="黑体"/>
          <w:sz w:val="30"/>
          <w:szCs w:val="30"/>
        </w:rPr>
      </w:pPr>
      <w:r>
        <w:rPr>
          <w:rFonts w:hint="eastAsia" w:ascii="黑体" w:hAnsi="黑体" w:eastAsia="黑体"/>
          <w:sz w:val="30"/>
          <w:szCs w:val="30"/>
        </w:rPr>
        <w:t>四、生态环境影响分析</w:t>
      </w:r>
      <w:bookmarkEnd w:id="23"/>
    </w:p>
    <w:tbl>
      <w:tblPr>
        <w:tblStyle w:val="16"/>
        <w:tblW w:w="87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79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41" w:type="dxa"/>
            <w:tcMar>
              <w:left w:w="28" w:type="dxa"/>
              <w:right w:w="28" w:type="dxa"/>
            </w:tcMar>
            <w:vAlign w:val="center"/>
          </w:tcPr>
          <w:p>
            <w:pPr>
              <w:spacing w:line="240" w:lineRule="auto"/>
              <w:ind w:firstLine="0" w:firstLineChars="0"/>
              <w:jc w:val="center"/>
            </w:pPr>
            <w:bookmarkStart w:id="24" w:name="_Hlk49796138"/>
            <w:r>
              <w:rPr>
                <w:rFonts w:hint="eastAsia"/>
              </w:rPr>
              <w:t>施工期生态环境影响分析</w:t>
            </w:r>
            <w:bookmarkEnd w:id="24"/>
          </w:p>
        </w:tc>
        <w:tc>
          <w:tcPr>
            <w:tcW w:w="7955" w:type="dxa"/>
            <w:vAlign w:val="center"/>
          </w:tcPr>
          <w:p>
            <w:pPr>
              <w:spacing w:line="360" w:lineRule="auto"/>
              <w:ind w:firstLine="480"/>
            </w:pPr>
            <w:r>
              <w:rPr>
                <w:rFonts w:hint="eastAsia"/>
              </w:rPr>
              <w:t>本项目建设内容主要是露天开采平台、工业场区、村道等建设。施工期主要污染为扬尘、废水、噪声、固废及生态环境影响。</w:t>
            </w:r>
          </w:p>
          <w:p>
            <w:pPr>
              <w:spacing w:line="360" w:lineRule="auto"/>
              <w:ind w:firstLine="0" w:firstLineChars="0"/>
              <w:rPr>
                <w:b/>
                <w:sz w:val="28"/>
              </w:rPr>
            </w:pPr>
            <w:r>
              <w:rPr>
                <w:b/>
                <w:sz w:val="28"/>
              </w:rPr>
              <w:t>1</w:t>
            </w:r>
            <w:r>
              <w:rPr>
                <w:rFonts w:hint="eastAsia"/>
                <w:b/>
                <w:sz w:val="28"/>
              </w:rPr>
              <w:t>、大气环境影响分析</w:t>
            </w:r>
          </w:p>
          <w:p>
            <w:pPr>
              <w:spacing w:line="360" w:lineRule="auto"/>
              <w:ind w:firstLine="480"/>
            </w:pPr>
            <w:r>
              <w:rPr>
                <w:rFonts w:hint="eastAsia"/>
              </w:rPr>
              <w:t>本项目施工不设混凝土拌和站，所需混凝土均有混凝土搅拌车运送至施工区。施工期对环境空气产生的影响主要是：土方的挖掘、堆放、清运、以及场地平整等过程中产生的粉尘；混凝土搅拌机、往来作业机械及运输车辆造成的地面扬尘；建筑材料在装卸、运输、堆放等过程中因振动、洒漏和风力作用造成的扬尘；施工垃圾在堆放、清运过程中的扬尘，以及燃油设备产生燃油废气。</w:t>
            </w:r>
          </w:p>
          <w:p>
            <w:pPr>
              <w:spacing w:line="360" w:lineRule="auto"/>
              <w:ind w:firstLine="0" w:firstLineChars="0"/>
              <w:rPr>
                <w:b/>
              </w:rPr>
            </w:pPr>
            <w:r>
              <w:rPr>
                <w:rFonts w:hint="eastAsia"/>
                <w:b/>
              </w:rPr>
              <w:t>1</w:t>
            </w:r>
            <w:r>
              <w:rPr>
                <w:b/>
              </w:rPr>
              <w:t>.1</w:t>
            </w:r>
            <w:r>
              <w:rPr>
                <w:rFonts w:hint="eastAsia"/>
                <w:b/>
              </w:rPr>
              <w:t>施工扬尘</w:t>
            </w:r>
          </w:p>
          <w:p>
            <w:pPr>
              <w:spacing w:line="360" w:lineRule="auto"/>
              <w:ind w:firstLine="480"/>
            </w:pPr>
            <w:r>
              <w:rPr>
                <w:rFonts w:hint="eastAsia"/>
              </w:rPr>
              <w:t>平整场地、开挖基础时，若土壤含水率较低，空气湿度较小，日照强烈，则在施工过程因土壤被扰动而较易产生扬尘，其起尘量视施工场地情况不同而不同，一般来说距施工场地200m范围内贴地环境空气中粉尘浓度可达5-20mg/m</w:t>
            </w:r>
            <w:r>
              <w:rPr>
                <w:rFonts w:hint="eastAsia"/>
                <w:vertAlign w:val="superscript"/>
              </w:rPr>
              <w:t>3</w:t>
            </w:r>
            <w:r>
              <w:rPr>
                <w:rFonts w:hint="eastAsia"/>
              </w:rPr>
              <w:t>，当施工区起风并且风速较大时，扬尘可以影响到距施工场地500m左右的范围；车辆运输土方过程中，若没有防护措施则会导致土方漏洒及出现风吹扬尘；漏洒在运输路线上的土覆盖路面，晒干后又因车辆的作用和风吹再次扬尘；粉状建筑材料运输、装卸、储存和使用过程也会产生扬尘。</w:t>
            </w:r>
          </w:p>
          <w:p>
            <w:pPr>
              <w:spacing w:line="360" w:lineRule="auto"/>
              <w:ind w:firstLine="0" w:firstLineChars="0"/>
              <w:rPr>
                <w:b/>
                <w:szCs w:val="32"/>
              </w:rPr>
            </w:pPr>
            <w:r>
              <w:rPr>
                <w:rFonts w:hint="eastAsia"/>
                <w:b/>
                <w:szCs w:val="32"/>
              </w:rPr>
              <w:t>1</w:t>
            </w:r>
            <w:r>
              <w:rPr>
                <w:b/>
                <w:szCs w:val="32"/>
              </w:rPr>
              <w:t>.2</w:t>
            </w:r>
            <w:r>
              <w:rPr>
                <w:rFonts w:hint="eastAsia"/>
                <w:b/>
                <w:szCs w:val="32"/>
              </w:rPr>
              <w:t>机械设备、运输车辆尾气</w:t>
            </w:r>
          </w:p>
          <w:p>
            <w:pPr>
              <w:spacing w:line="360" w:lineRule="auto"/>
              <w:ind w:firstLine="480"/>
              <w:rPr>
                <w:szCs w:val="32"/>
              </w:rPr>
            </w:pPr>
            <w:r>
              <w:rPr>
                <w:rFonts w:hint="eastAsia"/>
                <w:szCs w:val="32"/>
              </w:rPr>
              <w:t>机械设备尾气主要来自各类燃油动力机械施工过程中排出的各种燃油废气，其主要污染物有CO、NO</w:t>
            </w:r>
            <w:r>
              <w:rPr>
                <w:rFonts w:hint="eastAsia"/>
                <w:szCs w:val="32"/>
                <w:vertAlign w:val="subscript"/>
              </w:rPr>
              <w:t>X</w:t>
            </w:r>
            <w:r>
              <w:rPr>
                <w:rFonts w:hint="eastAsia"/>
                <w:szCs w:val="32"/>
              </w:rPr>
              <w:t>和THC，由于施工的燃油机械为间歇作业，使用数量不多，排放的尾气较少。</w:t>
            </w:r>
          </w:p>
          <w:p>
            <w:pPr>
              <w:spacing w:line="360" w:lineRule="auto"/>
              <w:ind w:firstLine="480"/>
              <w:rPr>
                <w:szCs w:val="32"/>
              </w:rPr>
            </w:pPr>
            <w:r>
              <w:rPr>
                <w:rFonts w:hint="eastAsia"/>
                <w:szCs w:val="32"/>
              </w:rPr>
              <w:t>运输车辆尾气主要污染因子有CO、THC和NO</w:t>
            </w:r>
            <w:r>
              <w:rPr>
                <w:rFonts w:hint="eastAsia"/>
                <w:szCs w:val="32"/>
                <w:vertAlign w:val="subscript"/>
              </w:rPr>
              <w:t>X</w:t>
            </w:r>
            <w:r>
              <w:rPr>
                <w:rFonts w:hint="eastAsia"/>
                <w:szCs w:val="32"/>
              </w:rPr>
              <w:t>，一般大型车辆尾气污染物排放量为：CO 5.25g/辆·km，THC 20.8g/辆·km，NO</w:t>
            </w:r>
            <w:r>
              <w:rPr>
                <w:rFonts w:hint="eastAsia"/>
                <w:szCs w:val="32"/>
                <w:vertAlign w:val="subscript"/>
              </w:rPr>
              <w:t>X</w:t>
            </w:r>
            <w:r>
              <w:rPr>
                <w:rFonts w:hint="eastAsia"/>
                <w:szCs w:val="32"/>
              </w:rPr>
              <w:t xml:space="preserve"> 10.44g/辆·km。本工程现场施工车辆一般不超过5辆，排放的车辆尾气较少。</w:t>
            </w:r>
          </w:p>
          <w:p>
            <w:pPr>
              <w:spacing w:line="360" w:lineRule="auto"/>
              <w:ind w:firstLine="0" w:firstLineChars="0"/>
              <w:rPr>
                <w:b/>
                <w:sz w:val="28"/>
              </w:rPr>
            </w:pPr>
            <w:r>
              <w:rPr>
                <w:rFonts w:hint="eastAsia"/>
                <w:b/>
                <w:sz w:val="28"/>
              </w:rPr>
              <w:t>2、地表水环境影响分析</w:t>
            </w:r>
          </w:p>
          <w:p>
            <w:pPr>
              <w:spacing w:line="360" w:lineRule="auto"/>
              <w:ind w:firstLine="480"/>
            </w:pPr>
            <w:r>
              <w:rPr>
                <w:rFonts w:hint="eastAsia"/>
              </w:rPr>
              <w:t>施工期废水主要包括施工人员的生活污水与施工过程中排放的设备及车辆清洗水等各类废水。生活污水中主要污染物为SS、NH</w:t>
            </w:r>
            <w:r>
              <w:rPr>
                <w:rFonts w:hint="eastAsia"/>
                <w:vertAlign w:val="subscript"/>
              </w:rPr>
              <w:t>3</w:t>
            </w:r>
            <w:r>
              <w:rPr>
                <w:rFonts w:hint="eastAsia"/>
              </w:rPr>
              <w:t>-N、COD等，其它废水主要污染物为SS等。</w:t>
            </w:r>
          </w:p>
          <w:p>
            <w:pPr>
              <w:spacing w:line="360" w:lineRule="auto"/>
              <w:ind w:firstLine="480"/>
            </w:pPr>
            <w:r>
              <w:rPr>
                <w:rFonts w:hint="eastAsia"/>
              </w:rPr>
              <w:t>（1）施工废水</w:t>
            </w:r>
          </w:p>
          <w:p>
            <w:pPr>
              <w:spacing w:line="360" w:lineRule="auto"/>
              <w:ind w:firstLine="480"/>
            </w:pPr>
            <w:r>
              <w:rPr>
                <w:rFonts w:hint="eastAsia"/>
              </w:rPr>
              <w:t>施工废水包括开挖等产生的泥浆水、机械设备运转的冷却水和设备冲洗废水，其总体产生量较小，废水中主要的污染物为SS，建设单位拟在施工场地内设置临时沉砂池，施工废水通过沉淀后回用于设备冲洗、场地浇洒等，不外排。施工单位在施工过程中应设置临时的施工排水渠道，禁止施工污水任意排放；建材堆放采取防雨水冲刷措施；施工现场及时清理杂物，避免污染水体。</w:t>
            </w:r>
          </w:p>
          <w:p>
            <w:pPr>
              <w:spacing w:line="360" w:lineRule="auto"/>
              <w:ind w:firstLine="480"/>
            </w:pPr>
            <w:r>
              <w:rPr>
                <w:rFonts w:hint="eastAsia"/>
              </w:rPr>
              <w:t>（2）生活污水</w:t>
            </w:r>
          </w:p>
          <w:p>
            <w:pPr>
              <w:spacing w:line="360" w:lineRule="auto"/>
              <w:ind w:firstLine="480"/>
            </w:pPr>
            <w:r>
              <w:rPr>
                <w:rFonts w:hint="eastAsia"/>
              </w:rPr>
              <w:t>施工区域内不设置统一施工生活营地，施工人员均租赁当地民房，生活污水依托已有处理设施进行处理。</w:t>
            </w:r>
          </w:p>
          <w:p>
            <w:pPr>
              <w:spacing w:line="360" w:lineRule="auto"/>
              <w:ind w:firstLine="480"/>
            </w:pPr>
            <w:r>
              <w:rPr>
                <w:rFonts w:hint="eastAsia"/>
              </w:rPr>
              <w:t>综上，项目施工期产生的废水量较小，在采取相关措施的情况下，对区域地表水环境影响较小。</w:t>
            </w:r>
          </w:p>
          <w:p>
            <w:pPr>
              <w:spacing w:line="360" w:lineRule="auto"/>
              <w:ind w:firstLine="0" w:firstLineChars="0"/>
              <w:rPr>
                <w:b/>
                <w:sz w:val="28"/>
              </w:rPr>
            </w:pPr>
            <w:r>
              <w:rPr>
                <w:rFonts w:hint="eastAsia"/>
                <w:b/>
                <w:sz w:val="28"/>
              </w:rPr>
              <w:t>3、声环境影响分析</w:t>
            </w:r>
          </w:p>
          <w:p>
            <w:pPr>
              <w:spacing w:line="360" w:lineRule="auto"/>
              <w:ind w:firstLine="480"/>
            </w:pPr>
            <w:bookmarkStart w:id="25" w:name="_Hlk66205436"/>
            <w:r>
              <w:rPr>
                <w:rFonts w:hint="eastAsia"/>
              </w:rPr>
              <w:t>本项目施工期间噪声主要来源于施工机械噪声和运输车辆噪声。</w:t>
            </w:r>
          </w:p>
          <w:p>
            <w:pPr>
              <w:spacing w:line="360" w:lineRule="auto"/>
              <w:ind w:firstLine="480"/>
            </w:pPr>
            <w:r>
              <w:rPr>
                <w:rFonts w:hint="eastAsia"/>
              </w:rPr>
              <w:t>（</w:t>
            </w:r>
            <w:r>
              <w:t>1）施工机械噪声</w:t>
            </w:r>
          </w:p>
          <w:p>
            <w:pPr>
              <w:spacing w:line="360" w:lineRule="auto"/>
              <w:ind w:firstLine="480"/>
            </w:pPr>
            <w:r>
              <w:rPr>
                <w:rFonts w:hint="eastAsia"/>
              </w:rPr>
              <w:t>主要指施工现场使用各类机械设备产生的施工噪声。这些施工机械包括装载机、挖掘机、推土机等，在施工中这类机械是最主要的施工噪声源。主要施工机械噪声源强见下表。</w:t>
            </w:r>
          </w:p>
          <w:p>
            <w:pPr>
              <w:pStyle w:val="2"/>
              <w:spacing w:line="360" w:lineRule="auto"/>
              <w:rPr>
                <w:b w:val="0"/>
              </w:rPr>
            </w:pPr>
            <w:r>
              <w:rPr>
                <w:rFonts w:hint="eastAsia"/>
                <w:b w:val="0"/>
              </w:rPr>
              <w:t>表</w:t>
            </w:r>
            <w:r>
              <w:rPr>
                <w:b w:val="0"/>
              </w:rPr>
              <w:t>4</w:t>
            </w:r>
            <w:r>
              <w:rPr>
                <w:rFonts w:hint="eastAsia"/>
                <w:b w:val="0"/>
              </w:rPr>
              <w:t>-1</w:t>
            </w:r>
            <w:r>
              <w:rPr>
                <w:b w:val="0"/>
              </w:rPr>
              <w:t xml:space="preserve"> </w:t>
            </w:r>
            <w:r>
              <w:rPr>
                <w:rFonts w:hint="eastAsia"/>
                <w:b w:val="0"/>
              </w:rPr>
              <w:t>施工机械噪声源强表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3413"/>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pct"/>
                  <w:vAlign w:val="center"/>
                </w:tcPr>
                <w:p>
                  <w:pPr>
                    <w:pStyle w:val="13"/>
                  </w:pPr>
                  <w:r>
                    <w:rPr>
                      <w:rFonts w:hint="eastAsia"/>
                    </w:rPr>
                    <w:t>序号</w:t>
                  </w:r>
                </w:p>
              </w:tc>
              <w:tc>
                <w:tcPr>
                  <w:tcW w:w="2208" w:type="pct"/>
                  <w:vAlign w:val="center"/>
                </w:tcPr>
                <w:p>
                  <w:pPr>
                    <w:pStyle w:val="13"/>
                  </w:pPr>
                  <w:r>
                    <w:rPr>
                      <w:rFonts w:hint="eastAsia"/>
                    </w:rPr>
                    <w:t>名称</w:t>
                  </w:r>
                </w:p>
              </w:tc>
              <w:tc>
                <w:tcPr>
                  <w:tcW w:w="1667" w:type="pct"/>
                  <w:vAlign w:val="center"/>
                </w:tcPr>
                <w:p>
                  <w:pPr>
                    <w:pStyle w:val="13"/>
                  </w:pPr>
                  <w:r>
                    <w:rPr>
                      <w:rFonts w:hint="eastAsia"/>
                    </w:rPr>
                    <w:t>源强/</w:t>
                  </w:r>
                  <w:r>
                    <w:t>dB</w:t>
                  </w:r>
                  <w:r>
                    <w:rPr>
                      <w:rFonts w:hint="eastAsi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pct"/>
                  <w:vAlign w:val="center"/>
                </w:tcPr>
                <w:p>
                  <w:pPr>
                    <w:pStyle w:val="13"/>
                  </w:pPr>
                  <w:r>
                    <w:rPr>
                      <w:rFonts w:hint="eastAsia"/>
                    </w:rPr>
                    <w:t>1</w:t>
                  </w:r>
                </w:p>
              </w:tc>
              <w:tc>
                <w:tcPr>
                  <w:tcW w:w="2208" w:type="pct"/>
                  <w:vAlign w:val="center"/>
                </w:tcPr>
                <w:p>
                  <w:pPr>
                    <w:pStyle w:val="13"/>
                  </w:pPr>
                  <w:r>
                    <w:rPr>
                      <w:rFonts w:hint="eastAsia"/>
                    </w:rPr>
                    <w:t>装载机</w:t>
                  </w:r>
                </w:p>
              </w:tc>
              <w:tc>
                <w:tcPr>
                  <w:tcW w:w="1667" w:type="pct"/>
                  <w:vAlign w:val="center"/>
                </w:tcPr>
                <w:p>
                  <w:pPr>
                    <w:pStyle w:val="13"/>
                  </w:pPr>
                  <w: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pct"/>
                  <w:vAlign w:val="center"/>
                </w:tcPr>
                <w:p>
                  <w:pPr>
                    <w:pStyle w:val="13"/>
                  </w:pPr>
                  <w:r>
                    <w:rPr>
                      <w:rFonts w:hint="eastAsia"/>
                    </w:rPr>
                    <w:t>2</w:t>
                  </w:r>
                </w:p>
              </w:tc>
              <w:tc>
                <w:tcPr>
                  <w:tcW w:w="2208" w:type="pct"/>
                  <w:vAlign w:val="center"/>
                </w:tcPr>
                <w:p>
                  <w:pPr>
                    <w:pStyle w:val="13"/>
                  </w:pPr>
                  <w:r>
                    <w:rPr>
                      <w:rFonts w:hint="eastAsia"/>
                    </w:rPr>
                    <w:t>挖掘机</w:t>
                  </w:r>
                </w:p>
              </w:tc>
              <w:tc>
                <w:tcPr>
                  <w:tcW w:w="1667" w:type="pct"/>
                  <w:vAlign w:val="center"/>
                </w:tcPr>
                <w:p>
                  <w:pPr>
                    <w:pStyle w:val="13"/>
                  </w:pPr>
                  <w:r>
                    <w:t>80~96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pct"/>
                  <w:vAlign w:val="center"/>
                </w:tcPr>
                <w:p>
                  <w:pPr>
                    <w:pStyle w:val="13"/>
                  </w:pPr>
                  <w:r>
                    <w:rPr>
                      <w:rFonts w:hint="eastAsia"/>
                    </w:rPr>
                    <w:t>3</w:t>
                  </w:r>
                </w:p>
              </w:tc>
              <w:tc>
                <w:tcPr>
                  <w:tcW w:w="2208" w:type="pct"/>
                  <w:vAlign w:val="center"/>
                </w:tcPr>
                <w:p>
                  <w:pPr>
                    <w:pStyle w:val="13"/>
                  </w:pPr>
                  <w:r>
                    <w:rPr>
                      <w:rFonts w:hint="eastAsia"/>
                    </w:rPr>
                    <w:t>推土机</w:t>
                  </w:r>
                </w:p>
              </w:tc>
              <w:tc>
                <w:tcPr>
                  <w:tcW w:w="1667" w:type="pct"/>
                  <w:vAlign w:val="center"/>
                </w:tcPr>
                <w:p>
                  <w:pPr>
                    <w:pStyle w:val="13"/>
                  </w:pPr>
                  <w:r>
                    <w:t>80~</w:t>
                  </w: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pct"/>
                  <w:vAlign w:val="center"/>
                </w:tcPr>
                <w:p>
                  <w:pPr>
                    <w:pStyle w:val="13"/>
                  </w:pPr>
                  <w:r>
                    <w:t>4</w:t>
                  </w:r>
                </w:p>
              </w:tc>
              <w:tc>
                <w:tcPr>
                  <w:tcW w:w="2208" w:type="pct"/>
                  <w:vAlign w:val="center"/>
                </w:tcPr>
                <w:p>
                  <w:pPr>
                    <w:pStyle w:val="13"/>
                  </w:pPr>
                  <w:r>
                    <w:rPr>
                      <w:rFonts w:hint="eastAsia"/>
                    </w:rPr>
                    <w:t>压路机</w:t>
                  </w:r>
                </w:p>
              </w:tc>
              <w:tc>
                <w:tcPr>
                  <w:tcW w:w="1667" w:type="pct"/>
                  <w:vAlign w:val="center"/>
                </w:tcPr>
                <w:p>
                  <w:pPr>
                    <w:pStyle w:val="13"/>
                  </w:pPr>
                  <w:r>
                    <w:t>80~</w:t>
                  </w:r>
                  <w:r>
                    <w:rPr>
                      <w:rFonts w:hint="eastAsia"/>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5" w:type="pct"/>
                  <w:vAlign w:val="center"/>
                </w:tcPr>
                <w:p>
                  <w:pPr>
                    <w:pStyle w:val="13"/>
                  </w:pPr>
                  <w:r>
                    <w:rPr>
                      <w:rFonts w:hint="eastAsia"/>
                    </w:rPr>
                    <w:t>5</w:t>
                  </w:r>
                </w:p>
              </w:tc>
              <w:tc>
                <w:tcPr>
                  <w:tcW w:w="2208" w:type="pct"/>
                  <w:vAlign w:val="center"/>
                </w:tcPr>
                <w:p>
                  <w:pPr>
                    <w:pStyle w:val="13"/>
                  </w:pPr>
                  <w:r>
                    <w:rPr>
                      <w:rFonts w:hint="eastAsia"/>
                    </w:rPr>
                    <w:t>重型载重汽车</w:t>
                  </w:r>
                </w:p>
              </w:tc>
              <w:tc>
                <w:tcPr>
                  <w:tcW w:w="1667" w:type="pct"/>
                  <w:vAlign w:val="center"/>
                </w:tcPr>
                <w:p>
                  <w:pPr>
                    <w:pStyle w:val="13"/>
                  </w:pPr>
                  <w:r>
                    <w:t>80~86</w:t>
                  </w:r>
                </w:p>
              </w:tc>
            </w:tr>
          </w:tbl>
          <w:p>
            <w:pPr>
              <w:spacing w:line="360" w:lineRule="auto"/>
              <w:ind w:firstLine="480"/>
            </w:pPr>
            <w:r>
              <w:rPr>
                <w:rFonts w:hint="eastAsia"/>
              </w:rPr>
              <w:t>（</w:t>
            </w:r>
            <w:r>
              <w:t>2）运输车辆噪声</w:t>
            </w:r>
          </w:p>
          <w:p>
            <w:pPr>
              <w:spacing w:line="360" w:lineRule="auto"/>
              <w:ind w:firstLine="480"/>
            </w:pPr>
            <w:r>
              <w:rPr>
                <w:rFonts w:hint="eastAsia"/>
              </w:rPr>
              <w:t>工程施工中各类设备、材料等需要用汽车运至工地。这些运输车辆在行驶过程</w:t>
            </w:r>
            <w:r>
              <w:t>中会产生交通噪声，特别是重型汽车运行中产生的噪声辐射强度较高。因各类运输车辆频繁行驶在施工工地、施工便道和既有公路上，会对周围环境产生交通噪声影响。</w:t>
            </w:r>
            <w:r>
              <w:rPr>
                <w:rFonts w:hint="eastAsia"/>
              </w:rPr>
              <w:t>噪声源强大约70</w:t>
            </w:r>
            <w:r>
              <w:t>dB</w:t>
            </w:r>
            <w:r>
              <w:rPr>
                <w:rFonts w:hint="eastAsia"/>
              </w:rPr>
              <w:t>（A）。</w:t>
            </w:r>
          </w:p>
          <w:p>
            <w:pPr>
              <w:spacing w:line="360" w:lineRule="auto"/>
              <w:ind w:firstLine="480"/>
            </w:pPr>
            <w:r>
              <w:rPr>
                <w:rFonts w:hint="eastAsia"/>
              </w:rPr>
              <w:t>（3）预测模式</w:t>
            </w:r>
          </w:p>
          <w:p>
            <w:pPr>
              <w:spacing w:line="360" w:lineRule="auto"/>
              <w:ind w:firstLine="480"/>
            </w:pPr>
            <w:r>
              <w:rPr>
                <w:rFonts w:hint="eastAsia"/>
              </w:rPr>
              <w:t>本次评价只考虑几何衰减，采用下列公式计算距离建设项目噪声源不同距离处的噪声值：</w:t>
            </w:r>
          </w:p>
          <w:p>
            <w:pPr>
              <w:spacing w:line="360" w:lineRule="auto"/>
              <w:ind w:firstLine="0" w:firstLineChars="0"/>
              <w:jc w:val="center"/>
            </w:pPr>
            <w:bookmarkStart w:id="26" w:name="_Hlk69203756"/>
            <w:r>
              <w:t>L</w:t>
            </w:r>
            <w:r>
              <w:rPr>
                <w:vertAlign w:val="subscript"/>
              </w:rPr>
              <w:t>A</w:t>
            </w:r>
            <w:r>
              <w:t>(r)=L</w:t>
            </w:r>
            <w:r>
              <w:rPr>
                <w:vertAlign w:val="subscript"/>
              </w:rPr>
              <w:t>A</w:t>
            </w:r>
            <w:r>
              <w:t xml:space="preserve"> (r</w:t>
            </w:r>
            <w:r>
              <w:rPr>
                <w:vertAlign w:val="subscript"/>
              </w:rPr>
              <w:t>0</w:t>
            </w:r>
            <w:r>
              <w:t>)-</w:t>
            </w:r>
            <w:r>
              <w:rPr>
                <w:rFonts w:hint="eastAsia"/>
              </w:rPr>
              <w:t xml:space="preserve"> 20lg(r/r</w:t>
            </w:r>
            <w:r>
              <w:rPr>
                <w:rFonts w:hint="eastAsia"/>
                <w:vertAlign w:val="subscript"/>
              </w:rPr>
              <w:t>0</w:t>
            </w:r>
            <w:r>
              <w:rPr>
                <w:rFonts w:hint="eastAsia"/>
              </w:rPr>
              <w:t>)</w:t>
            </w:r>
          </w:p>
          <w:bookmarkEnd w:id="26"/>
          <w:p>
            <w:pPr>
              <w:spacing w:line="360" w:lineRule="auto"/>
              <w:ind w:firstLine="480"/>
            </w:pPr>
            <w:r>
              <w:rPr>
                <w:rFonts w:hint="eastAsia"/>
              </w:rPr>
              <w:t>式中：L</w:t>
            </w:r>
            <w:r>
              <w:rPr>
                <w:rFonts w:hint="eastAsia"/>
                <w:vertAlign w:val="subscript"/>
              </w:rPr>
              <w:t>A</w:t>
            </w:r>
            <w:r>
              <w:rPr>
                <w:rFonts w:hint="eastAsia"/>
              </w:rPr>
              <w:t>(r)</w:t>
            </w:r>
            <w:r>
              <w:t>——</w:t>
            </w:r>
            <w:r>
              <w:rPr>
                <w:rFonts w:hint="eastAsia"/>
              </w:rPr>
              <w:t>距离声源r处的A声级，dB（A）；</w:t>
            </w:r>
          </w:p>
          <w:p>
            <w:pPr>
              <w:spacing w:line="360" w:lineRule="auto"/>
              <w:ind w:firstLine="1200" w:firstLineChars="500"/>
            </w:pPr>
            <w:r>
              <w:rPr>
                <w:rFonts w:hint="eastAsia"/>
              </w:rPr>
              <w:t>L</w:t>
            </w:r>
            <w:r>
              <w:rPr>
                <w:rFonts w:hint="eastAsia"/>
                <w:vertAlign w:val="subscript"/>
              </w:rPr>
              <w:t>A</w:t>
            </w:r>
            <w:r>
              <w:rPr>
                <w:rFonts w:hint="eastAsia"/>
              </w:rPr>
              <w:t xml:space="preserve"> (r</w:t>
            </w:r>
            <w:r>
              <w:rPr>
                <w:rFonts w:hint="eastAsia"/>
                <w:vertAlign w:val="subscript"/>
              </w:rPr>
              <w:t>0</w:t>
            </w:r>
            <w:r>
              <w:rPr>
                <w:rFonts w:hint="eastAsia"/>
              </w:rPr>
              <w:t>)</w:t>
            </w:r>
            <w:r>
              <w:t>——</w:t>
            </w:r>
            <w:r>
              <w:rPr>
                <w:rFonts w:hint="eastAsia"/>
              </w:rPr>
              <w:t>参测点的噪声值，dB（A）；</w:t>
            </w:r>
          </w:p>
          <w:p>
            <w:pPr>
              <w:spacing w:line="360" w:lineRule="auto"/>
              <w:ind w:firstLine="1200" w:firstLineChars="500"/>
            </w:pPr>
            <w:r>
              <w:rPr>
                <w:rFonts w:hint="eastAsia"/>
              </w:rPr>
              <w:t>r——预测点距声源的距离，m；</w:t>
            </w:r>
          </w:p>
          <w:p>
            <w:pPr>
              <w:spacing w:line="360" w:lineRule="auto"/>
              <w:ind w:firstLine="1200" w:firstLineChars="500"/>
            </w:pPr>
            <w:r>
              <w:rPr>
                <w:rFonts w:hint="eastAsia"/>
              </w:rPr>
              <w:t>r</w:t>
            </w:r>
            <w:r>
              <w:rPr>
                <w:vertAlign w:val="subscript"/>
              </w:rPr>
              <w:t>0</w:t>
            </w:r>
            <w:r>
              <w:rPr>
                <w:rFonts w:hint="eastAsia"/>
              </w:rPr>
              <w:t>——参考位置距声源的距离m。</w:t>
            </w:r>
          </w:p>
          <w:p>
            <w:pPr>
              <w:spacing w:line="360" w:lineRule="auto"/>
              <w:ind w:firstLine="480"/>
            </w:pPr>
            <w:r>
              <w:rPr>
                <w:rFonts w:hint="eastAsia"/>
              </w:rPr>
              <w:t>（4）预测结果</w:t>
            </w:r>
          </w:p>
          <w:p>
            <w:pPr>
              <w:spacing w:line="360" w:lineRule="auto"/>
              <w:ind w:firstLine="480"/>
            </w:pPr>
            <w:r>
              <w:rPr>
                <w:rFonts w:hint="eastAsia"/>
              </w:rPr>
              <w:t>根据预测模式，本项目施工期各机械噪声预测结果见下表。</w:t>
            </w:r>
          </w:p>
          <w:p>
            <w:pPr>
              <w:pStyle w:val="2"/>
              <w:spacing w:line="360" w:lineRule="auto"/>
              <w:rPr>
                <w:b w:val="0"/>
              </w:rPr>
            </w:pPr>
            <w:r>
              <w:rPr>
                <w:rFonts w:hint="eastAsia"/>
                <w:b w:val="0"/>
              </w:rPr>
              <w:t>表4-2</w:t>
            </w:r>
            <w:r>
              <w:rPr>
                <w:b w:val="0"/>
              </w:rPr>
              <w:t xml:space="preserve"> </w:t>
            </w:r>
            <w:r>
              <w:rPr>
                <w:rFonts w:hint="eastAsia"/>
                <w:b w:val="0"/>
              </w:rPr>
              <w:t>施工机械噪声随距离衰减结果表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66"/>
              <w:gridCol w:w="546"/>
              <w:gridCol w:w="588"/>
              <w:gridCol w:w="607"/>
              <w:gridCol w:w="608"/>
              <w:gridCol w:w="608"/>
              <w:gridCol w:w="651"/>
              <w:gridCol w:w="651"/>
              <w:gridCol w:w="651"/>
              <w:gridCol w:w="651"/>
              <w:gridCol w:w="65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66" w:type="dxa"/>
                  <w:shd w:val="clear" w:color="auto" w:fill="auto"/>
                  <w:vAlign w:val="center"/>
                </w:tcPr>
                <w:p>
                  <w:pPr>
                    <w:pStyle w:val="13"/>
                  </w:pPr>
                  <w:r>
                    <w:t>机械名称</w:t>
                  </w:r>
                  <w:r>
                    <w:rPr>
                      <w:rFonts w:hint="eastAsia"/>
                    </w:rPr>
                    <w:t>/距离</w:t>
                  </w:r>
                </w:p>
              </w:tc>
              <w:tc>
                <w:tcPr>
                  <w:tcW w:w="546" w:type="dxa"/>
                  <w:shd w:val="clear" w:color="auto" w:fill="auto"/>
                  <w:vAlign w:val="center"/>
                </w:tcPr>
                <w:p>
                  <w:pPr>
                    <w:pStyle w:val="13"/>
                  </w:pPr>
                  <w:r>
                    <w:t>1m</w:t>
                  </w:r>
                </w:p>
              </w:tc>
              <w:tc>
                <w:tcPr>
                  <w:tcW w:w="588" w:type="dxa"/>
                  <w:shd w:val="clear" w:color="auto" w:fill="auto"/>
                  <w:vAlign w:val="center"/>
                </w:tcPr>
                <w:p>
                  <w:pPr>
                    <w:pStyle w:val="13"/>
                  </w:pPr>
                  <w:r>
                    <w:t>10m</w:t>
                  </w:r>
                </w:p>
              </w:tc>
              <w:tc>
                <w:tcPr>
                  <w:tcW w:w="607" w:type="dxa"/>
                  <w:shd w:val="clear" w:color="auto" w:fill="auto"/>
                  <w:vAlign w:val="center"/>
                </w:tcPr>
                <w:p>
                  <w:pPr>
                    <w:pStyle w:val="13"/>
                  </w:pPr>
                  <w:r>
                    <w:t>20m</w:t>
                  </w:r>
                </w:p>
              </w:tc>
              <w:tc>
                <w:tcPr>
                  <w:tcW w:w="608" w:type="dxa"/>
                  <w:shd w:val="clear" w:color="auto" w:fill="auto"/>
                  <w:vAlign w:val="center"/>
                </w:tcPr>
                <w:p>
                  <w:pPr>
                    <w:pStyle w:val="13"/>
                  </w:pPr>
                  <w:r>
                    <w:t>40m</w:t>
                  </w:r>
                </w:p>
              </w:tc>
              <w:tc>
                <w:tcPr>
                  <w:tcW w:w="608" w:type="dxa"/>
                  <w:shd w:val="clear" w:color="auto" w:fill="auto"/>
                  <w:vAlign w:val="center"/>
                </w:tcPr>
                <w:p>
                  <w:pPr>
                    <w:pStyle w:val="13"/>
                  </w:pPr>
                  <w:r>
                    <w:t>50m</w:t>
                  </w:r>
                </w:p>
              </w:tc>
              <w:tc>
                <w:tcPr>
                  <w:tcW w:w="651" w:type="dxa"/>
                  <w:shd w:val="clear" w:color="auto" w:fill="auto"/>
                  <w:vAlign w:val="center"/>
                </w:tcPr>
                <w:p>
                  <w:pPr>
                    <w:pStyle w:val="13"/>
                  </w:pPr>
                  <w:r>
                    <w:t>100m</w:t>
                  </w:r>
                </w:p>
              </w:tc>
              <w:tc>
                <w:tcPr>
                  <w:tcW w:w="651" w:type="dxa"/>
                  <w:shd w:val="clear" w:color="auto" w:fill="auto"/>
                  <w:vAlign w:val="center"/>
                </w:tcPr>
                <w:p>
                  <w:pPr>
                    <w:pStyle w:val="13"/>
                  </w:pPr>
                  <w:r>
                    <w:t>150m</w:t>
                  </w:r>
                </w:p>
              </w:tc>
              <w:tc>
                <w:tcPr>
                  <w:tcW w:w="651" w:type="dxa"/>
                  <w:shd w:val="clear" w:color="auto" w:fill="auto"/>
                  <w:vAlign w:val="center"/>
                </w:tcPr>
                <w:p>
                  <w:pPr>
                    <w:pStyle w:val="13"/>
                  </w:pPr>
                  <w:r>
                    <w:t>200m</w:t>
                  </w:r>
                </w:p>
              </w:tc>
              <w:tc>
                <w:tcPr>
                  <w:tcW w:w="651" w:type="dxa"/>
                  <w:vAlign w:val="center"/>
                </w:tcPr>
                <w:p>
                  <w:pPr>
                    <w:pStyle w:val="13"/>
                  </w:pPr>
                  <w:r>
                    <w:rPr>
                      <w:rFonts w:hint="eastAsia"/>
                    </w:rPr>
                    <w:t>2</w:t>
                  </w:r>
                  <w:r>
                    <w:t>50</w:t>
                  </w:r>
                  <w:r>
                    <w:rPr>
                      <w:rFonts w:hint="eastAsia"/>
                    </w:rPr>
                    <w:t>m</w:t>
                  </w:r>
                </w:p>
              </w:tc>
              <w:tc>
                <w:tcPr>
                  <w:tcW w:w="651" w:type="dxa"/>
                  <w:shd w:val="clear" w:color="auto" w:fill="auto"/>
                  <w:vAlign w:val="center"/>
                </w:tcPr>
                <w:p>
                  <w:pPr>
                    <w:pStyle w:val="13"/>
                  </w:pPr>
                  <w:r>
                    <w:t>300m</w:t>
                  </w:r>
                </w:p>
              </w:tc>
              <w:tc>
                <w:tcPr>
                  <w:tcW w:w="651" w:type="dxa"/>
                  <w:shd w:val="clear" w:color="auto" w:fill="auto"/>
                  <w:vAlign w:val="center"/>
                </w:tcPr>
                <w:p>
                  <w:pPr>
                    <w:pStyle w:val="13"/>
                  </w:pPr>
                  <w: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66" w:type="dxa"/>
                  <w:shd w:val="clear" w:color="auto" w:fill="auto"/>
                  <w:vAlign w:val="center"/>
                </w:tcPr>
                <w:p>
                  <w:pPr>
                    <w:pStyle w:val="13"/>
                  </w:pPr>
                  <w:r>
                    <w:t>装载机</w:t>
                  </w:r>
                </w:p>
              </w:tc>
              <w:tc>
                <w:tcPr>
                  <w:tcW w:w="546" w:type="dxa"/>
                  <w:shd w:val="clear" w:color="auto" w:fill="auto"/>
                  <w:vAlign w:val="center"/>
                </w:tcPr>
                <w:p>
                  <w:pPr>
                    <w:pStyle w:val="13"/>
                  </w:pPr>
                  <w:r>
                    <w:rPr>
                      <w:rFonts w:eastAsia="等线"/>
                      <w:color w:val="000000"/>
                      <w:szCs w:val="21"/>
                    </w:rPr>
                    <w:t xml:space="preserve">100 </w:t>
                  </w:r>
                </w:p>
              </w:tc>
              <w:tc>
                <w:tcPr>
                  <w:tcW w:w="588" w:type="dxa"/>
                  <w:shd w:val="clear" w:color="auto" w:fill="auto"/>
                  <w:vAlign w:val="center"/>
                </w:tcPr>
                <w:p>
                  <w:pPr>
                    <w:pStyle w:val="13"/>
                  </w:pPr>
                  <w:r>
                    <w:rPr>
                      <w:rFonts w:eastAsia="等线"/>
                      <w:color w:val="000000"/>
                      <w:szCs w:val="21"/>
                    </w:rPr>
                    <w:t xml:space="preserve">80 </w:t>
                  </w:r>
                </w:p>
              </w:tc>
              <w:tc>
                <w:tcPr>
                  <w:tcW w:w="607" w:type="dxa"/>
                  <w:shd w:val="clear" w:color="auto" w:fill="auto"/>
                  <w:vAlign w:val="center"/>
                </w:tcPr>
                <w:p>
                  <w:pPr>
                    <w:pStyle w:val="13"/>
                  </w:pPr>
                  <w:r>
                    <w:rPr>
                      <w:rFonts w:eastAsia="等线"/>
                      <w:color w:val="000000"/>
                      <w:szCs w:val="21"/>
                    </w:rPr>
                    <w:t xml:space="preserve">74 </w:t>
                  </w:r>
                </w:p>
              </w:tc>
              <w:tc>
                <w:tcPr>
                  <w:tcW w:w="608" w:type="dxa"/>
                  <w:shd w:val="clear" w:color="auto" w:fill="auto"/>
                  <w:vAlign w:val="center"/>
                </w:tcPr>
                <w:p>
                  <w:pPr>
                    <w:pStyle w:val="13"/>
                  </w:pPr>
                  <w:r>
                    <w:rPr>
                      <w:rFonts w:eastAsia="等线"/>
                      <w:color w:val="000000"/>
                      <w:szCs w:val="21"/>
                    </w:rPr>
                    <w:t xml:space="preserve">68 </w:t>
                  </w:r>
                </w:p>
              </w:tc>
              <w:tc>
                <w:tcPr>
                  <w:tcW w:w="608" w:type="dxa"/>
                  <w:shd w:val="clear" w:color="auto" w:fill="auto"/>
                  <w:vAlign w:val="center"/>
                </w:tcPr>
                <w:p>
                  <w:pPr>
                    <w:pStyle w:val="13"/>
                  </w:pPr>
                  <w:r>
                    <w:rPr>
                      <w:rFonts w:eastAsia="等线"/>
                      <w:color w:val="000000"/>
                      <w:szCs w:val="21"/>
                    </w:rPr>
                    <w:t xml:space="preserve">66 </w:t>
                  </w:r>
                </w:p>
              </w:tc>
              <w:tc>
                <w:tcPr>
                  <w:tcW w:w="651" w:type="dxa"/>
                  <w:shd w:val="clear" w:color="auto" w:fill="auto"/>
                  <w:vAlign w:val="center"/>
                </w:tcPr>
                <w:p>
                  <w:pPr>
                    <w:pStyle w:val="13"/>
                  </w:pPr>
                  <w:r>
                    <w:rPr>
                      <w:rFonts w:eastAsia="等线"/>
                      <w:color w:val="000000"/>
                      <w:szCs w:val="21"/>
                    </w:rPr>
                    <w:t xml:space="preserve">60 </w:t>
                  </w:r>
                </w:p>
              </w:tc>
              <w:tc>
                <w:tcPr>
                  <w:tcW w:w="651" w:type="dxa"/>
                  <w:shd w:val="clear" w:color="auto" w:fill="auto"/>
                  <w:vAlign w:val="center"/>
                </w:tcPr>
                <w:p>
                  <w:pPr>
                    <w:pStyle w:val="13"/>
                  </w:pPr>
                  <w:r>
                    <w:rPr>
                      <w:rFonts w:eastAsia="等线"/>
                      <w:color w:val="000000"/>
                      <w:szCs w:val="21"/>
                    </w:rPr>
                    <w:t xml:space="preserve">56 </w:t>
                  </w:r>
                </w:p>
              </w:tc>
              <w:tc>
                <w:tcPr>
                  <w:tcW w:w="651" w:type="dxa"/>
                  <w:shd w:val="clear" w:color="auto" w:fill="auto"/>
                  <w:vAlign w:val="center"/>
                </w:tcPr>
                <w:p>
                  <w:pPr>
                    <w:pStyle w:val="13"/>
                  </w:pPr>
                  <w:r>
                    <w:rPr>
                      <w:rFonts w:eastAsia="等线"/>
                      <w:color w:val="000000"/>
                      <w:szCs w:val="21"/>
                    </w:rPr>
                    <w:t xml:space="preserve">54 </w:t>
                  </w:r>
                </w:p>
              </w:tc>
              <w:tc>
                <w:tcPr>
                  <w:tcW w:w="651" w:type="dxa"/>
                  <w:vAlign w:val="center"/>
                </w:tcPr>
                <w:p>
                  <w:pPr>
                    <w:pStyle w:val="13"/>
                  </w:pPr>
                  <w:r>
                    <w:rPr>
                      <w:rFonts w:eastAsia="等线"/>
                      <w:color w:val="000000"/>
                      <w:szCs w:val="21"/>
                    </w:rPr>
                    <w:t xml:space="preserve">52 </w:t>
                  </w:r>
                </w:p>
              </w:tc>
              <w:tc>
                <w:tcPr>
                  <w:tcW w:w="651" w:type="dxa"/>
                  <w:shd w:val="clear" w:color="auto" w:fill="auto"/>
                  <w:vAlign w:val="center"/>
                </w:tcPr>
                <w:p>
                  <w:pPr>
                    <w:pStyle w:val="13"/>
                  </w:pPr>
                  <w:r>
                    <w:rPr>
                      <w:rFonts w:eastAsia="等线"/>
                      <w:color w:val="000000"/>
                      <w:szCs w:val="21"/>
                    </w:rPr>
                    <w:t xml:space="preserve">50 </w:t>
                  </w:r>
                </w:p>
              </w:tc>
              <w:tc>
                <w:tcPr>
                  <w:tcW w:w="651" w:type="dxa"/>
                  <w:shd w:val="clear" w:color="auto" w:fill="auto"/>
                  <w:vAlign w:val="center"/>
                </w:tcPr>
                <w:p>
                  <w:pPr>
                    <w:pStyle w:val="13"/>
                  </w:pPr>
                  <w:r>
                    <w:rPr>
                      <w:rFonts w:eastAsia="等线"/>
                      <w:color w:val="000000"/>
                      <w:szCs w:val="21"/>
                    </w:rPr>
                    <w:t xml:space="preserve">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66" w:type="dxa"/>
                  <w:shd w:val="clear" w:color="auto" w:fill="auto"/>
                  <w:vAlign w:val="center"/>
                </w:tcPr>
                <w:p>
                  <w:pPr>
                    <w:pStyle w:val="13"/>
                  </w:pPr>
                  <w:r>
                    <w:t>挖掘机</w:t>
                  </w:r>
                </w:p>
              </w:tc>
              <w:tc>
                <w:tcPr>
                  <w:tcW w:w="546" w:type="dxa"/>
                  <w:shd w:val="clear" w:color="auto" w:fill="auto"/>
                  <w:vAlign w:val="center"/>
                </w:tcPr>
                <w:p>
                  <w:pPr>
                    <w:pStyle w:val="13"/>
                  </w:pPr>
                  <w:r>
                    <w:rPr>
                      <w:rFonts w:eastAsia="等线"/>
                      <w:color w:val="000000"/>
                      <w:szCs w:val="21"/>
                    </w:rPr>
                    <w:t xml:space="preserve">96 </w:t>
                  </w:r>
                </w:p>
              </w:tc>
              <w:tc>
                <w:tcPr>
                  <w:tcW w:w="588" w:type="dxa"/>
                  <w:shd w:val="clear" w:color="auto" w:fill="auto"/>
                  <w:vAlign w:val="center"/>
                </w:tcPr>
                <w:p>
                  <w:pPr>
                    <w:pStyle w:val="13"/>
                  </w:pPr>
                  <w:r>
                    <w:rPr>
                      <w:rFonts w:eastAsia="等线"/>
                      <w:color w:val="000000"/>
                      <w:szCs w:val="21"/>
                    </w:rPr>
                    <w:t xml:space="preserve">76 </w:t>
                  </w:r>
                </w:p>
              </w:tc>
              <w:tc>
                <w:tcPr>
                  <w:tcW w:w="607" w:type="dxa"/>
                  <w:shd w:val="clear" w:color="auto" w:fill="auto"/>
                  <w:vAlign w:val="center"/>
                </w:tcPr>
                <w:p>
                  <w:pPr>
                    <w:pStyle w:val="13"/>
                  </w:pPr>
                  <w:r>
                    <w:rPr>
                      <w:rFonts w:eastAsia="等线"/>
                      <w:color w:val="000000"/>
                      <w:szCs w:val="21"/>
                    </w:rPr>
                    <w:t xml:space="preserve">70 </w:t>
                  </w:r>
                </w:p>
              </w:tc>
              <w:tc>
                <w:tcPr>
                  <w:tcW w:w="608" w:type="dxa"/>
                  <w:shd w:val="clear" w:color="auto" w:fill="auto"/>
                  <w:vAlign w:val="center"/>
                </w:tcPr>
                <w:p>
                  <w:pPr>
                    <w:pStyle w:val="13"/>
                  </w:pPr>
                  <w:r>
                    <w:rPr>
                      <w:rFonts w:eastAsia="等线"/>
                      <w:color w:val="000000"/>
                      <w:szCs w:val="21"/>
                    </w:rPr>
                    <w:t xml:space="preserve">64 </w:t>
                  </w:r>
                </w:p>
              </w:tc>
              <w:tc>
                <w:tcPr>
                  <w:tcW w:w="608" w:type="dxa"/>
                  <w:shd w:val="clear" w:color="auto" w:fill="auto"/>
                  <w:vAlign w:val="center"/>
                </w:tcPr>
                <w:p>
                  <w:pPr>
                    <w:pStyle w:val="13"/>
                  </w:pPr>
                  <w:r>
                    <w:rPr>
                      <w:rFonts w:eastAsia="等线"/>
                      <w:color w:val="000000"/>
                      <w:szCs w:val="21"/>
                    </w:rPr>
                    <w:t xml:space="preserve">62 </w:t>
                  </w:r>
                </w:p>
              </w:tc>
              <w:tc>
                <w:tcPr>
                  <w:tcW w:w="651" w:type="dxa"/>
                  <w:shd w:val="clear" w:color="auto" w:fill="auto"/>
                  <w:vAlign w:val="center"/>
                </w:tcPr>
                <w:p>
                  <w:pPr>
                    <w:pStyle w:val="13"/>
                  </w:pPr>
                  <w:r>
                    <w:rPr>
                      <w:rFonts w:eastAsia="等线"/>
                      <w:color w:val="000000"/>
                      <w:szCs w:val="21"/>
                    </w:rPr>
                    <w:t xml:space="preserve">56 </w:t>
                  </w:r>
                </w:p>
              </w:tc>
              <w:tc>
                <w:tcPr>
                  <w:tcW w:w="651" w:type="dxa"/>
                  <w:shd w:val="clear" w:color="auto" w:fill="auto"/>
                  <w:vAlign w:val="center"/>
                </w:tcPr>
                <w:p>
                  <w:pPr>
                    <w:pStyle w:val="13"/>
                  </w:pPr>
                  <w:r>
                    <w:rPr>
                      <w:rFonts w:eastAsia="等线"/>
                      <w:color w:val="000000"/>
                      <w:szCs w:val="21"/>
                    </w:rPr>
                    <w:t xml:space="preserve">52 </w:t>
                  </w:r>
                </w:p>
              </w:tc>
              <w:tc>
                <w:tcPr>
                  <w:tcW w:w="651" w:type="dxa"/>
                  <w:shd w:val="clear" w:color="auto" w:fill="auto"/>
                  <w:vAlign w:val="center"/>
                </w:tcPr>
                <w:p>
                  <w:pPr>
                    <w:pStyle w:val="13"/>
                  </w:pPr>
                  <w:r>
                    <w:rPr>
                      <w:rFonts w:eastAsia="等线"/>
                      <w:color w:val="000000"/>
                      <w:szCs w:val="21"/>
                    </w:rPr>
                    <w:t xml:space="preserve">50 </w:t>
                  </w:r>
                </w:p>
              </w:tc>
              <w:tc>
                <w:tcPr>
                  <w:tcW w:w="651" w:type="dxa"/>
                  <w:vAlign w:val="center"/>
                </w:tcPr>
                <w:p>
                  <w:pPr>
                    <w:pStyle w:val="13"/>
                  </w:pPr>
                  <w:r>
                    <w:rPr>
                      <w:rFonts w:eastAsia="等线"/>
                      <w:color w:val="000000"/>
                      <w:szCs w:val="21"/>
                    </w:rPr>
                    <w:t xml:space="preserve">48 </w:t>
                  </w:r>
                </w:p>
              </w:tc>
              <w:tc>
                <w:tcPr>
                  <w:tcW w:w="651" w:type="dxa"/>
                  <w:shd w:val="clear" w:color="auto" w:fill="auto"/>
                  <w:vAlign w:val="center"/>
                </w:tcPr>
                <w:p>
                  <w:pPr>
                    <w:pStyle w:val="13"/>
                  </w:pPr>
                  <w:r>
                    <w:rPr>
                      <w:rFonts w:eastAsia="等线"/>
                      <w:color w:val="000000"/>
                      <w:szCs w:val="21"/>
                    </w:rPr>
                    <w:t xml:space="preserve">46 </w:t>
                  </w:r>
                </w:p>
              </w:tc>
              <w:tc>
                <w:tcPr>
                  <w:tcW w:w="651" w:type="dxa"/>
                  <w:shd w:val="clear" w:color="auto" w:fill="auto"/>
                  <w:vAlign w:val="center"/>
                </w:tcPr>
                <w:p>
                  <w:pPr>
                    <w:pStyle w:val="13"/>
                  </w:pPr>
                  <w:r>
                    <w:rPr>
                      <w:rFonts w:eastAsia="等线"/>
                      <w:color w:val="000000"/>
                      <w:szCs w:val="21"/>
                    </w:rPr>
                    <w:t xml:space="preserve">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66" w:type="dxa"/>
                  <w:shd w:val="clear" w:color="auto" w:fill="auto"/>
                  <w:vAlign w:val="center"/>
                </w:tcPr>
                <w:p>
                  <w:pPr>
                    <w:pStyle w:val="13"/>
                  </w:pPr>
                  <w:r>
                    <w:t>推土机</w:t>
                  </w:r>
                </w:p>
              </w:tc>
              <w:tc>
                <w:tcPr>
                  <w:tcW w:w="546" w:type="dxa"/>
                  <w:shd w:val="clear" w:color="auto" w:fill="auto"/>
                  <w:vAlign w:val="center"/>
                </w:tcPr>
                <w:p>
                  <w:pPr>
                    <w:pStyle w:val="13"/>
                  </w:pPr>
                  <w:r>
                    <w:rPr>
                      <w:rFonts w:eastAsia="等线"/>
                      <w:color w:val="000000"/>
                      <w:szCs w:val="21"/>
                    </w:rPr>
                    <w:t xml:space="preserve">85 </w:t>
                  </w:r>
                </w:p>
              </w:tc>
              <w:tc>
                <w:tcPr>
                  <w:tcW w:w="588" w:type="dxa"/>
                  <w:shd w:val="clear" w:color="auto" w:fill="auto"/>
                  <w:vAlign w:val="center"/>
                </w:tcPr>
                <w:p>
                  <w:pPr>
                    <w:pStyle w:val="13"/>
                  </w:pPr>
                  <w:r>
                    <w:rPr>
                      <w:rFonts w:eastAsia="等线"/>
                      <w:color w:val="000000"/>
                      <w:szCs w:val="21"/>
                    </w:rPr>
                    <w:t xml:space="preserve">65 </w:t>
                  </w:r>
                </w:p>
              </w:tc>
              <w:tc>
                <w:tcPr>
                  <w:tcW w:w="607" w:type="dxa"/>
                  <w:shd w:val="clear" w:color="auto" w:fill="auto"/>
                  <w:vAlign w:val="center"/>
                </w:tcPr>
                <w:p>
                  <w:pPr>
                    <w:pStyle w:val="13"/>
                  </w:pPr>
                  <w:r>
                    <w:rPr>
                      <w:rFonts w:eastAsia="等线"/>
                      <w:color w:val="000000"/>
                      <w:szCs w:val="21"/>
                    </w:rPr>
                    <w:t xml:space="preserve">59 </w:t>
                  </w:r>
                </w:p>
              </w:tc>
              <w:tc>
                <w:tcPr>
                  <w:tcW w:w="608" w:type="dxa"/>
                  <w:shd w:val="clear" w:color="auto" w:fill="auto"/>
                  <w:vAlign w:val="center"/>
                </w:tcPr>
                <w:p>
                  <w:pPr>
                    <w:pStyle w:val="13"/>
                  </w:pPr>
                  <w:r>
                    <w:rPr>
                      <w:rFonts w:eastAsia="等线"/>
                      <w:color w:val="000000"/>
                      <w:szCs w:val="21"/>
                    </w:rPr>
                    <w:t xml:space="preserve">53 </w:t>
                  </w:r>
                </w:p>
              </w:tc>
              <w:tc>
                <w:tcPr>
                  <w:tcW w:w="608" w:type="dxa"/>
                  <w:shd w:val="clear" w:color="auto" w:fill="auto"/>
                  <w:vAlign w:val="center"/>
                </w:tcPr>
                <w:p>
                  <w:pPr>
                    <w:pStyle w:val="13"/>
                  </w:pPr>
                  <w:r>
                    <w:rPr>
                      <w:rFonts w:eastAsia="等线"/>
                      <w:color w:val="000000"/>
                      <w:szCs w:val="21"/>
                    </w:rPr>
                    <w:t xml:space="preserve">51 </w:t>
                  </w:r>
                </w:p>
              </w:tc>
              <w:tc>
                <w:tcPr>
                  <w:tcW w:w="651" w:type="dxa"/>
                  <w:shd w:val="clear" w:color="auto" w:fill="auto"/>
                  <w:vAlign w:val="center"/>
                </w:tcPr>
                <w:p>
                  <w:pPr>
                    <w:pStyle w:val="13"/>
                  </w:pPr>
                  <w:r>
                    <w:rPr>
                      <w:rFonts w:eastAsia="等线"/>
                      <w:color w:val="000000"/>
                      <w:szCs w:val="21"/>
                    </w:rPr>
                    <w:t xml:space="preserve">45 </w:t>
                  </w:r>
                </w:p>
              </w:tc>
              <w:tc>
                <w:tcPr>
                  <w:tcW w:w="651" w:type="dxa"/>
                  <w:shd w:val="clear" w:color="auto" w:fill="auto"/>
                  <w:vAlign w:val="center"/>
                </w:tcPr>
                <w:p>
                  <w:pPr>
                    <w:pStyle w:val="13"/>
                  </w:pPr>
                  <w:r>
                    <w:rPr>
                      <w:rFonts w:eastAsia="等线"/>
                      <w:color w:val="000000"/>
                      <w:szCs w:val="21"/>
                    </w:rPr>
                    <w:t xml:space="preserve">41 </w:t>
                  </w:r>
                </w:p>
              </w:tc>
              <w:tc>
                <w:tcPr>
                  <w:tcW w:w="651" w:type="dxa"/>
                  <w:shd w:val="clear" w:color="auto" w:fill="auto"/>
                  <w:vAlign w:val="center"/>
                </w:tcPr>
                <w:p>
                  <w:pPr>
                    <w:pStyle w:val="13"/>
                  </w:pPr>
                  <w:r>
                    <w:rPr>
                      <w:rFonts w:eastAsia="等线"/>
                      <w:color w:val="000000"/>
                      <w:szCs w:val="21"/>
                    </w:rPr>
                    <w:t xml:space="preserve">39 </w:t>
                  </w:r>
                </w:p>
              </w:tc>
              <w:tc>
                <w:tcPr>
                  <w:tcW w:w="651" w:type="dxa"/>
                  <w:vAlign w:val="center"/>
                </w:tcPr>
                <w:p>
                  <w:pPr>
                    <w:pStyle w:val="13"/>
                  </w:pPr>
                  <w:r>
                    <w:rPr>
                      <w:rFonts w:eastAsia="等线"/>
                      <w:color w:val="000000"/>
                      <w:szCs w:val="21"/>
                    </w:rPr>
                    <w:t xml:space="preserve">37 </w:t>
                  </w:r>
                </w:p>
              </w:tc>
              <w:tc>
                <w:tcPr>
                  <w:tcW w:w="651" w:type="dxa"/>
                  <w:shd w:val="clear" w:color="auto" w:fill="auto"/>
                  <w:vAlign w:val="center"/>
                </w:tcPr>
                <w:p>
                  <w:pPr>
                    <w:pStyle w:val="13"/>
                  </w:pPr>
                  <w:r>
                    <w:rPr>
                      <w:rFonts w:eastAsia="等线"/>
                      <w:color w:val="000000"/>
                      <w:szCs w:val="21"/>
                    </w:rPr>
                    <w:t xml:space="preserve">35 </w:t>
                  </w:r>
                </w:p>
              </w:tc>
              <w:tc>
                <w:tcPr>
                  <w:tcW w:w="651" w:type="dxa"/>
                  <w:shd w:val="clear" w:color="auto" w:fill="auto"/>
                  <w:vAlign w:val="center"/>
                </w:tcPr>
                <w:p>
                  <w:pPr>
                    <w:pStyle w:val="13"/>
                  </w:pPr>
                  <w:r>
                    <w:rPr>
                      <w:rFonts w:eastAsia="等线"/>
                      <w:color w:val="000000"/>
                      <w:szCs w:val="21"/>
                    </w:rPr>
                    <w:t xml:space="preserve">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66" w:type="dxa"/>
                  <w:shd w:val="clear" w:color="auto" w:fill="auto"/>
                  <w:vAlign w:val="center"/>
                </w:tcPr>
                <w:p>
                  <w:pPr>
                    <w:pStyle w:val="13"/>
                  </w:pPr>
                  <w:r>
                    <w:t>压路机</w:t>
                  </w:r>
                </w:p>
              </w:tc>
              <w:tc>
                <w:tcPr>
                  <w:tcW w:w="546" w:type="dxa"/>
                  <w:shd w:val="clear" w:color="auto" w:fill="auto"/>
                  <w:vAlign w:val="center"/>
                </w:tcPr>
                <w:p>
                  <w:pPr>
                    <w:pStyle w:val="13"/>
                  </w:pPr>
                  <w:r>
                    <w:rPr>
                      <w:rFonts w:eastAsia="等线"/>
                      <w:color w:val="000000"/>
                      <w:szCs w:val="21"/>
                    </w:rPr>
                    <w:t xml:space="preserve">85 </w:t>
                  </w:r>
                </w:p>
              </w:tc>
              <w:tc>
                <w:tcPr>
                  <w:tcW w:w="588" w:type="dxa"/>
                  <w:shd w:val="clear" w:color="auto" w:fill="auto"/>
                  <w:vAlign w:val="center"/>
                </w:tcPr>
                <w:p>
                  <w:pPr>
                    <w:pStyle w:val="13"/>
                  </w:pPr>
                  <w:r>
                    <w:rPr>
                      <w:rFonts w:eastAsia="等线"/>
                      <w:color w:val="000000"/>
                      <w:szCs w:val="21"/>
                    </w:rPr>
                    <w:t xml:space="preserve">65 </w:t>
                  </w:r>
                </w:p>
              </w:tc>
              <w:tc>
                <w:tcPr>
                  <w:tcW w:w="607" w:type="dxa"/>
                  <w:shd w:val="clear" w:color="auto" w:fill="auto"/>
                  <w:vAlign w:val="center"/>
                </w:tcPr>
                <w:p>
                  <w:pPr>
                    <w:pStyle w:val="13"/>
                  </w:pPr>
                  <w:r>
                    <w:rPr>
                      <w:rFonts w:eastAsia="等线"/>
                      <w:color w:val="000000"/>
                      <w:szCs w:val="21"/>
                    </w:rPr>
                    <w:t xml:space="preserve">59 </w:t>
                  </w:r>
                </w:p>
              </w:tc>
              <w:tc>
                <w:tcPr>
                  <w:tcW w:w="608" w:type="dxa"/>
                  <w:shd w:val="clear" w:color="auto" w:fill="auto"/>
                  <w:vAlign w:val="center"/>
                </w:tcPr>
                <w:p>
                  <w:pPr>
                    <w:pStyle w:val="13"/>
                  </w:pPr>
                  <w:r>
                    <w:rPr>
                      <w:rFonts w:eastAsia="等线"/>
                      <w:color w:val="000000"/>
                      <w:szCs w:val="21"/>
                    </w:rPr>
                    <w:t xml:space="preserve">53 </w:t>
                  </w:r>
                </w:p>
              </w:tc>
              <w:tc>
                <w:tcPr>
                  <w:tcW w:w="608" w:type="dxa"/>
                  <w:shd w:val="clear" w:color="auto" w:fill="auto"/>
                  <w:vAlign w:val="center"/>
                </w:tcPr>
                <w:p>
                  <w:pPr>
                    <w:pStyle w:val="13"/>
                  </w:pPr>
                  <w:r>
                    <w:rPr>
                      <w:rFonts w:eastAsia="等线"/>
                      <w:color w:val="000000"/>
                      <w:szCs w:val="21"/>
                    </w:rPr>
                    <w:t xml:space="preserve">51 </w:t>
                  </w:r>
                </w:p>
              </w:tc>
              <w:tc>
                <w:tcPr>
                  <w:tcW w:w="651" w:type="dxa"/>
                  <w:shd w:val="clear" w:color="auto" w:fill="auto"/>
                  <w:vAlign w:val="center"/>
                </w:tcPr>
                <w:p>
                  <w:pPr>
                    <w:pStyle w:val="13"/>
                  </w:pPr>
                  <w:r>
                    <w:rPr>
                      <w:rFonts w:eastAsia="等线"/>
                      <w:color w:val="000000"/>
                      <w:szCs w:val="21"/>
                    </w:rPr>
                    <w:t xml:space="preserve">45 </w:t>
                  </w:r>
                </w:p>
              </w:tc>
              <w:tc>
                <w:tcPr>
                  <w:tcW w:w="651" w:type="dxa"/>
                  <w:shd w:val="clear" w:color="auto" w:fill="auto"/>
                  <w:vAlign w:val="center"/>
                </w:tcPr>
                <w:p>
                  <w:pPr>
                    <w:pStyle w:val="13"/>
                  </w:pPr>
                  <w:r>
                    <w:rPr>
                      <w:rFonts w:eastAsia="等线"/>
                      <w:color w:val="000000"/>
                      <w:szCs w:val="21"/>
                    </w:rPr>
                    <w:t xml:space="preserve">41 </w:t>
                  </w:r>
                </w:p>
              </w:tc>
              <w:tc>
                <w:tcPr>
                  <w:tcW w:w="651" w:type="dxa"/>
                  <w:shd w:val="clear" w:color="auto" w:fill="auto"/>
                  <w:vAlign w:val="center"/>
                </w:tcPr>
                <w:p>
                  <w:pPr>
                    <w:pStyle w:val="13"/>
                  </w:pPr>
                  <w:r>
                    <w:rPr>
                      <w:rFonts w:eastAsia="等线"/>
                      <w:color w:val="000000"/>
                      <w:szCs w:val="21"/>
                    </w:rPr>
                    <w:t xml:space="preserve">39 </w:t>
                  </w:r>
                </w:p>
              </w:tc>
              <w:tc>
                <w:tcPr>
                  <w:tcW w:w="651" w:type="dxa"/>
                  <w:vAlign w:val="center"/>
                </w:tcPr>
                <w:p>
                  <w:pPr>
                    <w:pStyle w:val="13"/>
                  </w:pPr>
                  <w:r>
                    <w:rPr>
                      <w:rFonts w:eastAsia="等线"/>
                      <w:color w:val="000000"/>
                      <w:szCs w:val="21"/>
                    </w:rPr>
                    <w:t xml:space="preserve">37 </w:t>
                  </w:r>
                </w:p>
              </w:tc>
              <w:tc>
                <w:tcPr>
                  <w:tcW w:w="651" w:type="dxa"/>
                  <w:shd w:val="clear" w:color="auto" w:fill="auto"/>
                  <w:vAlign w:val="center"/>
                </w:tcPr>
                <w:p>
                  <w:pPr>
                    <w:pStyle w:val="13"/>
                  </w:pPr>
                  <w:r>
                    <w:rPr>
                      <w:rFonts w:eastAsia="等线"/>
                      <w:color w:val="000000"/>
                      <w:szCs w:val="21"/>
                    </w:rPr>
                    <w:t xml:space="preserve">35 </w:t>
                  </w:r>
                </w:p>
              </w:tc>
              <w:tc>
                <w:tcPr>
                  <w:tcW w:w="651" w:type="dxa"/>
                  <w:shd w:val="clear" w:color="auto" w:fill="auto"/>
                  <w:vAlign w:val="center"/>
                </w:tcPr>
                <w:p>
                  <w:pPr>
                    <w:pStyle w:val="13"/>
                  </w:pPr>
                  <w:r>
                    <w:rPr>
                      <w:rFonts w:eastAsia="等线"/>
                      <w:color w:val="000000"/>
                      <w:szCs w:val="21"/>
                    </w:rPr>
                    <w:t xml:space="preserve">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66" w:type="dxa"/>
                  <w:shd w:val="clear" w:color="auto" w:fill="auto"/>
                  <w:vAlign w:val="center"/>
                </w:tcPr>
                <w:p>
                  <w:pPr>
                    <w:pStyle w:val="13"/>
                  </w:pPr>
                  <w:r>
                    <w:rPr>
                      <w:rFonts w:hint="eastAsia"/>
                    </w:rPr>
                    <w:t>重型载重汽车</w:t>
                  </w:r>
                </w:p>
              </w:tc>
              <w:tc>
                <w:tcPr>
                  <w:tcW w:w="546" w:type="dxa"/>
                  <w:shd w:val="clear" w:color="auto" w:fill="auto"/>
                  <w:vAlign w:val="center"/>
                </w:tcPr>
                <w:p>
                  <w:pPr>
                    <w:pStyle w:val="13"/>
                  </w:pPr>
                  <w:r>
                    <w:rPr>
                      <w:rFonts w:eastAsia="等线"/>
                      <w:color w:val="000000"/>
                      <w:szCs w:val="21"/>
                    </w:rPr>
                    <w:t xml:space="preserve">86 </w:t>
                  </w:r>
                </w:p>
              </w:tc>
              <w:tc>
                <w:tcPr>
                  <w:tcW w:w="588" w:type="dxa"/>
                  <w:shd w:val="clear" w:color="auto" w:fill="auto"/>
                  <w:vAlign w:val="center"/>
                </w:tcPr>
                <w:p>
                  <w:pPr>
                    <w:pStyle w:val="13"/>
                  </w:pPr>
                  <w:r>
                    <w:rPr>
                      <w:rFonts w:eastAsia="等线"/>
                      <w:color w:val="000000"/>
                      <w:szCs w:val="21"/>
                    </w:rPr>
                    <w:t xml:space="preserve">66 </w:t>
                  </w:r>
                </w:p>
              </w:tc>
              <w:tc>
                <w:tcPr>
                  <w:tcW w:w="607" w:type="dxa"/>
                  <w:shd w:val="clear" w:color="auto" w:fill="auto"/>
                  <w:vAlign w:val="center"/>
                </w:tcPr>
                <w:p>
                  <w:pPr>
                    <w:pStyle w:val="13"/>
                  </w:pPr>
                  <w:r>
                    <w:rPr>
                      <w:rFonts w:eastAsia="等线"/>
                      <w:color w:val="000000"/>
                      <w:szCs w:val="21"/>
                    </w:rPr>
                    <w:t xml:space="preserve">60 </w:t>
                  </w:r>
                </w:p>
              </w:tc>
              <w:tc>
                <w:tcPr>
                  <w:tcW w:w="608" w:type="dxa"/>
                  <w:shd w:val="clear" w:color="auto" w:fill="auto"/>
                  <w:vAlign w:val="center"/>
                </w:tcPr>
                <w:p>
                  <w:pPr>
                    <w:pStyle w:val="13"/>
                  </w:pPr>
                  <w:r>
                    <w:rPr>
                      <w:rFonts w:eastAsia="等线"/>
                      <w:color w:val="000000"/>
                      <w:szCs w:val="21"/>
                    </w:rPr>
                    <w:t xml:space="preserve">54 </w:t>
                  </w:r>
                </w:p>
              </w:tc>
              <w:tc>
                <w:tcPr>
                  <w:tcW w:w="608" w:type="dxa"/>
                  <w:shd w:val="clear" w:color="auto" w:fill="auto"/>
                  <w:vAlign w:val="center"/>
                </w:tcPr>
                <w:p>
                  <w:pPr>
                    <w:pStyle w:val="13"/>
                  </w:pPr>
                  <w:r>
                    <w:rPr>
                      <w:rFonts w:eastAsia="等线"/>
                      <w:color w:val="000000"/>
                      <w:szCs w:val="21"/>
                    </w:rPr>
                    <w:t xml:space="preserve">52 </w:t>
                  </w:r>
                </w:p>
              </w:tc>
              <w:tc>
                <w:tcPr>
                  <w:tcW w:w="651" w:type="dxa"/>
                  <w:shd w:val="clear" w:color="auto" w:fill="auto"/>
                  <w:vAlign w:val="center"/>
                </w:tcPr>
                <w:p>
                  <w:pPr>
                    <w:pStyle w:val="13"/>
                  </w:pPr>
                  <w:r>
                    <w:rPr>
                      <w:rFonts w:eastAsia="等线"/>
                      <w:color w:val="000000"/>
                      <w:szCs w:val="21"/>
                    </w:rPr>
                    <w:t xml:space="preserve">46 </w:t>
                  </w:r>
                </w:p>
              </w:tc>
              <w:tc>
                <w:tcPr>
                  <w:tcW w:w="651" w:type="dxa"/>
                  <w:shd w:val="clear" w:color="auto" w:fill="auto"/>
                  <w:vAlign w:val="center"/>
                </w:tcPr>
                <w:p>
                  <w:pPr>
                    <w:pStyle w:val="13"/>
                  </w:pPr>
                  <w:r>
                    <w:rPr>
                      <w:rFonts w:eastAsia="等线"/>
                      <w:color w:val="000000"/>
                      <w:szCs w:val="21"/>
                    </w:rPr>
                    <w:t xml:space="preserve">42 </w:t>
                  </w:r>
                </w:p>
              </w:tc>
              <w:tc>
                <w:tcPr>
                  <w:tcW w:w="651" w:type="dxa"/>
                  <w:shd w:val="clear" w:color="auto" w:fill="auto"/>
                  <w:vAlign w:val="center"/>
                </w:tcPr>
                <w:p>
                  <w:pPr>
                    <w:pStyle w:val="13"/>
                  </w:pPr>
                  <w:r>
                    <w:rPr>
                      <w:rFonts w:eastAsia="等线"/>
                      <w:color w:val="000000"/>
                      <w:szCs w:val="21"/>
                    </w:rPr>
                    <w:t xml:space="preserve">40 </w:t>
                  </w:r>
                </w:p>
              </w:tc>
              <w:tc>
                <w:tcPr>
                  <w:tcW w:w="651" w:type="dxa"/>
                  <w:vAlign w:val="center"/>
                </w:tcPr>
                <w:p>
                  <w:pPr>
                    <w:pStyle w:val="13"/>
                  </w:pPr>
                  <w:r>
                    <w:rPr>
                      <w:rFonts w:eastAsia="等线"/>
                      <w:color w:val="000000"/>
                      <w:szCs w:val="21"/>
                    </w:rPr>
                    <w:t xml:space="preserve">38 </w:t>
                  </w:r>
                </w:p>
              </w:tc>
              <w:tc>
                <w:tcPr>
                  <w:tcW w:w="651" w:type="dxa"/>
                  <w:shd w:val="clear" w:color="auto" w:fill="auto"/>
                  <w:vAlign w:val="center"/>
                </w:tcPr>
                <w:p>
                  <w:pPr>
                    <w:pStyle w:val="13"/>
                  </w:pPr>
                  <w:r>
                    <w:rPr>
                      <w:rFonts w:eastAsia="等线"/>
                      <w:color w:val="000000"/>
                      <w:szCs w:val="21"/>
                    </w:rPr>
                    <w:t xml:space="preserve">36 </w:t>
                  </w:r>
                </w:p>
              </w:tc>
              <w:tc>
                <w:tcPr>
                  <w:tcW w:w="651" w:type="dxa"/>
                  <w:shd w:val="clear" w:color="auto" w:fill="auto"/>
                  <w:vAlign w:val="center"/>
                </w:tcPr>
                <w:p>
                  <w:pPr>
                    <w:pStyle w:val="13"/>
                  </w:pPr>
                  <w:r>
                    <w:rPr>
                      <w:rFonts w:eastAsia="等线"/>
                      <w:color w:val="000000"/>
                      <w:szCs w:val="21"/>
                    </w:rPr>
                    <w:t xml:space="preserve">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66" w:type="dxa"/>
                  <w:shd w:val="clear" w:color="auto" w:fill="auto"/>
                  <w:vAlign w:val="center"/>
                </w:tcPr>
                <w:p>
                  <w:pPr>
                    <w:pStyle w:val="13"/>
                  </w:pPr>
                  <w:r>
                    <w:t>运输车辆</w:t>
                  </w:r>
                </w:p>
              </w:tc>
              <w:tc>
                <w:tcPr>
                  <w:tcW w:w="546" w:type="dxa"/>
                  <w:shd w:val="clear" w:color="auto" w:fill="auto"/>
                  <w:vAlign w:val="center"/>
                </w:tcPr>
                <w:p>
                  <w:pPr>
                    <w:pStyle w:val="13"/>
                  </w:pPr>
                  <w:r>
                    <w:rPr>
                      <w:rFonts w:eastAsia="等线"/>
                      <w:color w:val="000000"/>
                      <w:szCs w:val="21"/>
                    </w:rPr>
                    <w:t xml:space="preserve">70 </w:t>
                  </w:r>
                </w:p>
              </w:tc>
              <w:tc>
                <w:tcPr>
                  <w:tcW w:w="588" w:type="dxa"/>
                  <w:shd w:val="clear" w:color="auto" w:fill="auto"/>
                  <w:vAlign w:val="center"/>
                </w:tcPr>
                <w:p>
                  <w:pPr>
                    <w:pStyle w:val="13"/>
                  </w:pPr>
                  <w:r>
                    <w:rPr>
                      <w:rFonts w:eastAsia="等线"/>
                      <w:color w:val="000000"/>
                      <w:szCs w:val="21"/>
                    </w:rPr>
                    <w:t xml:space="preserve">50 </w:t>
                  </w:r>
                </w:p>
              </w:tc>
              <w:tc>
                <w:tcPr>
                  <w:tcW w:w="607" w:type="dxa"/>
                  <w:shd w:val="clear" w:color="auto" w:fill="auto"/>
                  <w:vAlign w:val="center"/>
                </w:tcPr>
                <w:p>
                  <w:pPr>
                    <w:pStyle w:val="13"/>
                  </w:pPr>
                  <w:r>
                    <w:rPr>
                      <w:rFonts w:eastAsia="等线"/>
                      <w:color w:val="000000"/>
                      <w:szCs w:val="21"/>
                    </w:rPr>
                    <w:t xml:space="preserve">44 </w:t>
                  </w:r>
                </w:p>
              </w:tc>
              <w:tc>
                <w:tcPr>
                  <w:tcW w:w="608" w:type="dxa"/>
                  <w:shd w:val="clear" w:color="auto" w:fill="auto"/>
                  <w:vAlign w:val="center"/>
                </w:tcPr>
                <w:p>
                  <w:pPr>
                    <w:pStyle w:val="13"/>
                  </w:pPr>
                  <w:r>
                    <w:rPr>
                      <w:rFonts w:eastAsia="等线"/>
                      <w:color w:val="000000"/>
                      <w:szCs w:val="21"/>
                    </w:rPr>
                    <w:t xml:space="preserve">38 </w:t>
                  </w:r>
                </w:p>
              </w:tc>
              <w:tc>
                <w:tcPr>
                  <w:tcW w:w="608" w:type="dxa"/>
                  <w:shd w:val="clear" w:color="auto" w:fill="auto"/>
                  <w:vAlign w:val="center"/>
                </w:tcPr>
                <w:p>
                  <w:pPr>
                    <w:pStyle w:val="13"/>
                  </w:pPr>
                  <w:r>
                    <w:rPr>
                      <w:rFonts w:eastAsia="等线"/>
                      <w:color w:val="000000"/>
                      <w:szCs w:val="21"/>
                    </w:rPr>
                    <w:t xml:space="preserve">36 </w:t>
                  </w:r>
                </w:p>
              </w:tc>
              <w:tc>
                <w:tcPr>
                  <w:tcW w:w="651" w:type="dxa"/>
                  <w:shd w:val="clear" w:color="auto" w:fill="auto"/>
                  <w:vAlign w:val="center"/>
                </w:tcPr>
                <w:p>
                  <w:pPr>
                    <w:pStyle w:val="13"/>
                  </w:pPr>
                  <w:r>
                    <w:rPr>
                      <w:rFonts w:eastAsia="等线"/>
                      <w:color w:val="000000"/>
                      <w:szCs w:val="21"/>
                    </w:rPr>
                    <w:t xml:space="preserve">30 </w:t>
                  </w:r>
                </w:p>
              </w:tc>
              <w:tc>
                <w:tcPr>
                  <w:tcW w:w="651" w:type="dxa"/>
                  <w:shd w:val="clear" w:color="auto" w:fill="auto"/>
                  <w:vAlign w:val="center"/>
                </w:tcPr>
                <w:p>
                  <w:pPr>
                    <w:pStyle w:val="13"/>
                  </w:pPr>
                  <w:r>
                    <w:rPr>
                      <w:rFonts w:eastAsia="等线"/>
                      <w:color w:val="000000"/>
                      <w:szCs w:val="21"/>
                    </w:rPr>
                    <w:t xml:space="preserve">26 </w:t>
                  </w:r>
                </w:p>
              </w:tc>
              <w:tc>
                <w:tcPr>
                  <w:tcW w:w="651" w:type="dxa"/>
                  <w:shd w:val="clear" w:color="auto" w:fill="auto"/>
                  <w:vAlign w:val="center"/>
                </w:tcPr>
                <w:p>
                  <w:pPr>
                    <w:pStyle w:val="13"/>
                  </w:pPr>
                  <w:r>
                    <w:rPr>
                      <w:rFonts w:eastAsia="等线"/>
                      <w:color w:val="000000"/>
                      <w:szCs w:val="21"/>
                    </w:rPr>
                    <w:t xml:space="preserve">24 </w:t>
                  </w:r>
                </w:p>
              </w:tc>
              <w:tc>
                <w:tcPr>
                  <w:tcW w:w="651" w:type="dxa"/>
                  <w:vAlign w:val="center"/>
                </w:tcPr>
                <w:p>
                  <w:pPr>
                    <w:pStyle w:val="13"/>
                  </w:pPr>
                  <w:r>
                    <w:rPr>
                      <w:rFonts w:eastAsia="等线"/>
                      <w:color w:val="000000"/>
                      <w:szCs w:val="21"/>
                    </w:rPr>
                    <w:t xml:space="preserve">22 </w:t>
                  </w:r>
                </w:p>
              </w:tc>
              <w:tc>
                <w:tcPr>
                  <w:tcW w:w="651" w:type="dxa"/>
                  <w:shd w:val="clear" w:color="auto" w:fill="auto"/>
                  <w:vAlign w:val="center"/>
                </w:tcPr>
                <w:p>
                  <w:pPr>
                    <w:pStyle w:val="13"/>
                  </w:pPr>
                  <w:r>
                    <w:rPr>
                      <w:rFonts w:eastAsia="等线"/>
                      <w:color w:val="000000"/>
                      <w:szCs w:val="21"/>
                    </w:rPr>
                    <w:t xml:space="preserve">20 </w:t>
                  </w:r>
                </w:p>
              </w:tc>
              <w:tc>
                <w:tcPr>
                  <w:tcW w:w="651" w:type="dxa"/>
                  <w:shd w:val="clear" w:color="auto" w:fill="auto"/>
                  <w:vAlign w:val="center"/>
                </w:tcPr>
                <w:p>
                  <w:pPr>
                    <w:pStyle w:val="13"/>
                  </w:pPr>
                  <w:r>
                    <w:rPr>
                      <w:rFonts w:eastAsia="等线"/>
                      <w:color w:val="000000"/>
                      <w:szCs w:val="21"/>
                    </w:rPr>
                    <w:t xml:space="preserve">18 </w:t>
                  </w:r>
                </w:p>
              </w:tc>
            </w:tr>
            <w:bookmarkEnd w:id="25"/>
          </w:tbl>
          <w:p>
            <w:pPr>
              <w:spacing w:line="360" w:lineRule="auto"/>
              <w:ind w:firstLine="480"/>
            </w:pPr>
            <w:r>
              <w:rPr>
                <w:rFonts w:hint="eastAsia"/>
              </w:rPr>
              <w:t>工程建设产生的噪声对周围区域环境有一定的影响。这种影响影响是短期的、暂时的，而且具有局部地段特性。根据《建筑施工场界噪声排放标准》（</w:t>
            </w:r>
            <w:r>
              <w:t>GB12523-2011</w:t>
            </w:r>
            <w:r>
              <w:rPr>
                <w:rFonts w:hint="eastAsia"/>
              </w:rPr>
              <w:t>）</w:t>
            </w:r>
            <w:r>
              <w:t>，施工阶段作业噪声限值为：昼间70dB</w:t>
            </w:r>
            <w:r>
              <w:rPr>
                <w:rFonts w:hint="eastAsia"/>
              </w:rPr>
              <w:t>（</w:t>
            </w:r>
            <w:r>
              <w:t>A</w:t>
            </w:r>
            <w:r>
              <w:rPr>
                <w:rFonts w:hint="eastAsia"/>
              </w:rPr>
              <w:t>）</w:t>
            </w:r>
            <w:r>
              <w:t>，夜间55dB</w:t>
            </w:r>
            <w:r>
              <w:rPr>
                <w:rFonts w:hint="eastAsia"/>
              </w:rPr>
              <w:t>（</w:t>
            </w:r>
            <w:r>
              <w:t>A</w:t>
            </w:r>
            <w:r>
              <w:rPr>
                <w:rFonts w:hint="eastAsia"/>
              </w:rPr>
              <w:t>）</w:t>
            </w:r>
            <w:r>
              <w:t>。</w:t>
            </w:r>
            <w:r>
              <w:rPr>
                <w:rFonts w:hint="eastAsia"/>
              </w:rPr>
              <w:t>项目施工期</w:t>
            </w:r>
            <w:r>
              <w:t>噪声源距其40m以内的环境噪声预测值</w:t>
            </w:r>
            <w:r>
              <w:rPr>
                <w:rFonts w:hint="eastAsia"/>
              </w:rPr>
              <w:t>能满足标准</w:t>
            </w:r>
            <w:r>
              <w:t>；若夜间施工，</w:t>
            </w:r>
            <w:r>
              <w:rPr>
                <w:rFonts w:hint="eastAsia"/>
              </w:rPr>
              <w:t>则</w:t>
            </w:r>
            <w:r>
              <w:t>200m以内的环境噪声超过55dB（A）的夜间标准值。由此可见，施工噪声对施工场地周围50m范围内的环境影响较大，对50‐</w:t>
            </w:r>
            <w:r>
              <w:rPr>
                <w:rFonts w:hint="eastAsia"/>
              </w:rPr>
              <w:t>2</w:t>
            </w:r>
            <w:r>
              <w:t>00m范围也将产生一定的影响，特别是夜间施工时影响更为严重。</w:t>
            </w:r>
          </w:p>
          <w:p>
            <w:pPr>
              <w:spacing w:line="360" w:lineRule="auto"/>
              <w:ind w:firstLine="480"/>
            </w:pPr>
            <w:r>
              <w:rPr>
                <w:rFonts w:hint="eastAsia"/>
              </w:rPr>
              <w:t>本项目最近敏感点为工业广场东侧约1</w:t>
            </w:r>
            <w:r>
              <w:t>8</w:t>
            </w:r>
            <w:r>
              <w:rPr>
                <w:rFonts w:hint="eastAsia"/>
              </w:rPr>
              <w:t>m处上大屋居民点，距离矿区边界最近敏感点为东侧约</w:t>
            </w:r>
            <w:r>
              <w:t>45</w:t>
            </w:r>
            <w:r>
              <w:rPr>
                <w:rFonts w:hint="eastAsia"/>
              </w:rPr>
              <w:t>m处中大屋居民点。本项目主要为挖掘机和运输车，噪声源少，对周边声环境保护目标影响不大，建议施工机械设备应尽量远离声环境保护目标，将声环境影响降至最低。</w:t>
            </w:r>
          </w:p>
          <w:p>
            <w:pPr>
              <w:spacing w:line="360" w:lineRule="auto"/>
              <w:ind w:firstLine="480"/>
            </w:pPr>
            <w:r>
              <w:rPr>
                <w:rFonts w:hint="eastAsia"/>
              </w:rPr>
              <w:t>施工单位须严格遵守《中华人民共和国环境噪声污染防治法》中关于建筑施工噪声污染防治的有关规定和《建筑施工场界环境噪声排放标准》（GB2523-2011）的要求尽可能采用低噪声施工设备，合理安排施工计划并采取严格的施工管理措施，将施工噪声造成的影响减小到最低。项目夜间不施工，且施工期间加强管理，在严格落实基础减振、隔声等降噪措施的前提下，施工噪声对周围声环境影响是可接受的。</w:t>
            </w:r>
          </w:p>
          <w:p>
            <w:pPr>
              <w:spacing w:line="360" w:lineRule="auto"/>
              <w:ind w:firstLine="0" w:firstLineChars="0"/>
              <w:rPr>
                <w:b/>
                <w:sz w:val="28"/>
              </w:rPr>
            </w:pPr>
            <w:r>
              <w:rPr>
                <w:b/>
                <w:sz w:val="28"/>
              </w:rPr>
              <w:t>4</w:t>
            </w:r>
            <w:r>
              <w:rPr>
                <w:rFonts w:hint="eastAsia"/>
                <w:b/>
                <w:sz w:val="28"/>
              </w:rPr>
              <w:t>、固体废物影响分析</w:t>
            </w:r>
          </w:p>
          <w:p>
            <w:pPr>
              <w:spacing w:line="360" w:lineRule="auto"/>
              <w:ind w:firstLine="480"/>
            </w:pPr>
            <w:r>
              <w:rPr>
                <w:rFonts w:hint="eastAsia"/>
              </w:rPr>
              <w:t>本项目不设施工营地，因此无生活垃圾产生。施工期生产固体废物主要来自建筑垃圾及剥离的废土石。</w:t>
            </w:r>
          </w:p>
          <w:p>
            <w:pPr>
              <w:spacing w:line="360" w:lineRule="auto"/>
              <w:ind w:firstLine="480"/>
            </w:pPr>
            <w:r>
              <w:rPr>
                <w:rFonts w:hint="eastAsia"/>
              </w:rPr>
              <w:t>施工期场内道路、截排水设施等建设期会产生部分剥离的废土，废土在临时排土场暂存，可用于复垦，并建好挡土墙等相应的防止水土流失措施。</w:t>
            </w:r>
          </w:p>
          <w:p>
            <w:pPr>
              <w:spacing w:line="360" w:lineRule="auto"/>
              <w:ind w:firstLine="480"/>
            </w:pPr>
            <w:r>
              <w:rPr>
                <w:rFonts w:hint="eastAsia"/>
              </w:rPr>
              <w:t>施工期的建筑垃圾主要由碎砖头、混凝土和砂土组成，应分类后回收利用，评价要求对于无利用价值的废弃物应按市政部门要求运往指定地点。另外，建设单位须要求施工单位规范运输，不能随地洒落物料，不能随意倾倒、堆放建筑垃圾，施工结束后应及时清运多余或废弃的建筑材料或建筑垃圾。</w:t>
            </w:r>
          </w:p>
          <w:p>
            <w:pPr>
              <w:spacing w:line="360" w:lineRule="auto"/>
              <w:ind w:firstLine="0" w:firstLineChars="0"/>
              <w:rPr>
                <w:b/>
                <w:sz w:val="28"/>
              </w:rPr>
            </w:pPr>
            <w:r>
              <w:rPr>
                <w:b/>
                <w:sz w:val="28"/>
              </w:rPr>
              <w:t>5</w:t>
            </w:r>
            <w:r>
              <w:rPr>
                <w:rFonts w:hint="eastAsia"/>
                <w:b/>
                <w:sz w:val="28"/>
              </w:rPr>
              <w:t>、土壤环境影响分析</w:t>
            </w:r>
          </w:p>
          <w:p>
            <w:pPr>
              <w:spacing w:line="360" w:lineRule="auto"/>
              <w:ind w:firstLine="480"/>
            </w:pPr>
            <w:r>
              <w:rPr>
                <w:rFonts w:hint="eastAsia"/>
              </w:rPr>
              <w:t>本项目施工期可能对土壤环境造成影响的途径主要有：</w:t>
            </w:r>
          </w:p>
          <w:p>
            <w:pPr>
              <w:spacing w:line="360" w:lineRule="auto"/>
              <w:ind w:firstLine="480"/>
            </w:pPr>
            <w:r>
              <w:rPr>
                <w:rFonts w:hint="eastAsia"/>
              </w:rPr>
              <w:t>（1）废水外排导致土壤污染；</w:t>
            </w:r>
          </w:p>
          <w:p>
            <w:pPr>
              <w:spacing w:line="360" w:lineRule="auto"/>
              <w:ind w:firstLine="480"/>
            </w:pPr>
            <w:r>
              <w:rPr>
                <w:rFonts w:hint="eastAsia"/>
              </w:rPr>
              <w:t>（2）粉尘外排环境，通过自然沉降和雨水进入土壤；</w:t>
            </w:r>
          </w:p>
          <w:p>
            <w:pPr>
              <w:spacing w:line="360" w:lineRule="auto"/>
              <w:ind w:firstLine="480"/>
            </w:pPr>
            <w:r>
              <w:rPr>
                <w:rFonts w:hint="eastAsia"/>
              </w:rPr>
              <w:t>（3）固体废物在堆放过程中的吹散，雨水淋洗，运送过程中的微落，都有可能对土壤环境产生不利影响。</w:t>
            </w:r>
          </w:p>
          <w:p>
            <w:pPr>
              <w:spacing w:line="360" w:lineRule="auto"/>
              <w:ind w:firstLine="480"/>
            </w:pPr>
            <w:r>
              <w:rPr>
                <w:rFonts w:hint="eastAsia"/>
              </w:rPr>
              <w:t>本项目施工期通过废水、废气、固体废物、沉砂池渗漏对土壤的影响污染物主要是SS、粉尘等，与当地土壤背景成份一致，对区域土壤污染影响较小。</w:t>
            </w:r>
          </w:p>
          <w:p>
            <w:pPr>
              <w:spacing w:line="360" w:lineRule="auto"/>
              <w:ind w:firstLine="0" w:firstLineChars="0"/>
              <w:rPr>
                <w:b/>
                <w:sz w:val="28"/>
              </w:rPr>
            </w:pPr>
            <w:r>
              <w:rPr>
                <w:b/>
                <w:sz w:val="28"/>
              </w:rPr>
              <w:t>6</w:t>
            </w:r>
            <w:r>
              <w:rPr>
                <w:rFonts w:hint="eastAsia"/>
                <w:b/>
                <w:sz w:val="28"/>
              </w:rPr>
              <w:t>、生态环境影响分析</w:t>
            </w:r>
          </w:p>
          <w:p>
            <w:pPr>
              <w:spacing w:line="360" w:lineRule="auto"/>
              <w:ind w:firstLine="0" w:firstLineChars="0"/>
              <w:rPr>
                <w:b/>
              </w:rPr>
            </w:pPr>
            <w:r>
              <w:rPr>
                <w:b/>
              </w:rPr>
              <w:t>6.1</w:t>
            </w:r>
            <w:r>
              <w:rPr>
                <w:rFonts w:hint="eastAsia"/>
                <w:b/>
              </w:rPr>
              <w:t>对植物的影响分析</w:t>
            </w:r>
          </w:p>
          <w:p>
            <w:pPr>
              <w:spacing w:line="360" w:lineRule="auto"/>
              <w:ind w:firstLine="480"/>
            </w:pPr>
            <w:r>
              <w:rPr>
                <w:rFonts w:hint="eastAsia"/>
              </w:rPr>
              <w:t>本工程施工期对植物和植被的影响主要表现在矿区开挖，矿山地面设施厂房、矿山公路等的建设施工对其的占压和破坏，以及施工人员的进入和施工中产生的废气、废水、粉尘等对植物和植被的影响。另外施工过程中引起的水土流失和外来入侵种等对植物和植被会产生一定的影响。</w:t>
            </w:r>
          </w:p>
          <w:p>
            <w:pPr>
              <w:spacing w:line="360" w:lineRule="auto"/>
              <w:ind w:firstLine="480"/>
            </w:pPr>
            <w:r>
              <w:rPr>
                <w:rFonts w:hint="eastAsia"/>
              </w:rPr>
              <w:t>（1）施工占地的影响</w:t>
            </w:r>
          </w:p>
          <w:p>
            <w:pPr>
              <w:spacing w:line="360" w:lineRule="auto"/>
              <w:ind w:firstLine="480"/>
            </w:pPr>
            <w:r>
              <w:rPr>
                <w:rFonts w:hint="eastAsia"/>
              </w:rPr>
              <w:t>工程占地不可避免的破坏占地区植物及植被，使占地区土地利用类型发生改变，植物个体损失，植被生物量减少。根据现场调查，建设区域植被主要以乔木林为主，主要为毛竹林和杉木林、马尾松林分布，占地区的植被在评价区分布较广泛和常见，因此，本项目的施工对区域的植物和植被影响较小，仅为个体损失、植被生物量减少。但占地区域占比评价区总面积的比例很小，因此生物量损失也相对很小。</w:t>
            </w:r>
          </w:p>
          <w:p>
            <w:pPr>
              <w:spacing w:line="360" w:lineRule="auto"/>
              <w:ind w:firstLine="480"/>
            </w:pPr>
            <w:r>
              <w:rPr>
                <w:rFonts w:hint="eastAsia"/>
              </w:rPr>
              <w:t>（2）施工活动的影响</w:t>
            </w:r>
          </w:p>
          <w:p>
            <w:pPr>
              <w:spacing w:line="360" w:lineRule="auto"/>
              <w:ind w:firstLine="480"/>
            </w:pPr>
            <w:r>
              <w:rPr>
                <w:rFonts w:hint="eastAsia"/>
              </w:rPr>
              <w:t>施工期，施工活动产生的弃渣、废水、废气、固废及人为干扰等会对区域植物及植被产生不利影响。根据施工活动对植物的影响方式，可分为直接影响及间接影响，直接影响主要为人员活动踩踏、车辆碾压等会使周边植物个体损失，植被生物量减少；间接影响主要是指施工活动产生的废气、废水、弃渣、固废、扬尘等对周边植物的影响。</w:t>
            </w:r>
          </w:p>
          <w:p>
            <w:pPr>
              <w:spacing w:line="360" w:lineRule="auto"/>
              <w:ind w:firstLine="480"/>
            </w:pPr>
            <w:r>
              <w:rPr>
                <w:rFonts w:hint="eastAsia"/>
              </w:rPr>
              <w:t>施工期废气主要来源于燃油机械的尾气，其主要污染物为SO</w:t>
            </w:r>
            <w:r>
              <w:rPr>
                <w:rFonts w:hint="eastAsia"/>
                <w:vertAlign w:val="subscript"/>
              </w:rPr>
              <w:t>2</w:t>
            </w:r>
            <w:r>
              <w:rPr>
                <w:rFonts w:hint="eastAsia"/>
              </w:rPr>
              <w:t>、NO</w:t>
            </w:r>
            <w:r>
              <w:rPr>
                <w:rFonts w:hint="eastAsia"/>
                <w:vertAlign w:val="subscript"/>
              </w:rPr>
              <w:t>2</w:t>
            </w:r>
            <w:r>
              <w:rPr>
                <w:rFonts w:hint="eastAsia"/>
              </w:rPr>
              <w:t>、CO等。废气对植物的影响主要是在叶脉间或边缘出现不规则水渍状，导致叶片逐渐坏死，植物光合生产受阻，生长发育变缓。由于本项目地面工程量较小，施工周期短，因此施工期废气对植物及植被的影响较小。</w:t>
            </w:r>
          </w:p>
          <w:p>
            <w:pPr>
              <w:spacing w:line="360" w:lineRule="auto"/>
              <w:ind w:firstLine="480"/>
            </w:pPr>
            <w:r>
              <w:rPr>
                <w:rFonts w:hint="eastAsia"/>
              </w:rPr>
              <w:t>施工期废水分为生产废水和生活污水，根据方案，本项目设置废水沉淀池，生产废水等通过沉淀池沉淀用于抑尘，不外排；生活污水依托已有设施处理。因此施工期废水对植物和植被的影响较小。</w:t>
            </w:r>
          </w:p>
          <w:p>
            <w:pPr>
              <w:spacing w:line="360" w:lineRule="auto"/>
              <w:ind w:firstLine="480"/>
            </w:pPr>
            <w:r>
              <w:rPr>
                <w:rFonts w:hint="eastAsia"/>
              </w:rPr>
              <w:t>施工扬尘主要来源于建筑物施工、材料运输和工程竣工后场地清理、恢复等诸多工程。扬尘粗颗粒随风飘落到附近地面或植物叶、茎、花表面，会使其生命活动受到一定影响。施工期采取洒水抑尘等措施可有效减轻扬尘对周围植物及植被的影响。</w:t>
            </w:r>
          </w:p>
          <w:p>
            <w:pPr>
              <w:spacing w:line="360" w:lineRule="auto"/>
              <w:ind w:firstLine="480"/>
            </w:pPr>
            <w:r>
              <w:rPr>
                <w:rFonts w:hint="eastAsia"/>
              </w:rPr>
              <w:t>（3）人为干扰的影响</w:t>
            </w:r>
          </w:p>
          <w:p>
            <w:pPr>
              <w:spacing w:line="360" w:lineRule="auto"/>
              <w:ind w:firstLine="480"/>
            </w:pPr>
            <w:r>
              <w:rPr>
                <w:rFonts w:hint="eastAsia"/>
              </w:rPr>
              <w:t>施工期，施工人员及机械增多，施工人员砍伐、踩踏及施工机械碾压等会破坏区域内植物。由于本项目建设占地面积不大，占地区相对集中，区域内人为活动范围相对较小，同时施工期人为干扰等可通过加强宣传教育活动，加强施工监理，在施工前划定施工范围，规范施工人员活动等进行缓解，在相对措施得到落实后，人为干扰对植物及植被的影响较小。</w:t>
            </w:r>
          </w:p>
          <w:p>
            <w:pPr>
              <w:spacing w:line="360" w:lineRule="auto"/>
              <w:ind w:firstLine="480"/>
            </w:pPr>
            <w:r>
              <w:rPr>
                <w:rFonts w:hint="eastAsia"/>
              </w:rPr>
              <w:t>（4）水土流失的影响</w:t>
            </w:r>
          </w:p>
          <w:p>
            <w:pPr>
              <w:spacing w:line="360" w:lineRule="auto"/>
              <w:ind w:firstLine="480"/>
            </w:pPr>
            <w:r>
              <w:rPr>
                <w:rFonts w:hint="eastAsia"/>
              </w:rPr>
              <w:t>施工期建设开挖等扰动地表，造成土壤裸露，受雨水冲击时易造成水土流失，将对植物及其生境造成不利影响。同时，水土流失易导致土壤中的有机质也不断流失，从而破坏了土壤的结构，进而影响植物和植被。在施工过程中做到及时复垦，减小水土流失对区域植物及植被的影响。</w:t>
            </w:r>
          </w:p>
          <w:p>
            <w:pPr>
              <w:spacing w:line="360" w:lineRule="auto"/>
              <w:ind w:firstLine="480"/>
            </w:pPr>
            <w:r>
              <w:rPr>
                <w:rFonts w:hint="eastAsia"/>
              </w:rPr>
              <w:t>（5）外来入侵物种的影响</w:t>
            </w:r>
          </w:p>
          <w:p>
            <w:pPr>
              <w:spacing w:line="360" w:lineRule="auto"/>
              <w:ind w:firstLine="480"/>
            </w:pPr>
            <w:r>
              <w:rPr>
                <w:rFonts w:hint="eastAsia"/>
              </w:rPr>
              <w:t>施工期工程区人流、车流量加大，人员出入及施工材料的运输等可能会引起外来入侵物种扩散，或带来一些新的外来入侵物种，外来入侵物种由于强的竞争力及适应性，较有利于在评价区占据一定生态位，外来入侵物种若形成优势群落，将对土著物种的生存产生一定的排斥作用。</w:t>
            </w:r>
          </w:p>
          <w:p>
            <w:pPr>
              <w:spacing w:line="360" w:lineRule="auto"/>
              <w:ind w:firstLine="480"/>
            </w:pPr>
            <w:r>
              <w:rPr>
                <w:rFonts w:hint="eastAsia"/>
              </w:rPr>
              <w:t>（5）对重点保护野生植物和古树名木的影响</w:t>
            </w:r>
          </w:p>
          <w:p>
            <w:pPr>
              <w:spacing w:line="360" w:lineRule="auto"/>
              <w:ind w:firstLine="480"/>
            </w:pPr>
            <w:r>
              <w:rPr>
                <w:rFonts w:hint="eastAsia"/>
              </w:rPr>
              <w:t>根据现场调查结果，评价区未发现有国家重点保护野生植物和古树名木分布，项目的施工建设和营运对重点保护野生植物不会产生不利影响。但可对相关人员进行培训和宣传教育，提高人员的保护意识，后期施工过程中若发现古树及保护植物，对其进行移栽保护。</w:t>
            </w:r>
          </w:p>
          <w:p>
            <w:pPr>
              <w:spacing w:line="360" w:lineRule="auto"/>
              <w:ind w:firstLine="0" w:firstLineChars="0"/>
              <w:rPr>
                <w:b/>
              </w:rPr>
            </w:pPr>
            <w:r>
              <w:rPr>
                <w:b/>
              </w:rPr>
              <w:t>6.2</w:t>
            </w:r>
            <w:r>
              <w:rPr>
                <w:rFonts w:hint="eastAsia"/>
                <w:b/>
              </w:rPr>
              <w:t>对陆生动物的影响分析</w:t>
            </w:r>
          </w:p>
          <w:p>
            <w:pPr>
              <w:spacing w:line="360" w:lineRule="auto"/>
              <w:ind w:firstLine="480"/>
            </w:pPr>
            <w:r>
              <w:rPr>
                <w:rFonts w:hint="eastAsia"/>
              </w:rPr>
              <w:t>本项目在施工期对陆生动物的影响主要包括施工道路、高位水池等占地工程对其生境的占用和破坏；施工噪声、施工人员活动对动物栖息、觅食、求偶繁殖等行为的影响；施工人员生活垃圾和污水、施工器械产生的油污等均会在不同程度上对动物及其生境产生一定影响。</w:t>
            </w:r>
          </w:p>
          <w:p>
            <w:pPr>
              <w:spacing w:line="360" w:lineRule="auto"/>
              <w:ind w:firstLine="480"/>
            </w:pPr>
            <w:r>
              <w:rPr>
                <w:rFonts w:hint="eastAsia"/>
              </w:rPr>
              <w:t>（1）占地对动物的影响</w:t>
            </w:r>
          </w:p>
          <w:p>
            <w:pPr>
              <w:spacing w:line="360" w:lineRule="auto"/>
              <w:ind w:firstLine="480"/>
            </w:pPr>
            <w:r>
              <w:rPr>
                <w:rFonts w:hint="eastAsia"/>
              </w:rPr>
              <w:t>除项目占地占用陆生动物生境外，施工占地工程还可能造成陆生动物生境片段化，对动物活动造成影响。</w:t>
            </w:r>
          </w:p>
          <w:p>
            <w:pPr>
              <w:spacing w:line="360" w:lineRule="auto"/>
              <w:ind w:firstLine="480"/>
            </w:pPr>
            <w:r>
              <w:rPr>
                <w:rFonts w:hint="eastAsia"/>
              </w:rPr>
              <w:t>①占地对动物的影响：根据《湖南省湘阴县静河镇共荣建筑用砂矿土地使用方案》，项目为露天开采，地上占地面积较大。且根据现场调查本工程占地类型主要为林地，该生境为评价区内的主要生境类型，项目占地会导致林地大面积减少，由此可知占地对陆生动物影响有较大。</w:t>
            </w:r>
          </w:p>
          <w:p>
            <w:pPr>
              <w:spacing w:line="360" w:lineRule="auto"/>
              <w:ind w:firstLine="480"/>
            </w:pPr>
            <w:r>
              <w:rPr>
                <w:rFonts w:hint="eastAsia"/>
              </w:rPr>
              <w:t>②生境片段化的影响：施工过程中的占地可导致陆生动物生境的片段化，使得各个小生境之间产生一定空间距离隔离，各小生境中的动物无法顺利进行交流，而使得生物多样性降低。鸟类、兽类的迁移能力较强，其可以较容易地迁往其他适宜其生境，因此生境片段的影响对象主要为活动能力较弱的两爬类。本项目工业广场内拟新建一条6m宽道路与装载道路相连接贯穿整个工业厂区，连接了综合楼与员工宿舍及工业厂房的交通。同时，本项目于矿区北侧新建一条村道。但根据本工程布置，新建道路长度较短，占地面积较小，生境片段化对区域内动物影响较小。</w:t>
            </w:r>
          </w:p>
          <w:p>
            <w:pPr>
              <w:spacing w:line="360" w:lineRule="auto"/>
              <w:ind w:firstLine="480"/>
            </w:pPr>
            <w:r>
              <w:rPr>
                <w:rFonts w:hint="eastAsia"/>
              </w:rPr>
              <w:t>（2）施工噪声、施工人员活动对动物栖息、觅食、求偶繁殖等行为的影响</w:t>
            </w:r>
          </w:p>
          <w:p>
            <w:pPr>
              <w:spacing w:line="360" w:lineRule="auto"/>
              <w:ind w:firstLine="480"/>
            </w:pPr>
            <w:r>
              <w:rPr>
                <w:rFonts w:hint="eastAsia"/>
              </w:rPr>
              <w:t>①施工噪音对动物的影响：在施工过程，施工产生的噪音会驱赶野生动物，可能使施工区域附近的野生动物受到惊吓，对其觅食活动也将产生一定的影响。由于动物均具有迁移能力，特别是鸟类和兽类的迁移能力较强，且施工区域附近生境都比较相似，野生动物可暂时由原来的生境转移到远离施工区域的相似生境生活。且由于工程施工时间短，这些不利影响会将随施工的结束而逐渐消失。</w:t>
            </w:r>
          </w:p>
          <w:p>
            <w:pPr>
              <w:spacing w:line="360" w:lineRule="auto"/>
              <w:ind w:firstLine="480"/>
            </w:pPr>
            <w:r>
              <w:rPr>
                <w:rFonts w:hint="eastAsia"/>
              </w:rPr>
              <w:t>②施工人员活动对动物的影响：大部分动物对人为活动有一定警戒距离，以鸟类和兽类敏感性最高。施工期间施工人员进驻，人为活动增加，迫使区域内鸟类和兽类远离施工区域，从而使得评价区内的物种丰富度有所降低。因此项目施工期间应当现在施工人员活动范围，禁止施工人员在施工区域以外区域活动，合理安排施工次序，尽量缩短施工时间，削减项目施工期间人为活动对区域内鸟类和兽类的惊扰。此外，施工人员可能对一些有经济价值、观赏价值和食用价值的动物如一些鸟纲鸡形目、雀形目鸟类、爬行纲蛇类、两栖纲蛙类、兽纲兔形目兔类等进行捕杀，如王锦蛇、环颈雉、画眉、华南兔等，造成其种群数量的减少。对于这种干扰，必须通过严格的惩罚制度以及明令禁止的方式进行约束。从而减轻或避免工程施工对野生动物的影响。</w:t>
            </w:r>
          </w:p>
          <w:p>
            <w:pPr>
              <w:spacing w:line="360" w:lineRule="auto"/>
              <w:ind w:firstLine="480"/>
            </w:pPr>
            <w:r>
              <w:rPr>
                <w:rFonts w:hint="eastAsia"/>
              </w:rPr>
              <w:t>（3）施工污染物对动物的影响</w:t>
            </w:r>
          </w:p>
          <w:p>
            <w:pPr>
              <w:spacing w:line="360" w:lineRule="auto"/>
              <w:ind w:firstLine="480"/>
            </w:pPr>
            <w:r>
              <w:rPr>
                <w:rFonts w:hint="eastAsia"/>
              </w:rPr>
              <w:t>施工期间，施工人员会产生一定的生活垃圾和生活污水。生活垃圾的随意丢弃、生活污水随意排放会劣化动物的生境，使得原来的生境变得不再适合动物生存，但这种影响可以通过垃圾分类回收、污水集中处理等合理的措施加以避免或消减，且随着施工的结束而消失。施工期间，施工器械漏油事故等同样会对施工区内生境造成污染，且油污在自然环境下难以降解，影响时间较长。因此项目施工期间要定期对施工器械进行检修，防止漏油事故的发生，避免油污对区域内动物生境的影响。</w:t>
            </w:r>
          </w:p>
          <w:p>
            <w:pPr>
              <w:spacing w:line="360" w:lineRule="auto"/>
              <w:ind w:firstLine="480"/>
            </w:pPr>
            <w:r>
              <w:rPr>
                <w:rFonts w:hint="eastAsia"/>
              </w:rPr>
              <w:t>（4）对重点保护野生动物的影响</w:t>
            </w:r>
          </w:p>
          <w:p>
            <w:pPr>
              <w:spacing w:line="360" w:lineRule="auto"/>
              <w:ind w:firstLine="480"/>
            </w:pPr>
            <w:r>
              <w:rPr>
                <w:rFonts w:hint="eastAsia"/>
              </w:rPr>
              <w:t>评价区范围内陆生脊椎动物中，未发现国家一级重点保护野生动物分布，有国家二级重点保护野生动物1种：画眉。画眉为小型鸣禽，为留鸟，在评价区内繁殖，繁殖期为3~7月，主要在评价区内灌丛区域活动和筑巢。项目施工期间毁坏灌丛可能会破坏其巢穴。因此项目施工期间应尽量避免在3~7月毁坏灌丛，避免对其繁殖产生不利影响。</w:t>
            </w:r>
          </w:p>
          <w:p>
            <w:pPr>
              <w:spacing w:line="360" w:lineRule="auto"/>
              <w:ind w:firstLine="480"/>
            </w:pPr>
            <w:r>
              <w:rPr>
                <w:rFonts w:hint="eastAsia"/>
              </w:rPr>
              <w:t>评价区分布有湖南省级保护动物52种，多为常见种类，且其分布较为广泛而分散，工程对其影响主要是噪声影响和占地影响，噪声干扰会使他们远离施工区，在其他地方寻找新的活动觅食场所、工程占地也会导致野生动物的栖息地和活动范围减小或者割裂。工程影响区附近的生境类似，这些野生动物很容易在其他区域寻找到新的活动场所，因此工程对其影响有限。</w:t>
            </w:r>
          </w:p>
          <w:p>
            <w:pPr>
              <w:spacing w:line="360" w:lineRule="auto"/>
              <w:ind w:firstLine="480"/>
            </w:pPr>
            <w:r>
              <w:rPr>
                <w:rFonts w:hint="eastAsia"/>
              </w:rPr>
              <w:t>以上分析表明，本项目在施工期对野生动物影响有限，且影响时间相对较短，对动物的影响将随着施工的结束和相关生态保护措施的落实而缓解乃至消失。</w:t>
            </w:r>
          </w:p>
          <w:p>
            <w:pPr>
              <w:spacing w:line="360" w:lineRule="auto"/>
              <w:ind w:firstLine="0" w:firstLineChars="0"/>
              <w:rPr>
                <w:b/>
              </w:rPr>
            </w:pPr>
            <w:r>
              <w:rPr>
                <w:b/>
              </w:rPr>
              <w:t xml:space="preserve">6.3 </w:t>
            </w:r>
            <w:r>
              <w:rPr>
                <w:rFonts w:hint="eastAsia"/>
                <w:b/>
              </w:rPr>
              <w:t>水生生物影响分析</w:t>
            </w:r>
          </w:p>
          <w:p>
            <w:pPr>
              <w:spacing w:line="360" w:lineRule="auto"/>
              <w:ind w:firstLine="480"/>
            </w:pPr>
            <w:r>
              <w:rPr>
                <w:rFonts w:hint="eastAsia"/>
              </w:rPr>
              <w:t>本项目施工场地为陆域环境，无涉水工程。施工过程中若施工不当或遇大雨天气产生水土流失可能对水体产生影响，石灰、水泥等施工原材料随意堆放，被雨水冲刷可能导致施工原材料流入水体，施工人员生活污水随意处理，同样也可能导致区域内水域水环境质量降低。水环境质量降低的改变会直接导致浮游生物、底栖生物密度和生物量减少，由于矿山区域水体为水塘，本项目施工不存在底质扰动等施工活动，项目在水土保持、施工原材料防水、生活污水卫生管理等生态措施的实施的情况下，项目建设对区域内水生生物几乎不会产生影响。</w:t>
            </w:r>
          </w:p>
          <w:p>
            <w:pPr>
              <w:spacing w:line="360" w:lineRule="auto"/>
              <w:ind w:firstLine="480"/>
            </w:pPr>
            <w:r>
              <w:rPr>
                <w:rFonts w:hint="eastAsia"/>
              </w:rPr>
              <w:t>本项目虽不占用湿地生态系统，但通过建设取水泵站、输水管道从洋沙湖撇洪渠中取水，会造成其水量减少，但不会造成其断流。同时，根据调查，撇洪渠水生生物种类较少，没有珍稀濒危鱼类分布，同时无鱼类“三场分布”。因此，取水对水生生物的影响有限。</w:t>
            </w:r>
          </w:p>
          <w:p>
            <w:pPr>
              <w:spacing w:line="360" w:lineRule="auto"/>
              <w:ind w:firstLine="480"/>
            </w:pPr>
            <w:r>
              <w:rPr>
                <w:rFonts w:hint="eastAsia"/>
              </w:rPr>
              <w:t>此外，矿山运营期间对水生生物的影响主要是在矿产资源的开发过程中产生废水或生活污水不经处理直接排放可能导致污水流入区域内的水生生物造成影响。由于矿区内修建有沉淀池，且矿区污水会经过处理，不外排。因此矿山运营期间对水生生物无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1" w:type="dxa"/>
            <w:tcMar>
              <w:left w:w="28" w:type="dxa"/>
              <w:right w:w="28" w:type="dxa"/>
            </w:tcMar>
            <w:vAlign w:val="center"/>
          </w:tcPr>
          <w:p>
            <w:pPr>
              <w:spacing w:line="240" w:lineRule="auto"/>
              <w:ind w:firstLine="0" w:firstLineChars="0"/>
              <w:jc w:val="center"/>
            </w:pPr>
            <w:r>
              <w:rPr>
                <w:rFonts w:hint="eastAsia"/>
              </w:rPr>
              <w:t>运营期生态环境影响分析</w:t>
            </w:r>
          </w:p>
        </w:tc>
        <w:tc>
          <w:tcPr>
            <w:tcW w:w="7955" w:type="dxa"/>
          </w:tcPr>
          <w:p>
            <w:pPr>
              <w:spacing w:line="360" w:lineRule="auto"/>
              <w:ind w:firstLine="0" w:firstLineChars="0"/>
              <w:rPr>
                <w:b/>
                <w:sz w:val="28"/>
              </w:rPr>
            </w:pPr>
            <w:r>
              <w:rPr>
                <w:rFonts w:hint="eastAsia"/>
                <w:b/>
                <w:sz w:val="28"/>
              </w:rPr>
              <w:t>1、大气环境影响分析</w:t>
            </w:r>
          </w:p>
          <w:p>
            <w:pPr>
              <w:spacing w:line="360" w:lineRule="auto"/>
              <w:ind w:firstLine="480"/>
            </w:pPr>
            <w:r>
              <w:rPr>
                <w:rFonts w:hint="eastAsia"/>
              </w:rPr>
              <w:t>项目废气主要有：露天采场覆盖层剥离、开采、铲装环节产生的粉尘，表土临时堆置场粉尘，工业场区制砂、产品运输环节产生的粉尘，运输车辆及机械设备运行过程产生的燃油尾气以及食堂油烟。</w:t>
            </w:r>
          </w:p>
          <w:p>
            <w:pPr>
              <w:spacing w:line="360" w:lineRule="auto"/>
              <w:ind w:firstLine="480"/>
            </w:pPr>
            <w:r>
              <w:rPr>
                <w:rFonts w:hint="eastAsia"/>
              </w:rPr>
              <w:t>（1）覆盖层剥离粉尘</w:t>
            </w:r>
          </w:p>
          <w:p>
            <w:pPr>
              <w:spacing w:line="360" w:lineRule="auto"/>
              <w:ind w:firstLine="480"/>
            </w:pPr>
            <w:r>
              <w:rPr>
                <w:rFonts w:hint="eastAsia"/>
              </w:rPr>
              <w:t>根据《湖南省湘阴县共荣矿区建筑用砂矿开发利用方案》，本项目矿体覆盖层由第四系中更新统白沙井组上段（Q</w:t>
            </w:r>
            <w:r>
              <w:rPr>
                <w:rFonts w:hint="eastAsia"/>
                <w:vertAlign w:val="subscript"/>
              </w:rPr>
              <w:t>2b</w:t>
            </w:r>
            <w:r>
              <w:rPr>
                <w:rFonts w:hint="eastAsia"/>
                <w:vertAlign w:val="superscript"/>
              </w:rPr>
              <w:t>2</w:t>
            </w:r>
            <w:r>
              <w:rPr>
                <w:rFonts w:hint="eastAsia"/>
              </w:rPr>
              <w:t>）粘土层，开采时需剥离，剥离量为1240608m</w:t>
            </w:r>
            <w:r>
              <w:rPr>
                <w:rFonts w:hint="eastAsia"/>
                <w:vertAlign w:val="superscript"/>
              </w:rPr>
              <w:t>3</w:t>
            </w:r>
            <w:r>
              <w:rPr>
                <w:rFonts w:hint="eastAsia"/>
              </w:rPr>
              <w:t>，本项目开采年限为9</w:t>
            </w:r>
            <w:r>
              <w:t>.6</w:t>
            </w:r>
            <w:r>
              <w:rPr>
                <w:rFonts w:hint="eastAsia"/>
              </w:rPr>
              <w:t>年，则平均剥离量约1</w:t>
            </w:r>
            <w:r>
              <w:t>29230</w:t>
            </w:r>
            <w:r>
              <w:rPr>
                <w:rFonts w:hint="eastAsia"/>
              </w:rPr>
              <w:t>m</w:t>
            </w:r>
            <w:r>
              <w:rPr>
                <w:vertAlign w:val="superscript"/>
              </w:rPr>
              <w:t>3</w:t>
            </w:r>
            <w:r>
              <w:t>/</w:t>
            </w:r>
            <w:r>
              <w:rPr>
                <w:rFonts w:hint="eastAsia"/>
              </w:rPr>
              <w:t>a（按</w:t>
            </w:r>
            <w:r>
              <w:t>1.6</w:t>
            </w:r>
            <w:r>
              <w:rPr>
                <w:rFonts w:hint="eastAsia"/>
              </w:rPr>
              <w:t>t</w:t>
            </w:r>
            <w:r>
              <w:t>/</w:t>
            </w:r>
            <w:r>
              <w:rPr>
                <w:rFonts w:hint="eastAsia"/>
              </w:rPr>
              <w:t>m</w:t>
            </w:r>
            <w:r>
              <w:rPr>
                <w:vertAlign w:val="superscript"/>
              </w:rPr>
              <w:t>3</w:t>
            </w:r>
            <w:r>
              <w:rPr>
                <w:rFonts w:hint="eastAsia"/>
              </w:rPr>
              <w:t>核算，为2</w:t>
            </w:r>
            <w:r>
              <w:t>06768</w:t>
            </w:r>
            <w:r>
              <w:rPr>
                <w:rFonts w:hint="eastAsia"/>
              </w:rPr>
              <w:t>t</w:t>
            </w:r>
            <w:r>
              <w:t>/</w:t>
            </w:r>
            <w:r>
              <w:rPr>
                <w:rFonts w:hint="eastAsia"/>
              </w:rPr>
              <w:t>a）。</w:t>
            </w:r>
          </w:p>
          <w:p>
            <w:pPr>
              <w:spacing w:line="360" w:lineRule="auto"/>
              <w:ind w:firstLine="480"/>
            </w:pPr>
            <w:r>
              <w:rPr>
                <w:rFonts w:hint="eastAsia"/>
              </w:rPr>
              <w:t>参考《逸散性工业粉尘控制技术》（中国环境科学出版社，1989年译制）中第一章第四节矿物开采部分的表1-16—地区法剥离（用刮土机），在不采取任何抑尘措施时，粉尘量为0</w:t>
            </w:r>
            <w:r>
              <w:t>.002</w:t>
            </w:r>
            <w:r>
              <w:rPr>
                <w:rFonts w:hint="eastAsia"/>
              </w:rPr>
              <w:t>kg</w:t>
            </w:r>
            <w:r>
              <w:t>/</w:t>
            </w:r>
            <w:r>
              <w:rPr>
                <w:rFonts w:hint="eastAsia"/>
              </w:rPr>
              <w:t>t（覆盖层），则覆盖层剥离粉尘产生量为0</w:t>
            </w:r>
            <w:r>
              <w:t>.414</w:t>
            </w:r>
            <w:r>
              <w:rPr>
                <w:rFonts w:hint="eastAsia"/>
              </w:rPr>
              <w:t>t</w:t>
            </w:r>
            <w:r>
              <w:t>/</w:t>
            </w:r>
            <w:r>
              <w:rPr>
                <w:rFonts w:hint="eastAsia"/>
              </w:rPr>
              <w:t>a；在剥离过程中进行喷雾及洒水降尘，抑尘效率可达85%以上，则覆盖层剥离粉尘排放量为</w:t>
            </w:r>
            <w:r>
              <w:t>0.0621</w:t>
            </w:r>
            <w:r>
              <w:rPr>
                <w:rFonts w:hint="eastAsia"/>
              </w:rPr>
              <w:t>t/a。</w:t>
            </w:r>
          </w:p>
          <w:p>
            <w:pPr>
              <w:spacing w:line="360" w:lineRule="auto"/>
              <w:ind w:firstLine="480"/>
            </w:pPr>
            <w:r>
              <w:rPr>
                <w:rFonts w:hint="eastAsia"/>
              </w:rPr>
              <w:t>（2）开采粉尘</w:t>
            </w:r>
          </w:p>
          <w:p>
            <w:pPr>
              <w:spacing w:line="360" w:lineRule="auto"/>
              <w:ind w:firstLine="480"/>
            </w:pPr>
            <w:r>
              <w:rPr>
                <w:rFonts w:hint="eastAsia"/>
              </w:rPr>
              <w:t>本项目建筑用砂、卵石原矿开采规模为1</w:t>
            </w:r>
            <w:r>
              <w:t>08</w:t>
            </w:r>
            <w:r>
              <w:rPr>
                <w:rFonts w:hint="eastAsia"/>
              </w:rPr>
              <w:t>万t</w:t>
            </w:r>
            <w:r>
              <w:t>/</w:t>
            </w:r>
            <w:r>
              <w:rPr>
                <w:rFonts w:hint="eastAsia"/>
              </w:rPr>
              <w:t>a，不涉及爆破，直接通过挖掘机进行开采。参考《逸散性工业粉尘控制技术》（中国环境科学出版社，1989年译制）中第一章第四节矿物开采部分的表1-1</w:t>
            </w:r>
            <w:r>
              <w:t>7</w:t>
            </w:r>
            <w:r>
              <w:rPr>
                <w:rFonts w:hint="eastAsia"/>
              </w:rPr>
              <w:t>中系数0</w:t>
            </w:r>
            <w:r>
              <w:t>.0005</w:t>
            </w:r>
            <w:r>
              <w:rPr>
                <w:rFonts w:hint="eastAsia"/>
              </w:rPr>
              <w:t>kg</w:t>
            </w:r>
            <w:r>
              <w:t>/</w:t>
            </w:r>
            <w:r>
              <w:rPr>
                <w:rFonts w:hint="eastAsia"/>
              </w:rPr>
              <w:t>t（开采矿石或石料），则开采粉尘的产生量为0</w:t>
            </w:r>
            <w:r>
              <w:t>.54</w:t>
            </w:r>
            <w:r>
              <w:rPr>
                <w:rFonts w:hint="eastAsia"/>
              </w:rPr>
              <w:t>t</w:t>
            </w:r>
            <w:r>
              <w:t>/</w:t>
            </w:r>
            <w:r>
              <w:rPr>
                <w:rFonts w:hint="eastAsia"/>
              </w:rPr>
              <w:t>a；在开采过程中进行喷雾及洒水降尘，抑尘效率可达85%以上，则开采粉尘排放量为0</w:t>
            </w:r>
            <w:r>
              <w:t>.081</w:t>
            </w:r>
            <w:r>
              <w:rPr>
                <w:rFonts w:hint="eastAsia"/>
              </w:rPr>
              <w:t>t</w:t>
            </w:r>
            <w:r>
              <w:t>/a</w:t>
            </w:r>
            <w:r>
              <w:rPr>
                <w:rFonts w:hint="eastAsia"/>
              </w:rPr>
              <w:t>。</w:t>
            </w:r>
          </w:p>
          <w:p>
            <w:pPr>
              <w:spacing w:line="360" w:lineRule="auto"/>
              <w:ind w:firstLine="480"/>
            </w:pPr>
            <w:r>
              <w:rPr>
                <w:rFonts w:hint="eastAsia"/>
              </w:rPr>
              <w:t>（3）铲装粉尘</w:t>
            </w:r>
          </w:p>
          <w:p>
            <w:pPr>
              <w:spacing w:line="360" w:lineRule="auto"/>
              <w:ind w:firstLine="480"/>
            </w:pPr>
            <w:r>
              <w:rPr>
                <w:rFonts w:hint="eastAsia"/>
              </w:rPr>
              <w:t>矿区石料或剥离土装入汽车以及将剥离土运至临时堆场装卸时，均会产生扬尘。临时堆场装载粉尘在堆场扬尘分析，此处仅分析矿区装载粉尘。参照原国家环境保护局编写的《全国优秀环境影响报告书汇编》中的经验公式：</w:t>
            </w:r>
          </w:p>
          <w:p>
            <w:pPr>
              <w:spacing w:line="360" w:lineRule="auto"/>
              <w:ind w:firstLine="0" w:firstLineChars="0"/>
              <w:jc w:val="center"/>
            </w:pPr>
            <w:r>
              <w:rPr>
                <w:rFonts w:hint="eastAsia"/>
              </w:rPr>
              <w:t>Q</w:t>
            </w:r>
            <w:r>
              <w:t>=0.0523U</w:t>
            </w:r>
            <w:r>
              <w:rPr>
                <w:vertAlign w:val="superscript"/>
              </w:rPr>
              <w:t>1.3</w:t>
            </w:r>
            <w:r>
              <w:rPr>
                <w:rFonts w:hint="eastAsia"/>
              </w:rPr>
              <w:t>•</w:t>
            </w:r>
            <w:r>
              <w:t>H</w:t>
            </w:r>
            <w:r>
              <w:rPr>
                <w:vertAlign w:val="superscript"/>
              </w:rPr>
              <w:t>2.01</w:t>
            </w:r>
            <w:r>
              <w:t>W</w:t>
            </w:r>
            <w:r>
              <w:rPr>
                <w:vertAlign w:val="superscript"/>
              </w:rPr>
              <w:t>1.4</w:t>
            </w:r>
            <w:r>
              <w:rPr>
                <w:rFonts w:hint="eastAsia"/>
              </w:rPr>
              <w:t>•</w:t>
            </w:r>
            <w:r>
              <w:t>M</w:t>
            </w:r>
          </w:p>
          <w:p>
            <w:pPr>
              <w:spacing w:line="360" w:lineRule="auto"/>
              <w:ind w:firstLine="480"/>
            </w:pPr>
            <w:r>
              <w:rPr>
                <w:rFonts w:hint="eastAsia"/>
              </w:rPr>
              <w:t>式中：Q——扬尘量，k</w:t>
            </w:r>
            <w:r>
              <w:t>g/h</w:t>
            </w:r>
            <w:r>
              <w:rPr>
                <w:rFonts w:hint="eastAsia"/>
              </w:rPr>
              <w:t>；</w:t>
            </w:r>
          </w:p>
          <w:p>
            <w:pPr>
              <w:spacing w:line="360" w:lineRule="auto"/>
              <w:ind w:firstLine="1200" w:firstLineChars="500"/>
            </w:pPr>
            <w:r>
              <w:rPr>
                <w:rFonts w:hint="eastAsia"/>
              </w:rPr>
              <w:t>H——物料装车高度，</w:t>
            </w:r>
            <w:r>
              <w:t>m</w:t>
            </w:r>
            <w:r>
              <w:rPr>
                <w:rFonts w:hint="eastAsia"/>
              </w:rPr>
              <w:t>（取3</w:t>
            </w:r>
            <w:r>
              <w:t>m</w:t>
            </w:r>
            <w:r>
              <w:rPr>
                <w:rFonts w:hint="eastAsia"/>
              </w:rPr>
              <w:t>）；</w:t>
            </w:r>
          </w:p>
          <w:p>
            <w:pPr>
              <w:spacing w:line="360" w:lineRule="auto"/>
              <w:ind w:firstLine="1200" w:firstLineChars="500"/>
            </w:pPr>
            <w:r>
              <w:rPr>
                <w:rFonts w:hint="eastAsia"/>
              </w:rPr>
              <w:t>U——风速，m</w:t>
            </w:r>
            <w:r>
              <w:t>/s</w:t>
            </w:r>
            <w:r>
              <w:rPr>
                <w:rFonts w:hint="eastAsia"/>
              </w:rPr>
              <w:t>（湘阴县年平均风速</w:t>
            </w:r>
            <w:r>
              <w:t>3m/s</w:t>
            </w:r>
            <w:r>
              <w:rPr>
                <w:rFonts w:hint="eastAsia"/>
              </w:rPr>
              <w:t>）；</w:t>
            </w:r>
          </w:p>
          <w:p>
            <w:pPr>
              <w:spacing w:line="360" w:lineRule="auto"/>
              <w:ind w:firstLine="1200" w:firstLineChars="500"/>
            </w:pPr>
            <w:r>
              <w:rPr>
                <w:rFonts w:hint="eastAsia"/>
              </w:rPr>
              <w:t>W——湿度，%（取</w:t>
            </w:r>
            <w:r>
              <w:t>8%</w:t>
            </w:r>
            <w:r>
              <w:rPr>
                <w:rFonts w:hint="eastAsia"/>
              </w:rPr>
              <w:t>）；</w:t>
            </w:r>
          </w:p>
          <w:p>
            <w:pPr>
              <w:spacing w:line="360" w:lineRule="auto"/>
              <w:ind w:firstLine="1200" w:firstLineChars="500"/>
            </w:pPr>
            <w:r>
              <w:rPr>
                <w:rFonts w:hint="eastAsia"/>
              </w:rPr>
              <w:t>M——物料量，t</w:t>
            </w:r>
            <w:r>
              <w:t>/h</w:t>
            </w:r>
            <w:r>
              <w:rPr>
                <w:rFonts w:hint="eastAsia"/>
              </w:rPr>
              <w:t>，本项目原矿开采规模为约</w:t>
            </w:r>
            <w:r>
              <w:t>108</w:t>
            </w:r>
            <w:r>
              <w:rPr>
                <w:rFonts w:hint="eastAsia"/>
              </w:rPr>
              <w:t>万t/a。矿山年工作300，每天</w:t>
            </w:r>
            <w:r>
              <w:t>8</w:t>
            </w:r>
            <w:r>
              <w:rPr>
                <w:rFonts w:hint="eastAsia"/>
              </w:rPr>
              <w:t>h，则参与起尘的物料量为</w:t>
            </w:r>
            <w:r>
              <w:t>450</w:t>
            </w:r>
            <w:r>
              <w:rPr>
                <w:rFonts w:hint="eastAsia"/>
              </w:rPr>
              <w:t>t/h。矿石不参与起尘，可起尘的部分为附着在矿石上的土粒（1.5%）和在铲装过程中因外力掉落的矿石（1%），此部分物料量约占2.5%，计</w:t>
            </w:r>
            <w:r>
              <w:t>11.25</w:t>
            </w:r>
            <w:r>
              <w:rPr>
                <w:rFonts w:hint="eastAsia"/>
              </w:rPr>
              <w:t>t/h。</w:t>
            </w:r>
          </w:p>
          <w:p>
            <w:pPr>
              <w:spacing w:line="360" w:lineRule="auto"/>
              <w:ind w:firstLine="480"/>
            </w:pPr>
            <w:r>
              <w:rPr>
                <w:rFonts w:hint="eastAsia"/>
              </w:rPr>
              <w:t>经计算，矿区因铲装石料和剥离土石的扬尘产生量约为</w:t>
            </w:r>
            <w:r>
              <w:t>0.651</w:t>
            </w:r>
            <w:r>
              <w:rPr>
                <w:rFonts w:hint="eastAsia"/>
              </w:rPr>
              <w:t>kg/h，约</w:t>
            </w:r>
            <w:r>
              <w:t>1.56</w:t>
            </w:r>
            <w:r>
              <w:rPr>
                <w:rFonts w:hint="eastAsia"/>
              </w:rPr>
              <w:t>t/a；通过对装载的物料进行洒水降尘处理，根据《露天矿开采工艺过程粉尘污染及防治对策》（陈小华，建筑技术开发，2</w:t>
            </w:r>
            <w:r>
              <w:t>016</w:t>
            </w:r>
            <w:r>
              <w:rPr>
                <w:rFonts w:hint="eastAsia"/>
              </w:rPr>
              <w:t>年1</w:t>
            </w:r>
            <w:r>
              <w:t>1</w:t>
            </w:r>
            <w:r>
              <w:rPr>
                <w:rFonts w:hint="eastAsia"/>
              </w:rPr>
              <w:t>月）的调查数据，装载过程采用湿式除尘处理效率可达到8</w:t>
            </w:r>
            <w:r>
              <w:t>9</w:t>
            </w:r>
            <w:r>
              <w:rPr>
                <w:rFonts w:hint="eastAsia"/>
              </w:rPr>
              <w:t>%左右，采取上述处理方式后，生产过程装载扬尘排放量为</w:t>
            </w:r>
            <w:r>
              <w:t>0.172</w:t>
            </w:r>
            <w:r>
              <w:rPr>
                <w:rFonts w:hint="eastAsia"/>
              </w:rPr>
              <w:t>t/a。</w:t>
            </w:r>
          </w:p>
          <w:p>
            <w:pPr>
              <w:spacing w:line="360" w:lineRule="auto"/>
              <w:ind w:firstLine="480"/>
            </w:pPr>
            <w:r>
              <w:rPr>
                <w:rFonts w:hint="eastAsia"/>
              </w:rPr>
              <w:t>（</w:t>
            </w:r>
            <w:r>
              <w:t>4</w:t>
            </w:r>
            <w:r>
              <w:rPr>
                <w:rFonts w:hint="eastAsia"/>
              </w:rPr>
              <w:t>）表土临时堆置场粉尘</w:t>
            </w:r>
          </w:p>
          <w:p>
            <w:pPr>
              <w:spacing w:line="360" w:lineRule="auto"/>
              <w:ind w:firstLine="480"/>
            </w:pPr>
            <w:r>
              <w:rPr>
                <w:rFonts w:hint="eastAsia"/>
              </w:rPr>
              <w:t>本项目表土临时堆置长设于矿区内，在大多数时间里排土场不起尘，遇到大风时会有扬尘产生，其排放情况与干湿季节及风速有密切关系，临时排土场无组织排放粉尘的排放量难于准确预测。故类比同类项目，临时排土场风蚀扬尘产生量约为表土堆置量的0.0001%。本项目表土剥离量为2</w:t>
            </w:r>
            <w:r>
              <w:t>06768</w:t>
            </w:r>
            <w:r>
              <w:rPr>
                <w:rFonts w:hint="eastAsia"/>
              </w:rPr>
              <w:t>t</w:t>
            </w:r>
            <w:r>
              <w:t>/</w:t>
            </w:r>
            <w:r>
              <w:rPr>
                <w:rFonts w:hint="eastAsia"/>
              </w:rPr>
              <w:t>a，则起尘量为</w:t>
            </w:r>
            <w:r>
              <w:t>0.21</w:t>
            </w:r>
            <w:r>
              <w:rPr>
                <w:rFonts w:hint="eastAsia"/>
              </w:rPr>
              <w:t>t/a。建设单位对临时堆场采用防尘网覆盖、洒水除尘等降尘措施，参考《扬尘源颗粒物排放清单编制技术指南（试行）》，覆盖粉尘控制效率为64%、洒水粉尘控制效率达52%（综合处理效率约为83%），则表土临时堆置场粉尘排放量为</w:t>
            </w:r>
            <w:r>
              <w:t>0.</w:t>
            </w:r>
            <w:r>
              <w:rPr>
                <w:rFonts w:hint="eastAsia"/>
              </w:rPr>
              <w:t>036t/a。</w:t>
            </w:r>
          </w:p>
          <w:p>
            <w:pPr>
              <w:spacing w:line="360" w:lineRule="auto"/>
              <w:ind w:firstLine="480"/>
            </w:pPr>
            <w:r>
              <w:rPr>
                <w:rFonts w:hint="eastAsia"/>
              </w:rPr>
              <w:t>（</w:t>
            </w:r>
            <w:r>
              <w:t>5</w:t>
            </w:r>
            <w:r>
              <w:rPr>
                <w:rFonts w:hint="eastAsia"/>
              </w:rPr>
              <w:t>）制砂粉尘</w:t>
            </w:r>
          </w:p>
          <w:p>
            <w:pPr>
              <w:spacing w:line="360" w:lineRule="auto"/>
              <w:ind w:firstLine="480"/>
            </w:pPr>
            <w:r>
              <w:rPr>
                <w:rFonts w:hint="eastAsia"/>
              </w:rPr>
              <w:t>本项目矿石原料由皮带输送机输送至工业场区内的加工车间，皮带输送机采取封闭式运输，且在输送转接处和卸料处均设置了喷淋设施。加工车间中生产线主要产尘工序为破碎、筛分等。参考《逸散性工业粉尘控制技术》（中国环境科学出版社，1989年译制）中第十八章破碎和筛分系数0</w:t>
            </w:r>
            <w:r>
              <w:t>.05</w:t>
            </w:r>
            <w:r>
              <w:rPr>
                <w:rFonts w:hint="eastAsia"/>
              </w:rPr>
              <w:t>kg</w:t>
            </w:r>
            <w:r>
              <w:t>/</w:t>
            </w:r>
            <w:r>
              <w:rPr>
                <w:rFonts w:hint="eastAsia"/>
              </w:rPr>
              <w:t>t（破碎料），本次按原矿开采规模</w:t>
            </w:r>
            <w:r>
              <w:t>108</w:t>
            </w:r>
            <w:r>
              <w:rPr>
                <w:rFonts w:hint="eastAsia"/>
              </w:rPr>
              <w:t>万t/a计，则制砂粉尘产生量为5</w:t>
            </w:r>
            <w:r>
              <w:t>4</w:t>
            </w:r>
            <w:r>
              <w:rPr>
                <w:rFonts w:hint="eastAsia"/>
              </w:rPr>
              <w:t>t</w:t>
            </w:r>
            <w:r>
              <w:t>/</w:t>
            </w:r>
            <w:r>
              <w:rPr>
                <w:rFonts w:hint="eastAsia"/>
              </w:rPr>
              <w:t>a。</w:t>
            </w:r>
          </w:p>
          <w:p>
            <w:pPr>
              <w:spacing w:line="360" w:lineRule="auto"/>
              <w:ind w:firstLine="480"/>
            </w:pPr>
            <w:r>
              <w:rPr>
                <w:rFonts w:hint="eastAsia"/>
              </w:rPr>
              <w:t>本项目加工车间为封闭式，收集效率按9</w:t>
            </w:r>
            <w:r>
              <w:t>0%</w:t>
            </w:r>
            <w:r>
              <w:rPr>
                <w:rFonts w:hint="eastAsia"/>
              </w:rPr>
              <w:t>计；设备进料、出料处均设置喷雾抑尘设施，可有效降低产尘量约8</w:t>
            </w:r>
            <w:r>
              <w:t>5%</w:t>
            </w:r>
            <w:r>
              <w:rPr>
                <w:rFonts w:hint="eastAsia"/>
              </w:rPr>
              <w:t>，则通过对破碎、筛分口喷雾抑尘后，则制砂粉尘的排放量为</w:t>
            </w:r>
            <w:r>
              <w:t>8.1</w:t>
            </w:r>
            <w:r>
              <w:rPr>
                <w:rFonts w:hint="eastAsia"/>
              </w:rPr>
              <w:t>t</w:t>
            </w:r>
            <w:r>
              <w:t>/</w:t>
            </w:r>
            <w:r>
              <w:rPr>
                <w:rFonts w:hint="eastAsia"/>
              </w:rPr>
              <w:t>a。</w:t>
            </w:r>
          </w:p>
          <w:p>
            <w:pPr>
              <w:spacing w:line="360" w:lineRule="auto"/>
              <w:ind w:firstLine="480"/>
            </w:pPr>
            <w:r>
              <w:rPr>
                <w:rFonts w:hint="eastAsia"/>
              </w:rPr>
              <w:t>（</w:t>
            </w:r>
            <w:r>
              <w:t>6</w:t>
            </w:r>
            <w:r>
              <w:rPr>
                <w:rFonts w:hint="eastAsia"/>
              </w:rPr>
              <w:t>）产品运输粉尘</w:t>
            </w:r>
          </w:p>
          <w:p>
            <w:pPr>
              <w:spacing w:line="360" w:lineRule="auto"/>
              <w:ind w:firstLine="480"/>
            </w:pPr>
            <w:r>
              <w:rPr>
                <w:rFonts w:hint="eastAsia"/>
              </w:rPr>
              <w:t>本项目工业场区内及外运道路均为水泥地面，汽车在运输过程中不可避免地要产生扬尘。在道路完全干燥的情况下，可采用上海港环境保护中心和武汉水运工程学院提出的经验公式估算：</w:t>
            </w:r>
          </w:p>
          <w:p>
            <w:pPr>
              <w:spacing w:line="360" w:lineRule="auto"/>
              <w:ind w:firstLine="0" w:firstLineChars="0"/>
              <w:jc w:val="center"/>
            </w:pPr>
            <w:r>
              <w:t>Qy=0.123×（V/5）×（M/6.8）</w:t>
            </w:r>
            <w:r>
              <w:rPr>
                <w:vertAlign w:val="superscript"/>
              </w:rPr>
              <w:t>0.85</w:t>
            </w:r>
            <w:r>
              <w:t>×（P/0.5）</w:t>
            </w:r>
            <w:r>
              <w:rPr>
                <w:vertAlign w:val="superscript"/>
              </w:rPr>
              <w:t>0.72</w:t>
            </w:r>
          </w:p>
          <w:p>
            <w:pPr>
              <w:spacing w:line="360" w:lineRule="auto"/>
              <w:ind w:firstLine="0" w:firstLineChars="0"/>
              <w:jc w:val="center"/>
            </w:pPr>
            <w:r>
              <w:t>Qt=Qy×L×（Q/M）</w:t>
            </w:r>
          </w:p>
          <w:p>
            <w:pPr>
              <w:tabs>
                <w:tab w:val="left" w:pos="-57"/>
              </w:tabs>
              <w:snapToGrid w:val="0"/>
              <w:spacing w:line="360" w:lineRule="auto"/>
              <w:ind w:firstLine="480"/>
            </w:pPr>
            <w:r>
              <w:t>式中：Qy——交通运输起尘量，kg/km·辆；</w:t>
            </w:r>
          </w:p>
          <w:p>
            <w:pPr>
              <w:tabs>
                <w:tab w:val="left" w:pos="-57"/>
              </w:tabs>
              <w:snapToGrid w:val="0"/>
              <w:spacing w:line="360" w:lineRule="auto"/>
              <w:ind w:firstLine="1200" w:firstLineChars="500"/>
            </w:pPr>
            <w:r>
              <w:t>Qt——运输途中起尘量，kg/a；</w:t>
            </w:r>
          </w:p>
          <w:p>
            <w:pPr>
              <w:tabs>
                <w:tab w:val="left" w:pos="-57"/>
              </w:tabs>
              <w:snapToGrid w:val="0"/>
              <w:spacing w:line="360" w:lineRule="auto"/>
              <w:ind w:firstLine="1200" w:firstLineChars="500"/>
            </w:pPr>
            <w:r>
              <w:t>V——车辆行驶速度，km/h，本项目取10；</w:t>
            </w:r>
          </w:p>
          <w:p>
            <w:pPr>
              <w:tabs>
                <w:tab w:val="left" w:pos="-57"/>
              </w:tabs>
              <w:snapToGrid w:val="0"/>
              <w:spacing w:line="360" w:lineRule="auto"/>
              <w:ind w:firstLine="1200" w:firstLineChars="500"/>
            </w:pPr>
            <w:r>
              <w:t>P——路面状况，以每平方米路面灰尘覆盖率表示，kg/m</w:t>
            </w:r>
            <w:r>
              <w:rPr>
                <w:vertAlign w:val="superscript"/>
              </w:rPr>
              <w:t>2</w:t>
            </w:r>
            <w:r>
              <w:t>，本项目取0.1；</w:t>
            </w:r>
          </w:p>
          <w:p>
            <w:pPr>
              <w:tabs>
                <w:tab w:val="left" w:pos="-57"/>
              </w:tabs>
              <w:snapToGrid w:val="0"/>
              <w:spacing w:line="360" w:lineRule="auto"/>
              <w:ind w:firstLine="1200" w:firstLineChars="500"/>
            </w:pPr>
            <w:r>
              <w:t>M——车辆载重，t/辆，本项目取100；</w:t>
            </w:r>
          </w:p>
          <w:p>
            <w:pPr>
              <w:tabs>
                <w:tab w:val="left" w:pos="-57"/>
              </w:tabs>
              <w:snapToGrid w:val="0"/>
              <w:spacing w:line="360" w:lineRule="auto"/>
              <w:ind w:firstLine="1200" w:firstLineChars="500"/>
            </w:pPr>
            <w:r>
              <w:t>L——运输距离，km，本项目取场地内运输距离0.17km；</w:t>
            </w:r>
          </w:p>
          <w:p>
            <w:pPr>
              <w:tabs>
                <w:tab w:val="left" w:pos="-57"/>
              </w:tabs>
              <w:snapToGrid w:val="0"/>
              <w:spacing w:line="360" w:lineRule="auto"/>
              <w:ind w:firstLine="1200" w:firstLineChars="500"/>
            </w:pPr>
            <w:r>
              <w:t>Q——运输量，t/a，本项目取900000t/a。</w:t>
            </w:r>
          </w:p>
          <w:p>
            <w:pPr>
              <w:spacing w:line="360" w:lineRule="auto"/>
              <w:ind w:firstLine="480"/>
            </w:pPr>
            <w:r>
              <w:rPr>
                <w:rFonts w:hint="eastAsia"/>
              </w:rPr>
              <w:t>根据计算，本项目运输扬尘量约为</w:t>
            </w:r>
            <w:r>
              <w:t>2.17</w:t>
            </w:r>
            <w:r>
              <w:rPr>
                <w:rFonts w:hint="eastAsia"/>
              </w:rPr>
              <w:t>t/a。项目场内道路定期会进行洒水，且对运输车辆加盖帆布并限制车速，减少载重量，以减小扬尘的产生量；采取以上措施后，除尘效率可达</w:t>
            </w:r>
            <w:r>
              <w:t>85</w:t>
            </w:r>
            <w:r>
              <w:rPr>
                <w:rFonts w:hint="eastAsia"/>
              </w:rPr>
              <w:t>%，则产品运输粉尘排放量为0.</w:t>
            </w:r>
            <w:r>
              <w:t>33</w:t>
            </w:r>
            <w:r>
              <w:rPr>
                <w:rFonts w:hint="eastAsia"/>
              </w:rPr>
              <w:t>t/a。</w:t>
            </w:r>
          </w:p>
          <w:p>
            <w:pPr>
              <w:spacing w:line="360" w:lineRule="auto"/>
              <w:ind w:firstLine="480"/>
            </w:pPr>
            <w:r>
              <w:rPr>
                <w:rFonts w:hint="eastAsia"/>
              </w:rPr>
              <w:t>（</w:t>
            </w:r>
            <w:r>
              <w:t>7</w:t>
            </w:r>
            <w:r>
              <w:rPr>
                <w:rFonts w:hint="eastAsia"/>
              </w:rPr>
              <w:t>）运输车辆及机械燃油尾气</w:t>
            </w:r>
          </w:p>
          <w:p>
            <w:pPr>
              <w:spacing w:line="360" w:lineRule="auto"/>
              <w:ind w:firstLine="480"/>
            </w:pPr>
            <w:r>
              <w:rPr>
                <w:rFonts w:hint="eastAsia"/>
              </w:rPr>
              <w:t>项目燃油废气主要来自于挖掘机、自卸车等的柴油机和运输车辆燃油产生的少量废气。主要成分是烯烃类、CO和NO</w:t>
            </w:r>
            <w:r>
              <w:rPr>
                <w:rFonts w:hint="eastAsia"/>
                <w:vertAlign w:val="subscript"/>
              </w:rPr>
              <w:t>X</w:t>
            </w:r>
            <w:r>
              <w:rPr>
                <w:rFonts w:hint="eastAsia"/>
              </w:rPr>
              <w:t>，产量较小，无组织排放。</w:t>
            </w:r>
          </w:p>
          <w:p>
            <w:pPr>
              <w:spacing w:line="360" w:lineRule="auto"/>
              <w:ind w:firstLine="480"/>
            </w:pPr>
            <w:r>
              <w:rPr>
                <w:rFonts w:hint="eastAsia"/>
              </w:rPr>
              <w:t>（</w:t>
            </w:r>
            <w:r>
              <w:t>8</w:t>
            </w:r>
            <w:r>
              <w:rPr>
                <w:rFonts w:hint="eastAsia"/>
              </w:rPr>
              <w:t>）食堂油烟</w:t>
            </w:r>
          </w:p>
          <w:p>
            <w:pPr>
              <w:spacing w:line="360" w:lineRule="auto"/>
              <w:ind w:firstLine="480"/>
            </w:pPr>
            <w:r>
              <w:t>本项目</w:t>
            </w:r>
            <w:r>
              <w:rPr>
                <w:rFonts w:hint="eastAsia"/>
              </w:rPr>
              <w:t>工业广场</w:t>
            </w:r>
            <w:r>
              <w:t>配套建设</w:t>
            </w:r>
            <w:r>
              <w:rPr>
                <w:rFonts w:hint="eastAsia"/>
              </w:rPr>
              <w:t>员工</w:t>
            </w:r>
            <w:r>
              <w:t>宿舍楼，设有食堂，约30人在内用餐。一般食堂的食用油耗油系数为30g/人·d，则其一天的食用油的用量约为0.9kg，油烟和油的挥发量占总耗油量的2</w:t>
            </w:r>
            <w:r>
              <w:rPr>
                <w:rFonts w:hint="eastAsia"/>
              </w:rPr>
              <w:t>%~</w:t>
            </w:r>
            <w:r>
              <w:t>4</w:t>
            </w:r>
            <w:r>
              <w:rPr>
                <w:rFonts w:hint="eastAsia"/>
              </w:rPr>
              <w:t>%</w:t>
            </w:r>
            <w:r>
              <w:t>之间，项目以3</w:t>
            </w:r>
            <w:r>
              <w:rPr>
                <w:rFonts w:hint="eastAsia"/>
              </w:rPr>
              <w:t>%</w:t>
            </w:r>
            <w:r>
              <w:t>的挥发量计，则油烟的产生量约为8.1kg/a（年工作日</w:t>
            </w:r>
            <w:r>
              <w:rPr>
                <w:rFonts w:hint="eastAsia"/>
              </w:rPr>
              <w:t>3</w:t>
            </w:r>
            <w:r>
              <w:t>00天），</w:t>
            </w:r>
            <w:r>
              <w:rPr>
                <w:rFonts w:hint="eastAsia"/>
              </w:rPr>
              <w:t>基准</w:t>
            </w:r>
            <w:r>
              <w:t>灶头数为2个，每个灶头集气罩排风量为</w:t>
            </w:r>
            <w:r>
              <w:rPr>
                <w:rFonts w:hint="eastAsia"/>
              </w:rPr>
              <w:t>20</w:t>
            </w:r>
            <w:r>
              <w:t>00m</w:t>
            </w:r>
            <w:r>
              <w:rPr>
                <w:vertAlign w:val="superscript"/>
              </w:rPr>
              <w:t>3</w:t>
            </w:r>
            <w:r>
              <w:t>/h计（共</w:t>
            </w:r>
            <w:r>
              <w:rPr>
                <w:rFonts w:hint="eastAsia"/>
              </w:rPr>
              <w:t>4</w:t>
            </w:r>
            <w:r>
              <w:t>000m</w:t>
            </w:r>
            <w:r>
              <w:rPr>
                <w:vertAlign w:val="superscript"/>
              </w:rPr>
              <w:t>3</w:t>
            </w:r>
            <w:r>
              <w:t>/h），每天工作</w:t>
            </w:r>
            <w:r>
              <w:rPr>
                <w:rFonts w:hint="eastAsia"/>
              </w:rPr>
              <w:t>6</w:t>
            </w:r>
            <w:r>
              <w:t>小时，则厨房油烟产生浓度为1.125mg/m</w:t>
            </w:r>
            <w:r>
              <w:rPr>
                <w:vertAlign w:val="superscript"/>
              </w:rPr>
              <w:t>3</w:t>
            </w:r>
            <w:r>
              <w:t>。</w:t>
            </w:r>
            <w:r>
              <w:rPr>
                <w:rFonts w:hint="eastAsia"/>
              </w:rPr>
              <w:t>拟在厨房顶层安装抽油烟机，油烟经抽油烟机抽出通过管道引至屋顶排放。</w:t>
            </w:r>
          </w:p>
          <w:p>
            <w:pPr>
              <w:pStyle w:val="2"/>
              <w:spacing w:line="360" w:lineRule="auto"/>
              <w:rPr>
                <w:b w:val="0"/>
              </w:rPr>
            </w:pPr>
            <w:r>
              <w:rPr>
                <w:rFonts w:hint="eastAsia"/>
                <w:b w:val="0"/>
              </w:rPr>
              <w:t>表4</w:t>
            </w:r>
            <w:r>
              <w:rPr>
                <w:b w:val="0"/>
              </w:rPr>
              <w:t xml:space="preserve">-3 </w:t>
            </w:r>
            <w:r>
              <w:rPr>
                <w:rFonts w:hint="eastAsia"/>
                <w:b w:val="0"/>
              </w:rPr>
              <w:t>本项目运营期废气产排情况一览表</w:t>
            </w:r>
          </w:p>
          <w:p>
            <w:pPr>
              <w:pStyle w:val="2"/>
              <w:spacing w:line="240" w:lineRule="auto"/>
              <w:jc w:val="right"/>
              <w:rPr>
                <w:b w:val="0"/>
              </w:rPr>
            </w:pPr>
            <w:r>
              <w:rPr>
                <w:rFonts w:hint="eastAsia"/>
                <w:b w:val="0"/>
              </w:rPr>
              <w:t>单位：t</w:t>
            </w:r>
            <w:r>
              <w:rPr>
                <w:b w:val="0"/>
              </w:rPr>
              <w:t>/a</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1156"/>
              <w:gridCol w:w="1156"/>
              <w:gridCol w:w="1223"/>
              <w:gridCol w:w="128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21" w:type="dxa"/>
                  <w:gridSpan w:val="2"/>
                  <w:vAlign w:val="center"/>
                </w:tcPr>
                <w:p>
                  <w:pPr>
                    <w:pStyle w:val="13"/>
                  </w:pPr>
                  <w:r>
                    <w:rPr>
                      <w:rFonts w:hint="eastAsia"/>
                    </w:rPr>
                    <w:t>类别</w:t>
                  </w:r>
                </w:p>
              </w:tc>
              <w:tc>
                <w:tcPr>
                  <w:tcW w:w="1134" w:type="dxa"/>
                  <w:vAlign w:val="center"/>
                </w:tcPr>
                <w:p>
                  <w:pPr>
                    <w:pStyle w:val="13"/>
                  </w:pPr>
                  <w:r>
                    <w:rPr>
                      <w:rFonts w:hint="eastAsia"/>
                    </w:rPr>
                    <w:t>产生量</w:t>
                  </w:r>
                </w:p>
              </w:tc>
              <w:tc>
                <w:tcPr>
                  <w:tcW w:w="1200" w:type="dxa"/>
                  <w:vAlign w:val="center"/>
                </w:tcPr>
                <w:p>
                  <w:pPr>
                    <w:pStyle w:val="13"/>
                  </w:pPr>
                  <w:r>
                    <w:rPr>
                      <w:rFonts w:hint="eastAsia"/>
                    </w:rPr>
                    <w:t>削减量</w:t>
                  </w:r>
                </w:p>
              </w:tc>
              <w:tc>
                <w:tcPr>
                  <w:tcW w:w="1264" w:type="dxa"/>
                  <w:vAlign w:val="center"/>
                </w:tcPr>
                <w:p>
                  <w:pPr>
                    <w:pStyle w:val="13"/>
                  </w:pPr>
                  <w:r>
                    <w:rPr>
                      <w:rFonts w:hint="eastAsia"/>
                    </w:rPr>
                    <w:t>排放量</w:t>
                  </w:r>
                </w:p>
              </w:tc>
              <w:tc>
                <w:tcPr>
                  <w:tcW w:w="1264" w:type="dxa"/>
                  <w:vAlign w:val="center"/>
                </w:tcPr>
                <w:p>
                  <w:pPr>
                    <w:pStyle w:val="13"/>
                  </w:pPr>
                  <w:r>
                    <w:rPr>
                      <w:rFonts w:hint="eastAsia"/>
                    </w:rPr>
                    <w:t>去除率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Align w:val="center"/>
                </w:tcPr>
                <w:p>
                  <w:pPr>
                    <w:pStyle w:val="13"/>
                  </w:pPr>
                  <w:r>
                    <w:rPr>
                      <w:rFonts w:hint="eastAsia"/>
                    </w:rPr>
                    <w:t>覆盖层剥离工序粉尘</w:t>
                  </w:r>
                </w:p>
              </w:tc>
              <w:tc>
                <w:tcPr>
                  <w:tcW w:w="1134" w:type="dxa"/>
                  <w:vAlign w:val="center"/>
                </w:tcPr>
                <w:p>
                  <w:pPr>
                    <w:pStyle w:val="13"/>
                  </w:pPr>
                  <w:r>
                    <w:rPr>
                      <w:rFonts w:hint="eastAsia"/>
                    </w:rPr>
                    <w:t>颗粒物</w:t>
                  </w:r>
                </w:p>
              </w:tc>
              <w:tc>
                <w:tcPr>
                  <w:tcW w:w="1134" w:type="dxa"/>
                  <w:vAlign w:val="center"/>
                </w:tcPr>
                <w:p>
                  <w:pPr>
                    <w:pStyle w:val="13"/>
                    <w:rPr>
                      <w:snapToGrid/>
                    </w:rPr>
                  </w:pPr>
                  <w:r>
                    <w:rPr>
                      <w:rFonts w:hint="eastAsia"/>
                      <w:snapToGrid/>
                    </w:rPr>
                    <w:t>0</w:t>
                  </w:r>
                  <w:r>
                    <w:rPr>
                      <w:snapToGrid/>
                    </w:rPr>
                    <w:t>.414</w:t>
                  </w:r>
                </w:p>
              </w:tc>
              <w:tc>
                <w:tcPr>
                  <w:tcW w:w="1200" w:type="dxa"/>
                  <w:vAlign w:val="center"/>
                </w:tcPr>
                <w:p>
                  <w:pPr>
                    <w:pStyle w:val="13"/>
                  </w:pPr>
                  <w:r>
                    <w:rPr>
                      <w:rFonts w:hint="eastAsia"/>
                    </w:rPr>
                    <w:t>0</w:t>
                  </w:r>
                  <w:r>
                    <w:t>.3519</w:t>
                  </w:r>
                </w:p>
              </w:tc>
              <w:tc>
                <w:tcPr>
                  <w:tcW w:w="1264" w:type="dxa"/>
                  <w:vAlign w:val="center"/>
                </w:tcPr>
                <w:p>
                  <w:pPr>
                    <w:pStyle w:val="13"/>
                  </w:pPr>
                  <w:r>
                    <w:rPr>
                      <w:rFonts w:hint="eastAsia"/>
                    </w:rPr>
                    <w:t>0</w:t>
                  </w:r>
                  <w:r>
                    <w:t>.0621</w:t>
                  </w:r>
                </w:p>
              </w:tc>
              <w:tc>
                <w:tcPr>
                  <w:tcW w:w="1264" w:type="dxa"/>
                  <w:vAlign w:val="center"/>
                </w:tcPr>
                <w:p>
                  <w:pPr>
                    <w:pStyle w:val="13"/>
                  </w:pPr>
                  <w:r>
                    <w:rPr>
                      <w:rFonts w:hint="eastAsia"/>
                    </w:rPr>
                    <w:t>8</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Align w:val="center"/>
                </w:tcPr>
                <w:p>
                  <w:pPr>
                    <w:pStyle w:val="13"/>
                  </w:pPr>
                  <w:r>
                    <w:rPr>
                      <w:rFonts w:hint="eastAsia"/>
                    </w:rPr>
                    <w:t>开采粉尘</w:t>
                  </w:r>
                </w:p>
              </w:tc>
              <w:tc>
                <w:tcPr>
                  <w:tcW w:w="1134" w:type="dxa"/>
                  <w:vAlign w:val="center"/>
                </w:tcPr>
                <w:p>
                  <w:pPr>
                    <w:pStyle w:val="13"/>
                  </w:pPr>
                  <w:r>
                    <w:rPr>
                      <w:rFonts w:hint="eastAsia"/>
                    </w:rPr>
                    <w:t>颗粒物</w:t>
                  </w:r>
                </w:p>
              </w:tc>
              <w:tc>
                <w:tcPr>
                  <w:tcW w:w="1134" w:type="dxa"/>
                  <w:vAlign w:val="center"/>
                </w:tcPr>
                <w:p>
                  <w:pPr>
                    <w:pStyle w:val="13"/>
                  </w:pPr>
                  <w:r>
                    <w:rPr>
                      <w:rFonts w:hint="eastAsia"/>
                    </w:rPr>
                    <w:t>0</w:t>
                  </w:r>
                  <w:r>
                    <w:t>.54</w:t>
                  </w:r>
                </w:p>
              </w:tc>
              <w:tc>
                <w:tcPr>
                  <w:tcW w:w="1200" w:type="dxa"/>
                  <w:vAlign w:val="center"/>
                </w:tcPr>
                <w:p>
                  <w:pPr>
                    <w:pStyle w:val="13"/>
                  </w:pPr>
                  <w:r>
                    <w:rPr>
                      <w:rFonts w:hint="eastAsia"/>
                    </w:rPr>
                    <w:t>0</w:t>
                  </w:r>
                  <w:r>
                    <w:t>.459</w:t>
                  </w:r>
                </w:p>
              </w:tc>
              <w:tc>
                <w:tcPr>
                  <w:tcW w:w="1264" w:type="dxa"/>
                  <w:vAlign w:val="center"/>
                </w:tcPr>
                <w:p>
                  <w:pPr>
                    <w:pStyle w:val="13"/>
                  </w:pPr>
                  <w:r>
                    <w:rPr>
                      <w:rFonts w:hint="eastAsia"/>
                    </w:rPr>
                    <w:t>0</w:t>
                  </w:r>
                  <w:r>
                    <w:t>.081</w:t>
                  </w:r>
                </w:p>
              </w:tc>
              <w:tc>
                <w:tcPr>
                  <w:tcW w:w="1264" w:type="dxa"/>
                  <w:vAlign w:val="center"/>
                </w:tcPr>
                <w:p>
                  <w:pPr>
                    <w:pStyle w:val="13"/>
                  </w:pPr>
                  <w:r>
                    <w:rPr>
                      <w:rFonts w:hint="eastAsia"/>
                    </w:rPr>
                    <w:t>8</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Align w:val="center"/>
                </w:tcPr>
                <w:p>
                  <w:pPr>
                    <w:pStyle w:val="13"/>
                  </w:pPr>
                  <w:r>
                    <w:rPr>
                      <w:rFonts w:hint="eastAsia"/>
                    </w:rPr>
                    <w:t>铲装粉尘</w:t>
                  </w:r>
                </w:p>
              </w:tc>
              <w:tc>
                <w:tcPr>
                  <w:tcW w:w="1134" w:type="dxa"/>
                  <w:vAlign w:val="center"/>
                </w:tcPr>
                <w:p>
                  <w:pPr>
                    <w:pStyle w:val="13"/>
                  </w:pPr>
                  <w:r>
                    <w:rPr>
                      <w:rFonts w:hint="eastAsia"/>
                    </w:rPr>
                    <w:t>颗粒物</w:t>
                  </w:r>
                </w:p>
              </w:tc>
              <w:tc>
                <w:tcPr>
                  <w:tcW w:w="1134" w:type="dxa"/>
                  <w:vAlign w:val="center"/>
                </w:tcPr>
                <w:p>
                  <w:pPr>
                    <w:pStyle w:val="13"/>
                  </w:pPr>
                  <w:r>
                    <w:rPr>
                      <w:rFonts w:hint="eastAsia"/>
                    </w:rPr>
                    <w:t>1</w:t>
                  </w:r>
                  <w:r>
                    <w:t>.56</w:t>
                  </w:r>
                </w:p>
              </w:tc>
              <w:tc>
                <w:tcPr>
                  <w:tcW w:w="1200" w:type="dxa"/>
                  <w:vAlign w:val="center"/>
                </w:tcPr>
                <w:p>
                  <w:pPr>
                    <w:pStyle w:val="13"/>
                  </w:pPr>
                  <w:r>
                    <w:rPr>
                      <w:rFonts w:hint="eastAsia"/>
                    </w:rPr>
                    <w:t>1</w:t>
                  </w:r>
                  <w:r>
                    <w:t>.388</w:t>
                  </w:r>
                </w:p>
              </w:tc>
              <w:tc>
                <w:tcPr>
                  <w:tcW w:w="1264" w:type="dxa"/>
                  <w:vAlign w:val="center"/>
                </w:tcPr>
                <w:p>
                  <w:pPr>
                    <w:pStyle w:val="13"/>
                  </w:pPr>
                  <w:r>
                    <w:rPr>
                      <w:rFonts w:hint="eastAsia"/>
                    </w:rPr>
                    <w:t>0</w:t>
                  </w:r>
                  <w:r>
                    <w:t>.172</w:t>
                  </w:r>
                </w:p>
              </w:tc>
              <w:tc>
                <w:tcPr>
                  <w:tcW w:w="1264" w:type="dxa"/>
                  <w:vAlign w:val="center"/>
                </w:tcPr>
                <w:p>
                  <w:pPr>
                    <w:pStyle w:val="13"/>
                  </w:pPr>
                  <w:r>
                    <w:rPr>
                      <w:rFonts w:hint="eastAsia"/>
                    </w:rPr>
                    <w:t>8</w:t>
                  </w:r>
                  <w: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Align w:val="center"/>
                </w:tcPr>
                <w:p>
                  <w:pPr>
                    <w:pStyle w:val="13"/>
                  </w:pPr>
                  <w:r>
                    <w:rPr>
                      <w:rFonts w:hint="eastAsia"/>
                    </w:rPr>
                    <w:t>表土临时堆置场粉尘</w:t>
                  </w:r>
                </w:p>
              </w:tc>
              <w:tc>
                <w:tcPr>
                  <w:tcW w:w="1134" w:type="dxa"/>
                  <w:vAlign w:val="center"/>
                </w:tcPr>
                <w:p>
                  <w:pPr>
                    <w:pStyle w:val="13"/>
                  </w:pPr>
                  <w:r>
                    <w:rPr>
                      <w:rFonts w:hint="eastAsia"/>
                    </w:rPr>
                    <w:t>颗粒物</w:t>
                  </w:r>
                </w:p>
              </w:tc>
              <w:tc>
                <w:tcPr>
                  <w:tcW w:w="1134" w:type="dxa"/>
                  <w:vAlign w:val="center"/>
                </w:tcPr>
                <w:p>
                  <w:pPr>
                    <w:pStyle w:val="13"/>
                  </w:pPr>
                  <w:r>
                    <w:rPr>
                      <w:rFonts w:hint="eastAsia"/>
                    </w:rPr>
                    <w:t>0</w:t>
                  </w:r>
                  <w:r>
                    <w:t>.21</w:t>
                  </w:r>
                </w:p>
              </w:tc>
              <w:tc>
                <w:tcPr>
                  <w:tcW w:w="1200" w:type="dxa"/>
                  <w:vAlign w:val="center"/>
                </w:tcPr>
                <w:p>
                  <w:pPr>
                    <w:pStyle w:val="13"/>
                  </w:pPr>
                  <w:r>
                    <w:rPr>
                      <w:rFonts w:hint="eastAsia"/>
                    </w:rPr>
                    <w:t>0.174</w:t>
                  </w:r>
                </w:p>
              </w:tc>
              <w:tc>
                <w:tcPr>
                  <w:tcW w:w="1264" w:type="dxa"/>
                  <w:vAlign w:val="center"/>
                </w:tcPr>
                <w:p>
                  <w:pPr>
                    <w:pStyle w:val="13"/>
                  </w:pPr>
                  <w:r>
                    <w:rPr>
                      <w:rFonts w:hint="eastAsia"/>
                    </w:rPr>
                    <w:t>0.036</w:t>
                  </w:r>
                </w:p>
              </w:tc>
              <w:tc>
                <w:tcPr>
                  <w:tcW w:w="1264" w:type="dxa"/>
                  <w:vAlign w:val="center"/>
                </w:tcPr>
                <w:p>
                  <w:pPr>
                    <w:pStyle w:val="13"/>
                  </w:pPr>
                  <w:r>
                    <w:rPr>
                      <w:rFonts w:hint="eastAsia"/>
                    </w:rPr>
                    <w:t>83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Align w:val="center"/>
                </w:tcPr>
                <w:p>
                  <w:pPr>
                    <w:pStyle w:val="13"/>
                  </w:pPr>
                  <w:r>
                    <w:rPr>
                      <w:rFonts w:hint="eastAsia"/>
                    </w:rPr>
                    <w:t>制砂粉尘</w:t>
                  </w:r>
                </w:p>
              </w:tc>
              <w:tc>
                <w:tcPr>
                  <w:tcW w:w="1134" w:type="dxa"/>
                  <w:vAlign w:val="center"/>
                </w:tcPr>
                <w:p>
                  <w:pPr>
                    <w:pStyle w:val="13"/>
                  </w:pPr>
                  <w:r>
                    <w:rPr>
                      <w:rFonts w:hint="eastAsia"/>
                    </w:rPr>
                    <w:t>颗粒物</w:t>
                  </w:r>
                </w:p>
              </w:tc>
              <w:tc>
                <w:tcPr>
                  <w:tcW w:w="1134" w:type="dxa"/>
                  <w:vAlign w:val="center"/>
                </w:tcPr>
                <w:p>
                  <w:pPr>
                    <w:pStyle w:val="13"/>
                  </w:pPr>
                  <w:r>
                    <w:rPr>
                      <w:rFonts w:hint="eastAsia"/>
                    </w:rPr>
                    <w:t>5</w:t>
                  </w:r>
                  <w:r>
                    <w:t>4.0</w:t>
                  </w:r>
                </w:p>
              </w:tc>
              <w:tc>
                <w:tcPr>
                  <w:tcW w:w="1200" w:type="dxa"/>
                  <w:vAlign w:val="center"/>
                </w:tcPr>
                <w:p>
                  <w:pPr>
                    <w:pStyle w:val="13"/>
                  </w:pPr>
                  <w:r>
                    <w:rPr>
                      <w:rFonts w:hint="eastAsia"/>
                    </w:rPr>
                    <w:t>4</w:t>
                  </w:r>
                  <w:r>
                    <w:t>5.9</w:t>
                  </w:r>
                </w:p>
              </w:tc>
              <w:tc>
                <w:tcPr>
                  <w:tcW w:w="1264" w:type="dxa"/>
                  <w:vAlign w:val="center"/>
                </w:tcPr>
                <w:p>
                  <w:pPr>
                    <w:pStyle w:val="13"/>
                  </w:pPr>
                  <w:r>
                    <w:rPr>
                      <w:rFonts w:hint="eastAsia"/>
                    </w:rPr>
                    <w:t>8</w:t>
                  </w:r>
                  <w:r>
                    <w:t>.1</w:t>
                  </w:r>
                </w:p>
              </w:tc>
              <w:tc>
                <w:tcPr>
                  <w:tcW w:w="1264" w:type="dxa"/>
                  <w:vAlign w:val="center"/>
                </w:tcPr>
                <w:p>
                  <w:pPr>
                    <w:pStyle w:val="13"/>
                  </w:pPr>
                  <w:r>
                    <w:rPr>
                      <w:rFonts w:hint="eastAsia"/>
                    </w:rPr>
                    <w:t>8</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Align w:val="center"/>
                </w:tcPr>
                <w:p>
                  <w:pPr>
                    <w:pStyle w:val="13"/>
                  </w:pPr>
                  <w:r>
                    <w:rPr>
                      <w:rFonts w:hint="eastAsia"/>
                    </w:rPr>
                    <w:t>产品运输粉尘</w:t>
                  </w:r>
                </w:p>
              </w:tc>
              <w:tc>
                <w:tcPr>
                  <w:tcW w:w="1134" w:type="dxa"/>
                  <w:vAlign w:val="center"/>
                </w:tcPr>
                <w:p>
                  <w:pPr>
                    <w:pStyle w:val="13"/>
                  </w:pPr>
                  <w:r>
                    <w:rPr>
                      <w:rFonts w:hint="eastAsia"/>
                    </w:rPr>
                    <w:t>颗粒物</w:t>
                  </w:r>
                </w:p>
              </w:tc>
              <w:tc>
                <w:tcPr>
                  <w:tcW w:w="1134" w:type="dxa"/>
                  <w:vAlign w:val="center"/>
                </w:tcPr>
                <w:p>
                  <w:pPr>
                    <w:pStyle w:val="13"/>
                  </w:pPr>
                  <w:r>
                    <w:rPr>
                      <w:rFonts w:hint="eastAsia"/>
                    </w:rPr>
                    <w:t>2</w:t>
                  </w:r>
                  <w:r>
                    <w:t>.17</w:t>
                  </w:r>
                </w:p>
              </w:tc>
              <w:tc>
                <w:tcPr>
                  <w:tcW w:w="1200" w:type="dxa"/>
                  <w:vAlign w:val="center"/>
                </w:tcPr>
                <w:p>
                  <w:pPr>
                    <w:pStyle w:val="13"/>
                  </w:pPr>
                  <w:r>
                    <w:rPr>
                      <w:rFonts w:hint="eastAsia"/>
                    </w:rPr>
                    <w:t>1</w:t>
                  </w:r>
                  <w:r>
                    <w:t>.84</w:t>
                  </w:r>
                </w:p>
              </w:tc>
              <w:tc>
                <w:tcPr>
                  <w:tcW w:w="1264" w:type="dxa"/>
                  <w:vAlign w:val="center"/>
                </w:tcPr>
                <w:p>
                  <w:pPr>
                    <w:pStyle w:val="13"/>
                  </w:pPr>
                  <w:r>
                    <w:rPr>
                      <w:rFonts w:hint="eastAsia"/>
                    </w:rPr>
                    <w:t>0</w:t>
                  </w:r>
                  <w:r>
                    <w:t>.33</w:t>
                  </w:r>
                </w:p>
              </w:tc>
              <w:tc>
                <w:tcPr>
                  <w:tcW w:w="1264" w:type="dxa"/>
                  <w:vAlign w:val="center"/>
                </w:tcPr>
                <w:p>
                  <w:pPr>
                    <w:pStyle w:val="13"/>
                  </w:pPr>
                  <w:r>
                    <w:rPr>
                      <w:rFonts w:hint="eastAsia"/>
                    </w:rPr>
                    <w:t>8</w:t>
                  </w: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Align w:val="center"/>
                </w:tcPr>
                <w:p>
                  <w:pPr>
                    <w:pStyle w:val="13"/>
                  </w:pPr>
                  <w:r>
                    <w:rPr>
                      <w:rFonts w:hint="eastAsia"/>
                    </w:rPr>
                    <w:t>食堂</w:t>
                  </w:r>
                </w:p>
              </w:tc>
              <w:tc>
                <w:tcPr>
                  <w:tcW w:w="1134" w:type="dxa"/>
                  <w:vAlign w:val="center"/>
                </w:tcPr>
                <w:p>
                  <w:pPr>
                    <w:pStyle w:val="13"/>
                  </w:pPr>
                  <w:r>
                    <w:rPr>
                      <w:rFonts w:hint="eastAsia"/>
                    </w:rPr>
                    <w:t>食堂油烟</w:t>
                  </w:r>
                </w:p>
              </w:tc>
              <w:tc>
                <w:tcPr>
                  <w:tcW w:w="1134" w:type="dxa"/>
                  <w:vAlign w:val="center"/>
                </w:tcPr>
                <w:p>
                  <w:pPr>
                    <w:pStyle w:val="13"/>
                  </w:pPr>
                  <w:r>
                    <w:rPr>
                      <w:rFonts w:hint="eastAsia"/>
                    </w:rPr>
                    <w:t>0</w:t>
                  </w:r>
                  <w:r>
                    <w:t>.0081</w:t>
                  </w:r>
                </w:p>
              </w:tc>
              <w:tc>
                <w:tcPr>
                  <w:tcW w:w="1200" w:type="dxa"/>
                  <w:vAlign w:val="center"/>
                </w:tcPr>
                <w:p>
                  <w:pPr>
                    <w:pStyle w:val="13"/>
                  </w:pPr>
                  <w:r>
                    <w:rPr>
                      <w:rFonts w:hint="eastAsia"/>
                    </w:rPr>
                    <w:t>0</w:t>
                  </w:r>
                </w:p>
              </w:tc>
              <w:tc>
                <w:tcPr>
                  <w:tcW w:w="1264" w:type="dxa"/>
                  <w:vAlign w:val="center"/>
                </w:tcPr>
                <w:p>
                  <w:pPr>
                    <w:pStyle w:val="13"/>
                  </w:pPr>
                  <w:r>
                    <w:rPr>
                      <w:rFonts w:hint="eastAsia"/>
                    </w:rPr>
                    <w:t>0</w:t>
                  </w:r>
                  <w:r>
                    <w:t>.0081</w:t>
                  </w:r>
                </w:p>
              </w:tc>
              <w:tc>
                <w:tcPr>
                  <w:tcW w:w="1264" w:type="dxa"/>
                  <w:vAlign w:val="center"/>
                </w:tcPr>
                <w:p>
                  <w:pPr>
                    <w:pStyle w:val="13"/>
                  </w:pPr>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Merge w:val="restart"/>
                  <w:vAlign w:val="center"/>
                </w:tcPr>
                <w:p>
                  <w:pPr>
                    <w:pStyle w:val="13"/>
                  </w:pPr>
                  <w:r>
                    <w:rPr>
                      <w:rFonts w:hint="eastAsia"/>
                    </w:rPr>
                    <w:t>合计</w:t>
                  </w:r>
                </w:p>
              </w:tc>
              <w:tc>
                <w:tcPr>
                  <w:tcW w:w="1134" w:type="dxa"/>
                  <w:vAlign w:val="center"/>
                </w:tcPr>
                <w:p>
                  <w:pPr>
                    <w:pStyle w:val="13"/>
                  </w:pPr>
                  <w:r>
                    <w:rPr>
                      <w:rFonts w:hint="eastAsia"/>
                    </w:rPr>
                    <w:t>颗粒物</w:t>
                  </w:r>
                </w:p>
              </w:tc>
              <w:tc>
                <w:tcPr>
                  <w:tcW w:w="1134" w:type="dxa"/>
                  <w:vAlign w:val="center"/>
                </w:tcPr>
                <w:p>
                  <w:pPr>
                    <w:pStyle w:val="13"/>
                  </w:pPr>
                  <w:r>
                    <w:rPr>
                      <w:rFonts w:eastAsia="等线"/>
                      <w:color w:val="000000"/>
                      <w:szCs w:val="21"/>
                    </w:rPr>
                    <w:t>58.894</w:t>
                  </w:r>
                </w:p>
              </w:tc>
              <w:tc>
                <w:tcPr>
                  <w:tcW w:w="1200" w:type="dxa"/>
                  <w:vAlign w:val="center"/>
                </w:tcPr>
                <w:p>
                  <w:pPr>
                    <w:pStyle w:val="13"/>
                  </w:pPr>
                  <w:r>
                    <w:rPr>
                      <w:rFonts w:eastAsia="等线"/>
                      <w:color w:val="000000"/>
                      <w:szCs w:val="21"/>
                    </w:rPr>
                    <w:t>50.0479</w:t>
                  </w:r>
                </w:p>
              </w:tc>
              <w:tc>
                <w:tcPr>
                  <w:tcW w:w="1264" w:type="dxa"/>
                  <w:vAlign w:val="center"/>
                </w:tcPr>
                <w:p>
                  <w:pPr>
                    <w:pStyle w:val="13"/>
                  </w:pPr>
                  <w:r>
                    <w:rPr>
                      <w:rFonts w:eastAsia="等线"/>
                      <w:color w:val="000000"/>
                      <w:szCs w:val="21"/>
                    </w:rPr>
                    <w:t>8.8542</w:t>
                  </w:r>
                </w:p>
              </w:tc>
              <w:tc>
                <w:tcPr>
                  <w:tcW w:w="1264" w:type="dxa"/>
                  <w:vAlign w:val="center"/>
                </w:tcPr>
                <w:p>
                  <w:pPr>
                    <w:pStyle w:val="13"/>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7" w:type="dxa"/>
                  <w:vMerge w:val="continue"/>
                  <w:vAlign w:val="center"/>
                </w:tcPr>
                <w:p>
                  <w:pPr>
                    <w:pStyle w:val="13"/>
                  </w:pPr>
                </w:p>
              </w:tc>
              <w:tc>
                <w:tcPr>
                  <w:tcW w:w="1134" w:type="dxa"/>
                  <w:vAlign w:val="center"/>
                </w:tcPr>
                <w:p>
                  <w:pPr>
                    <w:pStyle w:val="13"/>
                  </w:pPr>
                  <w:r>
                    <w:rPr>
                      <w:rFonts w:hint="eastAsia"/>
                    </w:rPr>
                    <w:t>食堂油烟</w:t>
                  </w:r>
                </w:p>
              </w:tc>
              <w:tc>
                <w:tcPr>
                  <w:tcW w:w="1134" w:type="dxa"/>
                  <w:vAlign w:val="center"/>
                </w:tcPr>
                <w:p>
                  <w:pPr>
                    <w:pStyle w:val="13"/>
                  </w:pPr>
                  <w:r>
                    <w:rPr>
                      <w:rFonts w:eastAsia="等线"/>
                      <w:color w:val="000000"/>
                      <w:szCs w:val="21"/>
                    </w:rPr>
                    <w:t>0.0081</w:t>
                  </w:r>
                </w:p>
              </w:tc>
              <w:tc>
                <w:tcPr>
                  <w:tcW w:w="1200" w:type="dxa"/>
                  <w:vAlign w:val="center"/>
                </w:tcPr>
                <w:p>
                  <w:pPr>
                    <w:pStyle w:val="13"/>
                  </w:pPr>
                  <w:r>
                    <w:rPr>
                      <w:rFonts w:eastAsia="等线"/>
                      <w:color w:val="000000"/>
                      <w:szCs w:val="21"/>
                    </w:rPr>
                    <w:t>0</w:t>
                  </w:r>
                </w:p>
              </w:tc>
              <w:tc>
                <w:tcPr>
                  <w:tcW w:w="1264" w:type="dxa"/>
                  <w:vAlign w:val="center"/>
                </w:tcPr>
                <w:p>
                  <w:pPr>
                    <w:pStyle w:val="13"/>
                  </w:pPr>
                  <w:r>
                    <w:rPr>
                      <w:rFonts w:eastAsia="等线"/>
                      <w:color w:val="000000"/>
                      <w:szCs w:val="21"/>
                    </w:rPr>
                    <w:t>0.0081</w:t>
                  </w:r>
                </w:p>
              </w:tc>
              <w:tc>
                <w:tcPr>
                  <w:tcW w:w="1264" w:type="dxa"/>
                  <w:vAlign w:val="center"/>
                </w:tcPr>
                <w:p>
                  <w:pPr>
                    <w:pStyle w:val="13"/>
                  </w:pPr>
                  <w:r>
                    <w:rPr>
                      <w:rFonts w:hint="eastAsia"/>
                    </w:rPr>
                    <w:t>/</w:t>
                  </w:r>
                </w:p>
              </w:tc>
            </w:tr>
          </w:tbl>
          <w:p>
            <w:pPr>
              <w:spacing w:line="360" w:lineRule="auto"/>
              <w:ind w:firstLine="0" w:firstLineChars="0"/>
              <w:rPr>
                <w:b/>
                <w:sz w:val="28"/>
              </w:rPr>
            </w:pPr>
            <w:r>
              <w:rPr>
                <w:rFonts w:hint="eastAsia"/>
                <w:b/>
                <w:sz w:val="28"/>
              </w:rPr>
              <w:t>2、地表水环境影响分析</w:t>
            </w:r>
          </w:p>
          <w:p>
            <w:pPr>
              <w:spacing w:line="360" w:lineRule="auto"/>
              <w:ind w:firstLine="480"/>
            </w:pPr>
            <w:r>
              <w:rPr>
                <w:rFonts w:hint="eastAsia"/>
              </w:rPr>
              <w:t>本项目矿区开采不涉及生产工艺用水，矿区开采过程中喷雾洒水抑尘用水均自然蒸发；本项目表土临时堆置场设置在露天采矿区范围内，则本次将堆场淋滤废水纳入露天采场初期雨水一并考虑。</w:t>
            </w:r>
          </w:p>
          <w:p>
            <w:pPr>
              <w:spacing w:line="360" w:lineRule="auto"/>
              <w:ind w:firstLine="480"/>
            </w:pPr>
            <w:r>
              <w:rPr>
                <w:rFonts w:hint="eastAsia"/>
              </w:rPr>
              <w:t>因此，本项目运营期产生的废水主要为员工生活污水、洗砂废水、运输车辆冲洗废水以及初期雨水。</w:t>
            </w:r>
          </w:p>
          <w:p>
            <w:pPr>
              <w:spacing w:line="360" w:lineRule="auto"/>
              <w:ind w:firstLine="480"/>
            </w:pPr>
            <w:r>
              <w:rPr>
                <w:rFonts w:hint="eastAsia"/>
              </w:rPr>
              <w:t>根据前文公用工程计算：</w:t>
            </w:r>
          </w:p>
          <w:p>
            <w:pPr>
              <w:spacing w:line="360" w:lineRule="auto"/>
              <w:ind w:firstLine="480"/>
              <w:rPr>
                <w:u w:val="single"/>
              </w:rPr>
            </w:pPr>
            <w:r>
              <w:rPr>
                <w:rFonts w:hint="eastAsia" w:ascii="宋体" w:hAnsi="宋体" w:cs="宋体"/>
                <w:u w:val="single"/>
              </w:rPr>
              <w:t>①</w:t>
            </w:r>
            <w:r>
              <w:rPr>
                <w:rFonts w:hint="eastAsia"/>
                <w:u w:val="single"/>
              </w:rPr>
              <w:t>员工生活污水产生量为</w:t>
            </w:r>
            <w:r>
              <w:rPr>
                <w:u w:val="single"/>
              </w:rPr>
              <w:t>3.36m</w:t>
            </w:r>
            <w:r>
              <w:rPr>
                <w:u w:val="single"/>
                <w:vertAlign w:val="superscript"/>
              </w:rPr>
              <w:t>3</w:t>
            </w:r>
            <w:r>
              <w:rPr>
                <w:u w:val="single"/>
              </w:rPr>
              <w:t>/d</w:t>
            </w:r>
            <w:r>
              <w:rPr>
                <w:rFonts w:hint="eastAsia"/>
                <w:u w:val="single"/>
              </w:rPr>
              <w:t>（</w:t>
            </w:r>
            <w:r>
              <w:rPr>
                <w:u w:val="single"/>
              </w:rPr>
              <w:t>1008</w:t>
            </w:r>
            <w:r>
              <w:rPr>
                <w:rFonts w:hint="eastAsia"/>
                <w:u w:val="single"/>
              </w:rPr>
              <w:t>m</w:t>
            </w:r>
            <w:r>
              <w:rPr>
                <w:u w:val="single"/>
                <w:vertAlign w:val="superscript"/>
              </w:rPr>
              <w:t>3</w:t>
            </w:r>
            <w:r>
              <w:rPr>
                <w:u w:val="single"/>
              </w:rPr>
              <w:t>/a</w:t>
            </w:r>
            <w:r>
              <w:rPr>
                <w:rFonts w:hint="eastAsia"/>
                <w:u w:val="single"/>
              </w:rPr>
              <w:t>），经隔油池、化粪池处理后用于矿区绿化、周边林地、菜地等施肥。</w:t>
            </w:r>
          </w:p>
          <w:p>
            <w:pPr>
              <w:spacing w:line="360" w:lineRule="auto"/>
              <w:ind w:firstLine="480"/>
              <w:rPr>
                <w:u w:val="single"/>
              </w:rPr>
            </w:pPr>
            <w:r>
              <w:rPr>
                <w:rFonts w:hint="eastAsia"/>
                <w:u w:val="single"/>
              </w:rPr>
              <w:t>②洗砂废水产生量为1329.66</w:t>
            </w:r>
            <w:r>
              <w:rPr>
                <w:rFonts w:hint="eastAsia"/>
                <w:color w:val="000000"/>
                <w:u w:val="single"/>
              </w:rPr>
              <w:t>m</w:t>
            </w:r>
            <w:r>
              <w:rPr>
                <w:color w:val="000000"/>
                <w:u w:val="single"/>
                <w:vertAlign w:val="superscript"/>
              </w:rPr>
              <w:t>3</w:t>
            </w:r>
            <w:r>
              <w:rPr>
                <w:color w:val="000000"/>
                <w:u w:val="single"/>
              </w:rPr>
              <w:t>/</w:t>
            </w:r>
            <w:r>
              <w:rPr>
                <w:rFonts w:hint="eastAsia"/>
                <w:color w:val="000000"/>
                <w:u w:val="single"/>
              </w:rPr>
              <w:t>d（398898m</w:t>
            </w:r>
            <w:r>
              <w:rPr>
                <w:color w:val="000000"/>
                <w:u w:val="single"/>
                <w:vertAlign w:val="superscript"/>
              </w:rPr>
              <w:t>3</w:t>
            </w:r>
            <w:r>
              <w:rPr>
                <w:color w:val="000000"/>
                <w:u w:val="single"/>
              </w:rPr>
              <w:t>/</w:t>
            </w:r>
            <w:r>
              <w:rPr>
                <w:rFonts w:hint="eastAsia"/>
                <w:color w:val="000000"/>
                <w:u w:val="single"/>
              </w:rPr>
              <w:t>a），</w:t>
            </w:r>
            <w:r>
              <w:rPr>
                <w:rFonts w:hint="eastAsia"/>
                <w:u w:val="single"/>
              </w:rPr>
              <w:t>经处理后（浓缩罐+清水罐+二级沉淀回用水池）回用于洗砂工序，不外排。</w:t>
            </w:r>
          </w:p>
          <w:p>
            <w:pPr>
              <w:spacing w:line="360" w:lineRule="auto"/>
              <w:ind w:firstLine="480"/>
              <w:rPr>
                <w:u w:val="single"/>
              </w:rPr>
            </w:pPr>
            <w:r>
              <w:rPr>
                <w:rFonts w:hint="eastAsia" w:ascii="宋体" w:hAnsi="宋体" w:cs="宋体"/>
                <w:u w:val="single"/>
              </w:rPr>
              <w:t>③</w:t>
            </w:r>
            <w:r>
              <w:rPr>
                <w:rFonts w:hint="eastAsia" w:ascii="宋体" w:hAnsi="宋体"/>
                <w:u w:val="single"/>
              </w:rPr>
              <w:t>运输车辆冲洗废水</w:t>
            </w:r>
            <w:r>
              <w:rPr>
                <w:rFonts w:hint="eastAsia"/>
                <w:u w:val="single"/>
              </w:rPr>
              <w:t>产生量为</w:t>
            </w:r>
            <w:r>
              <w:rPr>
                <w:u w:val="single"/>
              </w:rPr>
              <w:t>2.7</w:t>
            </w:r>
            <w:r>
              <w:rPr>
                <w:rFonts w:hint="eastAsia"/>
                <w:u w:val="single"/>
              </w:rPr>
              <w:t>m</w:t>
            </w:r>
            <w:r>
              <w:rPr>
                <w:u w:val="single"/>
                <w:vertAlign w:val="superscript"/>
              </w:rPr>
              <w:t>3</w:t>
            </w:r>
            <w:r>
              <w:rPr>
                <w:u w:val="single"/>
              </w:rPr>
              <w:t>/</w:t>
            </w:r>
            <w:r>
              <w:rPr>
                <w:rFonts w:hint="eastAsia"/>
                <w:u w:val="single"/>
              </w:rPr>
              <w:t>d（</w:t>
            </w:r>
            <w:r>
              <w:rPr>
                <w:u w:val="single"/>
              </w:rPr>
              <w:t>810</w:t>
            </w:r>
            <w:r>
              <w:rPr>
                <w:rFonts w:hint="eastAsia"/>
                <w:u w:val="single"/>
              </w:rPr>
              <w:t>m</w:t>
            </w:r>
            <w:r>
              <w:rPr>
                <w:u w:val="single"/>
                <w:vertAlign w:val="superscript"/>
              </w:rPr>
              <w:t>3</w:t>
            </w:r>
            <w:r>
              <w:rPr>
                <w:u w:val="single"/>
              </w:rPr>
              <w:t>/</w:t>
            </w:r>
            <w:r>
              <w:rPr>
                <w:rFonts w:hint="eastAsia"/>
                <w:u w:val="single"/>
              </w:rPr>
              <w:t>a），经三级沉淀池（拟设置约10m</w:t>
            </w:r>
            <w:r>
              <w:rPr>
                <w:rFonts w:hint="eastAsia"/>
                <w:u w:val="single"/>
                <w:vertAlign w:val="superscript"/>
              </w:rPr>
              <w:t>3</w:t>
            </w:r>
            <w:r>
              <w:rPr>
                <w:rFonts w:hint="eastAsia"/>
                <w:u w:val="single"/>
              </w:rPr>
              <w:t>）沉淀后回用于车辆冲洗，不外排。</w:t>
            </w:r>
          </w:p>
          <w:p>
            <w:pPr>
              <w:spacing w:line="360" w:lineRule="auto"/>
              <w:ind w:firstLine="480"/>
              <w:rPr>
                <w:u w:val="single"/>
              </w:rPr>
            </w:pPr>
            <w:r>
              <w:rPr>
                <w:rFonts w:hint="eastAsia"/>
                <w:u w:val="single"/>
              </w:rPr>
              <w:t>④初期雨水量约为8012.8</w:t>
            </w:r>
            <w:r>
              <w:rPr>
                <w:u w:val="single"/>
              </w:rPr>
              <w:t>m</w:t>
            </w:r>
            <w:r>
              <w:rPr>
                <w:u w:val="single"/>
                <w:vertAlign w:val="superscript"/>
              </w:rPr>
              <w:t>3</w:t>
            </w:r>
            <w:r>
              <w:rPr>
                <w:u w:val="single"/>
              </w:rPr>
              <w:t>/a</w:t>
            </w:r>
            <w:r>
              <w:rPr>
                <w:rFonts w:hint="eastAsia"/>
                <w:u w:val="single"/>
              </w:rPr>
              <w:t>，拟在矿区边界设置约2544m排水沟和6处沉砂池（每处沉砂池至少80m</w:t>
            </w:r>
            <w:r>
              <w:rPr>
                <w:rFonts w:hint="eastAsia"/>
                <w:u w:val="single"/>
                <w:vertAlign w:val="superscript"/>
              </w:rPr>
              <w:t>3</w:t>
            </w:r>
            <w:r>
              <w:rPr>
                <w:rFonts w:hint="eastAsia"/>
                <w:u w:val="single"/>
              </w:rPr>
              <w:t>），经充分沉淀用于矿区地面降尘。</w:t>
            </w:r>
          </w:p>
          <w:p>
            <w:pPr>
              <w:spacing w:line="360" w:lineRule="auto"/>
              <w:ind w:firstLine="0" w:firstLineChars="0"/>
              <w:rPr>
                <w:b/>
                <w:sz w:val="28"/>
              </w:rPr>
            </w:pPr>
            <w:r>
              <w:rPr>
                <w:rFonts w:hint="eastAsia"/>
                <w:b/>
                <w:sz w:val="28"/>
              </w:rPr>
              <w:t>3、噪声环境影响分析</w:t>
            </w:r>
          </w:p>
          <w:p>
            <w:pPr>
              <w:spacing w:line="360" w:lineRule="auto"/>
              <w:ind w:firstLine="0" w:firstLineChars="0"/>
              <w:rPr>
                <w:b/>
              </w:rPr>
            </w:pPr>
            <w:r>
              <w:rPr>
                <w:rFonts w:hint="eastAsia"/>
                <w:b/>
              </w:rPr>
              <w:t>3</w:t>
            </w:r>
            <w:r>
              <w:rPr>
                <w:b/>
              </w:rPr>
              <w:t>.1</w:t>
            </w:r>
            <w:r>
              <w:rPr>
                <w:rFonts w:hint="eastAsia"/>
                <w:b/>
              </w:rPr>
              <w:t>设备噪声</w:t>
            </w:r>
          </w:p>
          <w:p>
            <w:pPr>
              <w:spacing w:line="360" w:lineRule="auto"/>
              <w:ind w:firstLine="480"/>
            </w:pPr>
            <w:r>
              <w:rPr>
                <w:rFonts w:hint="eastAsia"/>
              </w:rPr>
              <w:t>（1）噪声源强</w:t>
            </w:r>
          </w:p>
          <w:p>
            <w:pPr>
              <w:spacing w:line="360" w:lineRule="auto"/>
              <w:ind w:firstLine="480"/>
            </w:pPr>
            <w:r>
              <w:rPr>
                <w:rFonts w:hint="eastAsia"/>
              </w:rPr>
              <w:t>本项目主要噪声源为生产过程中设备发出噪音（由于项目喷淋设施声压级较低，本次预测不考虑其噪声影响，主要针对厂区高噪声设备进行影响预测），通过减振、隔声等措施可把噪声源极大的降低，并配合矿区绿化隔声等。本项目主要高噪声设备源强情况见下表。</w:t>
            </w:r>
          </w:p>
          <w:p>
            <w:pPr>
              <w:pStyle w:val="2"/>
              <w:spacing w:line="360" w:lineRule="auto"/>
              <w:rPr>
                <w:b w:val="0"/>
              </w:rPr>
            </w:pPr>
            <w:r>
              <w:rPr>
                <w:rFonts w:hint="eastAsia"/>
                <w:b w:val="0"/>
              </w:rPr>
              <w:t>表4</w:t>
            </w:r>
            <w:r>
              <w:rPr>
                <w:b w:val="0"/>
              </w:rPr>
              <w:t xml:space="preserve">-4 </w:t>
            </w:r>
            <w:r>
              <w:rPr>
                <w:rFonts w:hint="eastAsia"/>
                <w:b w:val="0"/>
              </w:rPr>
              <w:t>主要高噪声源及源强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851"/>
              <w:gridCol w:w="2401"/>
              <w:gridCol w:w="2191"/>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rPr>
                      <w:rFonts w:hint="eastAsia"/>
                    </w:rPr>
                    <w:t>序号</w:t>
                  </w:r>
                </w:p>
              </w:tc>
              <w:tc>
                <w:tcPr>
                  <w:tcW w:w="851" w:type="dxa"/>
                  <w:vAlign w:val="center"/>
                </w:tcPr>
                <w:p>
                  <w:pPr>
                    <w:pStyle w:val="13"/>
                  </w:pPr>
                  <w:r>
                    <w:rPr>
                      <w:rFonts w:hint="eastAsia"/>
                    </w:rPr>
                    <w:t>位置</w:t>
                  </w:r>
                </w:p>
              </w:tc>
              <w:tc>
                <w:tcPr>
                  <w:tcW w:w="2401" w:type="dxa"/>
                  <w:vAlign w:val="center"/>
                </w:tcPr>
                <w:p>
                  <w:pPr>
                    <w:pStyle w:val="13"/>
                  </w:pPr>
                  <w:r>
                    <w:rPr>
                      <w:rFonts w:hint="eastAsia"/>
                    </w:rPr>
                    <w:t>设备名称</w:t>
                  </w:r>
                </w:p>
              </w:tc>
              <w:tc>
                <w:tcPr>
                  <w:tcW w:w="2191" w:type="dxa"/>
                  <w:vAlign w:val="center"/>
                </w:tcPr>
                <w:p>
                  <w:pPr>
                    <w:pStyle w:val="13"/>
                  </w:pPr>
                  <w:r>
                    <w:rPr>
                      <w:rFonts w:hint="eastAsia"/>
                    </w:rPr>
                    <w:t>声压级</w:t>
                  </w:r>
                </w:p>
                <w:p>
                  <w:pPr>
                    <w:pStyle w:val="13"/>
                  </w:pPr>
                  <w:r>
                    <w:rPr>
                      <w:rFonts w:hint="eastAsia"/>
                    </w:rPr>
                    <w:t>（距离声源1</w:t>
                  </w:r>
                  <w:r>
                    <w:t>m</w:t>
                  </w:r>
                  <w:r>
                    <w:rPr>
                      <w:rFonts w:hint="eastAsia"/>
                    </w:rPr>
                    <w:t>处）</w:t>
                  </w:r>
                </w:p>
              </w:tc>
              <w:tc>
                <w:tcPr>
                  <w:tcW w:w="1546" w:type="dxa"/>
                  <w:vAlign w:val="center"/>
                </w:tcPr>
                <w:p>
                  <w:pPr>
                    <w:pStyle w:val="13"/>
                  </w:pPr>
                  <w:r>
                    <w:rPr>
                      <w:rFonts w:hint="eastAsia"/>
                    </w:rPr>
                    <w:t>数量</w:t>
                  </w:r>
                </w:p>
                <w:p>
                  <w:pPr>
                    <w:pStyle w:val="13"/>
                  </w:pPr>
                  <w:r>
                    <w:rPr>
                      <w:rFonts w:hint="eastAsia"/>
                    </w:rPr>
                    <w:t>（台/辆/套）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40" w:type="dxa"/>
                  <w:vAlign w:val="center"/>
                </w:tcPr>
                <w:p>
                  <w:pPr>
                    <w:pStyle w:val="13"/>
                  </w:pPr>
                  <w:r>
                    <w:rPr>
                      <w:rFonts w:hint="eastAsia"/>
                    </w:rPr>
                    <w:t>1</w:t>
                  </w:r>
                </w:p>
              </w:tc>
              <w:tc>
                <w:tcPr>
                  <w:tcW w:w="851" w:type="dxa"/>
                  <w:vMerge w:val="restart"/>
                  <w:vAlign w:val="center"/>
                </w:tcPr>
                <w:p>
                  <w:pPr>
                    <w:pStyle w:val="13"/>
                  </w:pPr>
                  <w:r>
                    <w:rPr>
                      <w:rFonts w:hint="eastAsia"/>
                    </w:rPr>
                    <w:t>矿区</w:t>
                  </w:r>
                </w:p>
              </w:tc>
              <w:tc>
                <w:tcPr>
                  <w:tcW w:w="2401" w:type="dxa"/>
                  <w:vAlign w:val="center"/>
                </w:tcPr>
                <w:p>
                  <w:pPr>
                    <w:pStyle w:val="13"/>
                  </w:pPr>
                  <w:r>
                    <w:rPr>
                      <w:rFonts w:hint="eastAsia"/>
                    </w:rPr>
                    <w:t>挖掘机</w:t>
                  </w:r>
                </w:p>
              </w:tc>
              <w:tc>
                <w:tcPr>
                  <w:tcW w:w="2191" w:type="dxa"/>
                  <w:vAlign w:val="center"/>
                </w:tcPr>
                <w:p>
                  <w:pPr>
                    <w:pStyle w:val="13"/>
                  </w:pPr>
                  <w:r>
                    <w:rPr>
                      <w:rFonts w:hint="eastAsia"/>
                    </w:rPr>
                    <w:t>9</w:t>
                  </w:r>
                  <w:r>
                    <w:t>6</w:t>
                  </w:r>
                </w:p>
              </w:tc>
              <w:tc>
                <w:tcPr>
                  <w:tcW w:w="1546" w:type="dxa"/>
                  <w:vAlign w:val="center"/>
                </w:tcPr>
                <w:p>
                  <w:pPr>
                    <w:pStyle w:val="13"/>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rPr>
                      <w:rFonts w:hint="eastAsia"/>
                    </w:rPr>
                    <w:t>2</w:t>
                  </w:r>
                </w:p>
              </w:tc>
              <w:tc>
                <w:tcPr>
                  <w:tcW w:w="851" w:type="dxa"/>
                  <w:vMerge w:val="continue"/>
                  <w:vAlign w:val="center"/>
                </w:tcPr>
                <w:p>
                  <w:pPr>
                    <w:pStyle w:val="13"/>
                  </w:pPr>
                </w:p>
              </w:tc>
              <w:tc>
                <w:tcPr>
                  <w:tcW w:w="2401" w:type="dxa"/>
                  <w:vAlign w:val="center"/>
                </w:tcPr>
                <w:p>
                  <w:pPr>
                    <w:pStyle w:val="13"/>
                  </w:pPr>
                  <w:r>
                    <w:rPr>
                      <w:rFonts w:hint="eastAsia"/>
                    </w:rPr>
                    <w:t>自卸车</w:t>
                  </w:r>
                </w:p>
              </w:tc>
              <w:tc>
                <w:tcPr>
                  <w:tcW w:w="2191" w:type="dxa"/>
                  <w:vAlign w:val="center"/>
                </w:tcPr>
                <w:p>
                  <w:pPr>
                    <w:pStyle w:val="13"/>
                  </w:pPr>
                  <w:r>
                    <w:rPr>
                      <w:rFonts w:hint="eastAsia"/>
                    </w:rPr>
                    <w:t>8</w:t>
                  </w:r>
                  <w:r>
                    <w:t>0</w:t>
                  </w:r>
                </w:p>
              </w:tc>
              <w:tc>
                <w:tcPr>
                  <w:tcW w:w="1546" w:type="dxa"/>
                  <w:vAlign w:val="center"/>
                </w:tcPr>
                <w:p>
                  <w:pPr>
                    <w:pStyle w:val="13"/>
                  </w:pPr>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t>3</w:t>
                  </w:r>
                </w:p>
              </w:tc>
              <w:tc>
                <w:tcPr>
                  <w:tcW w:w="851" w:type="dxa"/>
                  <w:vMerge w:val="continue"/>
                  <w:vAlign w:val="center"/>
                </w:tcPr>
                <w:p>
                  <w:pPr>
                    <w:pStyle w:val="13"/>
                  </w:pPr>
                </w:p>
              </w:tc>
              <w:tc>
                <w:tcPr>
                  <w:tcW w:w="2401" w:type="dxa"/>
                  <w:vAlign w:val="center"/>
                </w:tcPr>
                <w:p>
                  <w:pPr>
                    <w:pStyle w:val="13"/>
                  </w:pPr>
                  <w:r>
                    <w:rPr>
                      <w:rFonts w:hint="eastAsia"/>
                    </w:rPr>
                    <w:t>皮带运输系统</w:t>
                  </w:r>
                </w:p>
              </w:tc>
              <w:tc>
                <w:tcPr>
                  <w:tcW w:w="2191" w:type="dxa"/>
                  <w:vAlign w:val="center"/>
                </w:tcPr>
                <w:p>
                  <w:pPr>
                    <w:pStyle w:val="13"/>
                  </w:pPr>
                  <w:r>
                    <w:rPr>
                      <w:rFonts w:hint="eastAsia"/>
                    </w:rPr>
                    <w:t>7</w:t>
                  </w:r>
                  <w:r>
                    <w:t>5</w:t>
                  </w:r>
                </w:p>
              </w:tc>
              <w:tc>
                <w:tcPr>
                  <w:tcW w:w="1546" w:type="dxa"/>
                  <w:vAlign w:val="center"/>
                </w:tcPr>
                <w:p>
                  <w:pPr>
                    <w:pStyle w:val="13"/>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t>4</w:t>
                  </w:r>
                </w:p>
              </w:tc>
              <w:tc>
                <w:tcPr>
                  <w:tcW w:w="851" w:type="dxa"/>
                  <w:vMerge w:val="continue"/>
                  <w:vAlign w:val="center"/>
                </w:tcPr>
                <w:p>
                  <w:pPr>
                    <w:pStyle w:val="13"/>
                  </w:pPr>
                </w:p>
              </w:tc>
              <w:tc>
                <w:tcPr>
                  <w:tcW w:w="2401" w:type="dxa"/>
                  <w:vAlign w:val="center"/>
                </w:tcPr>
                <w:p>
                  <w:pPr>
                    <w:pStyle w:val="13"/>
                  </w:pPr>
                  <w:r>
                    <w:rPr>
                      <w:rFonts w:hint="eastAsia"/>
                    </w:rPr>
                    <w:t>洒水车</w:t>
                  </w:r>
                </w:p>
              </w:tc>
              <w:tc>
                <w:tcPr>
                  <w:tcW w:w="2191" w:type="dxa"/>
                  <w:vAlign w:val="center"/>
                </w:tcPr>
                <w:p>
                  <w:pPr>
                    <w:pStyle w:val="13"/>
                  </w:pPr>
                  <w:r>
                    <w:rPr>
                      <w:rFonts w:hint="eastAsia"/>
                    </w:rPr>
                    <w:t>70</w:t>
                  </w:r>
                </w:p>
              </w:tc>
              <w:tc>
                <w:tcPr>
                  <w:tcW w:w="1546" w:type="dxa"/>
                  <w:vAlign w:val="center"/>
                </w:tcPr>
                <w:p>
                  <w:pPr>
                    <w:pStyle w:val="13"/>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rPr>
                      <w:rFonts w:hint="eastAsia"/>
                    </w:rPr>
                    <w:t>5</w:t>
                  </w:r>
                </w:p>
              </w:tc>
              <w:tc>
                <w:tcPr>
                  <w:tcW w:w="851" w:type="dxa"/>
                  <w:vMerge w:val="restart"/>
                  <w:vAlign w:val="center"/>
                </w:tcPr>
                <w:p>
                  <w:pPr>
                    <w:pStyle w:val="13"/>
                  </w:pPr>
                  <w:r>
                    <w:rPr>
                      <w:rFonts w:hint="eastAsia"/>
                    </w:rPr>
                    <w:t>工业场区</w:t>
                  </w:r>
                </w:p>
              </w:tc>
              <w:tc>
                <w:tcPr>
                  <w:tcW w:w="2401" w:type="dxa"/>
                  <w:vAlign w:val="center"/>
                </w:tcPr>
                <w:p>
                  <w:pPr>
                    <w:pStyle w:val="13"/>
                  </w:pPr>
                  <w:r>
                    <w:rPr>
                      <w:rFonts w:hint="eastAsia"/>
                    </w:rPr>
                    <w:t>多缸液压圆锥破碎机</w:t>
                  </w:r>
                </w:p>
              </w:tc>
              <w:tc>
                <w:tcPr>
                  <w:tcW w:w="2191" w:type="dxa"/>
                  <w:vAlign w:val="center"/>
                </w:tcPr>
                <w:p>
                  <w:pPr>
                    <w:pStyle w:val="13"/>
                  </w:pPr>
                  <w:r>
                    <w:t>90</w:t>
                  </w:r>
                </w:p>
              </w:tc>
              <w:tc>
                <w:tcPr>
                  <w:tcW w:w="1546" w:type="dxa"/>
                  <w:vAlign w:val="center"/>
                </w:tcPr>
                <w:p>
                  <w:pPr>
                    <w:pStyle w:val="13"/>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rPr>
                      <w:rFonts w:hint="eastAsia"/>
                    </w:rPr>
                    <w:t>6</w:t>
                  </w:r>
                </w:p>
              </w:tc>
              <w:tc>
                <w:tcPr>
                  <w:tcW w:w="851" w:type="dxa"/>
                  <w:vMerge w:val="continue"/>
                  <w:vAlign w:val="center"/>
                </w:tcPr>
                <w:p>
                  <w:pPr>
                    <w:pStyle w:val="13"/>
                  </w:pPr>
                </w:p>
              </w:tc>
              <w:tc>
                <w:tcPr>
                  <w:tcW w:w="2401" w:type="dxa"/>
                  <w:vAlign w:val="center"/>
                </w:tcPr>
                <w:p>
                  <w:pPr>
                    <w:pStyle w:val="13"/>
                  </w:pPr>
                  <w:r>
                    <w:rPr>
                      <w:rFonts w:hint="eastAsia"/>
                    </w:rPr>
                    <w:t>立轴冲击式破碎机</w:t>
                  </w:r>
                </w:p>
              </w:tc>
              <w:tc>
                <w:tcPr>
                  <w:tcW w:w="2191" w:type="dxa"/>
                  <w:vAlign w:val="center"/>
                </w:tcPr>
                <w:p>
                  <w:pPr>
                    <w:pStyle w:val="13"/>
                  </w:pPr>
                  <w:r>
                    <w:t>90</w:t>
                  </w:r>
                </w:p>
              </w:tc>
              <w:tc>
                <w:tcPr>
                  <w:tcW w:w="1546" w:type="dxa"/>
                  <w:vAlign w:val="center"/>
                </w:tcPr>
                <w:p>
                  <w:pPr>
                    <w:pStyle w:val="13"/>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rPr>
                      <w:rFonts w:hint="eastAsia"/>
                    </w:rPr>
                    <w:t>7</w:t>
                  </w:r>
                </w:p>
              </w:tc>
              <w:tc>
                <w:tcPr>
                  <w:tcW w:w="851" w:type="dxa"/>
                  <w:vMerge w:val="continue"/>
                  <w:vAlign w:val="center"/>
                </w:tcPr>
                <w:p>
                  <w:pPr>
                    <w:pStyle w:val="13"/>
                  </w:pPr>
                </w:p>
              </w:tc>
              <w:tc>
                <w:tcPr>
                  <w:tcW w:w="2401" w:type="dxa"/>
                  <w:vAlign w:val="center"/>
                </w:tcPr>
                <w:p>
                  <w:pPr>
                    <w:pStyle w:val="13"/>
                    <w:rPr>
                      <w:u w:val="single"/>
                    </w:rPr>
                  </w:pPr>
                  <w:r>
                    <w:rPr>
                      <w:rFonts w:hint="eastAsia"/>
                      <w:u w:val="single"/>
                    </w:rPr>
                    <w:t>振动筛</w:t>
                  </w:r>
                </w:p>
              </w:tc>
              <w:tc>
                <w:tcPr>
                  <w:tcW w:w="2191" w:type="dxa"/>
                  <w:vAlign w:val="center"/>
                </w:tcPr>
                <w:p>
                  <w:pPr>
                    <w:pStyle w:val="13"/>
                    <w:rPr>
                      <w:u w:val="single"/>
                    </w:rPr>
                  </w:pPr>
                  <w:r>
                    <w:rPr>
                      <w:rFonts w:hint="eastAsia"/>
                      <w:u w:val="single"/>
                    </w:rPr>
                    <w:t>90</w:t>
                  </w:r>
                </w:p>
              </w:tc>
              <w:tc>
                <w:tcPr>
                  <w:tcW w:w="1546" w:type="dxa"/>
                  <w:vAlign w:val="center"/>
                </w:tcPr>
                <w:p>
                  <w:pPr>
                    <w:pStyle w:val="13"/>
                    <w:rPr>
                      <w:u w:val="single"/>
                    </w:rPr>
                  </w:pPr>
                  <w:r>
                    <w:rPr>
                      <w:rFonts w:hint="eastAsia"/>
                      <w:u w:val="singl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rPr>
                      <w:rFonts w:hint="eastAsia"/>
                    </w:rPr>
                    <w:t>8</w:t>
                  </w:r>
                </w:p>
              </w:tc>
              <w:tc>
                <w:tcPr>
                  <w:tcW w:w="851" w:type="dxa"/>
                  <w:vMerge w:val="continue"/>
                  <w:vAlign w:val="center"/>
                </w:tcPr>
                <w:p>
                  <w:pPr>
                    <w:pStyle w:val="13"/>
                  </w:pPr>
                </w:p>
              </w:tc>
              <w:tc>
                <w:tcPr>
                  <w:tcW w:w="2401" w:type="dxa"/>
                  <w:vAlign w:val="center"/>
                </w:tcPr>
                <w:p>
                  <w:pPr>
                    <w:pStyle w:val="13"/>
                  </w:pPr>
                  <w:r>
                    <w:rPr>
                      <w:rFonts w:hint="eastAsia"/>
                    </w:rPr>
                    <w:t>给料机</w:t>
                  </w:r>
                </w:p>
              </w:tc>
              <w:tc>
                <w:tcPr>
                  <w:tcW w:w="2191" w:type="dxa"/>
                  <w:vAlign w:val="center"/>
                </w:tcPr>
                <w:p>
                  <w:pPr>
                    <w:pStyle w:val="13"/>
                  </w:pPr>
                  <w:r>
                    <w:rPr>
                      <w:rFonts w:hint="eastAsia"/>
                    </w:rPr>
                    <w:t>8</w:t>
                  </w:r>
                  <w:r>
                    <w:t>0</w:t>
                  </w:r>
                </w:p>
              </w:tc>
              <w:tc>
                <w:tcPr>
                  <w:tcW w:w="1546" w:type="dxa"/>
                  <w:vAlign w:val="center"/>
                </w:tcPr>
                <w:p>
                  <w:pPr>
                    <w:pStyle w:val="13"/>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rPr>
                      <w:rFonts w:hint="eastAsia"/>
                    </w:rPr>
                    <w:t>9</w:t>
                  </w:r>
                </w:p>
              </w:tc>
              <w:tc>
                <w:tcPr>
                  <w:tcW w:w="851" w:type="dxa"/>
                  <w:vMerge w:val="continue"/>
                  <w:vAlign w:val="center"/>
                </w:tcPr>
                <w:p>
                  <w:pPr>
                    <w:pStyle w:val="13"/>
                  </w:pPr>
                </w:p>
              </w:tc>
              <w:tc>
                <w:tcPr>
                  <w:tcW w:w="2401" w:type="dxa"/>
                  <w:vAlign w:val="center"/>
                </w:tcPr>
                <w:p>
                  <w:pPr>
                    <w:pStyle w:val="13"/>
                  </w:pPr>
                  <w:r>
                    <w:rPr>
                      <w:rFonts w:hint="eastAsia"/>
                    </w:rPr>
                    <w:t>洗砂回收一体机</w:t>
                  </w:r>
                </w:p>
              </w:tc>
              <w:tc>
                <w:tcPr>
                  <w:tcW w:w="2191" w:type="dxa"/>
                  <w:vAlign w:val="center"/>
                </w:tcPr>
                <w:p>
                  <w:pPr>
                    <w:pStyle w:val="13"/>
                  </w:pPr>
                  <w:r>
                    <w:rPr>
                      <w:rFonts w:hint="eastAsia"/>
                    </w:rPr>
                    <w:t>8</w:t>
                  </w:r>
                  <w:r>
                    <w:t>0</w:t>
                  </w:r>
                </w:p>
              </w:tc>
              <w:tc>
                <w:tcPr>
                  <w:tcW w:w="1546" w:type="dxa"/>
                  <w:vAlign w:val="center"/>
                </w:tcPr>
                <w:p>
                  <w:pPr>
                    <w:pStyle w:val="13"/>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40" w:type="dxa"/>
                  <w:vAlign w:val="center"/>
                </w:tcPr>
                <w:p>
                  <w:pPr>
                    <w:pStyle w:val="13"/>
                  </w:pPr>
                  <w:r>
                    <w:rPr>
                      <w:rFonts w:hint="eastAsia"/>
                    </w:rPr>
                    <w:t>10</w:t>
                  </w:r>
                </w:p>
              </w:tc>
              <w:tc>
                <w:tcPr>
                  <w:tcW w:w="851" w:type="dxa"/>
                  <w:vMerge w:val="continue"/>
                  <w:vAlign w:val="center"/>
                </w:tcPr>
                <w:p>
                  <w:pPr>
                    <w:pStyle w:val="13"/>
                  </w:pPr>
                </w:p>
              </w:tc>
              <w:tc>
                <w:tcPr>
                  <w:tcW w:w="2401" w:type="dxa"/>
                  <w:vAlign w:val="center"/>
                </w:tcPr>
                <w:p>
                  <w:pPr>
                    <w:pStyle w:val="13"/>
                  </w:pPr>
                  <w:r>
                    <w:rPr>
                      <w:rFonts w:hint="eastAsia"/>
                    </w:rPr>
                    <w:t>双螺旋洗砂机</w:t>
                  </w:r>
                </w:p>
              </w:tc>
              <w:tc>
                <w:tcPr>
                  <w:tcW w:w="2191" w:type="dxa"/>
                  <w:vAlign w:val="center"/>
                </w:tcPr>
                <w:p>
                  <w:pPr>
                    <w:pStyle w:val="13"/>
                  </w:pPr>
                  <w:r>
                    <w:rPr>
                      <w:rFonts w:hint="eastAsia"/>
                    </w:rPr>
                    <w:t>8</w:t>
                  </w:r>
                  <w:r>
                    <w:t>0</w:t>
                  </w:r>
                </w:p>
              </w:tc>
              <w:tc>
                <w:tcPr>
                  <w:tcW w:w="1546" w:type="dxa"/>
                  <w:vAlign w:val="center"/>
                </w:tcPr>
                <w:p>
                  <w:pPr>
                    <w:pStyle w:val="13"/>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0" w:type="dxa"/>
                  <w:vAlign w:val="center"/>
                </w:tcPr>
                <w:p>
                  <w:pPr>
                    <w:pStyle w:val="13"/>
                  </w:pPr>
                  <w:r>
                    <w:rPr>
                      <w:rFonts w:hint="eastAsia"/>
                    </w:rPr>
                    <w:t>11</w:t>
                  </w:r>
                </w:p>
              </w:tc>
              <w:tc>
                <w:tcPr>
                  <w:tcW w:w="851" w:type="dxa"/>
                  <w:vMerge w:val="continue"/>
                  <w:vAlign w:val="center"/>
                </w:tcPr>
                <w:p>
                  <w:pPr>
                    <w:pStyle w:val="13"/>
                  </w:pPr>
                </w:p>
              </w:tc>
              <w:tc>
                <w:tcPr>
                  <w:tcW w:w="2401" w:type="dxa"/>
                  <w:vAlign w:val="center"/>
                </w:tcPr>
                <w:p>
                  <w:pPr>
                    <w:pStyle w:val="13"/>
                  </w:pPr>
                  <w:r>
                    <w:rPr>
                      <w:rFonts w:hint="eastAsia"/>
                    </w:rPr>
                    <w:t>皮带输送机</w:t>
                  </w:r>
                </w:p>
              </w:tc>
              <w:tc>
                <w:tcPr>
                  <w:tcW w:w="2191" w:type="dxa"/>
                  <w:vAlign w:val="center"/>
                </w:tcPr>
                <w:p>
                  <w:pPr>
                    <w:pStyle w:val="13"/>
                  </w:pPr>
                  <w:r>
                    <w:rPr>
                      <w:rFonts w:hint="eastAsia"/>
                    </w:rPr>
                    <w:t>7</w:t>
                  </w:r>
                  <w:r>
                    <w:t>5</w:t>
                  </w:r>
                </w:p>
              </w:tc>
              <w:tc>
                <w:tcPr>
                  <w:tcW w:w="1546" w:type="dxa"/>
                  <w:vAlign w:val="center"/>
                </w:tcPr>
                <w:p>
                  <w:pPr>
                    <w:pStyle w:val="13"/>
                  </w:pPr>
                  <w:r>
                    <w:rPr>
                      <w:rFonts w:hint="eastAsia"/>
                    </w:rPr>
                    <w:t>1</w:t>
                  </w: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40" w:type="dxa"/>
                  <w:vAlign w:val="center"/>
                </w:tcPr>
                <w:p>
                  <w:pPr>
                    <w:pStyle w:val="13"/>
                    <w:rPr>
                      <w:u w:val="single"/>
                    </w:rPr>
                  </w:pPr>
                  <w:r>
                    <w:rPr>
                      <w:rFonts w:hint="eastAsia"/>
                      <w:u w:val="single"/>
                    </w:rPr>
                    <w:t>12</w:t>
                  </w:r>
                </w:p>
              </w:tc>
              <w:tc>
                <w:tcPr>
                  <w:tcW w:w="851" w:type="dxa"/>
                  <w:vMerge w:val="continue"/>
                  <w:vAlign w:val="center"/>
                </w:tcPr>
                <w:p>
                  <w:pPr>
                    <w:pStyle w:val="13"/>
                  </w:pPr>
                </w:p>
              </w:tc>
              <w:tc>
                <w:tcPr>
                  <w:tcW w:w="2401" w:type="dxa"/>
                  <w:vAlign w:val="center"/>
                </w:tcPr>
                <w:p>
                  <w:pPr>
                    <w:pStyle w:val="13"/>
                    <w:rPr>
                      <w:u w:val="single"/>
                    </w:rPr>
                  </w:pPr>
                  <w:r>
                    <w:rPr>
                      <w:rFonts w:hint="eastAsia"/>
                      <w:u w:val="single"/>
                    </w:rPr>
                    <w:t>水泵</w:t>
                  </w:r>
                </w:p>
              </w:tc>
              <w:tc>
                <w:tcPr>
                  <w:tcW w:w="2191" w:type="dxa"/>
                  <w:vAlign w:val="center"/>
                </w:tcPr>
                <w:p>
                  <w:pPr>
                    <w:pStyle w:val="13"/>
                    <w:rPr>
                      <w:u w:val="single"/>
                    </w:rPr>
                  </w:pPr>
                  <w:r>
                    <w:rPr>
                      <w:rFonts w:hint="eastAsia"/>
                      <w:u w:val="single"/>
                    </w:rPr>
                    <w:t>85</w:t>
                  </w:r>
                </w:p>
              </w:tc>
              <w:tc>
                <w:tcPr>
                  <w:tcW w:w="1546" w:type="dxa"/>
                  <w:vAlign w:val="center"/>
                </w:tcPr>
                <w:p>
                  <w:pPr>
                    <w:pStyle w:val="13"/>
                    <w:rPr>
                      <w:u w:val="single"/>
                    </w:rPr>
                  </w:pPr>
                  <w:r>
                    <w:rPr>
                      <w:rFonts w:hint="eastAsia"/>
                      <w:u w:val="single"/>
                    </w:rPr>
                    <w:t>3</w:t>
                  </w:r>
                </w:p>
              </w:tc>
            </w:tr>
          </w:tbl>
          <w:p>
            <w:pPr>
              <w:tabs>
                <w:tab w:val="left" w:pos="840"/>
                <w:tab w:val="left" w:pos="5460"/>
                <w:tab w:val="left" w:pos="6697"/>
              </w:tabs>
              <w:spacing w:line="360" w:lineRule="auto"/>
              <w:ind w:firstLine="480"/>
            </w:pPr>
            <w:r>
              <w:rPr>
                <w:rFonts w:hint="eastAsia"/>
              </w:rPr>
              <w:t>（</w:t>
            </w:r>
            <w:r>
              <w:t>2</w:t>
            </w:r>
            <w:r>
              <w:rPr>
                <w:rFonts w:hint="eastAsia"/>
              </w:rPr>
              <w:t>）预测模式</w:t>
            </w:r>
          </w:p>
          <w:p>
            <w:pPr>
              <w:tabs>
                <w:tab w:val="left" w:pos="840"/>
                <w:tab w:val="left" w:pos="5460"/>
                <w:tab w:val="left" w:pos="6697"/>
              </w:tabs>
              <w:spacing w:line="360" w:lineRule="auto"/>
              <w:ind w:firstLine="480"/>
            </w:pPr>
            <w:r>
              <w:t>根据《环境影响评价技术导则 声环境》</w:t>
            </w:r>
            <w:r>
              <w:rPr>
                <w:rFonts w:hint="eastAsia"/>
              </w:rPr>
              <w:t>（</w:t>
            </w:r>
            <w:r>
              <w:t>HJ 2.4-20</w:t>
            </w:r>
            <w:r>
              <w:rPr>
                <w:rFonts w:hint="eastAsia"/>
              </w:rPr>
              <w:t>21）</w:t>
            </w:r>
            <w:r>
              <w:t>中的工业噪声预测</w:t>
            </w:r>
            <w:r>
              <w:rPr>
                <w:rFonts w:hint="eastAsia"/>
              </w:rPr>
              <w:t>计算</w:t>
            </w:r>
            <w:r>
              <w:t>模式对本项目噪声进行预测分析</w:t>
            </w:r>
            <w:r>
              <w:rPr>
                <w:rFonts w:hint="eastAsia"/>
              </w:rPr>
              <w:t>，涉及室内室外声源，计算公式如下：</w:t>
            </w:r>
          </w:p>
          <w:p>
            <w:pPr>
              <w:pStyle w:val="57"/>
              <w:ind w:firstLine="480"/>
              <w:rPr>
                <w:szCs w:val="24"/>
              </w:rPr>
            </w:pPr>
            <w:r>
              <w:rPr>
                <w:rFonts w:hint="eastAsia"/>
                <w:szCs w:val="24"/>
              </w:rPr>
              <w:t>①单个室外的点声源在预测点产生的声级计算公式</w:t>
            </w:r>
          </w:p>
          <w:p>
            <w:pPr>
              <w:pStyle w:val="57"/>
              <w:ind w:firstLine="480"/>
              <w:rPr>
                <w:szCs w:val="24"/>
              </w:rPr>
            </w:pPr>
            <w:r>
              <w:rPr>
                <w:rFonts w:hint="eastAsia"/>
                <w:szCs w:val="24"/>
              </w:rPr>
              <w:t>在不能取得声源倍频带声功率级或倍频带声压级，只能获得A声功率级或某点的A声级时，可按下式作近似计算：</w:t>
            </w:r>
          </w:p>
          <w:p>
            <w:pPr>
              <w:pStyle w:val="57"/>
              <w:ind w:firstLine="0" w:firstLineChars="0"/>
              <w:jc w:val="center"/>
            </w:pPr>
            <w:r>
              <w:pict>
                <v:shape id="_x0000_i1027" o:spt="75" type="#_x0000_t75" style="height:14.25pt;width:93.75pt;" filled="f" o:preferrelative="t" stroked="f" coordsize="21600,21600" equationxml="&lt;">
                  <v:path/>
                  <v:fill on="f" focussize="0,0"/>
                  <v:stroke on="f" joinstyle="miter"/>
                  <v:imagedata r:id="rId22" chromakey="#FFFFFF" o:title=""/>
                  <o:lock v:ext="edit" aspectratio="t"/>
                  <w10:wrap type="none"/>
                  <w10:anchorlock/>
                </v:shape>
              </w:pict>
            </w:r>
          </w:p>
          <w:p>
            <w:pPr>
              <w:pStyle w:val="57"/>
              <w:ind w:firstLine="0" w:firstLineChars="0"/>
              <w:jc w:val="center"/>
              <w:rPr>
                <w:szCs w:val="24"/>
              </w:rPr>
            </w:pPr>
            <w:r>
              <w:pict>
                <v:shape id="_x0000_i1028" o:spt="75" type="#_x0000_t75" style="height:14.25pt;width:165.75pt;" filled="f" o:preferrelative="t" stroked="f" coordsize="21600,21600" equationxml="&lt;">
                  <v:path/>
                  <v:fill on="f" focussize="0,0"/>
                  <v:stroke on="f" joinstyle="miter"/>
                  <v:imagedata r:id="rId23" chromakey="#FFFFFF" o:title=""/>
                  <o:lock v:ext="edit" aspectratio="t"/>
                  <w10:wrap type="none"/>
                  <w10:anchorlock/>
                </v:shape>
              </w:pict>
            </w:r>
          </w:p>
          <w:p>
            <w:pPr>
              <w:pStyle w:val="57"/>
              <w:ind w:firstLine="480"/>
              <w:rPr>
                <w:szCs w:val="24"/>
              </w:rPr>
            </w:pPr>
            <w:r>
              <w:rPr>
                <w:rFonts w:hint="eastAsia"/>
                <w:szCs w:val="24"/>
              </w:rPr>
              <w:t>式中：LA（r）——距离声源r处的A声级，dB（A）；</w:t>
            </w:r>
          </w:p>
          <w:p>
            <w:pPr>
              <w:pStyle w:val="57"/>
              <w:ind w:firstLine="1200" w:firstLineChars="500"/>
              <w:rPr>
                <w:szCs w:val="24"/>
              </w:rPr>
            </w:pPr>
            <w:r>
              <w:rPr>
                <w:rFonts w:hint="eastAsia"/>
                <w:szCs w:val="24"/>
              </w:rPr>
              <w:t>LA（r</w:t>
            </w:r>
            <w:r>
              <w:rPr>
                <w:rFonts w:hint="eastAsia"/>
                <w:szCs w:val="24"/>
                <w:vertAlign w:val="subscript"/>
              </w:rPr>
              <w:t>0</w:t>
            </w:r>
            <w:r>
              <w:rPr>
                <w:rFonts w:hint="eastAsia"/>
                <w:szCs w:val="24"/>
              </w:rPr>
              <w:t>）——参考位置r</w:t>
            </w:r>
            <w:r>
              <w:rPr>
                <w:rFonts w:hint="eastAsia"/>
                <w:szCs w:val="24"/>
                <w:vertAlign w:val="subscript"/>
              </w:rPr>
              <w:t>0</w:t>
            </w:r>
            <w:r>
              <w:rPr>
                <w:rFonts w:hint="eastAsia"/>
                <w:szCs w:val="24"/>
              </w:rPr>
              <w:t>米的A声级，dB（A）；</w:t>
            </w:r>
          </w:p>
          <w:p>
            <w:pPr>
              <w:pStyle w:val="57"/>
              <w:ind w:firstLine="1200" w:firstLineChars="500"/>
              <w:rPr>
                <w:szCs w:val="24"/>
              </w:rPr>
            </w:pPr>
            <w:r>
              <w:rPr>
                <w:rFonts w:hint="eastAsia"/>
                <w:szCs w:val="24"/>
              </w:rPr>
              <w:t>r</w:t>
            </w:r>
            <w:r>
              <w:rPr>
                <w:rFonts w:hint="eastAsia"/>
                <w:szCs w:val="24"/>
                <w:vertAlign w:val="subscript"/>
              </w:rPr>
              <w:t>0</w:t>
            </w:r>
            <w:r>
              <w:rPr>
                <w:rFonts w:hint="eastAsia"/>
                <w:szCs w:val="24"/>
              </w:rPr>
              <w:t>——参考位置距离声源的距离，m；</w:t>
            </w:r>
          </w:p>
          <w:p>
            <w:pPr>
              <w:pStyle w:val="57"/>
              <w:ind w:firstLine="1200" w:firstLineChars="500"/>
              <w:rPr>
                <w:szCs w:val="24"/>
              </w:rPr>
            </w:pPr>
            <w:r>
              <w:rPr>
                <w:rFonts w:hint="eastAsia"/>
                <w:szCs w:val="24"/>
              </w:rPr>
              <w:t>r——预测点距离声源的距离，m；</w:t>
            </w:r>
          </w:p>
          <w:p>
            <w:pPr>
              <w:pStyle w:val="57"/>
              <w:ind w:firstLine="1200" w:firstLineChars="500"/>
              <w:rPr>
                <w:szCs w:val="24"/>
              </w:rPr>
            </w:pPr>
            <w:r>
              <w:rPr>
                <w:rFonts w:hint="eastAsia"/>
                <w:szCs w:val="24"/>
              </w:rPr>
              <w:t>A——倍频带衰减，dB；</w:t>
            </w:r>
          </w:p>
          <w:p>
            <w:pPr>
              <w:pStyle w:val="57"/>
              <w:ind w:firstLine="1200" w:firstLineChars="500"/>
              <w:rPr>
                <w:szCs w:val="24"/>
              </w:rPr>
            </w:pPr>
            <w:r>
              <w:rPr>
                <w:szCs w:val="24"/>
              </w:rPr>
              <w:t>A</w:t>
            </w:r>
            <w:r>
              <w:rPr>
                <w:szCs w:val="24"/>
                <w:vertAlign w:val="subscript"/>
              </w:rPr>
              <w:t>div</w:t>
            </w:r>
            <w:r>
              <w:rPr>
                <w:szCs w:val="24"/>
              </w:rPr>
              <w:t>——几何发散引起的倍频带衰减，20lg（r/r</w:t>
            </w:r>
            <w:r>
              <w:rPr>
                <w:szCs w:val="24"/>
                <w:vertAlign w:val="subscript"/>
              </w:rPr>
              <w:t>0</w:t>
            </w:r>
            <w:r>
              <w:rPr>
                <w:szCs w:val="24"/>
              </w:rPr>
              <w:t>），dB；</w:t>
            </w:r>
          </w:p>
          <w:p>
            <w:pPr>
              <w:pStyle w:val="57"/>
              <w:ind w:firstLine="1200" w:firstLineChars="500"/>
              <w:rPr>
                <w:szCs w:val="24"/>
              </w:rPr>
            </w:pPr>
            <w:r>
              <w:rPr>
                <w:szCs w:val="24"/>
              </w:rPr>
              <w:t>A</w:t>
            </w:r>
            <w:r>
              <w:rPr>
                <w:szCs w:val="24"/>
                <w:vertAlign w:val="subscript"/>
              </w:rPr>
              <w:t>atm</w:t>
            </w:r>
            <w:r>
              <w:rPr>
                <w:szCs w:val="24"/>
              </w:rPr>
              <w:t>——大气吸收引起的倍频带衰减，</w:t>
            </w:r>
            <w:r>
              <w:rPr>
                <w:position w:val="-11"/>
              </w:rPr>
              <w:pict>
                <v:shape id="_x0000_i1029" o:spt="75" type="#_x0000_t75" style="height:21.75pt;width:28.55pt;" filled="f" o:preferrelative="t" stroked="f" coordsize="21600,21600" equationxml="&lt;">
                  <v:path/>
                  <v:fill on="f" focussize="0,0"/>
                  <v:stroke on="f" joinstyle="miter"/>
                  <v:imagedata r:id="rId24" chromakey="#FFFFFF" o:title=""/>
                  <o:lock v:ext="edit" aspectratio="t"/>
                  <w10:wrap type="none"/>
                  <w10:anchorlock/>
                </v:shape>
              </w:pict>
            </w:r>
            <w:r>
              <w:rPr>
                <w:szCs w:val="24"/>
              </w:rPr>
              <w:t>，dB，本项目所处区域常年平均气温为19℃，常年平均相对湿度79%，A可选择对A声级影响最大的倍频带计算，一般可选中心频率为500Hz的倍频带作估算，则大气吸收衰减系数α=2.4dB/km；</w:t>
            </w:r>
          </w:p>
          <w:p>
            <w:pPr>
              <w:pStyle w:val="57"/>
              <w:ind w:firstLine="1200" w:firstLineChars="500"/>
              <w:rPr>
                <w:szCs w:val="24"/>
              </w:rPr>
            </w:pPr>
            <w:r>
              <w:rPr>
                <w:szCs w:val="24"/>
              </w:rPr>
              <w:t>A</w:t>
            </w:r>
            <w:r>
              <w:rPr>
                <w:szCs w:val="24"/>
                <w:vertAlign w:val="subscript"/>
              </w:rPr>
              <w:t>gr</w:t>
            </w:r>
            <w:r>
              <w:rPr>
                <w:szCs w:val="24"/>
              </w:rPr>
              <w:t>——地面效应引起的倍频带衰减，dB，不考虑地面效应衰减；</w:t>
            </w:r>
          </w:p>
          <w:p>
            <w:pPr>
              <w:pStyle w:val="57"/>
              <w:ind w:firstLine="1200" w:firstLineChars="500"/>
              <w:rPr>
                <w:szCs w:val="24"/>
              </w:rPr>
            </w:pPr>
            <w:r>
              <w:rPr>
                <w:szCs w:val="24"/>
              </w:rPr>
              <w:t>A</w:t>
            </w:r>
            <w:r>
              <w:rPr>
                <w:szCs w:val="24"/>
                <w:vertAlign w:val="subscript"/>
              </w:rPr>
              <w:t>bar</w:t>
            </w:r>
            <w:r>
              <w:rPr>
                <w:szCs w:val="24"/>
              </w:rPr>
              <w:t>——声屏障引起的倍频带衰减，dB，不考虑声屏障衰减；</w:t>
            </w:r>
          </w:p>
          <w:p>
            <w:pPr>
              <w:pStyle w:val="57"/>
              <w:ind w:firstLine="1200" w:firstLineChars="500"/>
              <w:rPr>
                <w:szCs w:val="24"/>
              </w:rPr>
            </w:pPr>
            <w:r>
              <w:rPr>
                <w:szCs w:val="24"/>
              </w:rPr>
              <w:t>A</w:t>
            </w:r>
            <w:r>
              <w:rPr>
                <w:szCs w:val="24"/>
                <w:vertAlign w:val="subscript"/>
              </w:rPr>
              <w:t>misc</w:t>
            </w:r>
            <w:r>
              <w:rPr>
                <w:szCs w:val="24"/>
              </w:rPr>
              <w:t>——其他多方面效应引起的倍频带衰减，dB，不考虑其他多方面效应引起的倍频带衰减。</w:t>
            </w:r>
          </w:p>
          <w:p>
            <w:pPr>
              <w:pStyle w:val="57"/>
              <w:ind w:firstLine="480"/>
              <w:rPr>
                <w:szCs w:val="24"/>
              </w:rPr>
            </w:pPr>
            <w:r>
              <w:rPr>
                <w:rFonts w:hint="eastAsia"/>
                <w:szCs w:val="24"/>
              </w:rPr>
              <w:t>②室内声源等效室外声源声功率级计算方法</w:t>
            </w:r>
          </w:p>
          <w:p>
            <w:pPr>
              <w:pStyle w:val="57"/>
              <w:ind w:firstLine="480"/>
              <w:rPr>
                <w:szCs w:val="24"/>
              </w:rPr>
            </w:pPr>
            <w:r>
              <w:rPr>
                <w:rFonts w:hint="eastAsia"/>
                <w:szCs w:val="24"/>
              </w:rPr>
              <w:t>如下图所示，声源位于室内，室内声源可采用等效室外声源声功率级法进行计算。设靠近开口处（或窗户）室内、室外某倍频带的声压级分别为Lp1和Lp2。若声源所在室内声场为近似扩散声场，则室外的倍频带声压级可按下式近似求出：</w:t>
            </w:r>
          </w:p>
          <w:p>
            <w:pPr>
              <w:pStyle w:val="57"/>
              <w:ind w:firstLine="0" w:firstLineChars="0"/>
              <w:jc w:val="center"/>
              <w:rPr>
                <w:szCs w:val="24"/>
              </w:rPr>
            </w:pPr>
            <w:r>
              <w:pict>
                <v:shape id="_x0000_i1030" o:spt="75" type="#_x0000_t75" style="height:21.75pt;width:93.75pt;" filled="f" o:preferrelative="t" stroked="f" coordsize="21600,21600" equationxml="&lt;">
                  <v:path/>
                  <v:fill on="f" focussize="0,0"/>
                  <v:stroke on="f" joinstyle="miter"/>
                  <v:imagedata r:id="rId25" chromakey="#FFFFFF" o:title=""/>
                  <o:lock v:ext="edit" aspectratio="t"/>
                  <w10:wrap type="none"/>
                  <w10:anchorlock/>
                </v:shape>
              </w:pict>
            </w:r>
          </w:p>
          <w:p>
            <w:pPr>
              <w:pStyle w:val="57"/>
              <w:ind w:firstLine="480"/>
              <w:rPr>
                <w:szCs w:val="24"/>
              </w:rPr>
            </w:pPr>
            <w:r>
              <w:rPr>
                <w:rFonts w:hint="eastAsia"/>
                <w:szCs w:val="24"/>
              </w:rPr>
              <w:t>式中：TL——隔墙（或窗户）倍频带的隔声量，dB。</w:t>
            </w:r>
          </w:p>
          <w:p>
            <w:pPr>
              <w:pStyle w:val="57"/>
              <w:ind w:firstLine="480"/>
              <w:rPr>
                <w:szCs w:val="24"/>
              </w:rPr>
            </w:pPr>
          </w:p>
          <w:p>
            <w:pPr>
              <w:pStyle w:val="57"/>
              <w:ind w:firstLine="480"/>
              <w:rPr>
                <w:szCs w:val="24"/>
              </w:rPr>
            </w:pPr>
          </w:p>
          <w:p>
            <w:pPr>
              <w:pStyle w:val="57"/>
              <w:ind w:firstLine="480"/>
              <w:rPr>
                <w:szCs w:val="24"/>
              </w:rPr>
            </w:pPr>
          </w:p>
          <w:p>
            <w:pPr>
              <w:pStyle w:val="57"/>
              <w:ind w:firstLine="420"/>
              <w:rPr>
                <w:sz w:val="21"/>
              </w:rPr>
            </w:pPr>
          </w:p>
          <w:tbl>
            <w:tblPr>
              <w:tblStyle w:val="16"/>
              <w:tblW w:w="5000" w:type="pct"/>
              <w:tblInd w:w="0" w:type="dxa"/>
              <w:tblLayout w:type="autofit"/>
              <w:tblCellMar>
                <w:top w:w="0" w:type="dxa"/>
                <w:left w:w="108" w:type="dxa"/>
                <w:bottom w:w="0" w:type="dxa"/>
                <w:right w:w="108" w:type="dxa"/>
              </w:tblCellMar>
            </w:tblPr>
            <w:tblGrid>
              <w:gridCol w:w="7739"/>
            </w:tblGrid>
            <w:tr>
              <w:tblPrEx>
                <w:tblCellMar>
                  <w:top w:w="0" w:type="dxa"/>
                  <w:left w:w="108" w:type="dxa"/>
                  <w:bottom w:w="0" w:type="dxa"/>
                  <w:right w:w="108" w:type="dxa"/>
                </w:tblCellMar>
              </w:tblPrEx>
              <w:trPr>
                <w:trHeight w:val="340" w:hRule="atLeast"/>
              </w:trPr>
              <w:tc>
                <w:tcPr>
                  <w:tcW w:w="7977" w:type="dxa"/>
                </w:tcPr>
                <w:p>
                  <w:pPr>
                    <w:spacing w:line="240" w:lineRule="auto"/>
                    <w:ind w:firstLine="0" w:firstLineChars="0"/>
                    <w:jc w:val="center"/>
                    <w:rPr>
                      <w:kern w:val="24"/>
                    </w:rPr>
                  </w:pPr>
                  <w:r>
                    <w:rPr>
                      <w:kern w:val="24"/>
                    </w:rPr>
                    <w:drawing>
                      <wp:inline distT="0" distB="0" distL="0" distR="0">
                        <wp:extent cx="3522345" cy="1757045"/>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572292" cy="178185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40" w:hRule="atLeast"/>
              </w:trPr>
              <w:tc>
                <w:tcPr>
                  <w:tcW w:w="7977" w:type="dxa"/>
                </w:tcPr>
                <w:p>
                  <w:pPr>
                    <w:tabs>
                      <w:tab w:val="right" w:leader="dot" w:pos="9060"/>
                    </w:tabs>
                    <w:spacing w:line="240" w:lineRule="auto"/>
                    <w:ind w:firstLine="480"/>
                    <w:jc w:val="center"/>
                    <w:rPr>
                      <w:rFonts w:cs="宋体"/>
                    </w:rPr>
                  </w:pPr>
                  <w:r>
                    <w:rPr>
                      <w:rFonts w:hint="eastAsia" w:cs="宋体"/>
                    </w:rPr>
                    <w:t>图7</w:t>
                  </w:r>
                  <w:r>
                    <w:rPr>
                      <w:rFonts w:cs="宋体"/>
                    </w:rPr>
                    <w:t xml:space="preserve"> </w:t>
                  </w:r>
                  <w:r>
                    <w:rPr>
                      <w:rFonts w:hint="eastAsia" w:cs="宋体"/>
                    </w:rPr>
                    <w:t>室内声源等效为室外声源图例</w:t>
                  </w:r>
                </w:p>
              </w:tc>
            </w:tr>
          </w:tbl>
          <w:p>
            <w:pPr>
              <w:pStyle w:val="57"/>
              <w:ind w:firstLine="480"/>
              <w:rPr>
                <w:szCs w:val="24"/>
              </w:rPr>
            </w:pPr>
            <w:r>
              <w:rPr>
                <w:rFonts w:hint="eastAsia"/>
                <w:szCs w:val="24"/>
              </w:rPr>
              <w:t>③噪声贡献值计算</w:t>
            </w:r>
          </w:p>
          <w:p>
            <w:pPr>
              <w:pStyle w:val="57"/>
              <w:ind w:firstLine="480"/>
              <w:rPr>
                <w:szCs w:val="24"/>
              </w:rPr>
            </w:pPr>
            <w:r>
              <w:rPr>
                <w:rFonts w:hint="eastAsia"/>
                <w:szCs w:val="24"/>
              </w:rPr>
              <w:t>设第i个室外声源在预测点产生的A声级为L</w:t>
            </w:r>
            <w:r>
              <w:rPr>
                <w:rFonts w:hint="eastAsia"/>
                <w:szCs w:val="24"/>
                <w:vertAlign w:val="subscript"/>
              </w:rPr>
              <w:t>Ai</w:t>
            </w:r>
            <w:r>
              <w:rPr>
                <w:rFonts w:hint="eastAsia"/>
                <w:szCs w:val="24"/>
              </w:rPr>
              <w:t>，在T时间内该声源工作时间为t</w:t>
            </w:r>
            <w:r>
              <w:rPr>
                <w:rFonts w:hint="eastAsia"/>
                <w:szCs w:val="24"/>
                <w:vertAlign w:val="subscript"/>
              </w:rPr>
              <w:t>i</w:t>
            </w:r>
            <w:r>
              <w:rPr>
                <w:rFonts w:hint="eastAsia"/>
                <w:szCs w:val="24"/>
              </w:rPr>
              <w:t>；第j个等效室外声源在预测点产生的A声级为L</w:t>
            </w:r>
            <w:r>
              <w:rPr>
                <w:rFonts w:hint="eastAsia"/>
                <w:szCs w:val="24"/>
                <w:vertAlign w:val="subscript"/>
              </w:rPr>
              <w:t>Aj</w:t>
            </w:r>
            <w:r>
              <w:rPr>
                <w:rFonts w:hint="eastAsia"/>
                <w:szCs w:val="24"/>
              </w:rPr>
              <w:t>，在T时间内该声源工作时间为t</w:t>
            </w:r>
            <w:r>
              <w:rPr>
                <w:rFonts w:hint="eastAsia"/>
                <w:szCs w:val="24"/>
                <w:vertAlign w:val="subscript"/>
              </w:rPr>
              <w:t>j</w:t>
            </w:r>
            <w:r>
              <w:rPr>
                <w:rFonts w:hint="eastAsia"/>
                <w:szCs w:val="24"/>
              </w:rPr>
              <w:t>，则拟建工程声源对预测点产生的贡献值（L</w:t>
            </w:r>
            <w:r>
              <w:rPr>
                <w:rFonts w:hint="eastAsia"/>
                <w:szCs w:val="24"/>
                <w:vertAlign w:val="subscript"/>
              </w:rPr>
              <w:t>eqg</w:t>
            </w:r>
            <w:r>
              <w:rPr>
                <w:rFonts w:hint="eastAsia"/>
                <w:szCs w:val="24"/>
              </w:rPr>
              <w:t>）为：</w:t>
            </w:r>
          </w:p>
          <w:p>
            <w:pPr>
              <w:pStyle w:val="57"/>
              <w:ind w:firstLine="0" w:firstLineChars="0"/>
              <w:jc w:val="center"/>
              <w:rPr>
                <w:szCs w:val="24"/>
              </w:rPr>
            </w:pPr>
            <w:r>
              <w:pict>
                <v:shape id="_x0000_i1031" o:spt="75" type="#_x0000_t75" style="height:36pt;width:194.95pt;" filled="f" o:preferrelative="t" stroked="f" coordsize="21600,21600" equationxml="&lt;">
                  <v:path/>
                  <v:fill on="f" focussize="0,0"/>
                  <v:stroke on="f" joinstyle="miter"/>
                  <v:imagedata r:id="rId27" chromakey="#FFFFFF" o:title=""/>
                  <o:lock v:ext="edit" aspectratio="t"/>
                  <w10:wrap type="none"/>
                  <w10:anchorlock/>
                </v:shape>
              </w:pict>
            </w:r>
          </w:p>
          <w:p>
            <w:pPr>
              <w:pStyle w:val="57"/>
              <w:ind w:firstLine="480"/>
              <w:rPr>
                <w:szCs w:val="24"/>
              </w:rPr>
            </w:pPr>
            <w:r>
              <w:rPr>
                <w:rFonts w:hint="eastAsia"/>
                <w:szCs w:val="24"/>
              </w:rPr>
              <w:t>式中：t</w:t>
            </w:r>
            <w:r>
              <w:rPr>
                <w:rFonts w:hint="eastAsia"/>
                <w:szCs w:val="24"/>
                <w:vertAlign w:val="subscript"/>
              </w:rPr>
              <w:t>j</w:t>
            </w:r>
            <w:r>
              <w:rPr>
                <w:rFonts w:hint="eastAsia"/>
                <w:szCs w:val="24"/>
              </w:rPr>
              <w:t>——在T时间内j声源工作时间，s；</w:t>
            </w:r>
          </w:p>
          <w:p>
            <w:pPr>
              <w:pStyle w:val="57"/>
              <w:ind w:firstLine="1200" w:firstLineChars="500"/>
              <w:rPr>
                <w:szCs w:val="24"/>
              </w:rPr>
            </w:pPr>
            <w:r>
              <w:rPr>
                <w:rFonts w:hint="eastAsia"/>
                <w:szCs w:val="24"/>
              </w:rPr>
              <w:t>t</w:t>
            </w:r>
            <w:r>
              <w:rPr>
                <w:rFonts w:hint="eastAsia"/>
                <w:szCs w:val="24"/>
                <w:vertAlign w:val="subscript"/>
              </w:rPr>
              <w:t>i</w:t>
            </w:r>
            <w:r>
              <w:rPr>
                <w:rFonts w:hint="eastAsia"/>
                <w:szCs w:val="24"/>
              </w:rPr>
              <w:t>——在T时间内i声源工作时间，s；</w:t>
            </w:r>
          </w:p>
          <w:p>
            <w:pPr>
              <w:pStyle w:val="57"/>
              <w:ind w:firstLine="1200" w:firstLineChars="500"/>
              <w:rPr>
                <w:szCs w:val="24"/>
              </w:rPr>
            </w:pPr>
            <w:r>
              <w:rPr>
                <w:rFonts w:hint="eastAsia"/>
                <w:szCs w:val="24"/>
              </w:rPr>
              <w:t>T——用于计算等效声级的时间，s；</w:t>
            </w:r>
          </w:p>
          <w:p>
            <w:pPr>
              <w:pStyle w:val="57"/>
              <w:ind w:firstLine="1200" w:firstLineChars="500"/>
              <w:rPr>
                <w:szCs w:val="24"/>
              </w:rPr>
            </w:pPr>
            <w:r>
              <w:rPr>
                <w:rFonts w:hint="eastAsia"/>
                <w:szCs w:val="24"/>
              </w:rPr>
              <w:t>N——室外声源个数；</w:t>
            </w:r>
          </w:p>
          <w:p>
            <w:pPr>
              <w:pStyle w:val="57"/>
              <w:ind w:firstLine="1200" w:firstLineChars="500"/>
              <w:rPr>
                <w:szCs w:val="24"/>
              </w:rPr>
            </w:pPr>
            <w:r>
              <w:rPr>
                <w:rFonts w:hint="eastAsia"/>
                <w:szCs w:val="24"/>
              </w:rPr>
              <w:t>M——等效室外声源个数。</w:t>
            </w:r>
          </w:p>
          <w:p>
            <w:pPr>
              <w:pStyle w:val="57"/>
              <w:ind w:firstLine="480"/>
              <w:rPr>
                <w:szCs w:val="24"/>
              </w:rPr>
            </w:pPr>
            <w:r>
              <w:rPr>
                <w:rFonts w:hint="eastAsia"/>
                <w:szCs w:val="24"/>
              </w:rPr>
              <w:t>④预测值计算</w:t>
            </w:r>
          </w:p>
          <w:p>
            <w:pPr>
              <w:pStyle w:val="57"/>
              <w:ind w:firstLine="480"/>
              <w:rPr>
                <w:szCs w:val="24"/>
              </w:rPr>
            </w:pPr>
            <w:r>
              <w:rPr>
                <w:rFonts w:hint="eastAsia"/>
                <w:szCs w:val="24"/>
              </w:rPr>
              <w:t>预测点的预测等效声级（Leq）计算公式：</w:t>
            </w:r>
          </w:p>
          <w:p>
            <w:pPr>
              <w:pStyle w:val="57"/>
              <w:ind w:firstLine="0" w:firstLineChars="0"/>
              <w:jc w:val="center"/>
              <w:rPr>
                <w:szCs w:val="24"/>
              </w:rPr>
            </w:pPr>
            <w:r>
              <w:pict>
                <v:shape id="_x0000_i1032" o:spt="75" type="#_x0000_t75" style="height:14.25pt;width:129.75pt;" filled="f" o:preferrelative="t" stroked="f" coordsize="21600,21600" equationxml="&lt;">
                  <v:path/>
                  <v:fill on="f" focussize="0,0"/>
                  <v:stroke on="f" joinstyle="miter"/>
                  <v:imagedata r:id="rId28" chromakey="#FFFFFF" o:title=""/>
                  <o:lock v:ext="edit" aspectratio="t"/>
                  <w10:wrap type="none"/>
                  <w10:anchorlock/>
                </v:shape>
              </w:pict>
            </w:r>
          </w:p>
          <w:p>
            <w:pPr>
              <w:pStyle w:val="57"/>
              <w:ind w:firstLine="480"/>
              <w:rPr>
                <w:szCs w:val="24"/>
              </w:rPr>
            </w:pPr>
            <w:r>
              <w:rPr>
                <w:rFonts w:hint="eastAsia"/>
                <w:szCs w:val="24"/>
              </w:rPr>
              <w:t>式中：L</w:t>
            </w:r>
            <w:r>
              <w:rPr>
                <w:rFonts w:hint="eastAsia"/>
                <w:szCs w:val="24"/>
                <w:vertAlign w:val="subscript"/>
              </w:rPr>
              <w:t>eqg</w:t>
            </w:r>
            <w:r>
              <w:rPr>
                <w:rFonts w:hint="eastAsia"/>
                <w:szCs w:val="24"/>
              </w:rPr>
              <w:t>——建设项目声源在预测点的等效声级贡献值，dB（A）；</w:t>
            </w:r>
          </w:p>
          <w:p>
            <w:pPr>
              <w:pStyle w:val="57"/>
              <w:ind w:firstLine="1200" w:firstLineChars="500"/>
              <w:rPr>
                <w:szCs w:val="24"/>
              </w:rPr>
            </w:pPr>
            <w:r>
              <w:rPr>
                <w:rFonts w:hint="eastAsia"/>
                <w:szCs w:val="24"/>
              </w:rPr>
              <w:t>L</w:t>
            </w:r>
            <w:r>
              <w:rPr>
                <w:rFonts w:hint="eastAsia"/>
                <w:szCs w:val="24"/>
                <w:vertAlign w:val="subscript"/>
              </w:rPr>
              <w:t>eqb</w:t>
            </w:r>
            <w:r>
              <w:rPr>
                <w:rFonts w:hint="eastAsia"/>
                <w:szCs w:val="24"/>
              </w:rPr>
              <w:t>——预测点的背景值，dB（A）。</w:t>
            </w:r>
          </w:p>
          <w:p>
            <w:pPr>
              <w:pStyle w:val="57"/>
              <w:ind w:firstLine="482"/>
              <w:rPr>
                <w:b/>
                <w:szCs w:val="24"/>
              </w:rPr>
            </w:pPr>
            <w:r>
              <w:rPr>
                <w:rFonts w:hint="eastAsia"/>
                <w:b/>
                <w:szCs w:val="24"/>
              </w:rPr>
              <w:t>3</w:t>
            </w:r>
            <w:r>
              <w:rPr>
                <w:b/>
                <w:szCs w:val="24"/>
              </w:rPr>
              <w:t>.2</w:t>
            </w:r>
            <w:r>
              <w:rPr>
                <w:rFonts w:hint="eastAsia"/>
                <w:b/>
                <w:szCs w:val="24"/>
              </w:rPr>
              <w:t>噪声预测</w:t>
            </w:r>
          </w:p>
          <w:p>
            <w:pPr>
              <w:spacing w:line="360" w:lineRule="auto"/>
              <w:ind w:firstLine="480"/>
            </w:pPr>
            <w:r>
              <w:rPr>
                <w:rFonts w:hint="eastAsia"/>
              </w:rPr>
              <w:t>本项目矿山开采区及生产加工区均仅在昼间进行活动，本次不对厂（边）界和声环境保护目标夜间噪声进行预测。</w:t>
            </w:r>
          </w:p>
          <w:p>
            <w:pPr>
              <w:pStyle w:val="2"/>
              <w:spacing w:line="360" w:lineRule="auto"/>
              <w:ind w:firstLine="480" w:firstLineChars="200"/>
              <w:jc w:val="both"/>
              <w:rPr>
                <w:b w:val="0"/>
                <w:color w:val="auto"/>
              </w:rPr>
            </w:pPr>
            <w:r>
              <w:rPr>
                <w:rFonts w:hint="eastAsia"/>
                <w:b w:val="0"/>
                <w:color w:val="auto"/>
              </w:rPr>
              <w:t>（1）厂（边）界噪声预测结果</w:t>
            </w:r>
          </w:p>
          <w:p>
            <w:pPr>
              <w:pStyle w:val="2"/>
              <w:spacing w:line="360" w:lineRule="auto"/>
              <w:rPr>
                <w:b w:val="0"/>
                <w:color w:val="auto"/>
              </w:rPr>
            </w:pPr>
            <w:r>
              <w:rPr>
                <w:rFonts w:hint="eastAsia"/>
                <w:b w:val="0"/>
                <w:color w:val="auto"/>
              </w:rPr>
              <w:t>表4</w:t>
            </w:r>
            <w:r>
              <w:rPr>
                <w:b w:val="0"/>
                <w:color w:val="auto"/>
              </w:rPr>
              <w:t xml:space="preserve">-5 </w:t>
            </w:r>
            <w:r>
              <w:rPr>
                <w:rFonts w:hint="eastAsia"/>
                <w:b w:val="0"/>
                <w:color w:val="auto"/>
              </w:rPr>
              <w:t>厂（边）界噪声预测结果</w:t>
            </w:r>
          </w:p>
          <w:tbl>
            <w:tblPr>
              <w:tblStyle w:val="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98"/>
              <w:gridCol w:w="1276"/>
              <w:gridCol w:w="2126"/>
              <w:gridCol w:w="1701"/>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8" w:type="dxa"/>
                  <w:vAlign w:val="center"/>
                </w:tcPr>
                <w:p>
                  <w:pPr>
                    <w:spacing w:line="240" w:lineRule="auto"/>
                    <w:ind w:firstLine="0" w:firstLineChars="0"/>
                    <w:jc w:val="center"/>
                    <w:rPr>
                      <w:sz w:val="21"/>
                      <w:szCs w:val="21"/>
                    </w:rPr>
                  </w:pPr>
                  <w:r>
                    <w:rPr>
                      <w:rFonts w:hint="eastAsia"/>
                      <w:sz w:val="21"/>
                      <w:szCs w:val="21"/>
                    </w:rPr>
                    <w:t>厂(边)</w:t>
                  </w:r>
                  <w:r>
                    <w:rPr>
                      <w:sz w:val="21"/>
                      <w:szCs w:val="21"/>
                    </w:rPr>
                    <w:t>界</w:t>
                  </w:r>
                </w:p>
              </w:tc>
              <w:tc>
                <w:tcPr>
                  <w:tcW w:w="1276" w:type="dxa"/>
                  <w:vAlign w:val="center"/>
                </w:tcPr>
                <w:p>
                  <w:pPr>
                    <w:spacing w:line="240" w:lineRule="auto"/>
                    <w:ind w:firstLine="0" w:firstLineChars="0"/>
                    <w:jc w:val="center"/>
                    <w:rPr>
                      <w:sz w:val="21"/>
                      <w:szCs w:val="21"/>
                    </w:rPr>
                  </w:pPr>
                  <w:r>
                    <w:rPr>
                      <w:sz w:val="21"/>
                      <w:szCs w:val="21"/>
                    </w:rPr>
                    <w:t>时段</w:t>
                  </w:r>
                </w:p>
              </w:tc>
              <w:tc>
                <w:tcPr>
                  <w:tcW w:w="2126" w:type="dxa"/>
                  <w:vAlign w:val="center"/>
                </w:tcPr>
                <w:p>
                  <w:pPr>
                    <w:spacing w:line="240" w:lineRule="auto"/>
                    <w:ind w:firstLine="0" w:firstLineChars="0"/>
                    <w:jc w:val="center"/>
                    <w:rPr>
                      <w:sz w:val="21"/>
                      <w:szCs w:val="21"/>
                    </w:rPr>
                  </w:pPr>
                  <w:r>
                    <w:rPr>
                      <w:sz w:val="21"/>
                      <w:szCs w:val="21"/>
                    </w:rPr>
                    <w:t>噪声贡献值/dB(A)</w:t>
                  </w:r>
                </w:p>
              </w:tc>
              <w:tc>
                <w:tcPr>
                  <w:tcW w:w="1701" w:type="dxa"/>
                  <w:vAlign w:val="center"/>
                </w:tcPr>
                <w:p>
                  <w:pPr>
                    <w:spacing w:line="240" w:lineRule="auto"/>
                    <w:ind w:firstLine="0" w:firstLineChars="0"/>
                    <w:jc w:val="center"/>
                    <w:rPr>
                      <w:sz w:val="21"/>
                      <w:szCs w:val="21"/>
                    </w:rPr>
                  </w:pPr>
                  <w:r>
                    <w:rPr>
                      <w:sz w:val="21"/>
                      <w:szCs w:val="21"/>
                    </w:rPr>
                    <w:t>噪声标准/dB(A)</w:t>
                  </w:r>
                </w:p>
              </w:tc>
              <w:tc>
                <w:tcPr>
                  <w:tcW w:w="1328" w:type="dxa"/>
                  <w:vAlign w:val="center"/>
                </w:tcPr>
                <w:p>
                  <w:pPr>
                    <w:spacing w:line="240" w:lineRule="auto"/>
                    <w:ind w:firstLine="0" w:firstLineChars="0"/>
                    <w:jc w:val="center"/>
                    <w:rPr>
                      <w:sz w:val="21"/>
                      <w:szCs w:val="21"/>
                    </w:rPr>
                  </w:pPr>
                  <w:r>
                    <w:rPr>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8" w:type="dxa"/>
                  <w:vAlign w:val="center"/>
                </w:tcPr>
                <w:p>
                  <w:pPr>
                    <w:spacing w:line="240" w:lineRule="auto"/>
                    <w:ind w:firstLine="0" w:firstLineChars="0"/>
                    <w:jc w:val="center"/>
                    <w:rPr>
                      <w:sz w:val="21"/>
                      <w:szCs w:val="21"/>
                    </w:rPr>
                  </w:pPr>
                  <w:r>
                    <w:rPr>
                      <w:rFonts w:hint="eastAsia"/>
                      <w:sz w:val="21"/>
                      <w:szCs w:val="21"/>
                    </w:rPr>
                    <w:t>东</w:t>
                  </w:r>
                </w:p>
              </w:tc>
              <w:tc>
                <w:tcPr>
                  <w:tcW w:w="1276" w:type="dxa"/>
                  <w:vAlign w:val="center"/>
                </w:tcPr>
                <w:p>
                  <w:pPr>
                    <w:spacing w:line="240" w:lineRule="auto"/>
                    <w:ind w:firstLine="0" w:firstLineChars="0"/>
                    <w:jc w:val="center"/>
                    <w:rPr>
                      <w:sz w:val="21"/>
                      <w:szCs w:val="21"/>
                    </w:rPr>
                  </w:pPr>
                  <w:r>
                    <w:rPr>
                      <w:sz w:val="21"/>
                      <w:szCs w:val="21"/>
                    </w:rPr>
                    <w:t>昼间</w:t>
                  </w:r>
                </w:p>
              </w:tc>
              <w:tc>
                <w:tcPr>
                  <w:tcW w:w="2126" w:type="dxa"/>
                  <w:vAlign w:val="center"/>
                </w:tcPr>
                <w:p>
                  <w:pPr>
                    <w:spacing w:line="240" w:lineRule="auto"/>
                    <w:ind w:firstLine="0" w:firstLineChars="0"/>
                    <w:jc w:val="center"/>
                    <w:rPr>
                      <w:color w:val="FF0000"/>
                      <w:sz w:val="21"/>
                      <w:szCs w:val="21"/>
                      <w:u w:val="single"/>
                    </w:rPr>
                  </w:pPr>
                  <w:r>
                    <w:rPr>
                      <w:rFonts w:hint="eastAsia"/>
                      <w:sz w:val="21"/>
                      <w:szCs w:val="21"/>
                      <w:u w:val="single"/>
                    </w:rPr>
                    <w:t>53.9</w:t>
                  </w:r>
                </w:p>
              </w:tc>
              <w:tc>
                <w:tcPr>
                  <w:tcW w:w="1701"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1328"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8" w:type="dxa"/>
                  <w:vAlign w:val="center"/>
                </w:tcPr>
                <w:p>
                  <w:pPr>
                    <w:spacing w:line="240" w:lineRule="auto"/>
                    <w:ind w:firstLine="0" w:firstLineChars="0"/>
                    <w:jc w:val="center"/>
                    <w:rPr>
                      <w:sz w:val="21"/>
                      <w:szCs w:val="21"/>
                    </w:rPr>
                  </w:pPr>
                  <w:r>
                    <w:rPr>
                      <w:rFonts w:hint="eastAsia"/>
                      <w:sz w:val="21"/>
                      <w:szCs w:val="21"/>
                    </w:rPr>
                    <w:t>东南</w:t>
                  </w:r>
                </w:p>
              </w:tc>
              <w:tc>
                <w:tcPr>
                  <w:tcW w:w="1276" w:type="dxa"/>
                  <w:vAlign w:val="center"/>
                </w:tcPr>
                <w:p>
                  <w:pPr>
                    <w:spacing w:line="240" w:lineRule="auto"/>
                    <w:ind w:firstLine="0" w:firstLineChars="0"/>
                    <w:jc w:val="center"/>
                    <w:rPr>
                      <w:sz w:val="21"/>
                      <w:szCs w:val="21"/>
                    </w:rPr>
                  </w:pPr>
                  <w:r>
                    <w:rPr>
                      <w:sz w:val="21"/>
                      <w:szCs w:val="21"/>
                    </w:rPr>
                    <w:t>昼间</w:t>
                  </w:r>
                </w:p>
              </w:tc>
              <w:tc>
                <w:tcPr>
                  <w:tcW w:w="2126" w:type="dxa"/>
                  <w:vAlign w:val="center"/>
                </w:tcPr>
                <w:p>
                  <w:pPr>
                    <w:spacing w:line="240" w:lineRule="auto"/>
                    <w:ind w:firstLine="0" w:firstLineChars="0"/>
                    <w:jc w:val="center"/>
                    <w:rPr>
                      <w:color w:val="FF0000"/>
                      <w:sz w:val="21"/>
                      <w:szCs w:val="21"/>
                      <w:u w:val="single"/>
                    </w:rPr>
                  </w:pPr>
                  <w:r>
                    <w:rPr>
                      <w:rFonts w:hint="eastAsia"/>
                      <w:sz w:val="21"/>
                      <w:szCs w:val="21"/>
                      <w:u w:val="single"/>
                    </w:rPr>
                    <w:t>35.1</w:t>
                  </w:r>
                </w:p>
              </w:tc>
              <w:tc>
                <w:tcPr>
                  <w:tcW w:w="1701"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1328"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8" w:type="dxa"/>
                  <w:vAlign w:val="center"/>
                </w:tcPr>
                <w:p>
                  <w:pPr>
                    <w:spacing w:line="240" w:lineRule="auto"/>
                    <w:ind w:firstLine="0" w:firstLineChars="0"/>
                    <w:jc w:val="center"/>
                    <w:rPr>
                      <w:sz w:val="21"/>
                      <w:szCs w:val="21"/>
                    </w:rPr>
                  </w:pPr>
                  <w:r>
                    <w:rPr>
                      <w:rFonts w:hint="eastAsia"/>
                      <w:sz w:val="21"/>
                      <w:szCs w:val="21"/>
                    </w:rPr>
                    <w:t>西南</w:t>
                  </w:r>
                </w:p>
              </w:tc>
              <w:tc>
                <w:tcPr>
                  <w:tcW w:w="1276" w:type="dxa"/>
                  <w:vAlign w:val="center"/>
                </w:tcPr>
                <w:p>
                  <w:pPr>
                    <w:spacing w:line="240" w:lineRule="auto"/>
                    <w:ind w:firstLine="0" w:firstLineChars="0"/>
                    <w:jc w:val="center"/>
                    <w:rPr>
                      <w:sz w:val="21"/>
                      <w:szCs w:val="21"/>
                    </w:rPr>
                  </w:pPr>
                  <w:r>
                    <w:rPr>
                      <w:sz w:val="21"/>
                      <w:szCs w:val="21"/>
                    </w:rPr>
                    <w:t>昼间</w:t>
                  </w:r>
                </w:p>
              </w:tc>
              <w:tc>
                <w:tcPr>
                  <w:tcW w:w="2126" w:type="dxa"/>
                  <w:vAlign w:val="center"/>
                </w:tcPr>
                <w:p>
                  <w:pPr>
                    <w:spacing w:line="240" w:lineRule="auto"/>
                    <w:ind w:firstLine="0" w:firstLineChars="0"/>
                    <w:jc w:val="center"/>
                    <w:rPr>
                      <w:color w:val="FF0000"/>
                      <w:sz w:val="21"/>
                      <w:szCs w:val="21"/>
                      <w:u w:val="single"/>
                    </w:rPr>
                  </w:pPr>
                  <w:r>
                    <w:rPr>
                      <w:rFonts w:hint="eastAsia"/>
                      <w:sz w:val="21"/>
                      <w:szCs w:val="21"/>
                      <w:u w:val="single"/>
                    </w:rPr>
                    <w:t>19.4</w:t>
                  </w:r>
                </w:p>
              </w:tc>
              <w:tc>
                <w:tcPr>
                  <w:tcW w:w="1701"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1328"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8" w:type="dxa"/>
                  <w:vAlign w:val="center"/>
                </w:tcPr>
                <w:p>
                  <w:pPr>
                    <w:spacing w:line="240" w:lineRule="auto"/>
                    <w:ind w:firstLine="0" w:firstLineChars="0"/>
                    <w:jc w:val="center"/>
                    <w:rPr>
                      <w:sz w:val="21"/>
                      <w:szCs w:val="21"/>
                    </w:rPr>
                  </w:pPr>
                  <w:r>
                    <w:rPr>
                      <w:rFonts w:hint="eastAsia"/>
                      <w:sz w:val="21"/>
                      <w:szCs w:val="21"/>
                    </w:rPr>
                    <w:t>西北</w:t>
                  </w:r>
                </w:p>
              </w:tc>
              <w:tc>
                <w:tcPr>
                  <w:tcW w:w="1276" w:type="dxa"/>
                  <w:vAlign w:val="center"/>
                </w:tcPr>
                <w:p>
                  <w:pPr>
                    <w:spacing w:line="240" w:lineRule="auto"/>
                    <w:ind w:firstLine="0" w:firstLineChars="0"/>
                    <w:jc w:val="center"/>
                    <w:rPr>
                      <w:sz w:val="21"/>
                      <w:szCs w:val="21"/>
                    </w:rPr>
                  </w:pPr>
                  <w:r>
                    <w:rPr>
                      <w:sz w:val="21"/>
                      <w:szCs w:val="21"/>
                    </w:rPr>
                    <w:t>昼间</w:t>
                  </w:r>
                </w:p>
              </w:tc>
              <w:tc>
                <w:tcPr>
                  <w:tcW w:w="2126" w:type="dxa"/>
                  <w:vAlign w:val="center"/>
                </w:tcPr>
                <w:p>
                  <w:pPr>
                    <w:spacing w:line="240" w:lineRule="auto"/>
                    <w:ind w:firstLine="0" w:firstLineChars="0"/>
                    <w:jc w:val="center"/>
                    <w:rPr>
                      <w:color w:val="FF0000"/>
                      <w:sz w:val="21"/>
                      <w:szCs w:val="21"/>
                      <w:u w:val="single"/>
                    </w:rPr>
                  </w:pPr>
                  <w:r>
                    <w:rPr>
                      <w:rFonts w:hint="eastAsia"/>
                      <w:sz w:val="21"/>
                      <w:szCs w:val="21"/>
                      <w:u w:val="single"/>
                    </w:rPr>
                    <w:t>14.3</w:t>
                  </w:r>
                </w:p>
              </w:tc>
              <w:tc>
                <w:tcPr>
                  <w:tcW w:w="1701"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1328"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98" w:type="dxa"/>
                  <w:vAlign w:val="center"/>
                </w:tcPr>
                <w:p>
                  <w:pPr>
                    <w:spacing w:line="240" w:lineRule="auto"/>
                    <w:ind w:firstLine="0" w:firstLineChars="0"/>
                    <w:jc w:val="center"/>
                    <w:rPr>
                      <w:sz w:val="21"/>
                      <w:szCs w:val="21"/>
                    </w:rPr>
                  </w:pPr>
                  <w:r>
                    <w:rPr>
                      <w:rFonts w:hint="eastAsia"/>
                      <w:sz w:val="21"/>
                      <w:szCs w:val="21"/>
                    </w:rPr>
                    <w:t>北</w:t>
                  </w:r>
                </w:p>
              </w:tc>
              <w:tc>
                <w:tcPr>
                  <w:tcW w:w="1276" w:type="dxa"/>
                  <w:vAlign w:val="center"/>
                </w:tcPr>
                <w:p>
                  <w:pPr>
                    <w:spacing w:line="240" w:lineRule="auto"/>
                    <w:ind w:firstLine="0" w:firstLineChars="0"/>
                    <w:jc w:val="center"/>
                    <w:rPr>
                      <w:sz w:val="21"/>
                      <w:szCs w:val="21"/>
                    </w:rPr>
                  </w:pPr>
                  <w:r>
                    <w:rPr>
                      <w:sz w:val="21"/>
                      <w:szCs w:val="21"/>
                    </w:rPr>
                    <w:t>昼间</w:t>
                  </w:r>
                </w:p>
              </w:tc>
              <w:tc>
                <w:tcPr>
                  <w:tcW w:w="2126" w:type="dxa"/>
                  <w:vAlign w:val="center"/>
                </w:tcPr>
                <w:p>
                  <w:pPr>
                    <w:spacing w:line="240" w:lineRule="auto"/>
                    <w:ind w:firstLine="0" w:firstLineChars="0"/>
                    <w:jc w:val="center"/>
                    <w:rPr>
                      <w:color w:val="FF0000"/>
                      <w:sz w:val="21"/>
                      <w:szCs w:val="21"/>
                      <w:u w:val="single"/>
                    </w:rPr>
                  </w:pPr>
                  <w:r>
                    <w:rPr>
                      <w:rFonts w:hint="eastAsia"/>
                      <w:sz w:val="21"/>
                      <w:szCs w:val="21"/>
                      <w:u w:val="single"/>
                    </w:rPr>
                    <w:t>13.2</w:t>
                  </w:r>
                </w:p>
              </w:tc>
              <w:tc>
                <w:tcPr>
                  <w:tcW w:w="1701"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1328"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98" w:type="dxa"/>
                  <w:vAlign w:val="center"/>
                </w:tcPr>
                <w:p>
                  <w:pPr>
                    <w:spacing w:line="240" w:lineRule="auto"/>
                    <w:ind w:firstLine="0" w:firstLineChars="0"/>
                    <w:jc w:val="center"/>
                    <w:rPr>
                      <w:sz w:val="21"/>
                      <w:szCs w:val="21"/>
                    </w:rPr>
                  </w:pPr>
                  <w:r>
                    <w:rPr>
                      <w:rFonts w:hint="eastAsia"/>
                      <w:sz w:val="21"/>
                      <w:szCs w:val="21"/>
                    </w:rPr>
                    <w:t>东北</w:t>
                  </w:r>
                </w:p>
              </w:tc>
              <w:tc>
                <w:tcPr>
                  <w:tcW w:w="1276" w:type="dxa"/>
                  <w:vAlign w:val="center"/>
                </w:tcPr>
                <w:p>
                  <w:pPr>
                    <w:spacing w:line="240" w:lineRule="auto"/>
                    <w:ind w:firstLine="0" w:firstLineChars="0"/>
                    <w:jc w:val="center"/>
                    <w:rPr>
                      <w:sz w:val="21"/>
                      <w:szCs w:val="21"/>
                    </w:rPr>
                  </w:pPr>
                  <w:r>
                    <w:rPr>
                      <w:sz w:val="21"/>
                      <w:szCs w:val="21"/>
                    </w:rPr>
                    <w:t>昼间</w:t>
                  </w:r>
                </w:p>
              </w:tc>
              <w:tc>
                <w:tcPr>
                  <w:tcW w:w="2126" w:type="dxa"/>
                  <w:vAlign w:val="center"/>
                </w:tcPr>
                <w:p>
                  <w:pPr>
                    <w:spacing w:line="240" w:lineRule="auto"/>
                    <w:ind w:firstLine="0" w:firstLineChars="0"/>
                    <w:jc w:val="center"/>
                    <w:rPr>
                      <w:color w:val="FF0000"/>
                      <w:sz w:val="21"/>
                      <w:szCs w:val="21"/>
                      <w:u w:val="single"/>
                    </w:rPr>
                  </w:pPr>
                  <w:r>
                    <w:rPr>
                      <w:rFonts w:hint="eastAsia"/>
                      <w:sz w:val="21"/>
                      <w:szCs w:val="21"/>
                      <w:u w:val="single"/>
                    </w:rPr>
                    <w:t>18.0</w:t>
                  </w:r>
                </w:p>
              </w:tc>
              <w:tc>
                <w:tcPr>
                  <w:tcW w:w="1701"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1328" w:type="dxa"/>
                  <w:vAlign w:val="center"/>
                </w:tcPr>
                <w:p>
                  <w:pPr>
                    <w:spacing w:line="240" w:lineRule="auto"/>
                    <w:ind w:firstLine="0" w:firstLineChars="0"/>
                    <w:jc w:val="center"/>
                    <w:rPr>
                      <w:sz w:val="21"/>
                      <w:szCs w:val="21"/>
                    </w:rPr>
                  </w:pPr>
                  <w:r>
                    <w:rPr>
                      <w:sz w:val="21"/>
                      <w:szCs w:val="21"/>
                    </w:rPr>
                    <w:t>达标</w:t>
                  </w:r>
                </w:p>
              </w:tc>
            </w:tr>
          </w:tbl>
          <w:p>
            <w:pPr>
              <w:spacing w:line="360" w:lineRule="auto"/>
              <w:ind w:firstLine="480"/>
              <w:rPr>
                <w:color w:val="FF0000"/>
                <w:u w:val="single"/>
              </w:rPr>
            </w:pPr>
            <w:r>
              <w:rPr>
                <w:rFonts w:hint="eastAsia"/>
                <w:u w:val="single"/>
              </w:rPr>
              <w:t>根据上述噪声预测结果，厂（边）界噪声昼间均能满足《工业企业厂界环境噪声排放标准》（</w:t>
            </w:r>
            <w:r>
              <w:rPr>
                <w:u w:val="single"/>
              </w:rPr>
              <w:t>GB 12348-2008</w:t>
            </w:r>
            <w:r>
              <w:rPr>
                <w:rFonts w:hint="eastAsia"/>
                <w:u w:val="single"/>
              </w:rPr>
              <w:t>）中2类标准要求。</w:t>
            </w:r>
          </w:p>
          <w:p>
            <w:pPr>
              <w:spacing w:line="360" w:lineRule="auto"/>
              <w:ind w:firstLine="480"/>
            </w:pPr>
            <w:r>
              <w:rPr>
                <w:rFonts w:hint="eastAsia"/>
              </w:rPr>
              <w:t>（2）声环境保护目标预测结果</w:t>
            </w:r>
          </w:p>
          <w:p>
            <w:pPr>
              <w:pStyle w:val="2"/>
              <w:spacing w:line="360" w:lineRule="auto"/>
              <w:rPr>
                <w:b w:val="0"/>
                <w:color w:val="auto"/>
              </w:rPr>
            </w:pPr>
            <w:r>
              <w:rPr>
                <w:rFonts w:hint="eastAsia"/>
                <w:b w:val="0"/>
                <w:color w:val="auto"/>
              </w:rPr>
              <w:t>表4</w:t>
            </w:r>
            <w:r>
              <w:rPr>
                <w:b w:val="0"/>
                <w:color w:val="auto"/>
              </w:rPr>
              <w:t xml:space="preserve">-6 </w:t>
            </w:r>
            <w:r>
              <w:rPr>
                <w:rFonts w:hint="eastAsia"/>
                <w:b w:val="0"/>
                <w:color w:val="auto"/>
              </w:rPr>
              <w:t>声环境保护目标噪声预测结果</w:t>
            </w:r>
          </w:p>
          <w:tbl>
            <w:tblPr>
              <w:tblStyle w:val="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25"/>
              <w:gridCol w:w="926"/>
              <w:gridCol w:w="1119"/>
              <w:gridCol w:w="1198"/>
              <w:gridCol w:w="1048"/>
              <w:gridCol w:w="1040"/>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5" w:type="dxa"/>
                  <w:vAlign w:val="center"/>
                </w:tcPr>
                <w:p>
                  <w:pPr>
                    <w:spacing w:line="240" w:lineRule="auto"/>
                    <w:ind w:firstLine="0" w:firstLineChars="0"/>
                    <w:jc w:val="center"/>
                    <w:rPr>
                      <w:sz w:val="21"/>
                      <w:szCs w:val="21"/>
                    </w:rPr>
                  </w:pPr>
                  <w:r>
                    <w:rPr>
                      <w:rFonts w:hint="eastAsia"/>
                      <w:sz w:val="21"/>
                      <w:szCs w:val="21"/>
                    </w:rPr>
                    <w:t>目标点位</w:t>
                  </w:r>
                </w:p>
              </w:tc>
              <w:tc>
                <w:tcPr>
                  <w:tcW w:w="926" w:type="dxa"/>
                  <w:vAlign w:val="center"/>
                </w:tcPr>
                <w:p>
                  <w:pPr>
                    <w:spacing w:line="240" w:lineRule="auto"/>
                    <w:ind w:firstLine="0" w:firstLineChars="0"/>
                    <w:jc w:val="center"/>
                    <w:rPr>
                      <w:sz w:val="21"/>
                      <w:szCs w:val="21"/>
                    </w:rPr>
                  </w:pPr>
                  <w:r>
                    <w:rPr>
                      <w:sz w:val="21"/>
                      <w:szCs w:val="21"/>
                    </w:rPr>
                    <w:t>时段</w:t>
                  </w:r>
                </w:p>
              </w:tc>
              <w:tc>
                <w:tcPr>
                  <w:tcW w:w="1119" w:type="dxa"/>
                  <w:vAlign w:val="center"/>
                </w:tcPr>
                <w:p>
                  <w:pPr>
                    <w:spacing w:line="240" w:lineRule="auto"/>
                    <w:ind w:firstLine="0" w:firstLineChars="0"/>
                    <w:jc w:val="center"/>
                    <w:rPr>
                      <w:sz w:val="21"/>
                      <w:szCs w:val="21"/>
                    </w:rPr>
                  </w:pPr>
                  <w:r>
                    <w:rPr>
                      <w:rFonts w:hint="eastAsia"/>
                      <w:sz w:val="21"/>
                      <w:szCs w:val="21"/>
                    </w:rPr>
                    <w:t>噪声现状值/dB(A)</w:t>
                  </w:r>
                </w:p>
              </w:tc>
              <w:tc>
                <w:tcPr>
                  <w:tcW w:w="1198" w:type="dxa"/>
                  <w:vAlign w:val="center"/>
                </w:tcPr>
                <w:p>
                  <w:pPr>
                    <w:spacing w:line="240" w:lineRule="auto"/>
                    <w:ind w:firstLine="0" w:firstLineChars="0"/>
                    <w:jc w:val="center"/>
                    <w:rPr>
                      <w:sz w:val="21"/>
                      <w:szCs w:val="21"/>
                    </w:rPr>
                  </w:pPr>
                  <w:r>
                    <w:rPr>
                      <w:rFonts w:hint="eastAsia"/>
                      <w:sz w:val="21"/>
                      <w:szCs w:val="21"/>
                    </w:rPr>
                    <w:t>噪声贡献值/dB(A)</w:t>
                  </w:r>
                </w:p>
              </w:tc>
              <w:tc>
                <w:tcPr>
                  <w:tcW w:w="1048" w:type="dxa"/>
                  <w:vAlign w:val="center"/>
                </w:tcPr>
                <w:p>
                  <w:pPr>
                    <w:spacing w:line="240" w:lineRule="auto"/>
                    <w:ind w:firstLine="0" w:firstLineChars="0"/>
                    <w:jc w:val="center"/>
                    <w:rPr>
                      <w:sz w:val="21"/>
                      <w:szCs w:val="21"/>
                    </w:rPr>
                  </w:pPr>
                  <w:r>
                    <w:rPr>
                      <w:sz w:val="21"/>
                      <w:szCs w:val="21"/>
                    </w:rPr>
                    <w:t>噪声</w:t>
                  </w:r>
                  <w:r>
                    <w:rPr>
                      <w:rFonts w:hint="eastAsia"/>
                      <w:sz w:val="21"/>
                      <w:szCs w:val="21"/>
                    </w:rPr>
                    <w:t>预测</w:t>
                  </w:r>
                  <w:r>
                    <w:rPr>
                      <w:sz w:val="21"/>
                      <w:szCs w:val="21"/>
                    </w:rPr>
                    <w:t>值/dB(A)</w:t>
                  </w:r>
                </w:p>
              </w:tc>
              <w:tc>
                <w:tcPr>
                  <w:tcW w:w="1040" w:type="dxa"/>
                  <w:vAlign w:val="center"/>
                </w:tcPr>
                <w:p>
                  <w:pPr>
                    <w:spacing w:line="240" w:lineRule="auto"/>
                    <w:ind w:firstLine="0" w:firstLineChars="0"/>
                    <w:jc w:val="center"/>
                    <w:rPr>
                      <w:sz w:val="21"/>
                      <w:szCs w:val="21"/>
                    </w:rPr>
                  </w:pPr>
                  <w:r>
                    <w:rPr>
                      <w:sz w:val="21"/>
                      <w:szCs w:val="21"/>
                    </w:rPr>
                    <w:t>噪声标准/dB(A)</w:t>
                  </w:r>
                </w:p>
              </w:tc>
              <w:tc>
                <w:tcPr>
                  <w:tcW w:w="673" w:type="dxa"/>
                  <w:vAlign w:val="center"/>
                </w:tcPr>
                <w:p>
                  <w:pPr>
                    <w:spacing w:line="240" w:lineRule="auto"/>
                    <w:ind w:firstLine="0" w:firstLineChars="0"/>
                    <w:jc w:val="center"/>
                    <w:rPr>
                      <w:sz w:val="21"/>
                      <w:szCs w:val="21"/>
                    </w:rPr>
                  </w:pPr>
                  <w:r>
                    <w:rPr>
                      <w:sz w:val="21"/>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5" w:type="dxa"/>
                  <w:vAlign w:val="center"/>
                </w:tcPr>
                <w:p>
                  <w:pPr>
                    <w:spacing w:line="240" w:lineRule="auto"/>
                    <w:ind w:firstLine="0" w:firstLineChars="0"/>
                    <w:jc w:val="center"/>
                    <w:rPr>
                      <w:sz w:val="21"/>
                      <w:szCs w:val="21"/>
                    </w:rPr>
                  </w:pPr>
                  <w:r>
                    <w:rPr>
                      <w:rFonts w:hint="eastAsia"/>
                      <w:sz w:val="21"/>
                      <w:szCs w:val="21"/>
                    </w:rPr>
                    <w:t>中大屋居民点1#</w:t>
                  </w:r>
                </w:p>
              </w:tc>
              <w:tc>
                <w:tcPr>
                  <w:tcW w:w="926" w:type="dxa"/>
                  <w:vAlign w:val="center"/>
                </w:tcPr>
                <w:p>
                  <w:pPr>
                    <w:spacing w:line="240" w:lineRule="auto"/>
                    <w:ind w:firstLine="0" w:firstLineChars="0"/>
                    <w:jc w:val="center"/>
                    <w:rPr>
                      <w:sz w:val="21"/>
                      <w:szCs w:val="21"/>
                    </w:rPr>
                  </w:pPr>
                  <w:r>
                    <w:rPr>
                      <w:sz w:val="21"/>
                      <w:szCs w:val="21"/>
                    </w:rPr>
                    <w:t>昼间</w:t>
                  </w:r>
                </w:p>
              </w:tc>
              <w:tc>
                <w:tcPr>
                  <w:tcW w:w="1119" w:type="dxa"/>
                  <w:vAlign w:val="center"/>
                </w:tcPr>
                <w:p>
                  <w:pPr>
                    <w:spacing w:line="240" w:lineRule="auto"/>
                    <w:ind w:firstLine="0" w:firstLineChars="0"/>
                    <w:jc w:val="center"/>
                    <w:rPr>
                      <w:sz w:val="21"/>
                      <w:szCs w:val="21"/>
                    </w:rPr>
                  </w:pPr>
                  <w:r>
                    <w:rPr>
                      <w:rFonts w:hint="eastAsia"/>
                      <w:sz w:val="21"/>
                      <w:szCs w:val="21"/>
                    </w:rPr>
                    <w:t>5</w:t>
                  </w:r>
                  <w:r>
                    <w:rPr>
                      <w:sz w:val="21"/>
                      <w:szCs w:val="21"/>
                    </w:rPr>
                    <w:t>0.0</w:t>
                  </w:r>
                </w:p>
              </w:tc>
              <w:tc>
                <w:tcPr>
                  <w:tcW w:w="1198" w:type="dxa"/>
                  <w:vAlign w:val="center"/>
                </w:tcPr>
                <w:p>
                  <w:pPr>
                    <w:spacing w:line="240" w:lineRule="auto"/>
                    <w:ind w:firstLine="0" w:firstLineChars="0"/>
                    <w:jc w:val="center"/>
                    <w:rPr>
                      <w:sz w:val="21"/>
                      <w:szCs w:val="21"/>
                      <w:u w:val="single"/>
                    </w:rPr>
                  </w:pPr>
                  <w:r>
                    <w:rPr>
                      <w:rFonts w:hint="eastAsia"/>
                      <w:sz w:val="21"/>
                      <w:szCs w:val="21"/>
                      <w:u w:val="single"/>
                    </w:rPr>
                    <w:t>35.0</w:t>
                  </w:r>
                </w:p>
              </w:tc>
              <w:tc>
                <w:tcPr>
                  <w:tcW w:w="1048" w:type="dxa"/>
                  <w:vAlign w:val="center"/>
                </w:tcPr>
                <w:p>
                  <w:pPr>
                    <w:spacing w:line="240" w:lineRule="auto"/>
                    <w:ind w:firstLine="0" w:firstLineChars="0"/>
                    <w:jc w:val="center"/>
                    <w:rPr>
                      <w:sz w:val="21"/>
                      <w:szCs w:val="21"/>
                      <w:u w:val="single"/>
                    </w:rPr>
                  </w:pPr>
                  <w:r>
                    <w:rPr>
                      <w:rFonts w:hint="eastAsia"/>
                      <w:sz w:val="21"/>
                      <w:szCs w:val="21"/>
                      <w:u w:val="single"/>
                    </w:rPr>
                    <w:t>50.1</w:t>
                  </w:r>
                </w:p>
              </w:tc>
              <w:tc>
                <w:tcPr>
                  <w:tcW w:w="1040"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673"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5" w:type="dxa"/>
                  <w:vAlign w:val="center"/>
                </w:tcPr>
                <w:p>
                  <w:pPr>
                    <w:spacing w:line="240" w:lineRule="auto"/>
                    <w:ind w:firstLine="0" w:firstLineChars="0"/>
                    <w:jc w:val="center"/>
                    <w:rPr>
                      <w:sz w:val="21"/>
                      <w:szCs w:val="21"/>
                    </w:rPr>
                  </w:pPr>
                  <w:r>
                    <w:rPr>
                      <w:rFonts w:hint="eastAsia"/>
                      <w:sz w:val="21"/>
                      <w:szCs w:val="21"/>
                    </w:rPr>
                    <w:t>上大屋居民点2#</w:t>
                  </w:r>
                </w:p>
              </w:tc>
              <w:tc>
                <w:tcPr>
                  <w:tcW w:w="926" w:type="dxa"/>
                  <w:vAlign w:val="center"/>
                </w:tcPr>
                <w:p>
                  <w:pPr>
                    <w:spacing w:line="240" w:lineRule="auto"/>
                    <w:ind w:firstLine="0" w:firstLineChars="0"/>
                    <w:jc w:val="center"/>
                    <w:rPr>
                      <w:sz w:val="21"/>
                      <w:szCs w:val="21"/>
                    </w:rPr>
                  </w:pPr>
                  <w:r>
                    <w:rPr>
                      <w:sz w:val="21"/>
                      <w:szCs w:val="21"/>
                    </w:rPr>
                    <w:t>昼间</w:t>
                  </w:r>
                </w:p>
              </w:tc>
              <w:tc>
                <w:tcPr>
                  <w:tcW w:w="1119" w:type="dxa"/>
                  <w:vAlign w:val="center"/>
                </w:tcPr>
                <w:p>
                  <w:pPr>
                    <w:spacing w:line="240" w:lineRule="auto"/>
                    <w:ind w:firstLine="0" w:firstLineChars="0"/>
                    <w:jc w:val="center"/>
                    <w:rPr>
                      <w:sz w:val="21"/>
                      <w:szCs w:val="21"/>
                    </w:rPr>
                  </w:pPr>
                  <w:r>
                    <w:rPr>
                      <w:rFonts w:hint="eastAsia"/>
                      <w:sz w:val="21"/>
                      <w:szCs w:val="21"/>
                    </w:rPr>
                    <w:t>4</w:t>
                  </w:r>
                  <w:r>
                    <w:rPr>
                      <w:sz w:val="21"/>
                      <w:szCs w:val="21"/>
                    </w:rPr>
                    <w:t>9.1</w:t>
                  </w:r>
                </w:p>
              </w:tc>
              <w:tc>
                <w:tcPr>
                  <w:tcW w:w="1198" w:type="dxa"/>
                  <w:vAlign w:val="center"/>
                </w:tcPr>
                <w:p>
                  <w:pPr>
                    <w:spacing w:line="240" w:lineRule="auto"/>
                    <w:ind w:firstLine="0" w:firstLineChars="0"/>
                    <w:jc w:val="center"/>
                    <w:rPr>
                      <w:sz w:val="21"/>
                      <w:szCs w:val="21"/>
                      <w:u w:val="single"/>
                    </w:rPr>
                  </w:pPr>
                  <w:r>
                    <w:rPr>
                      <w:rFonts w:hint="eastAsia"/>
                      <w:sz w:val="21"/>
                      <w:szCs w:val="21"/>
                      <w:u w:val="single"/>
                    </w:rPr>
                    <w:t>14.3</w:t>
                  </w:r>
                </w:p>
              </w:tc>
              <w:tc>
                <w:tcPr>
                  <w:tcW w:w="1048" w:type="dxa"/>
                  <w:vAlign w:val="center"/>
                </w:tcPr>
                <w:p>
                  <w:pPr>
                    <w:spacing w:line="240" w:lineRule="auto"/>
                    <w:ind w:firstLine="0" w:firstLineChars="0"/>
                    <w:jc w:val="center"/>
                    <w:rPr>
                      <w:sz w:val="21"/>
                      <w:szCs w:val="21"/>
                      <w:u w:val="single"/>
                    </w:rPr>
                  </w:pPr>
                  <w:r>
                    <w:rPr>
                      <w:rFonts w:hint="eastAsia"/>
                      <w:sz w:val="21"/>
                      <w:szCs w:val="21"/>
                      <w:u w:val="single"/>
                    </w:rPr>
                    <w:t>49.1</w:t>
                  </w:r>
                </w:p>
              </w:tc>
              <w:tc>
                <w:tcPr>
                  <w:tcW w:w="1040"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673"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5" w:type="dxa"/>
                  <w:vAlign w:val="center"/>
                </w:tcPr>
                <w:p>
                  <w:pPr>
                    <w:spacing w:line="240" w:lineRule="auto"/>
                    <w:ind w:firstLine="0" w:firstLineChars="0"/>
                    <w:jc w:val="center"/>
                    <w:rPr>
                      <w:sz w:val="21"/>
                      <w:szCs w:val="21"/>
                    </w:rPr>
                  </w:pPr>
                  <w:r>
                    <w:rPr>
                      <w:rFonts w:hint="eastAsia"/>
                      <w:sz w:val="21"/>
                      <w:szCs w:val="21"/>
                    </w:rPr>
                    <w:t>大阳冲居民点3#</w:t>
                  </w:r>
                </w:p>
              </w:tc>
              <w:tc>
                <w:tcPr>
                  <w:tcW w:w="926" w:type="dxa"/>
                  <w:vAlign w:val="center"/>
                </w:tcPr>
                <w:p>
                  <w:pPr>
                    <w:spacing w:line="240" w:lineRule="auto"/>
                    <w:ind w:firstLine="0" w:firstLineChars="0"/>
                    <w:jc w:val="center"/>
                    <w:rPr>
                      <w:sz w:val="21"/>
                      <w:szCs w:val="21"/>
                    </w:rPr>
                  </w:pPr>
                  <w:r>
                    <w:rPr>
                      <w:sz w:val="21"/>
                      <w:szCs w:val="21"/>
                    </w:rPr>
                    <w:t>昼间</w:t>
                  </w:r>
                </w:p>
              </w:tc>
              <w:tc>
                <w:tcPr>
                  <w:tcW w:w="1119" w:type="dxa"/>
                  <w:vAlign w:val="center"/>
                </w:tcPr>
                <w:p>
                  <w:pPr>
                    <w:spacing w:line="240" w:lineRule="auto"/>
                    <w:ind w:firstLine="0" w:firstLineChars="0"/>
                    <w:jc w:val="center"/>
                    <w:rPr>
                      <w:sz w:val="21"/>
                      <w:szCs w:val="21"/>
                    </w:rPr>
                  </w:pPr>
                  <w:r>
                    <w:rPr>
                      <w:rFonts w:hint="eastAsia"/>
                      <w:sz w:val="21"/>
                      <w:szCs w:val="21"/>
                    </w:rPr>
                    <w:t>4</w:t>
                  </w:r>
                  <w:r>
                    <w:rPr>
                      <w:sz w:val="21"/>
                      <w:szCs w:val="21"/>
                    </w:rPr>
                    <w:t>8.6</w:t>
                  </w:r>
                </w:p>
              </w:tc>
              <w:tc>
                <w:tcPr>
                  <w:tcW w:w="1198" w:type="dxa"/>
                  <w:vAlign w:val="center"/>
                </w:tcPr>
                <w:p>
                  <w:pPr>
                    <w:spacing w:line="240" w:lineRule="auto"/>
                    <w:ind w:firstLine="0" w:firstLineChars="0"/>
                    <w:jc w:val="center"/>
                    <w:rPr>
                      <w:sz w:val="21"/>
                      <w:szCs w:val="21"/>
                      <w:u w:val="single"/>
                    </w:rPr>
                  </w:pPr>
                  <w:r>
                    <w:rPr>
                      <w:rFonts w:hint="eastAsia"/>
                      <w:sz w:val="21"/>
                      <w:szCs w:val="21"/>
                      <w:u w:val="single"/>
                    </w:rPr>
                    <w:t>19.9</w:t>
                  </w:r>
                </w:p>
              </w:tc>
              <w:tc>
                <w:tcPr>
                  <w:tcW w:w="1048" w:type="dxa"/>
                  <w:vAlign w:val="center"/>
                </w:tcPr>
                <w:p>
                  <w:pPr>
                    <w:spacing w:line="240" w:lineRule="auto"/>
                    <w:ind w:firstLine="0" w:firstLineChars="0"/>
                    <w:jc w:val="center"/>
                    <w:rPr>
                      <w:sz w:val="21"/>
                      <w:szCs w:val="21"/>
                      <w:u w:val="single"/>
                    </w:rPr>
                  </w:pPr>
                  <w:r>
                    <w:rPr>
                      <w:rFonts w:hint="eastAsia"/>
                      <w:sz w:val="21"/>
                      <w:szCs w:val="21"/>
                      <w:u w:val="single"/>
                    </w:rPr>
                    <w:t>48.6</w:t>
                  </w:r>
                </w:p>
              </w:tc>
              <w:tc>
                <w:tcPr>
                  <w:tcW w:w="1040"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673"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5" w:type="dxa"/>
                  <w:vAlign w:val="center"/>
                </w:tcPr>
                <w:p>
                  <w:pPr>
                    <w:spacing w:line="240" w:lineRule="auto"/>
                    <w:ind w:firstLine="0" w:firstLineChars="0"/>
                    <w:jc w:val="center"/>
                    <w:rPr>
                      <w:sz w:val="21"/>
                      <w:szCs w:val="21"/>
                    </w:rPr>
                  </w:pPr>
                  <w:r>
                    <w:rPr>
                      <w:rFonts w:hint="eastAsia"/>
                      <w:sz w:val="21"/>
                      <w:szCs w:val="21"/>
                    </w:rPr>
                    <w:t>桐子坡居民点4#</w:t>
                  </w:r>
                </w:p>
              </w:tc>
              <w:tc>
                <w:tcPr>
                  <w:tcW w:w="926" w:type="dxa"/>
                  <w:vAlign w:val="center"/>
                </w:tcPr>
                <w:p>
                  <w:pPr>
                    <w:spacing w:line="240" w:lineRule="auto"/>
                    <w:ind w:firstLine="0" w:firstLineChars="0"/>
                    <w:jc w:val="center"/>
                    <w:rPr>
                      <w:sz w:val="21"/>
                      <w:szCs w:val="21"/>
                    </w:rPr>
                  </w:pPr>
                  <w:r>
                    <w:rPr>
                      <w:sz w:val="21"/>
                      <w:szCs w:val="21"/>
                    </w:rPr>
                    <w:t>昼间</w:t>
                  </w:r>
                </w:p>
              </w:tc>
              <w:tc>
                <w:tcPr>
                  <w:tcW w:w="1119" w:type="dxa"/>
                  <w:vAlign w:val="center"/>
                </w:tcPr>
                <w:p>
                  <w:pPr>
                    <w:spacing w:line="240" w:lineRule="auto"/>
                    <w:ind w:firstLine="0" w:firstLineChars="0"/>
                    <w:jc w:val="center"/>
                    <w:rPr>
                      <w:sz w:val="21"/>
                      <w:szCs w:val="21"/>
                    </w:rPr>
                  </w:pPr>
                  <w:r>
                    <w:rPr>
                      <w:rFonts w:hint="eastAsia"/>
                      <w:sz w:val="21"/>
                      <w:szCs w:val="21"/>
                    </w:rPr>
                    <w:t>4</w:t>
                  </w:r>
                  <w:r>
                    <w:rPr>
                      <w:sz w:val="21"/>
                      <w:szCs w:val="21"/>
                    </w:rPr>
                    <w:t>7.1</w:t>
                  </w:r>
                </w:p>
              </w:tc>
              <w:tc>
                <w:tcPr>
                  <w:tcW w:w="1198" w:type="dxa"/>
                  <w:vAlign w:val="center"/>
                </w:tcPr>
                <w:p>
                  <w:pPr>
                    <w:spacing w:line="240" w:lineRule="auto"/>
                    <w:ind w:firstLine="0" w:firstLineChars="0"/>
                    <w:jc w:val="center"/>
                    <w:rPr>
                      <w:sz w:val="21"/>
                      <w:szCs w:val="21"/>
                      <w:u w:val="single"/>
                    </w:rPr>
                  </w:pPr>
                  <w:r>
                    <w:rPr>
                      <w:rFonts w:hint="eastAsia"/>
                      <w:sz w:val="21"/>
                      <w:szCs w:val="21"/>
                      <w:u w:val="single"/>
                    </w:rPr>
                    <w:t>12.0</w:t>
                  </w:r>
                </w:p>
              </w:tc>
              <w:tc>
                <w:tcPr>
                  <w:tcW w:w="1048" w:type="dxa"/>
                  <w:vAlign w:val="center"/>
                </w:tcPr>
                <w:p>
                  <w:pPr>
                    <w:spacing w:line="240" w:lineRule="auto"/>
                    <w:ind w:firstLine="0" w:firstLineChars="0"/>
                    <w:jc w:val="center"/>
                    <w:rPr>
                      <w:sz w:val="21"/>
                      <w:szCs w:val="21"/>
                      <w:u w:val="single"/>
                    </w:rPr>
                  </w:pPr>
                  <w:r>
                    <w:rPr>
                      <w:rFonts w:hint="eastAsia"/>
                      <w:sz w:val="21"/>
                      <w:szCs w:val="21"/>
                      <w:u w:val="single"/>
                    </w:rPr>
                    <w:t>47.1</w:t>
                  </w:r>
                </w:p>
              </w:tc>
              <w:tc>
                <w:tcPr>
                  <w:tcW w:w="1040"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673" w:type="dxa"/>
                  <w:vAlign w:val="center"/>
                </w:tcPr>
                <w:p>
                  <w:pPr>
                    <w:spacing w:line="240" w:lineRule="auto"/>
                    <w:ind w:firstLine="0" w:firstLineChars="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25" w:type="dxa"/>
                  <w:vAlign w:val="center"/>
                </w:tcPr>
                <w:p>
                  <w:pPr>
                    <w:spacing w:line="240" w:lineRule="auto"/>
                    <w:ind w:firstLine="0" w:firstLineChars="0"/>
                    <w:jc w:val="center"/>
                    <w:rPr>
                      <w:sz w:val="21"/>
                      <w:szCs w:val="21"/>
                    </w:rPr>
                  </w:pPr>
                  <w:r>
                    <w:rPr>
                      <w:rFonts w:hint="eastAsia"/>
                      <w:sz w:val="21"/>
                      <w:szCs w:val="21"/>
                    </w:rPr>
                    <w:t>桐子坡居民点5#</w:t>
                  </w:r>
                </w:p>
              </w:tc>
              <w:tc>
                <w:tcPr>
                  <w:tcW w:w="926" w:type="dxa"/>
                  <w:vAlign w:val="center"/>
                </w:tcPr>
                <w:p>
                  <w:pPr>
                    <w:spacing w:line="240" w:lineRule="auto"/>
                    <w:ind w:firstLine="0" w:firstLineChars="0"/>
                    <w:jc w:val="center"/>
                    <w:rPr>
                      <w:sz w:val="21"/>
                      <w:szCs w:val="21"/>
                    </w:rPr>
                  </w:pPr>
                  <w:r>
                    <w:rPr>
                      <w:sz w:val="21"/>
                      <w:szCs w:val="21"/>
                    </w:rPr>
                    <w:t>昼间</w:t>
                  </w:r>
                </w:p>
              </w:tc>
              <w:tc>
                <w:tcPr>
                  <w:tcW w:w="1119" w:type="dxa"/>
                  <w:vAlign w:val="center"/>
                </w:tcPr>
                <w:p>
                  <w:pPr>
                    <w:spacing w:line="240" w:lineRule="auto"/>
                    <w:ind w:firstLine="0" w:firstLineChars="0"/>
                    <w:jc w:val="center"/>
                    <w:rPr>
                      <w:sz w:val="21"/>
                      <w:szCs w:val="21"/>
                    </w:rPr>
                  </w:pPr>
                  <w:r>
                    <w:rPr>
                      <w:rFonts w:hint="eastAsia"/>
                      <w:sz w:val="21"/>
                      <w:szCs w:val="21"/>
                    </w:rPr>
                    <w:t>4</w:t>
                  </w:r>
                  <w:r>
                    <w:rPr>
                      <w:sz w:val="21"/>
                      <w:szCs w:val="21"/>
                    </w:rPr>
                    <w:t>8.2</w:t>
                  </w:r>
                </w:p>
              </w:tc>
              <w:tc>
                <w:tcPr>
                  <w:tcW w:w="1198" w:type="dxa"/>
                  <w:vAlign w:val="center"/>
                </w:tcPr>
                <w:p>
                  <w:pPr>
                    <w:spacing w:line="240" w:lineRule="auto"/>
                    <w:ind w:firstLine="0" w:firstLineChars="0"/>
                    <w:jc w:val="center"/>
                    <w:rPr>
                      <w:sz w:val="21"/>
                      <w:szCs w:val="21"/>
                      <w:u w:val="single"/>
                    </w:rPr>
                  </w:pPr>
                  <w:r>
                    <w:rPr>
                      <w:rFonts w:hint="eastAsia"/>
                      <w:sz w:val="21"/>
                      <w:szCs w:val="21"/>
                      <w:u w:val="single"/>
                    </w:rPr>
                    <w:t>13.0</w:t>
                  </w:r>
                </w:p>
              </w:tc>
              <w:tc>
                <w:tcPr>
                  <w:tcW w:w="1048" w:type="dxa"/>
                  <w:vAlign w:val="center"/>
                </w:tcPr>
                <w:p>
                  <w:pPr>
                    <w:spacing w:line="240" w:lineRule="auto"/>
                    <w:ind w:firstLine="0" w:firstLineChars="0"/>
                    <w:jc w:val="center"/>
                    <w:rPr>
                      <w:sz w:val="21"/>
                      <w:szCs w:val="21"/>
                      <w:u w:val="single"/>
                    </w:rPr>
                  </w:pPr>
                  <w:r>
                    <w:rPr>
                      <w:rFonts w:hint="eastAsia"/>
                      <w:sz w:val="21"/>
                      <w:szCs w:val="21"/>
                      <w:u w:val="single"/>
                    </w:rPr>
                    <w:t>48.2</w:t>
                  </w:r>
                </w:p>
              </w:tc>
              <w:tc>
                <w:tcPr>
                  <w:tcW w:w="1040" w:type="dxa"/>
                  <w:vAlign w:val="center"/>
                </w:tcPr>
                <w:p>
                  <w:pPr>
                    <w:spacing w:line="240" w:lineRule="auto"/>
                    <w:ind w:firstLine="0" w:firstLineChars="0"/>
                    <w:jc w:val="center"/>
                    <w:rPr>
                      <w:sz w:val="21"/>
                      <w:szCs w:val="21"/>
                      <w:u w:val="single"/>
                    </w:rPr>
                  </w:pPr>
                  <w:r>
                    <w:rPr>
                      <w:rFonts w:hint="eastAsia"/>
                      <w:sz w:val="21"/>
                      <w:szCs w:val="21"/>
                      <w:u w:val="single"/>
                    </w:rPr>
                    <w:t>60</w:t>
                  </w:r>
                </w:p>
              </w:tc>
              <w:tc>
                <w:tcPr>
                  <w:tcW w:w="673" w:type="dxa"/>
                  <w:vAlign w:val="center"/>
                </w:tcPr>
                <w:p>
                  <w:pPr>
                    <w:spacing w:line="240" w:lineRule="auto"/>
                    <w:ind w:firstLine="0" w:firstLineChars="0"/>
                    <w:jc w:val="center"/>
                    <w:rPr>
                      <w:sz w:val="21"/>
                      <w:szCs w:val="21"/>
                    </w:rPr>
                  </w:pPr>
                  <w:r>
                    <w:rPr>
                      <w:sz w:val="21"/>
                      <w:szCs w:val="21"/>
                    </w:rPr>
                    <w:t>达标</w:t>
                  </w:r>
                </w:p>
              </w:tc>
            </w:tr>
          </w:tbl>
          <w:p>
            <w:pPr>
              <w:spacing w:line="360" w:lineRule="auto"/>
              <w:ind w:firstLine="480"/>
              <w:rPr>
                <w:u w:val="single"/>
              </w:rPr>
            </w:pPr>
            <w:r>
              <w:rPr>
                <w:rFonts w:hint="eastAsia"/>
                <w:u w:val="single"/>
              </w:rPr>
              <w:t>根据上述噪声预测结果，项目在采取封闭生产、设备减振、隔声降噪、高噪声设备远离居民点措施，同时通过加强厂区绿化的情况下，声环境保护目标昼间噪声均能满足《声环境质量标准》（GB 3096-2008）中2类标准要求。</w:t>
            </w:r>
          </w:p>
          <w:p>
            <w:pPr>
              <w:spacing w:line="360" w:lineRule="auto"/>
              <w:ind w:firstLine="0" w:firstLineChars="0"/>
              <w:rPr>
                <w:b/>
                <w:sz w:val="28"/>
              </w:rPr>
            </w:pPr>
            <w:r>
              <w:rPr>
                <w:rFonts w:hint="eastAsia"/>
                <w:b/>
                <w:sz w:val="28"/>
              </w:rPr>
              <w:t>4、固体废物</w:t>
            </w:r>
          </w:p>
          <w:p>
            <w:pPr>
              <w:spacing w:line="360" w:lineRule="auto"/>
              <w:ind w:firstLine="480"/>
            </w:pPr>
            <w:r>
              <w:rPr>
                <w:rFonts w:hint="eastAsia"/>
              </w:rPr>
              <w:t>项目固废主要为员工生活垃圾、剥离表土、尾泥（污泥）、废含油抹布和手套、废润滑油、废油桶。</w:t>
            </w:r>
          </w:p>
          <w:p>
            <w:pPr>
              <w:spacing w:line="360" w:lineRule="auto"/>
              <w:ind w:firstLine="480"/>
            </w:pPr>
            <w:r>
              <w:rPr>
                <w:rFonts w:hint="eastAsia"/>
              </w:rPr>
              <w:t>（</w:t>
            </w:r>
            <w:r>
              <w:t>1</w:t>
            </w:r>
            <w:r>
              <w:rPr>
                <w:rFonts w:hint="eastAsia"/>
              </w:rPr>
              <w:t>）员工生活垃圾</w:t>
            </w:r>
          </w:p>
          <w:p>
            <w:pPr>
              <w:spacing w:line="360" w:lineRule="auto"/>
              <w:ind w:firstLine="480"/>
            </w:pPr>
            <w:r>
              <w:rPr>
                <w:rFonts w:hint="eastAsia"/>
              </w:rPr>
              <w:t>本项目拟定劳动定员</w:t>
            </w:r>
            <w:r>
              <w:t>30</w:t>
            </w:r>
            <w:r>
              <w:rPr>
                <w:rFonts w:hint="eastAsia"/>
              </w:rPr>
              <w:t>人，均在厂区内食宿，员工生活垃圾按照1</w:t>
            </w:r>
            <w:r>
              <w:t>.0</w:t>
            </w:r>
            <w:r>
              <w:rPr>
                <w:rFonts w:hint="eastAsia"/>
              </w:rPr>
              <w:t>kg</w:t>
            </w:r>
            <w:r>
              <w:t>/</w:t>
            </w:r>
            <w:r>
              <w:rPr>
                <w:rFonts w:hint="eastAsia"/>
              </w:rPr>
              <w:t>人•</w:t>
            </w:r>
            <w:r>
              <w:t>d</w:t>
            </w:r>
            <w:r>
              <w:rPr>
                <w:rFonts w:hint="eastAsia"/>
              </w:rPr>
              <w:t>计，则生活垃圾产生量为</w:t>
            </w:r>
            <w:r>
              <w:t>0.03t/d</w:t>
            </w:r>
            <w:r>
              <w:rPr>
                <w:rFonts w:hint="eastAsia"/>
              </w:rPr>
              <w:t>（</w:t>
            </w:r>
            <w:r>
              <w:t>9t/a</w:t>
            </w:r>
            <w:r>
              <w:rPr>
                <w:rFonts w:hint="eastAsia"/>
              </w:rPr>
              <w:t>）。在厂区内设置垃圾桶，交由环卫部门统一清运处理。</w:t>
            </w:r>
          </w:p>
          <w:p>
            <w:pPr>
              <w:spacing w:line="360" w:lineRule="auto"/>
              <w:ind w:firstLine="480"/>
            </w:pPr>
            <w:r>
              <w:rPr>
                <w:rFonts w:hint="eastAsia"/>
              </w:rPr>
              <w:t>（2）剥离表土</w:t>
            </w:r>
          </w:p>
          <w:p>
            <w:pPr>
              <w:spacing w:line="360" w:lineRule="auto"/>
              <w:ind w:firstLine="480"/>
            </w:pPr>
            <w:r>
              <w:rPr>
                <w:rFonts w:hint="eastAsia"/>
              </w:rPr>
              <w:t>本项目矿区剥离表土约1</w:t>
            </w:r>
            <w:r>
              <w:t>29230</w:t>
            </w:r>
            <w:r>
              <w:rPr>
                <w:rFonts w:hint="eastAsia"/>
              </w:rPr>
              <w:t>m</w:t>
            </w:r>
            <w:r>
              <w:rPr>
                <w:vertAlign w:val="superscript"/>
              </w:rPr>
              <w:t>3</w:t>
            </w:r>
            <w:r>
              <w:t>/</w:t>
            </w:r>
            <w:r>
              <w:rPr>
                <w:rFonts w:hint="eastAsia"/>
              </w:rPr>
              <w:t>a，暂存于表土临时堆置场用于矿区复垦复绿。</w:t>
            </w:r>
          </w:p>
          <w:p>
            <w:pPr>
              <w:spacing w:line="360" w:lineRule="auto"/>
              <w:ind w:firstLine="480"/>
            </w:pPr>
            <w:r>
              <w:rPr>
                <w:rFonts w:hint="eastAsia"/>
              </w:rPr>
              <w:t>（3）尾泥（污泥）</w:t>
            </w:r>
          </w:p>
          <w:p>
            <w:pPr>
              <w:spacing w:line="360" w:lineRule="auto"/>
              <w:ind w:firstLine="480"/>
            </w:pPr>
            <w:r>
              <w:rPr>
                <w:rFonts w:hint="eastAsia"/>
              </w:rPr>
              <w:t>本项目废水经沉淀池沉淀处理后回用，废水中含有一定量的泥沙，建设单位需定期清理沉渣。经计算，尾泥（污泥）约177120t</w:t>
            </w:r>
            <w:r>
              <w:t>/</w:t>
            </w:r>
            <w:r>
              <w:rPr>
                <w:rFonts w:hint="eastAsia"/>
              </w:rPr>
              <w:t>a，</w:t>
            </w:r>
            <w:r>
              <w:rPr>
                <w:rFonts w:hint="eastAsia"/>
                <w:szCs w:val="21"/>
              </w:rPr>
              <w:t>暂存于泥饼池后外运用于湘阴县高新区建设用填方（附件9）。</w:t>
            </w:r>
          </w:p>
          <w:p>
            <w:pPr>
              <w:spacing w:line="360" w:lineRule="auto"/>
              <w:ind w:firstLine="480"/>
            </w:pPr>
            <w:r>
              <w:rPr>
                <w:rFonts w:hint="eastAsia"/>
              </w:rPr>
              <w:t>（4）废含油抹布和手套</w:t>
            </w:r>
          </w:p>
          <w:p>
            <w:pPr>
              <w:spacing w:line="360" w:lineRule="auto"/>
              <w:ind w:firstLine="480"/>
            </w:pPr>
            <w:r>
              <w:rPr>
                <w:rFonts w:hint="eastAsia"/>
              </w:rPr>
              <w:t>本项目机修过程中会产生含油废抹布和手套，产生量约为0.</w:t>
            </w:r>
            <w:r>
              <w:t>4</w:t>
            </w:r>
            <w:r>
              <w:rPr>
                <w:rFonts w:hint="eastAsia"/>
              </w:rPr>
              <w:t>t/a；对照《国家危险废物名录》（2021年版），属于HW49其他废物，危废代码900-041-49，暂存于危险废物暂存间，交由有资质单位处置。</w:t>
            </w:r>
          </w:p>
          <w:p>
            <w:pPr>
              <w:spacing w:line="360" w:lineRule="auto"/>
              <w:ind w:firstLine="480"/>
            </w:pPr>
            <w:r>
              <w:rPr>
                <w:rFonts w:hint="eastAsia"/>
              </w:rPr>
              <w:t>（5）废润滑油、废油桶</w:t>
            </w:r>
          </w:p>
          <w:p>
            <w:pPr>
              <w:spacing w:line="360" w:lineRule="auto"/>
              <w:ind w:firstLine="480"/>
            </w:pPr>
            <w:r>
              <w:rPr>
                <w:rFonts w:hint="eastAsia"/>
              </w:rPr>
              <w:t>本项目生产设备维护及检修会产生废润滑油，产生量为0.</w:t>
            </w:r>
            <w:r>
              <w:t>02</w:t>
            </w:r>
            <w:r>
              <w:rPr>
                <w:rFonts w:hint="eastAsia"/>
              </w:rPr>
              <w:t>t/a。对照《国家危险废物名录》（2021年版），属于危险废物HW08废矿物油与含矿物油废物，危废代码900-</w:t>
            </w:r>
            <w:r>
              <w:t>217-</w:t>
            </w:r>
            <w:r>
              <w:rPr>
                <w:rFonts w:hint="eastAsia"/>
              </w:rPr>
              <w:t>08；废润滑油桶产生量为0.1t/a。对照《国家危险废物名录》（2021年版），属于危险废物HW</w:t>
            </w:r>
            <w:r>
              <w:t>08</w:t>
            </w:r>
            <w:r>
              <w:rPr>
                <w:rFonts w:hint="eastAsia"/>
              </w:rPr>
              <w:t>废矿物油与含矿物油废物，危废代码900-</w:t>
            </w:r>
            <w:r>
              <w:t>249-08</w:t>
            </w:r>
            <w:r>
              <w:rPr>
                <w:rFonts w:hint="eastAsia"/>
              </w:rPr>
              <w:t>。废润滑油、废油桶分类暂存于危险废物暂存间，交由有资质单位处置。</w:t>
            </w:r>
          </w:p>
          <w:p>
            <w:pPr>
              <w:pStyle w:val="48"/>
              <w:adjustRightInd w:val="0"/>
              <w:snapToGrid w:val="0"/>
              <w:rPr>
                <w:rFonts w:cs="宋体"/>
                <w:kern w:val="0"/>
              </w:rPr>
            </w:pPr>
            <w:bookmarkStart w:id="27" w:name="_Ref484446068"/>
            <w:r>
              <w:rPr>
                <w:rFonts w:hint="eastAsia" w:cs="宋体"/>
                <w:kern w:val="0"/>
              </w:rPr>
              <w:t>项目</w:t>
            </w:r>
            <w:r>
              <w:rPr>
                <w:rFonts w:hint="eastAsia"/>
              </w:rPr>
              <w:t>运营期</w:t>
            </w:r>
            <w:r>
              <w:rPr>
                <w:rFonts w:hint="eastAsia" w:cs="宋体"/>
                <w:kern w:val="0"/>
              </w:rPr>
              <w:t>固体废物产生情况具体见下表。</w:t>
            </w:r>
          </w:p>
          <w:p>
            <w:pPr>
              <w:pStyle w:val="48"/>
              <w:adjustRightInd w:val="0"/>
              <w:snapToGrid w:val="0"/>
              <w:ind w:firstLine="200" w:firstLineChars="0"/>
              <w:jc w:val="center"/>
              <w:rPr>
                <w:rFonts w:cs="宋体"/>
                <w:kern w:val="0"/>
              </w:rPr>
            </w:pPr>
            <w:r>
              <w:rPr>
                <w:rFonts w:hint="eastAsia" w:cs="宋体"/>
                <w:kern w:val="0"/>
              </w:rPr>
              <w:t>表</w:t>
            </w:r>
            <w:r>
              <w:rPr>
                <w:rFonts w:cs="宋体"/>
                <w:kern w:val="0"/>
              </w:rPr>
              <w:t xml:space="preserve">4-7 </w:t>
            </w:r>
            <w:r>
              <w:rPr>
                <w:rFonts w:hint="eastAsia" w:cs="宋体"/>
                <w:kern w:val="0"/>
              </w:rPr>
              <w:t>项目固体废物产生及处置情况一览表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1897"/>
              <w:gridCol w:w="1099"/>
              <w:gridCol w:w="1274"/>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序号</w:t>
                  </w:r>
                </w:p>
              </w:tc>
              <w:tc>
                <w:tcPr>
                  <w:tcW w:w="1897"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名称</w:t>
                  </w:r>
                </w:p>
              </w:tc>
              <w:tc>
                <w:tcPr>
                  <w:tcW w:w="1099"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废物属性</w:t>
                  </w:r>
                </w:p>
              </w:tc>
              <w:tc>
                <w:tcPr>
                  <w:tcW w:w="127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产生量</w:t>
                  </w:r>
                </w:p>
              </w:tc>
              <w:tc>
                <w:tcPr>
                  <w:tcW w:w="283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1</w:t>
                  </w:r>
                </w:p>
              </w:tc>
              <w:tc>
                <w:tcPr>
                  <w:tcW w:w="1897" w:type="dxa"/>
                  <w:shd w:val="clear" w:color="auto" w:fill="auto"/>
                  <w:vAlign w:val="center"/>
                </w:tcPr>
                <w:p>
                  <w:pPr>
                    <w:pStyle w:val="66"/>
                    <w:spacing w:line="240" w:lineRule="auto"/>
                    <w:rPr>
                      <w:rFonts w:cs="宋体"/>
                    </w:rPr>
                  </w:pPr>
                  <w:r>
                    <w:rPr>
                      <w:rFonts w:hint="eastAsia" w:cs="宋体"/>
                    </w:rPr>
                    <w:t>员工生活垃圾</w:t>
                  </w:r>
                </w:p>
              </w:tc>
              <w:tc>
                <w:tcPr>
                  <w:tcW w:w="1099"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生活垃圾</w:t>
                  </w:r>
                </w:p>
              </w:tc>
              <w:tc>
                <w:tcPr>
                  <w:tcW w:w="127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9 t</w:t>
                  </w:r>
                  <w:r>
                    <w:rPr>
                      <w:rFonts w:cs="宋体"/>
                      <w:kern w:val="0"/>
                      <w:sz w:val="21"/>
                      <w:szCs w:val="21"/>
                    </w:rPr>
                    <w:t>/</w:t>
                  </w:r>
                  <w:r>
                    <w:rPr>
                      <w:rFonts w:hint="eastAsia" w:cs="宋体"/>
                      <w:kern w:val="0"/>
                      <w:sz w:val="21"/>
                      <w:szCs w:val="21"/>
                    </w:rPr>
                    <w:t>a</w:t>
                  </w:r>
                </w:p>
              </w:tc>
              <w:tc>
                <w:tcPr>
                  <w:tcW w:w="283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垃圾桶收集，交由环卫部门统一清运处理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2</w:t>
                  </w:r>
                </w:p>
              </w:tc>
              <w:tc>
                <w:tcPr>
                  <w:tcW w:w="1897" w:type="dxa"/>
                  <w:shd w:val="clear" w:color="auto" w:fill="auto"/>
                  <w:vAlign w:val="center"/>
                </w:tcPr>
                <w:p>
                  <w:pPr>
                    <w:pStyle w:val="66"/>
                    <w:spacing w:line="240" w:lineRule="auto"/>
                    <w:rPr>
                      <w:rFonts w:cs="宋体"/>
                    </w:rPr>
                  </w:pPr>
                  <w:r>
                    <w:rPr>
                      <w:rFonts w:hint="eastAsia" w:cs="宋体"/>
                    </w:rPr>
                    <w:t>剥离表土</w:t>
                  </w:r>
                </w:p>
              </w:tc>
              <w:tc>
                <w:tcPr>
                  <w:tcW w:w="1099" w:type="dxa"/>
                  <w:vMerge w:val="restart"/>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一般固废</w:t>
                  </w:r>
                </w:p>
              </w:tc>
              <w:tc>
                <w:tcPr>
                  <w:tcW w:w="127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1</w:t>
                  </w:r>
                  <w:r>
                    <w:rPr>
                      <w:rFonts w:cs="宋体"/>
                      <w:kern w:val="0"/>
                      <w:sz w:val="21"/>
                      <w:szCs w:val="21"/>
                    </w:rPr>
                    <w:t>29230</w:t>
                  </w:r>
                  <w:r>
                    <w:rPr>
                      <w:rFonts w:hint="eastAsia"/>
                      <w:sz w:val="21"/>
                      <w:szCs w:val="21"/>
                    </w:rPr>
                    <w:t>m</w:t>
                  </w:r>
                  <w:r>
                    <w:rPr>
                      <w:sz w:val="21"/>
                      <w:szCs w:val="21"/>
                      <w:vertAlign w:val="superscript"/>
                    </w:rPr>
                    <w:t>3</w:t>
                  </w:r>
                  <w:r>
                    <w:rPr>
                      <w:sz w:val="21"/>
                      <w:szCs w:val="21"/>
                    </w:rPr>
                    <w:t>/</w:t>
                  </w:r>
                  <w:r>
                    <w:rPr>
                      <w:rFonts w:hint="eastAsia"/>
                      <w:sz w:val="21"/>
                      <w:szCs w:val="21"/>
                    </w:rPr>
                    <w:t>a</w:t>
                  </w:r>
                </w:p>
              </w:tc>
              <w:tc>
                <w:tcPr>
                  <w:tcW w:w="283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暂存于表土临时堆置场用于矿区复垦复绿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3</w:t>
                  </w:r>
                </w:p>
              </w:tc>
              <w:tc>
                <w:tcPr>
                  <w:tcW w:w="1897" w:type="dxa"/>
                  <w:shd w:val="clear" w:color="auto" w:fill="auto"/>
                  <w:vAlign w:val="center"/>
                </w:tcPr>
                <w:p>
                  <w:pPr>
                    <w:pStyle w:val="66"/>
                    <w:spacing w:line="240" w:lineRule="auto"/>
                    <w:rPr>
                      <w:rFonts w:cs="宋体"/>
                    </w:rPr>
                  </w:pPr>
                  <w:r>
                    <w:rPr>
                      <w:rFonts w:hint="eastAsia" w:cs="宋体"/>
                    </w:rPr>
                    <w:t>尾泥（污泥）</w:t>
                  </w:r>
                </w:p>
              </w:tc>
              <w:tc>
                <w:tcPr>
                  <w:tcW w:w="1099" w:type="dxa"/>
                  <w:vMerge w:val="continue"/>
                  <w:shd w:val="clear" w:color="auto" w:fill="auto"/>
                  <w:vAlign w:val="center"/>
                </w:tcPr>
                <w:p>
                  <w:pPr>
                    <w:pStyle w:val="48"/>
                    <w:adjustRightInd w:val="0"/>
                    <w:snapToGrid w:val="0"/>
                    <w:spacing w:line="240" w:lineRule="auto"/>
                    <w:ind w:firstLine="0" w:firstLineChars="0"/>
                    <w:jc w:val="center"/>
                    <w:rPr>
                      <w:rFonts w:cs="宋体"/>
                      <w:kern w:val="0"/>
                      <w:sz w:val="21"/>
                      <w:szCs w:val="21"/>
                    </w:rPr>
                  </w:pPr>
                </w:p>
              </w:tc>
              <w:tc>
                <w:tcPr>
                  <w:tcW w:w="127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177120</w:t>
                  </w:r>
                  <w:r>
                    <w:rPr>
                      <w:rFonts w:cs="宋体"/>
                      <w:kern w:val="0"/>
                      <w:sz w:val="21"/>
                      <w:szCs w:val="21"/>
                    </w:rPr>
                    <w:t>t/a</w:t>
                  </w:r>
                </w:p>
              </w:tc>
              <w:tc>
                <w:tcPr>
                  <w:tcW w:w="283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暂存于泥饼池后外运用于湘阴县高新区建设用填方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4</w:t>
                  </w:r>
                </w:p>
              </w:tc>
              <w:tc>
                <w:tcPr>
                  <w:tcW w:w="1897" w:type="dxa"/>
                  <w:shd w:val="clear" w:color="auto" w:fill="auto"/>
                  <w:vAlign w:val="center"/>
                </w:tcPr>
                <w:p>
                  <w:pPr>
                    <w:pStyle w:val="66"/>
                    <w:spacing w:line="240" w:lineRule="auto"/>
                    <w:rPr>
                      <w:rFonts w:cs="宋体"/>
                    </w:rPr>
                  </w:pPr>
                  <w:r>
                    <w:rPr>
                      <w:rFonts w:hint="eastAsia" w:cs="宋体"/>
                    </w:rPr>
                    <w:t>废含油抹布和手套</w:t>
                  </w:r>
                </w:p>
              </w:tc>
              <w:tc>
                <w:tcPr>
                  <w:tcW w:w="1099" w:type="dxa"/>
                  <w:vMerge w:val="restart"/>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危险废物</w:t>
                  </w:r>
                </w:p>
              </w:tc>
              <w:tc>
                <w:tcPr>
                  <w:tcW w:w="127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0</w:t>
                  </w:r>
                  <w:r>
                    <w:rPr>
                      <w:rFonts w:cs="宋体"/>
                      <w:kern w:val="0"/>
                      <w:sz w:val="21"/>
                      <w:szCs w:val="21"/>
                    </w:rPr>
                    <w:t>.4</w:t>
                  </w:r>
                  <w:r>
                    <w:rPr>
                      <w:rFonts w:hint="eastAsia" w:cs="宋体"/>
                      <w:kern w:val="0"/>
                      <w:sz w:val="21"/>
                      <w:szCs w:val="21"/>
                    </w:rPr>
                    <w:t>t</w:t>
                  </w:r>
                  <w:r>
                    <w:rPr>
                      <w:rFonts w:cs="宋体"/>
                      <w:kern w:val="0"/>
                      <w:sz w:val="21"/>
                      <w:szCs w:val="21"/>
                    </w:rPr>
                    <w:t>/</w:t>
                  </w:r>
                  <w:r>
                    <w:rPr>
                      <w:rFonts w:hint="eastAsia" w:cs="宋体"/>
                      <w:kern w:val="0"/>
                      <w:sz w:val="21"/>
                      <w:szCs w:val="21"/>
                    </w:rPr>
                    <w:t>a</w:t>
                  </w:r>
                </w:p>
              </w:tc>
              <w:tc>
                <w:tcPr>
                  <w:tcW w:w="2834" w:type="dxa"/>
                  <w:vMerge w:val="restart"/>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分类暂存于危险废物暂存间，交由有资质单位处置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5</w:t>
                  </w:r>
                </w:p>
              </w:tc>
              <w:tc>
                <w:tcPr>
                  <w:tcW w:w="1897" w:type="dxa"/>
                  <w:shd w:val="clear" w:color="auto" w:fill="auto"/>
                  <w:vAlign w:val="center"/>
                </w:tcPr>
                <w:p>
                  <w:pPr>
                    <w:pStyle w:val="66"/>
                    <w:spacing w:line="240" w:lineRule="auto"/>
                    <w:rPr>
                      <w:rFonts w:cs="宋体"/>
                    </w:rPr>
                  </w:pPr>
                  <w:r>
                    <w:rPr>
                      <w:rFonts w:hint="eastAsia" w:cs="宋体"/>
                    </w:rPr>
                    <w:t>废润滑油</w:t>
                  </w:r>
                </w:p>
              </w:tc>
              <w:tc>
                <w:tcPr>
                  <w:tcW w:w="1099" w:type="dxa"/>
                  <w:vMerge w:val="continue"/>
                  <w:shd w:val="clear" w:color="auto" w:fill="auto"/>
                  <w:vAlign w:val="center"/>
                </w:tcPr>
                <w:p>
                  <w:pPr>
                    <w:pStyle w:val="48"/>
                    <w:adjustRightInd w:val="0"/>
                    <w:snapToGrid w:val="0"/>
                    <w:spacing w:line="240" w:lineRule="auto"/>
                    <w:ind w:firstLine="0" w:firstLineChars="0"/>
                    <w:jc w:val="center"/>
                    <w:rPr>
                      <w:rFonts w:cs="宋体"/>
                      <w:kern w:val="0"/>
                      <w:sz w:val="21"/>
                      <w:szCs w:val="21"/>
                    </w:rPr>
                  </w:pPr>
                </w:p>
              </w:tc>
              <w:tc>
                <w:tcPr>
                  <w:tcW w:w="127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0</w:t>
                  </w:r>
                  <w:r>
                    <w:rPr>
                      <w:rFonts w:cs="宋体"/>
                      <w:kern w:val="0"/>
                      <w:sz w:val="21"/>
                      <w:szCs w:val="21"/>
                    </w:rPr>
                    <w:t>.02</w:t>
                  </w:r>
                  <w:r>
                    <w:rPr>
                      <w:rFonts w:hint="eastAsia" w:cs="宋体"/>
                      <w:kern w:val="0"/>
                      <w:sz w:val="21"/>
                      <w:szCs w:val="21"/>
                    </w:rPr>
                    <w:t>t</w:t>
                  </w:r>
                  <w:r>
                    <w:rPr>
                      <w:rFonts w:cs="宋体"/>
                      <w:kern w:val="0"/>
                      <w:sz w:val="21"/>
                      <w:szCs w:val="21"/>
                    </w:rPr>
                    <w:t>/</w:t>
                  </w:r>
                  <w:r>
                    <w:rPr>
                      <w:rFonts w:hint="eastAsia" w:cs="宋体"/>
                      <w:kern w:val="0"/>
                      <w:sz w:val="21"/>
                      <w:szCs w:val="21"/>
                    </w:rPr>
                    <w:t>a</w:t>
                  </w:r>
                </w:p>
              </w:tc>
              <w:tc>
                <w:tcPr>
                  <w:tcW w:w="2834" w:type="dxa"/>
                  <w:vMerge w:val="continue"/>
                  <w:shd w:val="clear" w:color="auto" w:fill="auto"/>
                  <w:vAlign w:val="center"/>
                </w:tcPr>
                <w:p>
                  <w:pPr>
                    <w:pStyle w:val="48"/>
                    <w:adjustRightInd w:val="0"/>
                    <w:snapToGrid w:val="0"/>
                    <w:spacing w:line="240" w:lineRule="auto"/>
                    <w:ind w:firstLine="0" w:firstLineChars="0"/>
                    <w:jc w:val="center"/>
                    <w:rPr>
                      <w:rFonts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5"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hint="eastAsia" w:cs="宋体"/>
                      <w:kern w:val="0"/>
                      <w:sz w:val="21"/>
                      <w:szCs w:val="21"/>
                    </w:rPr>
                    <w:t>6</w:t>
                  </w:r>
                </w:p>
              </w:tc>
              <w:tc>
                <w:tcPr>
                  <w:tcW w:w="1897" w:type="dxa"/>
                  <w:shd w:val="clear" w:color="auto" w:fill="auto"/>
                  <w:vAlign w:val="center"/>
                </w:tcPr>
                <w:p>
                  <w:pPr>
                    <w:pStyle w:val="66"/>
                    <w:spacing w:line="240" w:lineRule="auto"/>
                    <w:rPr>
                      <w:rFonts w:cs="宋体"/>
                    </w:rPr>
                  </w:pPr>
                  <w:r>
                    <w:rPr>
                      <w:rFonts w:hint="eastAsia" w:cs="宋体"/>
                    </w:rPr>
                    <w:t>废油桶</w:t>
                  </w:r>
                </w:p>
              </w:tc>
              <w:tc>
                <w:tcPr>
                  <w:tcW w:w="1099" w:type="dxa"/>
                  <w:vMerge w:val="continue"/>
                  <w:shd w:val="clear" w:color="auto" w:fill="auto"/>
                  <w:vAlign w:val="center"/>
                </w:tcPr>
                <w:p>
                  <w:pPr>
                    <w:pStyle w:val="48"/>
                    <w:adjustRightInd w:val="0"/>
                    <w:snapToGrid w:val="0"/>
                    <w:spacing w:line="240" w:lineRule="auto"/>
                    <w:ind w:firstLine="0" w:firstLineChars="0"/>
                    <w:jc w:val="center"/>
                    <w:rPr>
                      <w:rFonts w:cs="宋体"/>
                      <w:kern w:val="0"/>
                      <w:sz w:val="21"/>
                      <w:szCs w:val="21"/>
                    </w:rPr>
                  </w:pPr>
                </w:p>
              </w:tc>
              <w:tc>
                <w:tcPr>
                  <w:tcW w:w="1274" w:type="dxa"/>
                  <w:shd w:val="clear" w:color="auto" w:fill="auto"/>
                  <w:vAlign w:val="center"/>
                </w:tcPr>
                <w:p>
                  <w:pPr>
                    <w:pStyle w:val="48"/>
                    <w:adjustRightInd w:val="0"/>
                    <w:snapToGrid w:val="0"/>
                    <w:spacing w:line="240" w:lineRule="auto"/>
                    <w:ind w:firstLine="0" w:firstLineChars="0"/>
                    <w:jc w:val="center"/>
                    <w:rPr>
                      <w:rFonts w:cs="宋体"/>
                      <w:kern w:val="0"/>
                      <w:sz w:val="21"/>
                      <w:szCs w:val="21"/>
                    </w:rPr>
                  </w:pPr>
                  <w:r>
                    <w:rPr>
                      <w:rFonts w:cs="宋体"/>
                      <w:kern w:val="0"/>
                      <w:sz w:val="21"/>
                      <w:szCs w:val="21"/>
                    </w:rPr>
                    <w:t>0.1t/a</w:t>
                  </w:r>
                </w:p>
              </w:tc>
              <w:tc>
                <w:tcPr>
                  <w:tcW w:w="2834" w:type="dxa"/>
                  <w:vMerge w:val="continue"/>
                  <w:shd w:val="clear" w:color="auto" w:fill="auto"/>
                  <w:vAlign w:val="center"/>
                </w:tcPr>
                <w:p>
                  <w:pPr>
                    <w:pStyle w:val="48"/>
                    <w:adjustRightInd w:val="0"/>
                    <w:snapToGrid w:val="0"/>
                    <w:spacing w:line="240" w:lineRule="auto"/>
                    <w:ind w:firstLine="0" w:firstLineChars="0"/>
                    <w:jc w:val="center"/>
                    <w:rPr>
                      <w:rFonts w:cs="宋体"/>
                      <w:kern w:val="0"/>
                      <w:sz w:val="21"/>
                      <w:szCs w:val="21"/>
                    </w:rPr>
                  </w:pPr>
                </w:p>
              </w:tc>
            </w:tr>
            <w:bookmarkEnd w:id="27"/>
          </w:tbl>
          <w:p>
            <w:pPr>
              <w:pStyle w:val="65"/>
              <w:jc w:val="left"/>
              <w:rPr>
                <w:rFonts w:eastAsia="宋体"/>
                <w:sz w:val="21"/>
                <w:szCs w:val="21"/>
              </w:rPr>
            </w:pPr>
          </w:p>
          <w:p>
            <w:pPr>
              <w:pStyle w:val="65"/>
              <w:spacing w:line="360" w:lineRule="auto"/>
              <w:rPr>
                <w:rFonts w:eastAsia="宋体"/>
              </w:rPr>
            </w:pPr>
            <w:r>
              <w:rPr>
                <w:rFonts w:hint="eastAsia" w:eastAsia="宋体"/>
              </w:rPr>
              <w:t>表</w:t>
            </w:r>
            <w:r>
              <w:rPr>
                <w:rFonts w:eastAsia="宋体"/>
              </w:rPr>
              <w:t xml:space="preserve">4-8 </w:t>
            </w:r>
            <w:r>
              <w:rPr>
                <w:rFonts w:hint="eastAsia" w:eastAsia="宋体"/>
              </w:rPr>
              <w:t>项目危险废物汇总表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787"/>
              <w:gridCol w:w="832"/>
              <w:gridCol w:w="1196"/>
              <w:gridCol w:w="640"/>
              <w:gridCol w:w="748"/>
              <w:gridCol w:w="677"/>
              <w:gridCol w:w="640"/>
              <w:gridCol w:w="679"/>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42" w:type="dxa"/>
                  <w:vAlign w:val="center"/>
                </w:tcPr>
                <w:p>
                  <w:pPr>
                    <w:pStyle w:val="67"/>
                    <w:rPr>
                      <w:color w:val="auto"/>
                    </w:rPr>
                  </w:pPr>
                  <w:r>
                    <w:rPr>
                      <w:color w:val="auto"/>
                    </w:rPr>
                    <w:t>序号</w:t>
                  </w:r>
                </w:p>
              </w:tc>
              <w:tc>
                <w:tcPr>
                  <w:tcW w:w="859" w:type="dxa"/>
                  <w:vAlign w:val="center"/>
                </w:tcPr>
                <w:p>
                  <w:pPr>
                    <w:pStyle w:val="67"/>
                    <w:rPr>
                      <w:color w:val="auto"/>
                    </w:rPr>
                  </w:pPr>
                  <w:r>
                    <w:rPr>
                      <w:color w:val="auto"/>
                    </w:rPr>
                    <w:t>危</w:t>
                  </w:r>
                  <w:r>
                    <w:rPr>
                      <w:rFonts w:hint="eastAsia"/>
                      <w:color w:val="auto"/>
                    </w:rPr>
                    <w:t>险</w:t>
                  </w:r>
                  <w:r>
                    <w:rPr>
                      <w:color w:val="auto"/>
                    </w:rPr>
                    <w:t>废物名称</w:t>
                  </w:r>
                </w:p>
              </w:tc>
              <w:tc>
                <w:tcPr>
                  <w:tcW w:w="843" w:type="dxa"/>
                  <w:vAlign w:val="center"/>
                </w:tcPr>
                <w:p>
                  <w:pPr>
                    <w:pStyle w:val="67"/>
                    <w:rPr>
                      <w:color w:val="auto"/>
                    </w:rPr>
                  </w:pPr>
                  <w:r>
                    <w:rPr>
                      <w:color w:val="auto"/>
                    </w:rPr>
                    <w:t>危险废物类别</w:t>
                  </w:r>
                </w:p>
              </w:tc>
              <w:tc>
                <w:tcPr>
                  <w:tcW w:w="829" w:type="dxa"/>
                  <w:vAlign w:val="center"/>
                </w:tcPr>
                <w:p>
                  <w:pPr>
                    <w:pStyle w:val="67"/>
                    <w:rPr>
                      <w:color w:val="auto"/>
                    </w:rPr>
                  </w:pPr>
                  <w:r>
                    <w:rPr>
                      <w:color w:val="auto"/>
                    </w:rPr>
                    <w:t>危险废物代码</w:t>
                  </w:r>
                </w:p>
              </w:tc>
              <w:tc>
                <w:tcPr>
                  <w:tcW w:w="683" w:type="dxa"/>
                  <w:vAlign w:val="center"/>
                </w:tcPr>
                <w:p>
                  <w:pPr>
                    <w:pStyle w:val="67"/>
                    <w:rPr>
                      <w:color w:val="auto"/>
                    </w:rPr>
                  </w:pPr>
                  <w:r>
                    <w:rPr>
                      <w:color w:val="auto"/>
                    </w:rPr>
                    <w:t>物理性状</w:t>
                  </w:r>
                </w:p>
              </w:tc>
              <w:tc>
                <w:tcPr>
                  <w:tcW w:w="813" w:type="dxa"/>
                  <w:vAlign w:val="center"/>
                </w:tcPr>
                <w:p>
                  <w:pPr>
                    <w:pStyle w:val="67"/>
                    <w:rPr>
                      <w:color w:val="auto"/>
                    </w:rPr>
                  </w:pPr>
                  <w:r>
                    <w:rPr>
                      <w:color w:val="auto"/>
                    </w:rPr>
                    <w:t>主要有害成分</w:t>
                  </w:r>
                </w:p>
              </w:tc>
              <w:tc>
                <w:tcPr>
                  <w:tcW w:w="697" w:type="dxa"/>
                  <w:vAlign w:val="center"/>
                </w:tcPr>
                <w:p>
                  <w:pPr>
                    <w:pStyle w:val="67"/>
                    <w:rPr>
                      <w:color w:val="auto"/>
                    </w:rPr>
                  </w:pPr>
                  <w:r>
                    <w:rPr>
                      <w:color w:val="auto"/>
                    </w:rPr>
                    <w:t>危险特性</w:t>
                  </w:r>
                </w:p>
              </w:tc>
              <w:tc>
                <w:tcPr>
                  <w:tcW w:w="683" w:type="dxa"/>
                  <w:vAlign w:val="center"/>
                </w:tcPr>
                <w:p>
                  <w:pPr>
                    <w:pStyle w:val="67"/>
                    <w:rPr>
                      <w:color w:val="auto"/>
                    </w:rPr>
                  </w:pPr>
                  <w:r>
                    <w:rPr>
                      <w:color w:val="auto"/>
                    </w:rPr>
                    <w:t>贮存方式</w:t>
                  </w:r>
                </w:p>
              </w:tc>
              <w:tc>
                <w:tcPr>
                  <w:tcW w:w="698" w:type="dxa"/>
                  <w:vAlign w:val="center"/>
                </w:tcPr>
                <w:p>
                  <w:pPr>
                    <w:pStyle w:val="67"/>
                    <w:rPr>
                      <w:color w:val="auto"/>
                    </w:rPr>
                  </w:pPr>
                  <w:r>
                    <w:rPr>
                      <w:color w:val="auto"/>
                    </w:rPr>
                    <w:t>年产生量</w:t>
                  </w:r>
                </w:p>
              </w:tc>
              <w:tc>
                <w:tcPr>
                  <w:tcW w:w="1182" w:type="dxa"/>
                  <w:vAlign w:val="center"/>
                </w:tcPr>
                <w:p>
                  <w:pPr>
                    <w:pStyle w:val="67"/>
                    <w:rPr>
                      <w:color w:val="auto"/>
                    </w:rPr>
                  </w:pPr>
                  <w:r>
                    <w:rPr>
                      <w:color w:val="auto"/>
                    </w:rPr>
                    <w:t>处置去向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42" w:type="dxa"/>
                  <w:vAlign w:val="center"/>
                </w:tcPr>
                <w:p>
                  <w:pPr>
                    <w:pStyle w:val="67"/>
                    <w:rPr>
                      <w:color w:val="auto"/>
                    </w:rPr>
                  </w:pPr>
                  <w:r>
                    <w:rPr>
                      <w:color w:val="auto"/>
                    </w:rPr>
                    <w:t>1</w:t>
                  </w:r>
                </w:p>
              </w:tc>
              <w:tc>
                <w:tcPr>
                  <w:tcW w:w="859" w:type="dxa"/>
                  <w:vAlign w:val="center"/>
                </w:tcPr>
                <w:p>
                  <w:pPr>
                    <w:pStyle w:val="66"/>
                    <w:spacing w:line="240" w:lineRule="auto"/>
                    <w:rPr>
                      <w:rFonts w:cs="宋体"/>
                    </w:rPr>
                  </w:pPr>
                  <w:r>
                    <w:rPr>
                      <w:rFonts w:hint="eastAsia" w:cs="宋体"/>
                    </w:rPr>
                    <w:t>废含油抹布和手套</w:t>
                  </w:r>
                </w:p>
              </w:tc>
              <w:tc>
                <w:tcPr>
                  <w:tcW w:w="843" w:type="dxa"/>
                  <w:vAlign w:val="center"/>
                </w:tcPr>
                <w:p>
                  <w:pPr>
                    <w:pStyle w:val="67"/>
                    <w:rPr>
                      <w:color w:val="auto"/>
                    </w:rPr>
                  </w:pPr>
                  <w:r>
                    <w:rPr>
                      <w:color w:val="auto"/>
                    </w:rPr>
                    <w:t>HW</w:t>
                  </w:r>
                  <w:r>
                    <w:rPr>
                      <w:rFonts w:hint="eastAsia"/>
                      <w:color w:val="auto"/>
                    </w:rPr>
                    <w:t>49</w:t>
                  </w:r>
                </w:p>
              </w:tc>
              <w:tc>
                <w:tcPr>
                  <w:tcW w:w="829" w:type="dxa"/>
                  <w:vAlign w:val="center"/>
                </w:tcPr>
                <w:p>
                  <w:pPr>
                    <w:pStyle w:val="67"/>
                    <w:rPr>
                      <w:color w:val="auto"/>
                    </w:rPr>
                  </w:pPr>
                  <w:r>
                    <w:rPr>
                      <w:color w:val="auto"/>
                    </w:rPr>
                    <w:t>900-041-49</w:t>
                  </w:r>
                </w:p>
              </w:tc>
              <w:tc>
                <w:tcPr>
                  <w:tcW w:w="683" w:type="dxa"/>
                  <w:vAlign w:val="center"/>
                </w:tcPr>
                <w:p>
                  <w:pPr>
                    <w:pStyle w:val="67"/>
                    <w:rPr>
                      <w:color w:val="auto"/>
                    </w:rPr>
                  </w:pPr>
                  <w:r>
                    <w:rPr>
                      <w:rFonts w:hint="eastAsia"/>
                      <w:color w:val="auto"/>
                    </w:rPr>
                    <w:t>固态</w:t>
                  </w:r>
                </w:p>
              </w:tc>
              <w:tc>
                <w:tcPr>
                  <w:tcW w:w="813" w:type="dxa"/>
                  <w:vAlign w:val="center"/>
                </w:tcPr>
                <w:p>
                  <w:pPr>
                    <w:pStyle w:val="67"/>
                    <w:rPr>
                      <w:color w:val="auto"/>
                    </w:rPr>
                  </w:pPr>
                  <w:r>
                    <w:rPr>
                      <w:rFonts w:hint="eastAsia"/>
                      <w:color w:val="auto"/>
                    </w:rPr>
                    <w:t>矿物油</w:t>
                  </w:r>
                </w:p>
              </w:tc>
              <w:tc>
                <w:tcPr>
                  <w:tcW w:w="697" w:type="dxa"/>
                  <w:vAlign w:val="center"/>
                </w:tcPr>
                <w:p>
                  <w:pPr>
                    <w:pStyle w:val="67"/>
                    <w:rPr>
                      <w:color w:val="auto"/>
                    </w:rPr>
                  </w:pPr>
                  <w:r>
                    <w:rPr>
                      <w:rFonts w:hint="eastAsia"/>
                      <w:color w:val="auto"/>
                    </w:rPr>
                    <w:t>T</w:t>
                  </w:r>
                  <w:r>
                    <w:rPr>
                      <w:color w:val="auto"/>
                    </w:rPr>
                    <w:t>/I</w:t>
                  </w:r>
                  <w:r>
                    <w:rPr>
                      <w:rFonts w:hint="eastAsia"/>
                      <w:color w:val="auto"/>
                    </w:rPr>
                    <w:t>n</w:t>
                  </w:r>
                </w:p>
              </w:tc>
              <w:tc>
                <w:tcPr>
                  <w:tcW w:w="683" w:type="dxa"/>
                  <w:vAlign w:val="center"/>
                </w:tcPr>
                <w:p>
                  <w:pPr>
                    <w:pStyle w:val="67"/>
                    <w:rPr>
                      <w:color w:val="auto"/>
                    </w:rPr>
                  </w:pPr>
                  <w:r>
                    <w:rPr>
                      <w:rFonts w:hint="eastAsia"/>
                      <w:color w:val="auto"/>
                    </w:rPr>
                    <w:t>袋/桶装</w:t>
                  </w:r>
                </w:p>
              </w:tc>
              <w:tc>
                <w:tcPr>
                  <w:tcW w:w="698" w:type="dxa"/>
                  <w:vAlign w:val="center"/>
                </w:tcPr>
                <w:p>
                  <w:pPr>
                    <w:pStyle w:val="67"/>
                    <w:rPr>
                      <w:color w:val="auto"/>
                    </w:rPr>
                  </w:pPr>
                  <w:r>
                    <w:rPr>
                      <w:rFonts w:hint="eastAsia"/>
                      <w:color w:val="auto"/>
                    </w:rPr>
                    <w:t>0.</w:t>
                  </w:r>
                  <w:r>
                    <w:rPr>
                      <w:color w:val="auto"/>
                    </w:rPr>
                    <w:t>4</w:t>
                  </w:r>
                </w:p>
                <w:p>
                  <w:pPr>
                    <w:pStyle w:val="67"/>
                    <w:rPr>
                      <w:color w:val="auto"/>
                    </w:rPr>
                  </w:pPr>
                  <w:r>
                    <w:rPr>
                      <w:rFonts w:hint="eastAsia"/>
                      <w:color w:val="auto"/>
                    </w:rPr>
                    <w:t>t/a</w:t>
                  </w:r>
                </w:p>
              </w:tc>
              <w:tc>
                <w:tcPr>
                  <w:tcW w:w="1182" w:type="dxa"/>
                  <w:vMerge w:val="restart"/>
                  <w:vAlign w:val="center"/>
                </w:tcPr>
                <w:p>
                  <w:pPr>
                    <w:pStyle w:val="67"/>
                    <w:rPr>
                      <w:color w:val="auto"/>
                    </w:rPr>
                  </w:pPr>
                  <w:r>
                    <w:rPr>
                      <w:rFonts w:hint="eastAsia"/>
                      <w:color w:val="auto"/>
                    </w:rPr>
                    <w:t>分类收集后暂存于危废间，定期委托有资质单位处置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42" w:type="dxa"/>
                  <w:vAlign w:val="center"/>
                </w:tcPr>
                <w:p>
                  <w:pPr>
                    <w:pStyle w:val="67"/>
                    <w:rPr>
                      <w:color w:val="auto"/>
                    </w:rPr>
                  </w:pPr>
                  <w:r>
                    <w:rPr>
                      <w:rFonts w:hint="eastAsia"/>
                      <w:color w:val="auto"/>
                    </w:rPr>
                    <w:t>2</w:t>
                  </w:r>
                </w:p>
              </w:tc>
              <w:tc>
                <w:tcPr>
                  <w:tcW w:w="859" w:type="dxa"/>
                  <w:vAlign w:val="center"/>
                </w:tcPr>
                <w:p>
                  <w:pPr>
                    <w:pStyle w:val="66"/>
                    <w:spacing w:line="240" w:lineRule="auto"/>
                    <w:rPr>
                      <w:rFonts w:cs="宋体"/>
                    </w:rPr>
                  </w:pPr>
                  <w:r>
                    <w:rPr>
                      <w:rFonts w:hint="eastAsia" w:cs="宋体"/>
                    </w:rPr>
                    <w:t>废润滑油</w:t>
                  </w:r>
                </w:p>
              </w:tc>
              <w:tc>
                <w:tcPr>
                  <w:tcW w:w="843" w:type="dxa"/>
                  <w:vAlign w:val="center"/>
                </w:tcPr>
                <w:p>
                  <w:pPr>
                    <w:pStyle w:val="67"/>
                    <w:rPr>
                      <w:color w:val="auto"/>
                    </w:rPr>
                  </w:pPr>
                  <w:r>
                    <w:rPr>
                      <w:color w:val="auto"/>
                    </w:rPr>
                    <w:t>HW08</w:t>
                  </w:r>
                </w:p>
              </w:tc>
              <w:tc>
                <w:tcPr>
                  <w:tcW w:w="829" w:type="dxa"/>
                  <w:vAlign w:val="center"/>
                </w:tcPr>
                <w:p>
                  <w:pPr>
                    <w:pStyle w:val="67"/>
                    <w:rPr>
                      <w:color w:val="auto"/>
                    </w:rPr>
                  </w:pPr>
                  <w:r>
                    <w:rPr>
                      <w:color w:val="auto"/>
                    </w:rPr>
                    <w:t>900-217-08</w:t>
                  </w:r>
                </w:p>
              </w:tc>
              <w:tc>
                <w:tcPr>
                  <w:tcW w:w="683" w:type="dxa"/>
                  <w:vAlign w:val="center"/>
                </w:tcPr>
                <w:p>
                  <w:pPr>
                    <w:pStyle w:val="67"/>
                    <w:rPr>
                      <w:color w:val="auto"/>
                    </w:rPr>
                  </w:pPr>
                  <w:r>
                    <w:rPr>
                      <w:rFonts w:hint="eastAsia"/>
                      <w:color w:val="auto"/>
                    </w:rPr>
                    <w:t>液态</w:t>
                  </w:r>
                </w:p>
              </w:tc>
              <w:tc>
                <w:tcPr>
                  <w:tcW w:w="813" w:type="dxa"/>
                  <w:vAlign w:val="center"/>
                </w:tcPr>
                <w:p>
                  <w:pPr>
                    <w:pStyle w:val="67"/>
                    <w:rPr>
                      <w:color w:val="auto"/>
                    </w:rPr>
                  </w:pPr>
                  <w:r>
                    <w:rPr>
                      <w:rFonts w:hint="eastAsia"/>
                      <w:color w:val="auto"/>
                    </w:rPr>
                    <w:t>矿物油</w:t>
                  </w:r>
                </w:p>
              </w:tc>
              <w:tc>
                <w:tcPr>
                  <w:tcW w:w="697" w:type="dxa"/>
                  <w:vAlign w:val="center"/>
                </w:tcPr>
                <w:p>
                  <w:pPr>
                    <w:pStyle w:val="67"/>
                    <w:rPr>
                      <w:color w:val="auto"/>
                    </w:rPr>
                  </w:pPr>
                  <w:r>
                    <w:rPr>
                      <w:rFonts w:hint="eastAsia"/>
                      <w:color w:val="auto"/>
                    </w:rPr>
                    <w:t>T,</w:t>
                  </w:r>
                  <w:r>
                    <w:rPr>
                      <w:color w:val="auto"/>
                    </w:rPr>
                    <w:t>I</w:t>
                  </w:r>
                </w:p>
              </w:tc>
              <w:tc>
                <w:tcPr>
                  <w:tcW w:w="683" w:type="dxa"/>
                  <w:vAlign w:val="center"/>
                </w:tcPr>
                <w:p>
                  <w:pPr>
                    <w:pStyle w:val="67"/>
                    <w:rPr>
                      <w:color w:val="auto"/>
                    </w:rPr>
                  </w:pPr>
                  <w:r>
                    <w:rPr>
                      <w:rFonts w:hint="eastAsia"/>
                      <w:color w:val="auto"/>
                    </w:rPr>
                    <w:t>桶装</w:t>
                  </w:r>
                </w:p>
              </w:tc>
              <w:tc>
                <w:tcPr>
                  <w:tcW w:w="698" w:type="dxa"/>
                  <w:vAlign w:val="center"/>
                </w:tcPr>
                <w:p>
                  <w:pPr>
                    <w:pStyle w:val="67"/>
                    <w:rPr>
                      <w:color w:val="auto"/>
                    </w:rPr>
                  </w:pPr>
                  <w:r>
                    <w:rPr>
                      <w:rFonts w:hint="eastAsia"/>
                      <w:color w:val="auto"/>
                    </w:rPr>
                    <w:t>0.</w:t>
                  </w:r>
                  <w:r>
                    <w:rPr>
                      <w:color w:val="auto"/>
                    </w:rPr>
                    <w:t>02</w:t>
                  </w:r>
                </w:p>
                <w:p>
                  <w:pPr>
                    <w:pStyle w:val="67"/>
                    <w:rPr>
                      <w:color w:val="auto"/>
                    </w:rPr>
                  </w:pPr>
                  <w:r>
                    <w:rPr>
                      <w:rFonts w:hint="eastAsia"/>
                      <w:color w:val="auto"/>
                    </w:rPr>
                    <w:t>t/a</w:t>
                  </w:r>
                </w:p>
              </w:tc>
              <w:tc>
                <w:tcPr>
                  <w:tcW w:w="1182" w:type="dxa"/>
                  <w:vMerge w:val="continue"/>
                  <w:vAlign w:val="center"/>
                </w:tcPr>
                <w:p>
                  <w:pPr>
                    <w:pStyle w:val="67"/>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442" w:type="dxa"/>
                  <w:vAlign w:val="center"/>
                </w:tcPr>
                <w:p>
                  <w:pPr>
                    <w:pStyle w:val="67"/>
                    <w:rPr>
                      <w:color w:val="auto"/>
                    </w:rPr>
                  </w:pPr>
                  <w:r>
                    <w:rPr>
                      <w:rFonts w:hint="eastAsia"/>
                      <w:color w:val="auto"/>
                    </w:rPr>
                    <w:t>3</w:t>
                  </w:r>
                </w:p>
              </w:tc>
              <w:tc>
                <w:tcPr>
                  <w:tcW w:w="859" w:type="dxa"/>
                  <w:vAlign w:val="center"/>
                </w:tcPr>
                <w:p>
                  <w:pPr>
                    <w:pStyle w:val="66"/>
                    <w:spacing w:line="240" w:lineRule="auto"/>
                    <w:rPr>
                      <w:rFonts w:cs="宋体"/>
                    </w:rPr>
                  </w:pPr>
                  <w:r>
                    <w:rPr>
                      <w:rFonts w:hint="eastAsia" w:cs="宋体"/>
                    </w:rPr>
                    <w:t>废油桶</w:t>
                  </w:r>
                </w:p>
              </w:tc>
              <w:tc>
                <w:tcPr>
                  <w:tcW w:w="843" w:type="dxa"/>
                  <w:vAlign w:val="center"/>
                </w:tcPr>
                <w:p>
                  <w:pPr>
                    <w:pStyle w:val="67"/>
                    <w:rPr>
                      <w:color w:val="auto"/>
                    </w:rPr>
                  </w:pPr>
                  <w:r>
                    <w:rPr>
                      <w:color w:val="auto"/>
                    </w:rPr>
                    <w:t>HW08</w:t>
                  </w:r>
                </w:p>
              </w:tc>
              <w:tc>
                <w:tcPr>
                  <w:tcW w:w="829" w:type="dxa"/>
                  <w:vAlign w:val="center"/>
                </w:tcPr>
                <w:p>
                  <w:pPr>
                    <w:pStyle w:val="67"/>
                    <w:rPr>
                      <w:color w:val="auto"/>
                    </w:rPr>
                  </w:pPr>
                  <w:r>
                    <w:rPr>
                      <w:color w:val="auto"/>
                    </w:rPr>
                    <w:t>900-249-08</w:t>
                  </w:r>
                </w:p>
              </w:tc>
              <w:tc>
                <w:tcPr>
                  <w:tcW w:w="683" w:type="dxa"/>
                  <w:vAlign w:val="center"/>
                </w:tcPr>
                <w:p>
                  <w:pPr>
                    <w:pStyle w:val="67"/>
                    <w:rPr>
                      <w:color w:val="auto"/>
                    </w:rPr>
                  </w:pPr>
                  <w:r>
                    <w:rPr>
                      <w:rFonts w:hint="eastAsia"/>
                      <w:color w:val="auto"/>
                    </w:rPr>
                    <w:t>固</w:t>
                  </w:r>
                  <w:r>
                    <w:rPr>
                      <w:color w:val="auto"/>
                    </w:rPr>
                    <w:t>态</w:t>
                  </w:r>
                </w:p>
              </w:tc>
              <w:tc>
                <w:tcPr>
                  <w:tcW w:w="813" w:type="dxa"/>
                  <w:vAlign w:val="center"/>
                </w:tcPr>
                <w:p>
                  <w:pPr>
                    <w:pStyle w:val="67"/>
                    <w:rPr>
                      <w:color w:val="auto"/>
                    </w:rPr>
                  </w:pPr>
                  <w:r>
                    <w:rPr>
                      <w:rFonts w:hint="eastAsia"/>
                      <w:color w:val="auto"/>
                    </w:rPr>
                    <w:t>矿物油</w:t>
                  </w:r>
                </w:p>
              </w:tc>
              <w:tc>
                <w:tcPr>
                  <w:tcW w:w="697" w:type="dxa"/>
                  <w:vAlign w:val="center"/>
                </w:tcPr>
                <w:p>
                  <w:pPr>
                    <w:pStyle w:val="67"/>
                    <w:rPr>
                      <w:color w:val="auto"/>
                    </w:rPr>
                  </w:pPr>
                  <w:r>
                    <w:rPr>
                      <w:rFonts w:hint="eastAsia"/>
                      <w:color w:val="auto"/>
                    </w:rPr>
                    <w:t>T</w:t>
                  </w:r>
                  <w:r>
                    <w:rPr>
                      <w:color w:val="auto"/>
                    </w:rPr>
                    <w:t>,I</w:t>
                  </w:r>
                </w:p>
              </w:tc>
              <w:tc>
                <w:tcPr>
                  <w:tcW w:w="683" w:type="dxa"/>
                  <w:vAlign w:val="center"/>
                </w:tcPr>
                <w:p>
                  <w:pPr>
                    <w:pStyle w:val="67"/>
                    <w:rPr>
                      <w:color w:val="auto"/>
                    </w:rPr>
                  </w:pPr>
                  <w:r>
                    <w:rPr>
                      <w:rFonts w:hint="eastAsia"/>
                      <w:color w:val="auto"/>
                    </w:rPr>
                    <w:t>桶装</w:t>
                  </w:r>
                </w:p>
              </w:tc>
              <w:tc>
                <w:tcPr>
                  <w:tcW w:w="698" w:type="dxa"/>
                  <w:vAlign w:val="center"/>
                </w:tcPr>
                <w:p>
                  <w:pPr>
                    <w:pStyle w:val="67"/>
                    <w:rPr>
                      <w:color w:val="auto"/>
                    </w:rPr>
                  </w:pPr>
                  <w:r>
                    <w:rPr>
                      <w:rFonts w:hint="eastAsia"/>
                      <w:color w:val="auto"/>
                    </w:rPr>
                    <w:t>0.</w:t>
                  </w:r>
                  <w:r>
                    <w:rPr>
                      <w:color w:val="auto"/>
                    </w:rPr>
                    <w:t>1</w:t>
                  </w:r>
                </w:p>
                <w:p>
                  <w:pPr>
                    <w:pStyle w:val="67"/>
                    <w:rPr>
                      <w:color w:val="auto"/>
                    </w:rPr>
                  </w:pPr>
                  <w:r>
                    <w:rPr>
                      <w:rFonts w:hint="eastAsia"/>
                      <w:color w:val="auto"/>
                    </w:rPr>
                    <w:t>t/a</w:t>
                  </w:r>
                </w:p>
              </w:tc>
              <w:tc>
                <w:tcPr>
                  <w:tcW w:w="1182" w:type="dxa"/>
                  <w:vMerge w:val="continue"/>
                  <w:vAlign w:val="center"/>
                </w:tcPr>
                <w:p>
                  <w:pPr>
                    <w:pStyle w:val="67"/>
                    <w:rPr>
                      <w:color w:val="auto"/>
                    </w:rPr>
                  </w:pPr>
                </w:p>
              </w:tc>
            </w:tr>
          </w:tbl>
          <w:p>
            <w:pPr>
              <w:spacing w:line="360" w:lineRule="auto"/>
              <w:ind w:firstLine="0" w:firstLineChars="0"/>
              <w:rPr>
                <w:b/>
                <w:sz w:val="28"/>
              </w:rPr>
            </w:pPr>
            <w:r>
              <w:rPr>
                <w:rFonts w:hint="eastAsia"/>
                <w:b/>
                <w:sz w:val="28"/>
              </w:rPr>
              <w:t>5、土壤环境影响分析</w:t>
            </w:r>
          </w:p>
          <w:p>
            <w:pPr>
              <w:spacing w:line="360" w:lineRule="auto"/>
              <w:ind w:firstLine="480"/>
            </w:pPr>
            <w:r>
              <w:rPr>
                <w:rFonts w:hint="eastAsia"/>
              </w:rPr>
              <w:t>运营期对土壤环境的影响主要是水污染、大气污染以及固体废物堆存占地与淋溶滤渗对项目区土壤和周边农田的影响。</w:t>
            </w:r>
          </w:p>
          <w:p>
            <w:pPr>
              <w:spacing w:line="360" w:lineRule="auto"/>
              <w:ind w:firstLine="480"/>
            </w:pPr>
            <w:r>
              <w:rPr>
                <w:rFonts w:hint="eastAsia"/>
              </w:rPr>
              <w:t>类比同类项目，预计该项目投产后，矿区、加工区、运输道路的粉尘将会对周围地区土壤产生一定影响。但由于评价对各工段的粉尘排放都采取严格的防治措施（见工程分析），估计实际增加的污染物排放量很小，预计对农作物的质量和产量的影响仍将维持在现有水平。</w:t>
            </w:r>
          </w:p>
          <w:p>
            <w:pPr>
              <w:spacing w:line="360" w:lineRule="auto"/>
              <w:ind w:firstLine="480"/>
            </w:pPr>
            <w:r>
              <w:rPr>
                <w:rFonts w:hint="eastAsia"/>
              </w:rPr>
              <w:t>项目对土壤环境的影响主要体现在矿山开采期间形成露天采矿区、工业场地等将破坏地表植被以及表土层，从而引起土壤的影响。主要表现在表土的剥离，岩石被开采与破碎，使得整个土壤的结构和层次受到破坏，土壤生态系统的功能被恶化，当遇到雨水时，会产生水土流失，严重时会造成泥石流，从而使地表的表层土壤受到扰动，促使土壤结构发生改变，使土壤变得贫瘠，不利于植被的生产和恢复。但从整个评价区域内来分析，这种影响相对较小，待服务期满后对其进行全面的生态恢复后，将会得到一定程度的恢复和改良。</w:t>
            </w:r>
          </w:p>
          <w:p>
            <w:pPr>
              <w:spacing w:line="360" w:lineRule="auto"/>
              <w:ind w:firstLine="0" w:firstLineChars="0"/>
              <w:rPr>
                <w:b/>
                <w:sz w:val="28"/>
              </w:rPr>
            </w:pPr>
            <w:r>
              <w:rPr>
                <w:b/>
                <w:sz w:val="28"/>
              </w:rPr>
              <w:t>6</w:t>
            </w:r>
            <w:r>
              <w:rPr>
                <w:rFonts w:hint="eastAsia"/>
                <w:b/>
                <w:sz w:val="28"/>
              </w:rPr>
              <w:t>、环境风险影响分析</w:t>
            </w:r>
          </w:p>
          <w:p>
            <w:pPr>
              <w:spacing w:line="360" w:lineRule="auto"/>
              <w:ind w:firstLine="480"/>
            </w:pPr>
            <w:r>
              <w:rPr>
                <w:rFonts w:hint="eastAsia"/>
              </w:rPr>
              <w:t>（1）风险物质识别</w:t>
            </w:r>
          </w:p>
          <w:p>
            <w:pPr>
              <w:spacing w:line="360" w:lineRule="auto"/>
              <w:ind w:firstLine="480"/>
              <w:rPr>
                <w:u w:val="single"/>
              </w:rPr>
            </w:pPr>
            <w:r>
              <w:rPr>
                <w:rFonts w:hint="eastAsia"/>
                <w:u w:val="single"/>
              </w:rPr>
              <w:t>本项目采挖建筑用砂矿不属于《建设项目环境风险评价技术导则》（HJ169-2018）附录B 所列风险物质；厂区内使用的润滑油及储存的柴油属于《建设项目环境风险评价技术导则》（HJ169-2018）附录B 所列风险物质。</w:t>
            </w:r>
          </w:p>
          <w:p>
            <w:pPr>
              <w:spacing w:line="360" w:lineRule="auto"/>
              <w:ind w:firstLine="480"/>
            </w:pPr>
            <w:r>
              <w:rPr>
                <w:rFonts w:hint="eastAsia"/>
              </w:rPr>
              <w:t>（2）风险物质数量与临界量的比值Q</w:t>
            </w:r>
          </w:p>
          <w:p>
            <w:pPr>
              <w:spacing w:line="360" w:lineRule="auto"/>
              <w:ind w:firstLine="480"/>
            </w:pPr>
            <w:r>
              <w:rPr>
                <w:rFonts w:hint="eastAsia"/>
              </w:rPr>
              <w:t>当存在多种危险物质时，按下式计算物质总量与其临界量比值（Q）：</w:t>
            </w:r>
          </w:p>
          <w:p>
            <w:pPr>
              <w:pStyle w:val="42"/>
              <w:spacing w:line="360" w:lineRule="auto"/>
              <w:jc w:val="center"/>
              <w:rPr>
                <w:color w:val="000000"/>
                <w:sz w:val="24"/>
              </w:rPr>
            </w:pPr>
            <w:r>
              <w:drawing>
                <wp:inline distT="0" distB="0" distL="0" distR="0">
                  <wp:extent cx="1887220" cy="4679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887220" cy="467995"/>
                          </a:xfrm>
                          <a:prstGeom prst="rect">
                            <a:avLst/>
                          </a:prstGeom>
                          <a:noFill/>
                          <a:ln>
                            <a:noFill/>
                          </a:ln>
                        </pic:spPr>
                      </pic:pic>
                    </a:graphicData>
                  </a:graphic>
                </wp:inline>
              </w:drawing>
            </w:r>
          </w:p>
          <w:p>
            <w:pPr>
              <w:spacing w:line="360" w:lineRule="auto"/>
              <w:ind w:firstLine="480"/>
            </w:pPr>
            <w:r>
              <w:rPr>
                <w:rFonts w:hint="eastAsia"/>
              </w:rPr>
              <w:t>式中：</w:t>
            </w:r>
            <w:r>
              <w:t>q1，q2，...，qn——每种危险物质的最大存在总量，t；</w:t>
            </w:r>
          </w:p>
          <w:p>
            <w:pPr>
              <w:spacing w:line="360" w:lineRule="auto"/>
              <w:ind w:firstLine="1200" w:firstLineChars="500"/>
            </w:pPr>
            <w:r>
              <w:t>Q1</w:t>
            </w:r>
            <w:r>
              <w:rPr>
                <w:rFonts w:hint="eastAsia"/>
              </w:rPr>
              <w:t>，</w:t>
            </w:r>
            <w:r>
              <w:t>Q2</w:t>
            </w:r>
            <w:r>
              <w:rPr>
                <w:rFonts w:hint="eastAsia"/>
              </w:rPr>
              <w:t>，</w:t>
            </w:r>
            <w:r>
              <w:t>...</w:t>
            </w:r>
            <w:r>
              <w:rPr>
                <w:rFonts w:hint="eastAsia"/>
              </w:rPr>
              <w:t>，</w:t>
            </w:r>
            <w:r>
              <w:t>Qn——每种危险物质的临界量，t。</w:t>
            </w:r>
          </w:p>
          <w:p>
            <w:pPr>
              <w:spacing w:line="360" w:lineRule="auto"/>
              <w:ind w:firstLine="480"/>
              <w:rPr>
                <w:color w:val="000000"/>
              </w:rPr>
            </w:pPr>
            <w:r>
              <w:rPr>
                <w:color w:val="000000"/>
              </w:rPr>
              <w:t>当Q&lt;1时，该项目环境风险潜势为Ⅰ。</w:t>
            </w:r>
          </w:p>
          <w:p>
            <w:pPr>
              <w:spacing w:line="360" w:lineRule="auto"/>
              <w:ind w:firstLine="480"/>
              <w:rPr>
                <w:color w:val="000000"/>
              </w:rPr>
            </w:pPr>
            <w:r>
              <w:rPr>
                <w:color w:val="000000"/>
              </w:rPr>
              <w:t>当Q≥1时，将Q值划分为：</w:t>
            </w:r>
            <w:r>
              <w:rPr>
                <w:rFonts w:hint="eastAsia" w:ascii="宋体" w:hAnsi="宋体"/>
                <w:color w:val="000000"/>
              </w:rPr>
              <w:t>①</w:t>
            </w:r>
            <w:r>
              <w:rPr>
                <w:color w:val="000000"/>
              </w:rPr>
              <w:t>1≤Q&lt;10；</w:t>
            </w:r>
            <w:r>
              <w:rPr>
                <w:rFonts w:hint="eastAsia" w:ascii="宋体" w:hAnsi="宋体"/>
                <w:color w:val="000000"/>
              </w:rPr>
              <w:t>②</w:t>
            </w:r>
            <w:r>
              <w:rPr>
                <w:color w:val="000000"/>
              </w:rPr>
              <w:t>10≤Q&lt;100，</w:t>
            </w:r>
            <w:r>
              <w:rPr>
                <w:rFonts w:hint="eastAsia" w:ascii="宋体" w:hAnsi="宋体"/>
                <w:color w:val="000000"/>
              </w:rPr>
              <w:t>③</w:t>
            </w:r>
            <w:r>
              <w:rPr>
                <w:color w:val="000000"/>
              </w:rPr>
              <w:t>Q≥100。</w:t>
            </w:r>
          </w:p>
          <w:p>
            <w:pPr>
              <w:spacing w:line="360" w:lineRule="auto"/>
              <w:ind w:firstLine="480"/>
            </w:pPr>
            <w:r>
              <w:t>对照（HJ/T169-2018）附录B中危险物质及其临界量，</w:t>
            </w:r>
            <w:r>
              <w:rPr>
                <w:rFonts w:hint="eastAsia"/>
              </w:rPr>
              <w:t>项目</w:t>
            </w:r>
            <w:r>
              <w:t>危险物质数量与临界量的比值的计算见</w:t>
            </w:r>
            <w:r>
              <w:rPr>
                <w:rFonts w:hint="eastAsia"/>
              </w:rPr>
              <w:t>下表</w:t>
            </w:r>
            <w:r>
              <w:t>。</w:t>
            </w:r>
          </w:p>
          <w:p>
            <w:pPr>
              <w:pStyle w:val="2"/>
              <w:spacing w:line="360" w:lineRule="auto"/>
              <w:rPr>
                <w:b w:val="0"/>
              </w:rPr>
            </w:pPr>
            <w:r>
              <w:rPr>
                <w:b w:val="0"/>
              </w:rPr>
              <w:t>表4-9 危险物质数量与临界量的比值</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5"/>
              <w:gridCol w:w="1411"/>
              <w:gridCol w:w="1411"/>
              <w:gridCol w:w="1411"/>
              <w:gridCol w:w="141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98" w:type="pct"/>
                  <w:vAlign w:val="center"/>
                </w:tcPr>
                <w:p>
                  <w:pPr>
                    <w:pStyle w:val="13"/>
                  </w:pPr>
                  <w:r>
                    <w:rPr>
                      <w:rFonts w:hint="eastAsia"/>
                    </w:rPr>
                    <w:t>序号</w:t>
                  </w:r>
                </w:p>
              </w:tc>
              <w:tc>
                <w:tcPr>
                  <w:tcW w:w="913" w:type="pct"/>
                  <w:vAlign w:val="center"/>
                </w:tcPr>
                <w:p>
                  <w:pPr>
                    <w:pStyle w:val="13"/>
                  </w:pPr>
                  <w:r>
                    <w:rPr>
                      <w:rFonts w:hint="eastAsia"/>
                    </w:rPr>
                    <w:t>物料名称</w:t>
                  </w:r>
                </w:p>
              </w:tc>
              <w:tc>
                <w:tcPr>
                  <w:tcW w:w="913" w:type="pct"/>
                  <w:vAlign w:val="center"/>
                </w:tcPr>
                <w:p>
                  <w:pPr>
                    <w:pStyle w:val="13"/>
                  </w:pPr>
                  <w:r>
                    <w:rPr>
                      <w:rFonts w:hint="eastAsia"/>
                    </w:rPr>
                    <w:t>储存位置</w:t>
                  </w:r>
                </w:p>
              </w:tc>
              <w:tc>
                <w:tcPr>
                  <w:tcW w:w="913" w:type="pct"/>
                  <w:vAlign w:val="center"/>
                </w:tcPr>
                <w:p>
                  <w:pPr>
                    <w:pStyle w:val="13"/>
                  </w:pPr>
                  <w:r>
                    <w:rPr>
                      <w:rFonts w:hint="eastAsia"/>
                    </w:rPr>
                    <w:t>最大储存量</w:t>
                  </w:r>
                </w:p>
              </w:tc>
              <w:tc>
                <w:tcPr>
                  <w:tcW w:w="913" w:type="pct"/>
                  <w:vAlign w:val="center"/>
                </w:tcPr>
                <w:p>
                  <w:pPr>
                    <w:pStyle w:val="13"/>
                  </w:pPr>
                  <w:r>
                    <w:rPr>
                      <w:rFonts w:hint="eastAsia"/>
                    </w:rPr>
                    <w:t>临界值</w:t>
                  </w:r>
                </w:p>
              </w:tc>
              <w:tc>
                <w:tcPr>
                  <w:tcW w:w="950" w:type="pct"/>
                  <w:vAlign w:val="center"/>
                </w:tcPr>
                <w:p>
                  <w:pPr>
                    <w:pStyle w:val="13"/>
                  </w:pPr>
                  <w:r>
                    <w:rPr>
                      <w:rFonts w:hint="eastAsia"/>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 w:type="pct"/>
                  <w:vAlign w:val="center"/>
                </w:tcPr>
                <w:p>
                  <w:pPr>
                    <w:pStyle w:val="13"/>
                    <w:rPr>
                      <w:u w:val="single"/>
                    </w:rPr>
                  </w:pPr>
                  <w:r>
                    <w:rPr>
                      <w:rFonts w:hint="eastAsia"/>
                      <w:u w:val="single"/>
                    </w:rPr>
                    <w:t>1</w:t>
                  </w:r>
                </w:p>
              </w:tc>
              <w:tc>
                <w:tcPr>
                  <w:tcW w:w="913" w:type="pct"/>
                  <w:vAlign w:val="center"/>
                </w:tcPr>
                <w:p>
                  <w:pPr>
                    <w:pStyle w:val="13"/>
                    <w:rPr>
                      <w:u w:val="single"/>
                    </w:rPr>
                  </w:pPr>
                  <w:r>
                    <w:rPr>
                      <w:rFonts w:hint="eastAsia"/>
                      <w:u w:val="single"/>
                    </w:rPr>
                    <w:t>润滑油</w:t>
                  </w:r>
                </w:p>
              </w:tc>
              <w:tc>
                <w:tcPr>
                  <w:tcW w:w="913" w:type="pct"/>
                  <w:vAlign w:val="center"/>
                </w:tcPr>
                <w:p>
                  <w:pPr>
                    <w:pStyle w:val="13"/>
                    <w:rPr>
                      <w:u w:val="single"/>
                    </w:rPr>
                  </w:pPr>
                  <w:r>
                    <w:rPr>
                      <w:rFonts w:hint="eastAsia"/>
                      <w:u w:val="single"/>
                    </w:rPr>
                    <w:t>工业广场</w:t>
                  </w:r>
                </w:p>
              </w:tc>
              <w:tc>
                <w:tcPr>
                  <w:tcW w:w="913" w:type="pct"/>
                  <w:vAlign w:val="center"/>
                </w:tcPr>
                <w:p>
                  <w:pPr>
                    <w:pStyle w:val="13"/>
                    <w:rPr>
                      <w:u w:val="single"/>
                    </w:rPr>
                  </w:pPr>
                  <w:r>
                    <w:rPr>
                      <w:u w:val="single"/>
                    </w:rPr>
                    <w:t>0.045t</w:t>
                  </w:r>
                </w:p>
              </w:tc>
              <w:tc>
                <w:tcPr>
                  <w:tcW w:w="913" w:type="pct"/>
                  <w:vAlign w:val="center"/>
                </w:tcPr>
                <w:p>
                  <w:pPr>
                    <w:pStyle w:val="13"/>
                    <w:rPr>
                      <w:u w:val="single"/>
                    </w:rPr>
                  </w:pPr>
                  <w:r>
                    <w:rPr>
                      <w:u w:val="single"/>
                    </w:rPr>
                    <w:t>2500t</w:t>
                  </w:r>
                </w:p>
              </w:tc>
              <w:tc>
                <w:tcPr>
                  <w:tcW w:w="950" w:type="pct"/>
                  <w:vAlign w:val="center"/>
                </w:tcPr>
                <w:p>
                  <w:pPr>
                    <w:pStyle w:val="13"/>
                    <w:rPr>
                      <w:u w:val="single"/>
                    </w:rPr>
                  </w:pPr>
                  <w:r>
                    <w:rPr>
                      <w:u w:val="single"/>
                    </w:rPr>
                    <w:t>0.000018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8" w:type="pct"/>
                  <w:vAlign w:val="center"/>
                </w:tcPr>
                <w:p>
                  <w:pPr>
                    <w:pStyle w:val="13"/>
                    <w:rPr>
                      <w:u w:val="single"/>
                    </w:rPr>
                  </w:pPr>
                  <w:r>
                    <w:rPr>
                      <w:rFonts w:hint="eastAsia"/>
                      <w:u w:val="single"/>
                    </w:rPr>
                    <w:t>2</w:t>
                  </w:r>
                </w:p>
              </w:tc>
              <w:tc>
                <w:tcPr>
                  <w:tcW w:w="913" w:type="pct"/>
                  <w:vAlign w:val="center"/>
                </w:tcPr>
                <w:p>
                  <w:pPr>
                    <w:pStyle w:val="13"/>
                    <w:rPr>
                      <w:u w:val="single"/>
                    </w:rPr>
                  </w:pPr>
                  <w:r>
                    <w:rPr>
                      <w:rFonts w:hint="eastAsia"/>
                      <w:u w:val="single"/>
                    </w:rPr>
                    <w:t>柴油</w:t>
                  </w:r>
                </w:p>
              </w:tc>
              <w:tc>
                <w:tcPr>
                  <w:tcW w:w="913" w:type="pct"/>
                  <w:vAlign w:val="center"/>
                </w:tcPr>
                <w:p>
                  <w:pPr>
                    <w:pStyle w:val="13"/>
                    <w:rPr>
                      <w:u w:val="single"/>
                    </w:rPr>
                  </w:pPr>
                  <w:r>
                    <w:rPr>
                      <w:rFonts w:hint="eastAsia"/>
                      <w:u w:val="single"/>
                    </w:rPr>
                    <w:t>工业广场</w:t>
                  </w:r>
                </w:p>
              </w:tc>
              <w:tc>
                <w:tcPr>
                  <w:tcW w:w="913" w:type="pct"/>
                  <w:vAlign w:val="center"/>
                </w:tcPr>
                <w:p>
                  <w:pPr>
                    <w:pStyle w:val="13"/>
                    <w:rPr>
                      <w:u w:val="single"/>
                    </w:rPr>
                  </w:pPr>
                  <w:r>
                    <w:rPr>
                      <w:rFonts w:hint="eastAsia"/>
                      <w:u w:val="single"/>
                    </w:rPr>
                    <w:t>30t</w:t>
                  </w:r>
                </w:p>
              </w:tc>
              <w:tc>
                <w:tcPr>
                  <w:tcW w:w="913" w:type="pct"/>
                  <w:vAlign w:val="center"/>
                </w:tcPr>
                <w:p>
                  <w:pPr>
                    <w:pStyle w:val="13"/>
                    <w:rPr>
                      <w:u w:val="single"/>
                    </w:rPr>
                  </w:pPr>
                  <w:r>
                    <w:rPr>
                      <w:rFonts w:hint="eastAsia"/>
                      <w:u w:val="single"/>
                    </w:rPr>
                    <w:t>2500t</w:t>
                  </w:r>
                </w:p>
              </w:tc>
              <w:tc>
                <w:tcPr>
                  <w:tcW w:w="950" w:type="pct"/>
                  <w:vAlign w:val="center"/>
                </w:tcPr>
                <w:p>
                  <w:pPr>
                    <w:pStyle w:val="13"/>
                    <w:rPr>
                      <w:u w:val="single"/>
                    </w:rPr>
                  </w:pPr>
                  <w:r>
                    <w:rPr>
                      <w:rFonts w:hint="eastAsia"/>
                      <w:u w:val="single"/>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050" w:type="pct"/>
                  <w:gridSpan w:val="5"/>
                  <w:vAlign w:val="center"/>
                </w:tcPr>
                <w:p>
                  <w:pPr>
                    <w:pStyle w:val="13"/>
                  </w:pPr>
                  <w:r>
                    <w:rPr>
                      <w:rFonts w:hint="eastAsia"/>
                    </w:rPr>
                    <w:t>Q</w:t>
                  </w:r>
                </w:p>
              </w:tc>
              <w:tc>
                <w:tcPr>
                  <w:tcW w:w="950" w:type="pct"/>
                  <w:vAlign w:val="center"/>
                </w:tcPr>
                <w:p>
                  <w:pPr>
                    <w:pStyle w:val="13"/>
                    <w:rPr>
                      <w:u w:val="single"/>
                    </w:rPr>
                  </w:pPr>
                  <w:r>
                    <w:rPr>
                      <w:u w:val="single"/>
                    </w:rPr>
                    <w:t>0.0</w:t>
                  </w:r>
                  <w:r>
                    <w:rPr>
                      <w:rFonts w:hint="eastAsia"/>
                      <w:u w:val="single"/>
                    </w:rPr>
                    <w:t>12</w:t>
                  </w:r>
                  <w:r>
                    <w:rPr>
                      <w:u w:val="single"/>
                    </w:rPr>
                    <w:t>018</w:t>
                  </w:r>
                </w:p>
              </w:tc>
            </w:tr>
          </w:tbl>
          <w:p>
            <w:pPr>
              <w:spacing w:line="360" w:lineRule="auto"/>
              <w:ind w:firstLine="480"/>
            </w:pPr>
            <w:r>
              <w:rPr>
                <w:rFonts w:hint="eastAsia"/>
                <w:u w:val="single"/>
              </w:rPr>
              <w:t>由上表可知，本项目的Q值为</w:t>
            </w:r>
            <w:r>
              <w:rPr>
                <w:u w:val="single"/>
              </w:rPr>
              <w:t>0.0</w:t>
            </w:r>
            <w:r>
              <w:rPr>
                <w:rFonts w:hint="eastAsia"/>
                <w:u w:val="single"/>
              </w:rPr>
              <w:t>12</w:t>
            </w:r>
            <w:r>
              <w:rPr>
                <w:u w:val="single"/>
              </w:rPr>
              <w:t>018</w:t>
            </w:r>
            <w:r>
              <w:rPr>
                <w:rFonts w:hint="eastAsia"/>
                <w:u w:val="single"/>
              </w:rPr>
              <w:t>&lt;1，项目环境风险潜势为</w:t>
            </w:r>
            <w:r>
              <w:rPr>
                <w:u w:val="single"/>
              </w:rPr>
              <w:t>Ⅰ</w:t>
            </w:r>
            <w:r>
              <w:rPr>
                <w:rFonts w:hint="eastAsia"/>
              </w:rPr>
              <w:t>。根据《建设项目环境风险评价技术导则》（HJ/T169-2018）中表1评价工作等级划分表，判定本项目的风险评价工作等级为简单分析。</w:t>
            </w:r>
          </w:p>
          <w:p>
            <w:pPr>
              <w:spacing w:line="360" w:lineRule="auto"/>
              <w:ind w:firstLine="480"/>
            </w:pPr>
            <w:r>
              <w:rPr>
                <w:rFonts w:hint="eastAsia"/>
              </w:rPr>
              <w:t>（</w:t>
            </w:r>
            <w:r>
              <w:t>3</w:t>
            </w:r>
            <w:r>
              <w:rPr>
                <w:rFonts w:hint="eastAsia"/>
              </w:rPr>
              <w:t>）环境风险分析</w:t>
            </w:r>
          </w:p>
          <w:p>
            <w:pPr>
              <w:spacing w:line="360" w:lineRule="auto"/>
              <w:ind w:firstLine="480"/>
            </w:pPr>
            <w:r>
              <w:rPr>
                <w:rFonts w:hint="eastAsia"/>
              </w:rPr>
              <w:t>①大气环境风险：项目大气环境风险事故主要为采掘、生产过程操作不当、未做好洒水等抑尘措施，导致颗粒物排放浓度超标；润滑油、柴油泄漏遇到明火发生火灾事故，不完全燃烧产生的废气污染物，主要为NO</w:t>
            </w:r>
            <w:r>
              <w:rPr>
                <w:rFonts w:hint="eastAsia"/>
                <w:vertAlign w:val="subscript"/>
              </w:rPr>
              <w:t>X</w:t>
            </w:r>
            <w:r>
              <w:rPr>
                <w:rFonts w:hint="eastAsia"/>
              </w:rPr>
              <w:t>、CO等。</w:t>
            </w:r>
          </w:p>
          <w:p>
            <w:pPr>
              <w:spacing w:line="360" w:lineRule="auto"/>
              <w:ind w:firstLine="480"/>
            </w:pPr>
            <w:r>
              <w:rPr>
                <w:rFonts w:hint="eastAsia"/>
              </w:rPr>
              <w:t>②地表水环境风险：项目生产废水采用沉淀工艺进行处理，生活污水采用隔油池+化粪池处理，处理工艺较为简单，事故主要为废水设施破损导致废水泄漏事故。</w:t>
            </w:r>
          </w:p>
          <w:p>
            <w:pPr>
              <w:spacing w:line="360" w:lineRule="auto"/>
              <w:ind w:firstLine="480"/>
              <w:rPr>
                <w:rFonts w:ascii="宋体" w:hAnsi="宋体" w:cs="宋体"/>
                <w:u w:val="single"/>
              </w:rPr>
            </w:pPr>
            <w:r>
              <w:rPr>
                <w:rFonts w:hint="eastAsia" w:ascii="宋体" w:hAnsi="宋体" w:cs="宋体"/>
                <w:u w:val="single"/>
              </w:rPr>
              <w:t>③地下水环境风险：本项目柴油储罐一旦发生泄漏后未被引燃发生火灾爆炸的情况下，如果泄漏的柴油冲出储罐的防火堤，未被及时收集情况下，将通过突然渗入至地下水层，影响地下水水质。</w:t>
            </w:r>
          </w:p>
          <w:p>
            <w:pPr>
              <w:spacing w:line="360" w:lineRule="auto"/>
              <w:ind w:firstLine="480"/>
              <w:rPr>
                <w:rFonts w:ascii="宋体" w:hAnsi="宋体" w:cs="宋体"/>
                <w:u w:val="single"/>
              </w:rPr>
            </w:pPr>
            <w:r>
              <w:rPr>
                <w:rFonts w:hint="eastAsia" w:ascii="宋体" w:hAnsi="宋体" w:cs="宋体"/>
                <w:u w:val="single"/>
              </w:rPr>
              <w:t>本项目埋地柴油罐采用双层钢制油罐；在储油罐周围修建防渗池，防止成品油意外事故渗漏时造成大面积的环境污染；防渗池采用防渗钢筋混凝土整体浇注；防渗池的上部应采取防止雨水、地表水和外部泄漏油品渗入池内的措施；对地下罐池的池底、池壁做防渗处理，与土壤接触的钢制油罐外表面做防腐处理；油罐设置高液位报警功能的液位监测系统及渗漏检测系统，储油罐内进油管安装卸油防溢阀，以便及时发现地下油罐渗漏，防止柴油泄漏造成地下水污染。</w:t>
            </w:r>
          </w:p>
          <w:p>
            <w:pPr>
              <w:spacing w:line="360" w:lineRule="auto"/>
              <w:ind w:firstLine="480"/>
            </w:pPr>
            <w:r>
              <w:rPr>
                <w:rFonts w:hint="eastAsia"/>
              </w:rPr>
              <w:t>（4）环境风险防范措施及应急要求</w:t>
            </w:r>
          </w:p>
          <w:p>
            <w:pPr>
              <w:spacing w:line="360" w:lineRule="auto"/>
              <w:ind w:firstLine="480"/>
            </w:pPr>
            <w:r>
              <w:rPr>
                <w:rFonts w:hint="eastAsia"/>
              </w:rPr>
              <w:t>①大气环境事故防范措施：建设单位定期委派专职人员对废气治理设施进行检查维护（喷嘴定期进行疏通，防止堵塞），当发生严重故障时，可立即停产对应工序进行检修；当发生火灾事故时，可采用矿区的泥土进行掩盖灭火处理，吸附后的废物交由有资质单位清运处置。</w:t>
            </w:r>
          </w:p>
          <w:p>
            <w:pPr>
              <w:spacing w:line="360" w:lineRule="auto"/>
              <w:ind w:firstLine="480"/>
            </w:pPr>
            <w:r>
              <w:rPr>
                <w:rFonts w:hint="eastAsia"/>
              </w:rPr>
              <w:t>②地表水环境事故防范措施：项目隔油池、化粪池、均采取防渗建设，并定期委派专职人员对污水处理系统进行检查维护；当发生润滑油泄漏事故时，建设单位可采用矿区泥土进行掩盖吸附处理，吸附后的废物交由有资质单位清运处置。</w:t>
            </w:r>
          </w:p>
          <w:p>
            <w:pPr>
              <w:spacing w:line="360" w:lineRule="auto"/>
              <w:ind w:firstLine="480"/>
              <w:rPr>
                <w:u w:val="single"/>
              </w:rPr>
            </w:pPr>
            <w:r>
              <w:rPr>
                <w:rFonts w:hint="eastAsia" w:ascii="宋体" w:hAnsi="宋体" w:cs="宋体"/>
                <w:u w:val="single"/>
              </w:rPr>
              <w:t>③</w:t>
            </w:r>
            <w:r>
              <w:rPr>
                <w:u w:val="single"/>
              </w:rPr>
              <w:t>地下水环境事故防范措施：本项目埋地柴油罐采用双层钢制油罐；在储油罐周围修建防渗池，防止成品油意外事故渗漏时造成大面积的环境污染；防渗池采用防渗钢筋混凝土整体浇注；防渗池的上部应采取防止雨水、地表水和外部泄漏油品渗入池内的措施；对地下罐池的池底、池壁做防渗处理，与土壤接触的钢制油罐外表面做防腐处理，防腐设计须符合国家现行标准《石油化工设备和管道涂料防腐蚀技术规范》（SH3022）的有关规定，且防腐等级不应低于加强级；油罐设置高液位报警功能的液位监测系统及渗漏检测系统，储油罐内进油管安装卸油防溢阀，以便及时发现地下油罐渗漏，防止柴油泄漏造成地下水污染。同时，做好设施设备的日常检修和维护工作，杜绝事故的发生等。</w:t>
            </w:r>
          </w:p>
          <w:p>
            <w:pPr>
              <w:spacing w:line="360" w:lineRule="auto"/>
              <w:ind w:firstLine="480"/>
              <w:rPr>
                <w:rFonts w:ascii="宋体" w:hAnsi="宋体" w:cs="宋体"/>
                <w:u w:val="single"/>
              </w:rPr>
            </w:pPr>
            <w:r>
              <w:rPr>
                <w:rFonts w:hint="eastAsia" w:ascii="宋体" w:hAnsi="宋体" w:cs="宋体"/>
                <w:u w:val="single"/>
              </w:rPr>
              <w:t>④火灾爆炸防范措施：</w:t>
            </w:r>
          </w:p>
          <w:p>
            <w:pPr>
              <w:spacing w:line="360" w:lineRule="auto"/>
              <w:ind w:firstLine="480"/>
              <w:rPr>
                <w:u w:val="single"/>
              </w:rPr>
            </w:pPr>
            <w:r>
              <w:rPr>
                <w:rFonts w:hint="eastAsia"/>
                <w:u w:val="single"/>
              </w:rPr>
              <w:t>a、定期对柴油罐进行安全检测，检测内容、时间、人员应有记录保存。</w:t>
            </w:r>
          </w:p>
          <w:p>
            <w:pPr>
              <w:spacing w:line="360" w:lineRule="auto"/>
              <w:ind w:firstLine="480"/>
              <w:rPr>
                <w:u w:val="single"/>
              </w:rPr>
            </w:pPr>
            <w:r>
              <w:rPr>
                <w:rFonts w:hint="eastAsia"/>
                <w:u w:val="single"/>
              </w:rPr>
              <w:t>b、严禁火源进入柴油罐区，对明火严格控制，明火发生源为火柴、打火机等，维修用火控制，对设备维修检查，需进行维修焊接，应经安全部门确认、准许，并有记录在案。</w:t>
            </w:r>
          </w:p>
          <w:p>
            <w:pPr>
              <w:spacing w:line="360" w:lineRule="auto"/>
              <w:ind w:firstLine="480"/>
              <w:rPr>
                <w:u w:val="single"/>
              </w:rPr>
            </w:pPr>
            <w:r>
              <w:rPr>
                <w:rFonts w:hint="eastAsia"/>
                <w:u w:val="single"/>
              </w:rPr>
              <w:t>c、按规定设置避雷设施，并定期检测。</w:t>
            </w:r>
          </w:p>
          <w:p>
            <w:pPr>
              <w:spacing w:line="360" w:lineRule="auto"/>
              <w:ind w:firstLine="480"/>
              <w:rPr>
                <w:u w:val="single"/>
              </w:rPr>
            </w:pPr>
            <w:r>
              <w:rPr>
                <w:rFonts w:hint="eastAsia"/>
                <w:u w:val="single"/>
              </w:rPr>
              <w:t>d、柴油罐区按规定设置消防设施（如消火栓、灭火器材）。</w:t>
            </w:r>
          </w:p>
          <w:p>
            <w:pPr>
              <w:spacing w:line="360" w:lineRule="auto"/>
              <w:ind w:firstLine="480"/>
              <w:rPr>
                <w:u w:val="single"/>
              </w:rPr>
            </w:pPr>
            <w:r>
              <w:rPr>
                <w:rFonts w:hint="eastAsia"/>
                <w:u w:val="single"/>
              </w:rPr>
              <w:t>e、建立各项安全生产规章制度、岗位操作规程和安全规程。</w:t>
            </w:r>
          </w:p>
          <w:p>
            <w:pPr>
              <w:spacing w:line="360" w:lineRule="auto"/>
              <w:ind w:firstLine="480"/>
              <w:rPr>
                <w:u w:val="single"/>
              </w:rPr>
            </w:pPr>
            <w:r>
              <w:rPr>
                <w:rFonts w:hint="eastAsia"/>
                <w:u w:val="single"/>
              </w:rPr>
              <w:t>f、从业人员上岗前应进行安全和专业知识的培训、教育，经考核合格后，方能上岗作业。</w:t>
            </w:r>
          </w:p>
          <w:p>
            <w:pPr>
              <w:spacing w:line="360" w:lineRule="auto"/>
              <w:ind w:firstLine="480"/>
              <w:rPr>
                <w:rFonts w:ascii="宋体" w:hAnsi="宋体" w:cs="宋体"/>
                <w:u w:val="single"/>
              </w:rPr>
            </w:pPr>
            <w:r>
              <w:rPr>
                <w:rFonts w:hint="eastAsia" w:ascii="宋体" w:hAnsi="宋体" w:cs="宋体"/>
                <w:u w:val="single"/>
              </w:rPr>
              <w:t>⑤应急预案</w:t>
            </w:r>
          </w:p>
          <w:p>
            <w:pPr>
              <w:spacing w:line="360" w:lineRule="auto"/>
              <w:ind w:firstLine="480"/>
              <w:rPr>
                <w:u w:val="single"/>
              </w:rPr>
            </w:pPr>
            <w:r>
              <w:rPr>
                <w:rFonts w:hint="eastAsia"/>
                <w:u w:val="single"/>
              </w:rPr>
              <w:t>对于可能发生的环境风险，建议建设单位做好应急预案。主要体现在：</w:t>
            </w:r>
          </w:p>
          <w:p>
            <w:pPr>
              <w:spacing w:line="360" w:lineRule="auto"/>
              <w:ind w:firstLine="480"/>
              <w:rPr>
                <w:u w:val="single"/>
              </w:rPr>
            </w:pPr>
            <w:r>
              <w:rPr>
                <w:rFonts w:hint="eastAsia"/>
                <w:u w:val="single"/>
              </w:rPr>
              <w:t>1）成立应急预案小组。建议本项目成立应急预案小组，规范其职责是在发生环境风险事故时，分析灾情、确定事故救援方案、制定各阶段的应急对策，发布组织指挥救援队伍，向各应急救援专业队伍下达指挥命令、向上级部门汇报、以及向周边单位通报事故情况，如有需要则发出救援请求，并负责组织事故调查、总结应急救援工作的经验教训，平时负责本预案的制定、修订，检查督促做好风险事故预防和应急救援准备工作，包括应急教育、培训和定期演练等活动。</w:t>
            </w:r>
          </w:p>
          <w:p>
            <w:pPr>
              <w:spacing w:line="360" w:lineRule="auto"/>
              <w:ind w:firstLine="480"/>
              <w:rPr>
                <w:u w:val="single"/>
              </w:rPr>
            </w:pPr>
            <w:r>
              <w:rPr>
                <w:rFonts w:hint="eastAsia"/>
                <w:u w:val="single"/>
              </w:rPr>
              <w:t>2）保持矿区、工业场区内通讯畅通。在事故发生时，可迅速的与外援救助部门联系，提高事故发生后的反应能力。</w:t>
            </w:r>
          </w:p>
          <w:p>
            <w:pPr>
              <w:spacing w:line="360" w:lineRule="auto"/>
              <w:ind w:firstLine="480"/>
              <w:rPr>
                <w:u w:val="single"/>
              </w:rPr>
            </w:pPr>
            <w:r>
              <w:rPr>
                <w:rFonts w:hint="eastAsia"/>
                <w:u w:val="single"/>
              </w:rPr>
              <w:t>3）做好应急环境监测、抢救、救援及控制措施。由相关专业队伍负责对事故现场进行侦察监测，对事故性质、参数与后果进行评估，为指挥部门提供决策依据。</w:t>
            </w:r>
          </w:p>
          <w:p>
            <w:pPr>
              <w:spacing w:line="360" w:lineRule="auto"/>
              <w:ind w:firstLine="480"/>
              <w:rPr>
                <w:u w:val="single"/>
              </w:rPr>
            </w:pPr>
            <w:r>
              <w:rPr>
                <w:rFonts w:hint="eastAsia"/>
                <w:u w:val="single"/>
              </w:rPr>
              <w:t>4）地质灾害风险预案</w:t>
            </w:r>
          </w:p>
          <w:p>
            <w:pPr>
              <w:spacing w:line="360" w:lineRule="auto"/>
              <w:ind w:firstLine="480"/>
              <w:rPr>
                <w:u w:val="single"/>
              </w:rPr>
            </w:pPr>
            <w:r>
              <w:rPr>
                <w:rFonts w:hint="eastAsia"/>
                <w:u w:val="single"/>
              </w:rPr>
              <w:t>表土临时堆置场或采场一旦发生边坡失稳、崩塌、滑坡或暴雨引起的泥石流等地质灾害，应立即通知下游村民及现场工作人员转移至安全地带。同时，应及时对河道进行清淤，保证附近河道畅通，防止事态继续恶化，忙完成山体滑坡、崩塌或其他地质灾害的修复工作，及时转移倾泻的山体废石，以避免在暴雨天气产生泥石流。</w:t>
            </w:r>
          </w:p>
          <w:p>
            <w:pPr>
              <w:spacing w:line="360" w:lineRule="auto"/>
              <w:ind w:firstLine="480"/>
              <w:rPr>
                <w:u w:val="single"/>
              </w:rPr>
            </w:pPr>
            <w:r>
              <w:rPr>
                <w:rFonts w:hint="eastAsia"/>
                <w:u w:val="single"/>
              </w:rPr>
              <w:t>5）柴油泄漏风险预案</w:t>
            </w:r>
          </w:p>
          <w:p>
            <w:pPr>
              <w:spacing w:line="360" w:lineRule="auto"/>
              <w:ind w:firstLine="480"/>
              <w:rPr>
                <w:u w:val="single"/>
              </w:rPr>
            </w:pPr>
            <w:r>
              <w:rPr>
                <w:rFonts w:hint="eastAsia"/>
                <w:u w:val="single"/>
              </w:rPr>
              <w:t>在项目现场准备好泄漏物清理工具和盛装容器，以便在泄漏事故发生后能及时清理泄漏物，防止污染物渗入地下水；在泄漏物清理后及时用水冲洗地面；准备好土壤挖掘工具和盛装容器，以便能及时处理受泄漏物影响的土壤，防止土壤中污染物进一步下渗从而影响地下水。在做好上述事故应急处理措施后，对于柴油罐泄漏风险事故能大大降低土壤和地下水污染的影响程度。</w:t>
            </w:r>
          </w:p>
          <w:p>
            <w:pPr>
              <w:spacing w:line="360" w:lineRule="auto"/>
              <w:ind w:firstLine="480"/>
              <w:rPr>
                <w:u w:val="single"/>
              </w:rPr>
            </w:pPr>
            <w:r>
              <w:rPr>
                <w:rFonts w:hint="eastAsia"/>
                <w:u w:val="single"/>
              </w:rPr>
              <w:t>6）火灾爆炸风险预案</w:t>
            </w:r>
          </w:p>
          <w:p>
            <w:pPr>
              <w:spacing w:line="360" w:lineRule="auto"/>
              <w:ind w:firstLine="480"/>
              <w:rPr>
                <w:u w:val="single"/>
              </w:rPr>
            </w:pPr>
            <w:r>
              <w:rPr>
                <w:rFonts w:hint="eastAsia"/>
                <w:u w:val="single"/>
              </w:rPr>
              <w:t>项目厂区内柴油罐一旦发生泄漏火灾爆炸事故，应根据事故现场情况，现场人员立即进行自救或疏散撤离；设置警示标志及警戒线，派专人警戒，除应急人员进入外，其他人员禁止进入警戒区；立即拨打外部救援电话请求救援，通知站区应急指挥部，启动应急预案；隔离火灾爆炸区周边30m 范围，严禁无关人员进入隔离区。应急救援人员穿戴防护服、防毒面具，携带救援设备进入事故现场进行先期消防灭火，时刻关注火势，随时做好撤离准备。待消防队伍达到后配合其对事故区域进行灭火救援。对火灾爆炸罐区进行消防灭火，对剩余燃烧物料彻底转移。</w:t>
            </w:r>
          </w:p>
          <w:p>
            <w:pPr>
              <w:spacing w:line="360" w:lineRule="auto"/>
              <w:ind w:firstLine="480"/>
            </w:pPr>
            <w:r>
              <w:rPr>
                <w:rFonts w:hint="eastAsia"/>
              </w:rPr>
              <w:t>（</w:t>
            </w:r>
            <w:r>
              <w:t>5</w:t>
            </w:r>
            <w:r>
              <w:rPr>
                <w:rFonts w:hint="eastAsia"/>
              </w:rPr>
              <w:t>）风险评价结论</w:t>
            </w:r>
          </w:p>
          <w:p>
            <w:pPr>
              <w:spacing w:line="360" w:lineRule="auto"/>
              <w:ind w:firstLine="480"/>
            </w:pPr>
            <w:r>
              <w:rPr>
                <w:rFonts w:hint="eastAsia"/>
              </w:rPr>
              <w:t>根据本项目环境风险分析，项目建设运营过程中各种环境风险物质均未构成重大危险源，风险潜势为I，评价等级为简单分析。建设单位在严格落实本报告的提出各项事故防范和应急措施，以及其他有关安全、水保、地质治理等相关报告中的措施，加强管理的前提下，可最大限度地减少可能发生的环境风险。</w:t>
            </w:r>
          </w:p>
          <w:p>
            <w:pPr>
              <w:spacing w:line="360" w:lineRule="auto"/>
              <w:ind w:firstLine="480"/>
            </w:pPr>
            <w:r>
              <w:rPr>
                <w:rFonts w:hint="eastAsia"/>
              </w:rPr>
              <w:t>在采取本报告提出的风险防范措施及有效的综合管理措施前提下，本项目所产生的环境风险可以控制在可接受风险水平之内。综合而言，本建设项目环境风险水平可以接受。</w:t>
            </w:r>
          </w:p>
          <w:p>
            <w:pPr>
              <w:spacing w:line="360" w:lineRule="auto"/>
              <w:ind w:firstLine="0" w:firstLineChars="0"/>
              <w:rPr>
                <w:b/>
                <w:sz w:val="28"/>
              </w:rPr>
            </w:pPr>
            <w:r>
              <w:rPr>
                <w:b/>
                <w:sz w:val="28"/>
              </w:rPr>
              <w:t>7</w:t>
            </w:r>
            <w:r>
              <w:rPr>
                <w:rFonts w:hint="eastAsia"/>
                <w:b/>
                <w:sz w:val="28"/>
              </w:rPr>
              <w:t>、生态环境影响分析</w:t>
            </w:r>
          </w:p>
          <w:p>
            <w:pPr>
              <w:spacing w:line="360" w:lineRule="auto"/>
              <w:ind w:firstLine="0" w:firstLineChars="0"/>
              <w:rPr>
                <w:b/>
              </w:rPr>
            </w:pPr>
            <w:r>
              <w:rPr>
                <w:b/>
              </w:rPr>
              <w:t>7.1</w:t>
            </w:r>
            <w:r>
              <w:rPr>
                <w:rFonts w:hint="eastAsia"/>
                <w:b/>
              </w:rPr>
              <w:t>对植物及植被的影响分析</w:t>
            </w:r>
          </w:p>
          <w:p>
            <w:pPr>
              <w:spacing w:line="360" w:lineRule="auto"/>
              <w:ind w:firstLine="480"/>
            </w:pPr>
            <w:r>
              <w:rPr>
                <w:rFonts w:hint="eastAsia"/>
              </w:rPr>
              <w:t>本项目运营期主要为地下开采过程中产生的废气、废水等对植物和植被的影响，以及场内人员对植物的影响。同时开采过程中对植物的地下部分产生一定的影响。</w:t>
            </w:r>
          </w:p>
          <w:p>
            <w:pPr>
              <w:spacing w:line="360" w:lineRule="auto"/>
              <w:ind w:firstLine="480"/>
            </w:pPr>
            <w:r>
              <w:rPr>
                <w:rFonts w:hint="eastAsia"/>
              </w:rPr>
              <w:t>（1）废气、废水等对植物和植被的影响</w:t>
            </w:r>
          </w:p>
          <w:p>
            <w:pPr>
              <w:spacing w:line="360" w:lineRule="auto"/>
              <w:ind w:firstLine="480"/>
              <w:rPr>
                <w:u w:val="single"/>
              </w:rPr>
            </w:pPr>
            <w:r>
              <w:rPr>
                <w:rFonts w:hint="eastAsia"/>
                <w:u w:val="single"/>
              </w:rPr>
              <w:t>根据方案，由于矿山采用地上开采，地表土层需剥离，建设区域植被主要以乔木林为主，主要为毛竹林和杉木林、马尾松林，占地区的植被在评价区分布较广泛和常见，因此，本项目的施工对区域的植物和植被影响较小，仅为个体损失、植被生物量减少因此，废气废水对植物和植被的影响可控。</w:t>
            </w:r>
          </w:p>
          <w:p>
            <w:pPr>
              <w:spacing w:line="360" w:lineRule="auto"/>
              <w:ind w:firstLine="480"/>
            </w:pPr>
            <w:r>
              <w:rPr>
                <w:rFonts w:hint="eastAsia"/>
              </w:rPr>
              <w:t>（2）人为干扰的影响</w:t>
            </w:r>
          </w:p>
          <w:p>
            <w:pPr>
              <w:spacing w:line="360" w:lineRule="auto"/>
              <w:ind w:firstLine="480"/>
            </w:pPr>
            <w:r>
              <w:rPr>
                <w:rFonts w:hint="eastAsia"/>
              </w:rPr>
              <w:t>运营期人为活动将急剧增加，大大增加了人类活动对评价区植被进行干扰的可能性，并由此带来一些外来物种。当外来物种比土著物种能更好的适应和利用被干扰的环境时，可在一定范围内形成优势群落，并对土著物种产生一定的排斥，导致当地生存的物种数量的减少、树木逐渐的衰退，因此对外来物种的入侵应该引起足够的重视。</w:t>
            </w:r>
          </w:p>
          <w:p>
            <w:pPr>
              <w:spacing w:line="360" w:lineRule="auto"/>
              <w:ind w:firstLine="480"/>
              <w:rPr>
                <w:u w:val="single"/>
              </w:rPr>
            </w:pPr>
            <w:r>
              <w:rPr>
                <w:rFonts w:hint="eastAsia"/>
                <w:u w:val="single"/>
              </w:rPr>
              <w:t>要求项目在开采过程建设单位需要严格落实边开采边复绿的生态恢复要求。同时，服务期满后立即对采场边坡和台阶等进行复垦绿化，在植被逐渐恢复后其对植被的影响将减缓；进行植被重建及矿区的绿化和生态建设工作，届时矿区将成为自然和人工复合的生态系统，对区域生态环境的影响减缓，区域内植被开始恢复。</w:t>
            </w:r>
          </w:p>
          <w:p>
            <w:pPr>
              <w:spacing w:line="360" w:lineRule="auto"/>
              <w:ind w:firstLine="480"/>
            </w:pPr>
            <w:r>
              <w:rPr>
                <w:rFonts w:hint="eastAsia"/>
              </w:rPr>
              <w:t>（</w:t>
            </w:r>
            <w:r>
              <w:t>2</w:t>
            </w:r>
            <w:r>
              <w:rPr>
                <w:rFonts w:hint="eastAsia"/>
              </w:rPr>
              <w:t>）对生态功能影响</w:t>
            </w:r>
          </w:p>
          <w:p>
            <w:pPr>
              <w:spacing w:line="360" w:lineRule="auto"/>
              <w:ind w:firstLine="480"/>
            </w:pPr>
            <w:r>
              <w:rPr>
                <w:rFonts w:hint="eastAsia"/>
              </w:rPr>
              <w:t>生态完整性具有丰富的内涵和很大的应用空间，对资源管理和生态评价有很重要的意义。生态系统作为自组织耗散结构，在与外界不断进行物质和能量的交换过程中，来到新的稳态。在环境压力变化时，生态系统会朝着以下几个方向发展：1）保持当前的运转状态。2）返回到之前的运转状态，系统完整性发生一定的变化。3）产生一个新的结构取代或增大原来的耗散结构。4）产生一个全新的结构，完全取代之前的生态结构，生态系统的完整性发生变化。5）生态系统崩溃，生态系统的完整性遭到完全破坏。</w:t>
            </w:r>
          </w:p>
          <w:p>
            <w:pPr>
              <w:spacing w:line="360" w:lineRule="auto"/>
              <w:ind w:firstLine="480"/>
            </w:pPr>
            <w:r>
              <w:rPr>
                <w:rFonts w:hint="eastAsia"/>
              </w:rPr>
              <w:t>本项目采矿工程结束后，及时复垦，利用原表层土回填，种植原生植被，控制水土流失，修复破碎的生态系统，恢复土地斑块完整性，恢复植被分离度、层次，恢复景观多样性、增加优势度、连通性，尽量恢复原有斑块空间布局、形状和丰度，增加空间异质性，恢复植被覆盖、植被种类丰度，促进树木生长和鸟类丰富度等，控制外来入侵物种，重新建立空气、水体、土壤、生物体系。</w:t>
            </w:r>
          </w:p>
          <w:p>
            <w:pPr>
              <w:spacing w:line="360" w:lineRule="auto"/>
              <w:ind w:firstLine="480"/>
            </w:pPr>
            <w:r>
              <w:rPr>
                <w:rFonts w:hint="eastAsia"/>
              </w:rPr>
              <w:t>项目采矿期会对生态完整性产生一定影响，闭坑恢复后，对生态完整性影响小，区域生态系统可以接受。</w:t>
            </w:r>
          </w:p>
          <w:p>
            <w:pPr>
              <w:spacing w:line="360" w:lineRule="auto"/>
              <w:ind w:firstLine="480"/>
              <w:rPr>
                <w:u w:val="single"/>
              </w:rPr>
            </w:pPr>
            <w:r>
              <w:rPr>
                <w:rFonts w:hint="eastAsia"/>
                <w:u w:val="single"/>
              </w:rPr>
              <w:t>（3）植物多样性影响分析</w:t>
            </w:r>
          </w:p>
          <w:p>
            <w:pPr>
              <w:spacing w:line="360" w:lineRule="auto"/>
              <w:ind w:firstLine="480"/>
              <w:rPr>
                <w:u w:val="single"/>
              </w:rPr>
            </w:pPr>
            <w:r>
              <w:rPr>
                <w:rFonts w:hint="eastAsia"/>
                <w:u w:val="single"/>
              </w:rPr>
              <w:t>由于植物生境的破坏，使得植被覆盖率降低，植物生产能力下降，生物多样性降低，从而导致环境功能的下降，再加上动物的迁移，使矿区范围内的总生物量减少，对局部区域的生物量有一定影响。但矿区所在地现存的植物物种是周边地区常见的物种，生态调查未发现区域范围内有受保护的珍稀植物。只要项目注意及时利用当地植被物种进行复垦绿化，不会对当地及邻近地区植物种类的生存和繁衍造成严重影响。</w:t>
            </w:r>
          </w:p>
          <w:p>
            <w:pPr>
              <w:spacing w:line="360" w:lineRule="auto"/>
              <w:ind w:firstLine="0" w:firstLineChars="0"/>
              <w:rPr>
                <w:b/>
              </w:rPr>
            </w:pPr>
            <w:r>
              <w:rPr>
                <w:b/>
              </w:rPr>
              <w:t>7.2</w:t>
            </w:r>
            <w:r>
              <w:rPr>
                <w:rFonts w:hint="eastAsia"/>
                <w:b/>
              </w:rPr>
              <w:t>对陆生动物的影响</w:t>
            </w:r>
          </w:p>
          <w:p>
            <w:pPr>
              <w:spacing w:line="360" w:lineRule="auto"/>
              <w:ind w:firstLine="480"/>
              <w:rPr>
                <w:u w:val="single"/>
              </w:rPr>
            </w:pPr>
            <w:r>
              <w:rPr>
                <w:rFonts w:hint="eastAsia"/>
                <w:u w:val="single"/>
              </w:rPr>
              <w:t>矿山项目对动物资源的影响主要是在开采过程中掘进等作业会产生噪声，交通运输和施工人员的活动及使用机械也会产生的噪声，将会对附近栖息在灌草丛中的小型野生动物如昆虫类、爬行类、鸟类及小型哺乳动物产生一定影响，对其正常生活产生干扰，造成其大部分迁离其原栖息地。</w:t>
            </w:r>
          </w:p>
          <w:p>
            <w:pPr>
              <w:spacing w:line="360" w:lineRule="auto"/>
              <w:ind w:firstLine="480"/>
              <w:rPr>
                <w:u w:val="single"/>
              </w:rPr>
            </w:pPr>
            <w:r>
              <w:rPr>
                <w:rFonts w:hint="eastAsia"/>
                <w:u w:val="single"/>
              </w:rPr>
              <w:t>由于机械、运输车辆等工作噪声均产生于项目边界内，经距离衰减后矿区边界的噪声排放值将低于60dB(A)（昼间）。</w:t>
            </w:r>
          </w:p>
          <w:p>
            <w:pPr>
              <w:spacing w:line="360" w:lineRule="auto"/>
              <w:ind w:firstLine="480"/>
            </w:pPr>
            <w:r>
              <w:rPr>
                <w:rFonts w:hint="eastAsia"/>
              </w:rPr>
              <w:t>此外，本项目在一定程度上对占地工程的自然植被进行剥离，对动物生活的栖息地造成了一定的破坏，且矿区道路和矿区人工建筑将对原有的动物栖息地起到分割和阻隔作用，使生境岛屿化，动物活动范围受到限制。由于项目矿区周边地区环境条件与开采区域相同，野生动物可就近迁入周边地区继续生存繁衍，项目矿山开采对其造成的影响较小，不会造成毁灭性影响，在项目服务期满后将逐步得到恢复。</w:t>
            </w:r>
          </w:p>
          <w:p>
            <w:pPr>
              <w:spacing w:line="360" w:lineRule="auto"/>
              <w:ind w:firstLine="480"/>
            </w:pPr>
            <w:r>
              <w:rPr>
                <w:rFonts w:hint="eastAsia"/>
              </w:rPr>
              <w:t>综合分析，项目生产产生的噪声以及工程占地，对区域内动物资源有一定影响，但影响范围是局部的，强度也不大，不会威胁到该区域野生动物的物种生存，动物资源在项目服务期满后将逐步得到恢复。而项目矿区周边地区环境条件与开采区域相同，野生动物可就近迁入周边地区继续生存繁衍，对整个地区生态系统的功能和稳定性不会产生大的影响，也不会引起物种的损失。</w:t>
            </w:r>
          </w:p>
          <w:p>
            <w:pPr>
              <w:spacing w:line="360" w:lineRule="auto"/>
              <w:ind w:firstLine="0" w:firstLineChars="0"/>
              <w:rPr>
                <w:b/>
              </w:rPr>
            </w:pPr>
            <w:r>
              <w:rPr>
                <w:b/>
              </w:rPr>
              <w:t>7.3</w:t>
            </w:r>
            <w:r>
              <w:rPr>
                <w:rFonts w:hint="eastAsia"/>
                <w:b/>
              </w:rPr>
              <w:t>景观影响</w:t>
            </w:r>
          </w:p>
          <w:p>
            <w:pPr>
              <w:widowControl/>
              <w:spacing w:line="360" w:lineRule="auto"/>
              <w:ind w:firstLine="480"/>
              <w:rPr>
                <w:snapToGrid/>
              </w:rPr>
            </w:pPr>
            <w:r>
              <w:rPr>
                <w:rFonts w:hint="eastAsia"/>
              </w:rPr>
              <w:t>采矿活动将彻底改变矿区原有的地形地貌和生态系统的结构功能。原有的景观格局不复存在，尤其是露天采场及采矿工业场地的建设，景观将由丘陵山地景观转变露天采场及采矿工业场地景观，使矿区景观的总体异质性有所提高。</w:t>
            </w:r>
          </w:p>
          <w:p>
            <w:pPr>
              <w:widowControl/>
              <w:spacing w:line="360" w:lineRule="auto"/>
              <w:ind w:firstLine="480"/>
            </w:pPr>
            <w:r>
              <w:rPr>
                <w:rFonts w:hint="eastAsia"/>
              </w:rPr>
              <w:t>矿区占用大量林地，取而代之的是裸露着矿石的露天采场，虽然部分被毁植被可分期进行植被恢复，但在全面生态修复后的</w:t>
            </w:r>
            <w:r>
              <w:t>5</w:t>
            </w:r>
            <w:r>
              <w:rPr>
                <w:rFonts w:hint="eastAsia"/>
              </w:rPr>
              <w:t>年内生态功能难以恢复到原有的水平。因此，矿区的开采活动将使自然生态系统的稳定性受到一定的影响。但从整个评价区域内来分析，这种影响相对较小，待服务期满后对进行全面的生态恢复及植被恢复后，将会得到一定程度的恢复和改善。</w:t>
            </w:r>
          </w:p>
          <w:p>
            <w:pPr>
              <w:spacing w:line="360" w:lineRule="auto"/>
              <w:ind w:firstLine="0" w:firstLineChars="0"/>
              <w:rPr>
                <w:b/>
              </w:rPr>
            </w:pPr>
            <w:r>
              <w:rPr>
                <w:b/>
              </w:rPr>
              <w:t>7.4</w:t>
            </w:r>
            <w:r>
              <w:rPr>
                <w:rFonts w:hint="eastAsia"/>
                <w:b/>
              </w:rPr>
              <w:t>水土流失影响</w:t>
            </w:r>
          </w:p>
          <w:p>
            <w:pPr>
              <w:spacing w:line="360" w:lineRule="auto"/>
              <w:ind w:firstLine="480"/>
            </w:pPr>
            <w:r>
              <w:rPr>
                <w:rFonts w:hint="eastAsia"/>
              </w:rPr>
              <w:t>影响本项目的水土流失的因素主要有两个方面：一是自然因素，如：地形、地貌、水文气象、土壤、植被等因素。降雨是本项目区造成水土流失的最主要原动力，地表径流则搬运和冲刷地面泥沙，特别是高强度暴雨，会形成集中的径流，其冲刷泥沙的能力大大加强，地形地貌作为承载泥沙的主题直接影响水土流失的程度和污染范围。二是人为活动方面，主要表现在工程扰动和损坏植被，矿区内受人为活动影响强烈，堆放矿石及弃渣也形成高陡人工边坡，植被被毁灭性的破坏，以至于无法恢复；矿道路也产生不少表土裸露的地面，在雨水的冲刷作用下容易发生水土流失；而且这些边坡在水力的进一步作用下，可能诱发边坡位移、失稳轻者破坏下游植被，重者演变成泥石流。现建设单位已委托相关单位编制水土保持方案，对水土流失量及防治措施进行详细评价。</w:t>
            </w:r>
          </w:p>
          <w:p>
            <w:pPr>
              <w:spacing w:line="360" w:lineRule="auto"/>
              <w:ind w:firstLine="480"/>
            </w:pPr>
            <w:r>
              <w:rPr>
                <w:rFonts w:hint="eastAsia"/>
              </w:rPr>
              <w:t>工程生产运行期在项目建设区合理布设好水土保持措施，才能有效的防治和减少本工程建设带来的新增水土流失，并减少生产运行期间的水土流失危害。采场区是水土保持的重点区域，建设期是水土流失的重点时段，同时也是水土保持监测的重点。</w:t>
            </w:r>
          </w:p>
          <w:p>
            <w:pPr>
              <w:spacing w:line="360" w:lineRule="auto"/>
              <w:ind w:firstLine="0" w:firstLineChars="0"/>
              <w:rPr>
                <w:b/>
              </w:rPr>
            </w:pPr>
            <w:r>
              <w:rPr>
                <w:b/>
              </w:rPr>
              <w:t>7.5</w:t>
            </w:r>
            <w:r>
              <w:rPr>
                <w:rFonts w:hint="eastAsia"/>
                <w:b/>
              </w:rPr>
              <w:t>土地利用类型的影响</w:t>
            </w:r>
          </w:p>
          <w:p>
            <w:pPr>
              <w:spacing w:line="360" w:lineRule="auto"/>
              <w:ind w:firstLine="480"/>
              <w:rPr>
                <w:u w:val="single"/>
              </w:rPr>
            </w:pPr>
            <w:r>
              <w:rPr>
                <w:rFonts w:hint="eastAsia"/>
                <w:u w:val="single"/>
              </w:rPr>
              <w:t>根据区域地质资料及勘察结果，场区存在较深溶洞，但其对地基基础的影响较小，未发现泥石流、崩塌、滑坡等影响场地稳定性的不良地质作用和地质灾害，未见其它埋藏的河道、沟浜、墓穴等其它对工程不利的埋藏物。矿山范围属农村地区，植被主要有松、杉、枫等用材树种，草本植物有茅类、蒿类、狗尾草等，物种单一；在开采完成后回填并进行植树返绿，基本不会影响土地类型。</w:t>
            </w:r>
          </w:p>
          <w:p>
            <w:pPr>
              <w:spacing w:line="360" w:lineRule="auto"/>
              <w:ind w:firstLine="0" w:firstLineChars="0"/>
              <w:rPr>
                <w:b/>
                <w:sz w:val="28"/>
              </w:rPr>
            </w:pPr>
            <w:r>
              <w:rPr>
                <w:rFonts w:hint="eastAsia"/>
                <w:b/>
                <w:sz w:val="28"/>
              </w:rPr>
              <w:t>8、退役期生态环境影响分析</w:t>
            </w:r>
          </w:p>
          <w:p>
            <w:pPr>
              <w:spacing w:line="360" w:lineRule="auto"/>
              <w:ind w:firstLine="480"/>
            </w:pPr>
            <w:r>
              <w:rPr>
                <w:rFonts w:hint="eastAsia"/>
              </w:rPr>
              <w:t>本矿山项目设计服务年限为</w:t>
            </w:r>
            <w:r>
              <w:t>10.6</w:t>
            </w:r>
            <w:r>
              <w:rPr>
                <w:rFonts w:hint="eastAsia"/>
              </w:rPr>
              <w:t>年，其后将退役，不再产生生产废水和废气、固体废物和工业噪声，也不再会对环境产生不利影响。但若矿山退役期不落实水土保持方案、复垦计划以及生态恢复，则对开发区域带来极为严重的环境影响。其主要的环境问题是植被破坏造成的水土流失、改变土地利用方式对地貌景观的破坏等问题。因此退役期的环境保护措施和生态恢复是矿山环境保护的重要环节。</w:t>
            </w:r>
          </w:p>
          <w:p>
            <w:pPr>
              <w:spacing w:line="360" w:lineRule="auto"/>
              <w:ind w:firstLine="480"/>
              <w:rPr>
                <w:u w:val="single"/>
              </w:rPr>
            </w:pPr>
            <w:r>
              <w:rPr>
                <w:rFonts w:hint="eastAsia"/>
                <w:u w:val="single"/>
              </w:rPr>
              <w:t>根据国土资源部关于印发《十三五”国土资源生态建设和环境保护规划》及《矿山生态环境保护与污染防治技术政策》（国家环境保护部、国土资源部、科技部环发〔2005〕09号文）中规定，矿山企业必须依法履行环境保护、土地复垦等义务，大力加强矿山生态环境恢复治理。加快对矿山损毁土地进行复垦，对矿山“三废进行综合治理、综合利用”。矿山服务期满后，应当按照国家有关环境保护规定进行封场，并对矿山进行生态恢复，防止造成环境污染和生态破坏。矿山服务期满的主要生态问题为区域生态环境的恢复治理工作，具体包括：开采区生态恢复：矿区道路的土地修复及植被恢复等。经过水土保持、土地修复植被恢复等措施的逐步实施，矿区生态环境会得到逐步改善，只是原来的景观格局和土地利用情况发生了变化。</w:t>
            </w:r>
          </w:p>
          <w:p>
            <w:pPr>
              <w:spacing w:line="360" w:lineRule="auto"/>
              <w:ind w:firstLine="480"/>
            </w:pPr>
            <w:r>
              <w:rPr>
                <w:rFonts w:hint="eastAsia"/>
              </w:rPr>
              <w:t>矿山在衰竭后期至退役期的时段内，与初采期和盛采期相比对自然环境诸要素的影响趋于减缓，主要体现在以下几个方面：</w:t>
            </w:r>
          </w:p>
          <w:p>
            <w:pPr>
              <w:spacing w:line="360" w:lineRule="auto"/>
              <w:ind w:firstLine="480"/>
            </w:pPr>
            <w:r>
              <w:rPr>
                <w:rFonts w:hint="eastAsia"/>
              </w:rPr>
              <w:t>①随着资源的枯竭，与矿山开发有关的矿产开采的各产污设备也将完成其服务功能，因此这些产污环节也将减弱或消失，如地面污废水的产生、设备噪声、环境空气污染物等，区域环境质量有所好转。</w:t>
            </w:r>
          </w:p>
          <w:p>
            <w:pPr>
              <w:spacing w:line="360" w:lineRule="auto"/>
              <w:ind w:firstLine="480"/>
            </w:pPr>
            <w:r>
              <w:rPr>
                <w:rFonts w:hint="eastAsia"/>
              </w:rPr>
              <w:t>②在矿山退役后，矿山开发场所景观与自然景观不相协调，应对其进行平整，恢复植被以减轻对自然景观的影响。</w:t>
            </w:r>
          </w:p>
          <w:p>
            <w:pPr>
              <w:spacing w:line="360" w:lineRule="auto"/>
              <w:ind w:firstLine="480"/>
            </w:pPr>
            <w:r>
              <w:rPr>
                <w:rFonts w:hint="eastAsia"/>
              </w:rPr>
              <w:t>③本项目设置配套建设工业广场，随着开采结束，工业广场内设备设施均会进行拆除。</w:t>
            </w:r>
          </w:p>
          <w:p>
            <w:pPr>
              <w:spacing w:line="360" w:lineRule="auto"/>
              <w:ind w:firstLine="480"/>
            </w:pPr>
            <w:r>
              <w:rPr>
                <w:rFonts w:hint="eastAsia"/>
              </w:rPr>
              <w:t>矿山退役期主要对采矿区和临时堆场采取土地复垦和生态恢复措施。随着地表植被的恢复，矿山水土流失得到有效控制，同时对矿区自然景观和环境生态朝着有利的方向发展。</w:t>
            </w:r>
          </w:p>
          <w:p>
            <w:pPr>
              <w:spacing w:line="360" w:lineRule="auto"/>
              <w:ind w:firstLine="480"/>
              <w:rPr>
                <w:u w:val="single"/>
              </w:rPr>
            </w:pPr>
            <w:r>
              <w:rPr>
                <w:rFonts w:hint="eastAsia"/>
                <w:u w:val="single"/>
              </w:rPr>
              <w:t>综上所述，本项目在闭矿后将对矿区开采区、矿区道路等全部进行复垦或绿化，所贮存的固体废物性质趋于稳定，对环境的不利影响将逐步消失，矿区开采区表面造地、复垦绿化的完成，使得生态环境得到恢复。矿开采破坏了开采境界内的地形、地貌。项目服务期满后通过对矿区进行复垦治理，及时进行生态恢复，可把对土地利用结构的影响降低到最小。</w:t>
            </w:r>
          </w:p>
          <w:p>
            <w:pPr>
              <w:spacing w:line="360" w:lineRule="auto"/>
              <w:ind w:firstLine="480"/>
              <w:rPr>
                <w:u w:val="single"/>
              </w:rPr>
            </w:pPr>
            <w:r>
              <w:rPr>
                <w:rFonts w:hint="eastAsia"/>
                <w:u w:val="single"/>
              </w:rPr>
              <w:t>同时，在矿山开采过程中采矿权人应当切实提高思想认识，树立绿色发展理念，规范矿山管理，推进科技创新，落实节约资源、节能减排、保护环境、促进矿区和谐等社会责任，加强企业文化建设，积极建设绿色矿山，做到应建必建。严格按照省级绿色矿山建设标准要求，重点做好矿区降尘降噪、环境绿化工作，优化矿区生态环境；提高矿山数字化自动化水平；加大矿山资源综合利用，节能减排；加强矿区的环境保护与生态环境建设，实现“边生产，边建设，边复垦，边治理”；加强社区和谐和企业文化建设，使矿山能达到资源利用高效化，开采方式科学化，生产工艺先进化、环保化，企业管理规范化，矿山环境生态化，矿地建设和谐化，有效推进绿色矿山的建设工作。</w:t>
            </w:r>
          </w:p>
          <w:p>
            <w:pPr>
              <w:spacing w:line="360" w:lineRule="auto"/>
              <w:ind w:firstLine="0" w:firstLineChars="0"/>
              <w:rPr>
                <w:b/>
                <w:sz w:val="28"/>
              </w:rPr>
            </w:pPr>
            <w:r>
              <w:rPr>
                <w:b/>
                <w:sz w:val="28"/>
              </w:rPr>
              <w:t>9</w:t>
            </w:r>
            <w:r>
              <w:rPr>
                <w:rFonts w:hint="eastAsia"/>
                <w:b/>
                <w:sz w:val="28"/>
              </w:rPr>
              <w:t>、运输对沿线居民的影响分析</w:t>
            </w:r>
          </w:p>
          <w:p>
            <w:pPr>
              <w:spacing w:line="360" w:lineRule="auto"/>
              <w:ind w:firstLine="480"/>
              <w:rPr>
                <w:bCs/>
                <w:snapToGrid/>
              </w:rPr>
            </w:pPr>
            <w:r>
              <w:rPr>
                <w:rFonts w:hint="eastAsia"/>
                <w:bCs/>
              </w:rPr>
              <w:t>项目产品由汽车运输，交通道路主要为矿山道路与县道。沿线居民主要为县道周边居民。运输道路距周边居民点最近距离为</w:t>
            </w:r>
            <w:r>
              <w:rPr>
                <w:bCs/>
              </w:rPr>
              <w:t>5m</w:t>
            </w:r>
            <w:r>
              <w:rPr>
                <w:rFonts w:hint="eastAsia"/>
                <w:bCs/>
              </w:rPr>
              <w:t>，主要影响为运输扬尘和运输噪声。</w:t>
            </w:r>
          </w:p>
          <w:p>
            <w:pPr>
              <w:spacing w:line="360" w:lineRule="auto"/>
              <w:ind w:firstLine="480"/>
              <w:rPr>
                <w:bCs/>
              </w:rPr>
            </w:pPr>
            <w:r>
              <w:rPr>
                <w:rFonts w:hint="eastAsia"/>
                <w:bCs/>
              </w:rPr>
              <w:t>对运输产生的无组织排放粉尘，建议采取设专人对运输道路进行定期清扫、洒水；对运输车辆提出要求，严禁石料超出箱板，并加盖篷布防止洒落，减少无组织排放量。通过这些措施，可以有效的减少运输扬尘的产生量，对周围环境影响较小。</w:t>
            </w:r>
          </w:p>
          <w:p>
            <w:pPr>
              <w:spacing w:line="360" w:lineRule="auto"/>
              <w:ind w:firstLine="480"/>
              <w:rPr>
                <w:bCs/>
              </w:rPr>
            </w:pPr>
            <w:r>
              <w:rPr>
                <w:rFonts w:hint="eastAsia"/>
                <w:bCs/>
              </w:rPr>
              <w:t>运输噪声：运输车辆在运输方料和废石过程产生的运输道路，对沿线居民点有一定的影响。</w:t>
            </w:r>
          </w:p>
          <w:p>
            <w:pPr>
              <w:spacing w:line="360" w:lineRule="auto"/>
              <w:ind w:firstLine="480"/>
              <w:rPr>
                <w:bCs/>
              </w:rPr>
            </w:pPr>
            <w:r>
              <w:rPr>
                <w:rFonts w:hint="eastAsia"/>
                <w:bCs/>
              </w:rPr>
              <w:t>为防止进矿道路运输噪声对环境造成的影响，应采取以下防治措施：</w:t>
            </w:r>
          </w:p>
          <w:p>
            <w:pPr>
              <w:spacing w:line="360" w:lineRule="auto"/>
              <w:ind w:firstLine="480"/>
              <w:rPr>
                <w:bCs/>
              </w:rPr>
            </w:pPr>
            <w:r>
              <w:rPr>
                <w:rFonts w:hint="eastAsia"/>
              </w:rPr>
              <w:t>（</w:t>
            </w:r>
            <w:r>
              <w:t>1</w:t>
            </w:r>
            <w:r>
              <w:rPr>
                <w:rFonts w:hint="eastAsia"/>
              </w:rPr>
              <w:t>）</w:t>
            </w:r>
            <w:r>
              <w:rPr>
                <w:rFonts w:hint="eastAsia"/>
                <w:bCs/>
              </w:rPr>
              <w:t>进矿车辆应严格执行机动车辆噪声限值控制法规和标准；严格控制机动车辆鸣笛、刹车和其他音响信号装置噪声等偶发噪声；重点检测和控制、定期保养和大修高噪声车辆消声器、刹车机构、发动机罩、车体板件等涉噪设备；</w:t>
            </w:r>
          </w:p>
          <w:p>
            <w:pPr>
              <w:spacing w:line="360" w:lineRule="auto"/>
              <w:ind w:firstLine="480"/>
              <w:rPr>
                <w:bCs/>
              </w:rPr>
            </w:pPr>
            <w:r>
              <w:rPr>
                <w:rFonts w:hint="eastAsia"/>
              </w:rPr>
              <w:t>（</w:t>
            </w:r>
            <w:r>
              <w:t>2</w:t>
            </w:r>
            <w:r>
              <w:rPr>
                <w:rFonts w:hint="eastAsia"/>
              </w:rPr>
              <w:t>）</w:t>
            </w:r>
            <w:r>
              <w:rPr>
                <w:rFonts w:hint="eastAsia"/>
                <w:bCs/>
              </w:rPr>
              <w:t>严格控制进出矿区车辆的运输，同时应控制进出车辆车速，尽量降低车速，分散进出；同时要求夜间（</w:t>
            </w:r>
            <w:r>
              <w:rPr>
                <w:bCs/>
              </w:rPr>
              <w:t>22:00</w:t>
            </w:r>
            <w:r>
              <w:rPr>
                <w:rFonts w:hint="eastAsia"/>
                <w:bCs/>
              </w:rPr>
              <w:t>~次日</w:t>
            </w:r>
            <w:r>
              <w:rPr>
                <w:bCs/>
              </w:rPr>
              <w:t>6:00</w:t>
            </w:r>
            <w:r>
              <w:rPr>
                <w:rFonts w:hint="eastAsia"/>
                <w:bCs/>
              </w:rPr>
              <w:t>）禁止运输；</w:t>
            </w:r>
          </w:p>
          <w:p>
            <w:pPr>
              <w:spacing w:line="360" w:lineRule="auto"/>
              <w:ind w:firstLine="480"/>
              <w:rPr>
                <w:bCs/>
              </w:rPr>
            </w:pPr>
            <w:r>
              <w:rPr>
                <w:rFonts w:hint="eastAsia"/>
              </w:rPr>
              <w:t>（</w:t>
            </w:r>
            <w:r>
              <w:t>3</w:t>
            </w:r>
            <w:r>
              <w:rPr>
                <w:rFonts w:hint="eastAsia"/>
              </w:rPr>
              <w:t>）</w:t>
            </w:r>
            <w:r>
              <w:rPr>
                <w:rFonts w:hint="eastAsia"/>
                <w:bCs/>
              </w:rPr>
              <w:t>运输车辆应控制装载量，严禁超载；</w:t>
            </w:r>
          </w:p>
          <w:p>
            <w:pPr>
              <w:spacing w:line="360" w:lineRule="auto"/>
              <w:ind w:firstLine="480"/>
              <w:rPr>
                <w:bCs/>
              </w:rPr>
            </w:pPr>
            <w:r>
              <w:rPr>
                <w:rFonts w:hint="eastAsia"/>
                <w:bCs/>
              </w:rPr>
              <w:t>通过采取以上措施可降低运输噪声对沿线居民的影响，项目运输噪声对声环境影响较小。</w:t>
            </w:r>
          </w:p>
          <w:p>
            <w:pPr>
              <w:spacing w:line="360" w:lineRule="auto"/>
              <w:ind w:firstLine="480"/>
              <w:rPr>
                <w:bCs/>
              </w:rPr>
            </w:pPr>
            <w:r>
              <w:rPr>
                <w:rFonts w:hint="eastAsia"/>
                <w:bCs/>
              </w:rPr>
              <w:t>综上，在采取以上措施后，本项目道路运输对沿线居民点影响较小。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841" w:type="dxa"/>
            <w:vAlign w:val="center"/>
          </w:tcPr>
          <w:p>
            <w:pPr>
              <w:spacing w:line="240" w:lineRule="auto"/>
              <w:ind w:firstLine="0" w:firstLineChars="0"/>
              <w:jc w:val="center"/>
            </w:pPr>
            <w:r>
              <w:rPr>
                <w:rFonts w:hint="eastAsia"/>
              </w:rPr>
              <w:t>选址选线环境合理性分析</w:t>
            </w:r>
          </w:p>
        </w:tc>
        <w:tc>
          <w:tcPr>
            <w:tcW w:w="7955" w:type="dxa"/>
            <w:vAlign w:val="center"/>
          </w:tcPr>
          <w:p>
            <w:pPr>
              <w:spacing w:line="360" w:lineRule="auto"/>
              <w:ind w:firstLine="0" w:firstLineChars="0"/>
              <w:rPr>
                <w:b/>
                <w:sz w:val="28"/>
                <w:szCs w:val="28"/>
              </w:rPr>
            </w:pPr>
            <w:r>
              <w:rPr>
                <w:rFonts w:hint="eastAsia"/>
                <w:b/>
                <w:sz w:val="28"/>
                <w:szCs w:val="28"/>
              </w:rPr>
              <w:t>1、工程选址合理性分析</w:t>
            </w:r>
          </w:p>
          <w:p>
            <w:pPr>
              <w:spacing w:line="360" w:lineRule="auto"/>
              <w:ind w:firstLine="480"/>
            </w:pPr>
            <w:r>
              <w:rPr>
                <w:rFonts w:hint="eastAsia"/>
              </w:rPr>
              <w:t>本项目矿区位于湖南省岳阳市湘阴县静河镇共荣村、龙潭寺村，左临石沙线，右靠洋沙湖撇洪渠，右侧公路为许广高速；区域内主要的矿产为建筑用砂，属新建矿山，矿山现状未开采，但矿区曾经有民采活动，目前矿区范围内揭露有3个民采老采场，为当地乱掘而成。</w:t>
            </w:r>
          </w:p>
          <w:p>
            <w:pPr>
              <w:spacing w:line="360" w:lineRule="auto"/>
              <w:ind w:firstLine="480"/>
            </w:pPr>
            <w:r>
              <w:rPr>
                <w:rFonts w:hint="eastAsia"/>
              </w:rPr>
              <w:t>根据《湘阴县人民政府 关于同意&lt;湘阴县静河镇共荣建筑用砂矿矿区土地使用方案</w:t>
            </w:r>
            <w:r>
              <w:t>&gt;</w:t>
            </w:r>
            <w:r>
              <w:rPr>
                <w:rFonts w:hint="eastAsia"/>
              </w:rPr>
              <w:t>的批复》（湘阴政函〔2</w:t>
            </w:r>
            <w:r>
              <w:t>022</w:t>
            </w:r>
            <w:r>
              <w:rPr>
                <w:rFonts w:hint="eastAsia"/>
              </w:rPr>
              <w:t>〕2</w:t>
            </w:r>
            <w:r>
              <w:t>42</w:t>
            </w:r>
            <w:r>
              <w:rPr>
                <w:rFonts w:hint="eastAsia"/>
              </w:rPr>
              <w:t>号）：原则同意《土地使用方案》涉及总用地面积4</w:t>
            </w:r>
            <w:r>
              <w:t>6.6094</w:t>
            </w:r>
            <w:r>
              <w:rPr>
                <w:rFonts w:hint="eastAsia"/>
              </w:rPr>
              <w:t>公顷（包括露天开采区4</w:t>
            </w:r>
            <w:r>
              <w:t>3.0051</w:t>
            </w:r>
            <w:r>
              <w:rPr>
                <w:rFonts w:hint="eastAsia"/>
              </w:rPr>
              <w:t>公顷，工业广场3</w:t>
            </w:r>
            <w:r>
              <w:t>.1353</w:t>
            </w:r>
            <w:r>
              <w:rPr>
                <w:rFonts w:hint="eastAsia"/>
              </w:rPr>
              <w:t>公顷，拟建村道0</w:t>
            </w:r>
            <w:r>
              <w:t>.4690</w:t>
            </w:r>
            <w:r>
              <w:rPr>
                <w:rFonts w:hint="eastAsia"/>
              </w:rPr>
              <w:t>公顷）（详见附件</w:t>
            </w:r>
            <w:r>
              <w:t>5</w:t>
            </w:r>
            <w:r>
              <w:rPr>
                <w:rFonts w:hint="eastAsia"/>
              </w:rPr>
              <w:t>）；同时根据《岳阳市自然资源局和规划局 关于对湘阴县静河镇共荣建筑用砂矿采矿权申请范围的审查意见》：该采矿权符合设置要求，原则同意核查报告划定矿区范围（详见附件11）。</w:t>
            </w:r>
          </w:p>
          <w:p>
            <w:pPr>
              <w:spacing w:line="360" w:lineRule="auto"/>
              <w:ind w:firstLine="480"/>
            </w:pPr>
            <w:r>
              <w:rPr>
                <w:rFonts w:hint="eastAsia"/>
              </w:rPr>
              <w:t>根据《湘阴县静河镇共荣建筑用砂矿采矿权申请范围核查报告》评审意见书（岳采矿权核查评字〔2</w:t>
            </w:r>
            <w:r>
              <w:t>02</w:t>
            </w:r>
            <w:r>
              <w:rPr>
                <w:rFonts w:hint="eastAsia"/>
              </w:rPr>
              <w:t>1〕号）：拟设采矿权范围不在城乡建设和国家重大工程建设规划区；无建设用地；未占用基本农田；矿区范围及周边1000m以内无铁路，矿界外50m范围内无县级以上公路、民房等建筑（拟设矿界外设置的安全距离为50米，已由当地安全行政主管部门出具了因无爆破作业拟设矿界外50米内不影响公路与民房等建筑安全使用的相关认定或批复意见）；与各类自然保护地、生态保护红线无重叠，与省级和国家级公益林均无重叠；符合“三线一单”管控要求（具体详见附件10）。</w:t>
            </w:r>
          </w:p>
          <w:p>
            <w:pPr>
              <w:spacing w:line="360" w:lineRule="auto"/>
              <w:ind w:firstLine="480"/>
            </w:pPr>
            <w:r>
              <w:rPr>
                <w:rFonts w:hint="eastAsia"/>
              </w:rPr>
              <w:t>项目于2023年1月18日取得《湘阴县自然资源局 关于湘阴县静河镇共荣矿区建筑用砂矿项目不涉及调整前后生态保护红线的情况说明》：项目现状为林地、耕地、园地等；并与湘阴县“三区三线”划定最新成果进行衔接，确认项目不涉及调整前后的生态保护红线（具体详见附件12）；于2023年1月20日取得《湘阴县林业局 关于湘阴县静河镇共荣矿区建筑用砂矿建设项目选址意见》：项目区不在城市规划区范围内，不涉及国有林场、重要湿地、森林公园、湿地公园、地质公园、风景名胜区、国家级公益林等敏感区域，原则同意项目选址（具体详见附件13）。</w:t>
            </w:r>
          </w:p>
          <w:p>
            <w:pPr>
              <w:spacing w:line="360" w:lineRule="auto"/>
              <w:ind w:firstLine="480"/>
            </w:pPr>
            <w:r>
              <w:rPr>
                <w:rFonts w:hint="eastAsia"/>
              </w:rPr>
              <w:t>本项目矿山配套建设工业广场，矿山为新设，目前未开采，矿山前期无工业广场。考虑矿山开采规模较大的特点和项目要求，基建时矿山工业广场内主要设生产加工区、办公生活区等，本项目工业广场拟设于矿区中东部的原老民采坑及附近。</w:t>
            </w:r>
          </w:p>
          <w:p>
            <w:pPr>
              <w:spacing w:line="360" w:lineRule="auto"/>
              <w:ind w:firstLine="480"/>
            </w:pPr>
            <w:r>
              <w:rPr>
                <w:rFonts w:hint="eastAsia"/>
              </w:rPr>
              <w:t>根据前文分析，经采取洒水抑尘、路面硬化等措施后，项目粉尘等大气污染物排放符合相关标准要求；运营期员工生活污水经隔油池、化粪池处理后，矿区绿化、周边林地、菜地等施肥；生产工艺废水经沉淀处理后，全部回用，不外排；项目矿区开采及加工对周边敏感保护目标噪声影响较小。</w:t>
            </w:r>
          </w:p>
          <w:p>
            <w:pPr>
              <w:spacing w:line="360" w:lineRule="auto"/>
              <w:ind w:firstLine="480"/>
            </w:pPr>
            <w:r>
              <w:rPr>
                <w:rFonts w:hint="eastAsia"/>
              </w:rPr>
              <w:t>因此，项目周边环境敏感程度较低，环境质量现状较好，无明显环境制约因素。从环境保护的角度而言，本项目的选址合理可行。</w:t>
            </w:r>
          </w:p>
          <w:p>
            <w:pPr>
              <w:spacing w:line="360" w:lineRule="auto"/>
              <w:ind w:firstLine="0" w:firstLineChars="0"/>
              <w:rPr>
                <w:b/>
                <w:sz w:val="28"/>
                <w:szCs w:val="28"/>
              </w:rPr>
            </w:pPr>
            <w:r>
              <w:rPr>
                <w:rFonts w:hint="eastAsia"/>
                <w:b/>
                <w:sz w:val="28"/>
                <w:szCs w:val="28"/>
              </w:rPr>
              <w:t>2、表土临时堆置场选址合理性分析</w:t>
            </w:r>
          </w:p>
          <w:p>
            <w:pPr>
              <w:spacing w:line="360" w:lineRule="auto"/>
              <w:ind w:firstLine="480"/>
            </w:pPr>
            <w:r>
              <w:rPr>
                <w:rFonts w:hint="eastAsia"/>
              </w:rPr>
              <w:t>根据《湖南省湘阴县共荣矿区建筑用砂矿开发利用方案》：“本矿采石场开采境界内的总剥离量较大，根据矿山开采的特点，结合矿区周边的地形条件，矿区周边地形较平坦，而且大部分为基本农田，矿区外及周边不宜设排土场，考虑到剥离土综合利用，矿山不设置专门的排土场。”</w:t>
            </w:r>
          </w:p>
          <w:p>
            <w:pPr>
              <w:spacing w:line="360" w:lineRule="auto"/>
              <w:ind w:firstLine="480"/>
            </w:pPr>
            <w:r>
              <w:rPr>
                <w:rFonts w:hint="eastAsia"/>
              </w:rPr>
              <w:t>由于本矿山开采过程中，考虑边开采边治理恢复覆土用，因此在采矿区南侧裸露平地设置表土临时堆置场进行临时堆置；根据《湖南省岳阳市湘阴县共荣矿区建筑用砂项目工业广场及附属工程初步设计报告》：表土临时堆置区总面积2.80hm</w:t>
            </w:r>
            <w:r>
              <w:rPr>
                <w:rFonts w:hint="eastAsia"/>
                <w:vertAlign w:val="superscript"/>
              </w:rPr>
              <w:t>2</w:t>
            </w:r>
            <w:r>
              <w:rPr>
                <w:rFonts w:hint="eastAsia"/>
              </w:rPr>
              <w:t>，可以堆高3-7米（以堆高5米左右计），主要用于堆放场内所剥离的表土，应用于绿色矿山复绿。同时，表土临时堆置场采用防尘网覆盖、喷雾除尘等降尘措施，减少粉尘排放。</w:t>
            </w:r>
          </w:p>
          <w:p>
            <w:pPr>
              <w:spacing w:line="360" w:lineRule="auto"/>
              <w:ind w:firstLine="480"/>
            </w:pPr>
            <w:r>
              <w:rPr>
                <w:rFonts w:hint="eastAsia"/>
              </w:rPr>
              <w:t>表土临时堆置场的设置满足《一般工业固体废物贮存和填埋污染控制标准》（GB18599-2020）的相关规定；堆置场周边无敏感点，场内未发育断层、断层破碎带及溶洞区，也未发育滑坡及泥石流，不属于自然保护区、风景名胜区。因此该临时排土场的选址是可行的。</w:t>
            </w:r>
          </w:p>
          <w:p>
            <w:pPr>
              <w:spacing w:line="360" w:lineRule="auto"/>
              <w:ind w:firstLine="480"/>
            </w:pPr>
            <w:r>
              <w:rPr>
                <w:rFonts w:hint="eastAsia"/>
              </w:rPr>
              <w:t>综上所述，项目建设选址合理。</w:t>
            </w:r>
          </w:p>
          <w:p>
            <w:pPr>
              <w:spacing w:line="360" w:lineRule="auto"/>
              <w:ind w:firstLine="420"/>
              <w:rPr>
                <w:sz w:val="21"/>
                <w:szCs w:val="21"/>
              </w:rPr>
            </w:pPr>
          </w:p>
          <w:p>
            <w:pPr>
              <w:spacing w:line="360" w:lineRule="auto"/>
              <w:ind w:firstLine="420"/>
              <w:rPr>
                <w:sz w:val="21"/>
                <w:szCs w:val="21"/>
              </w:rPr>
            </w:pPr>
          </w:p>
        </w:tc>
      </w:tr>
    </w:tbl>
    <w:p>
      <w:pPr>
        <w:pStyle w:val="12"/>
        <w:adjustRightInd w:val="0"/>
        <w:snapToGrid w:val="0"/>
        <w:spacing w:line="240" w:lineRule="auto"/>
        <w:ind w:firstLine="0" w:firstLineChars="0"/>
        <w:jc w:val="center"/>
        <w:rPr>
          <w:rFonts w:ascii="黑体" w:hAnsi="黑体" w:eastAsia="黑体"/>
        </w:rPr>
        <w:sectPr>
          <w:pgSz w:w="11906" w:h="16838"/>
          <w:pgMar w:top="1378" w:right="1531" w:bottom="1378" w:left="1559" w:header="709" w:footer="907" w:gutter="0"/>
          <w:pgNumType w:fmt="numberInDash"/>
          <w:cols w:space="720" w:num="1"/>
          <w:docGrid w:linePitch="326" w:charSpace="0"/>
        </w:sectPr>
      </w:pPr>
    </w:p>
    <w:p>
      <w:pPr>
        <w:pStyle w:val="12"/>
        <w:adjustRightInd w:val="0"/>
        <w:snapToGrid w:val="0"/>
        <w:spacing w:before="0" w:beforeAutospacing="0" w:after="0" w:afterAutospacing="0"/>
        <w:ind w:firstLineChars="0"/>
        <w:jc w:val="center"/>
        <w:outlineLvl w:val="0"/>
        <w:rPr>
          <w:rFonts w:ascii="黑体" w:hAnsi="黑体" w:eastAsia="黑体"/>
          <w:sz w:val="30"/>
          <w:szCs w:val="30"/>
        </w:rPr>
      </w:pPr>
      <w:bookmarkStart w:id="28" w:name="_Toc120544637"/>
      <w:r>
        <w:rPr>
          <w:rFonts w:hint="eastAsia" w:ascii="黑体" w:hAnsi="黑体" w:eastAsia="黑体"/>
          <w:sz w:val="30"/>
          <w:szCs w:val="30"/>
        </w:rPr>
        <w:t>五、主要生态环境保护措施</w:t>
      </w:r>
      <w:bookmarkEnd w:id="28"/>
    </w:p>
    <w:tbl>
      <w:tblPr>
        <w:tblStyle w:val="16"/>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Mar>
              <w:left w:w="28" w:type="dxa"/>
              <w:right w:w="28" w:type="dxa"/>
            </w:tcMar>
            <w:vAlign w:val="center"/>
          </w:tcPr>
          <w:p>
            <w:pPr>
              <w:spacing w:line="240" w:lineRule="auto"/>
              <w:ind w:firstLine="0" w:firstLineChars="0"/>
              <w:jc w:val="center"/>
            </w:pPr>
            <w:r>
              <w:rPr>
                <w:rFonts w:hint="eastAsia"/>
              </w:rPr>
              <w:t>施工期生态环境保护措施</w:t>
            </w:r>
          </w:p>
        </w:tc>
        <w:tc>
          <w:tcPr>
            <w:tcW w:w="7805" w:type="dxa"/>
          </w:tcPr>
          <w:p>
            <w:pPr>
              <w:spacing w:line="360" w:lineRule="auto"/>
              <w:ind w:firstLine="0" w:firstLineChars="0"/>
              <w:rPr>
                <w:b/>
                <w:sz w:val="28"/>
              </w:rPr>
            </w:pPr>
            <w:r>
              <w:rPr>
                <w:rFonts w:hint="eastAsia"/>
                <w:b/>
                <w:sz w:val="28"/>
              </w:rPr>
              <w:t>1、大气环境保护措施</w:t>
            </w:r>
          </w:p>
          <w:p>
            <w:pPr>
              <w:spacing w:line="360" w:lineRule="auto"/>
              <w:ind w:firstLine="480"/>
              <w:rPr>
                <w:szCs w:val="32"/>
              </w:rPr>
            </w:pPr>
            <w:r>
              <w:rPr>
                <w:rFonts w:hint="eastAsia"/>
              </w:rPr>
              <w:t>为使施工过程中产生的粉尘、扬尘影响降低到最低程度，同时，本项目需建设工业广场，</w:t>
            </w:r>
            <w:r>
              <w:rPr>
                <w:szCs w:val="32"/>
              </w:rPr>
              <w:t>为了降低</w:t>
            </w:r>
            <w:r>
              <w:rPr>
                <w:rFonts w:hint="eastAsia"/>
                <w:szCs w:val="32"/>
              </w:rPr>
              <w:t>工业广场建设时期</w:t>
            </w:r>
            <w:r>
              <w:rPr>
                <w:szCs w:val="32"/>
              </w:rPr>
              <w:t>扬尘</w:t>
            </w:r>
            <w:r>
              <w:rPr>
                <w:rFonts w:hint="eastAsia"/>
                <w:szCs w:val="32"/>
              </w:rPr>
              <w:t>的</w:t>
            </w:r>
            <w:r>
              <w:rPr>
                <w:szCs w:val="32"/>
              </w:rPr>
              <w:t>产生量，减少施工扬尘对周围环境敏感点的影响，保护大气环境，施工单位应严格按照《岳阳市扬尘污染防治条例》（2019年12月1日）要求，对扬尘控制采取如下措施：</w:t>
            </w:r>
          </w:p>
          <w:p>
            <w:pPr>
              <w:pStyle w:val="62"/>
              <w:spacing w:line="360" w:lineRule="auto"/>
              <w:ind w:firstLine="480" w:firstLineChars="200"/>
              <w:rPr>
                <w:rFonts w:ascii="Times New Roman" w:hAnsi="Times New Roman" w:cs="Times New Roman"/>
              </w:rPr>
            </w:pPr>
            <w:r>
              <w:rPr>
                <w:rFonts w:ascii="Times New Roman" w:hAnsi="Times New Roman" w:cs="Times New Roman"/>
              </w:rPr>
              <w:t>一、工程施工应当符合下列扬尘污染防治要求：</w:t>
            </w:r>
          </w:p>
          <w:p>
            <w:pPr>
              <w:pStyle w:val="62"/>
              <w:spacing w:line="360" w:lineRule="auto"/>
              <w:ind w:firstLine="480" w:firstLineChars="200"/>
              <w:rPr>
                <w:rFonts w:ascii="Times New Roman" w:hAnsi="Times New Roman" w:cs="Times New Roman"/>
              </w:rPr>
            </w:pPr>
            <w:r>
              <w:rPr>
                <w:rFonts w:ascii="Times New Roman" w:hAnsi="Times New Roman" w:cs="Times New Roman"/>
              </w:rPr>
              <w:t>（1）施工现场出入口应当公示扬尘污染防治措施、负责人，扬尘监督管理部门以及举报电话等信息；</w:t>
            </w:r>
          </w:p>
          <w:p>
            <w:pPr>
              <w:pStyle w:val="62"/>
              <w:spacing w:line="360" w:lineRule="auto"/>
              <w:ind w:firstLine="480" w:firstLineChars="200"/>
              <w:rPr>
                <w:rFonts w:ascii="Times New Roman" w:hAnsi="Times New Roman" w:cs="Times New Roman"/>
              </w:rPr>
            </w:pPr>
            <w:r>
              <w:rPr>
                <w:rFonts w:ascii="Times New Roman" w:hAnsi="Times New Roman" w:cs="Times New Roman"/>
              </w:rPr>
              <w:t>（2）城市主要路段、一般路段的施工工地应当分别设置高度不低于二点五米、一点八米的硬质封闭围挡或者围墙；</w:t>
            </w:r>
          </w:p>
          <w:p>
            <w:pPr>
              <w:pStyle w:val="62"/>
              <w:spacing w:line="360" w:lineRule="auto"/>
              <w:ind w:firstLine="480" w:firstLineChars="200"/>
              <w:rPr>
                <w:rFonts w:ascii="Times New Roman" w:hAnsi="Times New Roman" w:cs="Times New Roman"/>
              </w:rPr>
            </w:pPr>
            <w:r>
              <w:rPr>
                <w:rFonts w:ascii="Times New Roman" w:hAnsi="Times New Roman" w:cs="Times New Roman"/>
              </w:rPr>
              <w:t>（3）施工工地的出入口通道内侧安装车辆冲洗设施和污水沉淀池，并定期清扫周边道路，保证出场车辆和周边道路洁净；</w:t>
            </w:r>
          </w:p>
          <w:p>
            <w:pPr>
              <w:pStyle w:val="62"/>
              <w:spacing w:line="360" w:lineRule="auto"/>
              <w:ind w:firstLine="480" w:firstLineChars="200"/>
              <w:rPr>
                <w:rFonts w:ascii="Times New Roman" w:hAnsi="Times New Roman" w:cs="Times New Roman"/>
              </w:rPr>
            </w:pPr>
            <w:r>
              <w:rPr>
                <w:rFonts w:ascii="Times New Roman" w:hAnsi="Times New Roman" w:cs="Times New Roman"/>
              </w:rPr>
              <w:t>（4）对施工工地出入口、主要道路、加工区和物料堆放场地进行硬化并辅以喷淋洒水等措施，对其他场地进行覆盖或者临时绿化；</w:t>
            </w:r>
          </w:p>
          <w:p>
            <w:pPr>
              <w:pStyle w:val="62"/>
              <w:spacing w:line="360" w:lineRule="auto"/>
              <w:ind w:firstLine="480" w:firstLineChars="200"/>
              <w:rPr>
                <w:rFonts w:ascii="Times New Roman" w:hAnsi="Times New Roman" w:cs="Times New Roman"/>
              </w:rPr>
            </w:pPr>
            <w:r>
              <w:rPr>
                <w:rFonts w:ascii="Times New Roman" w:hAnsi="Times New Roman" w:cs="Times New Roman"/>
              </w:rPr>
              <w:t>（5）对易产生扬尘污染的建筑材料密闭存放或者集中、分类堆放，采取覆盖、喷淋洒水等有效防尘措施，并使用专业车辆运输；</w:t>
            </w:r>
          </w:p>
          <w:p>
            <w:pPr>
              <w:pStyle w:val="62"/>
              <w:spacing w:line="360" w:lineRule="auto"/>
              <w:ind w:firstLine="480" w:firstLineChars="200"/>
              <w:rPr>
                <w:rFonts w:ascii="Times New Roman" w:hAnsi="Times New Roman" w:cs="Times New Roman"/>
              </w:rPr>
            </w:pPr>
            <w:r>
              <w:rPr>
                <w:rFonts w:ascii="Times New Roman" w:hAnsi="Times New Roman" w:cs="Times New Roman"/>
              </w:rPr>
              <w:t>（6）对建筑垃圾、建筑土石方及其他废弃物应当在四十八小时内运到指定地点处置，不能及时清运的，应当采取防尘网或者防尘布等覆盖措施；</w:t>
            </w:r>
          </w:p>
          <w:p>
            <w:pPr>
              <w:pStyle w:val="62"/>
              <w:spacing w:line="360" w:lineRule="auto"/>
              <w:ind w:firstLine="480" w:firstLineChars="200"/>
              <w:rPr>
                <w:rFonts w:ascii="Times New Roman" w:hAnsi="Times New Roman" w:cs="Times New Roman"/>
                <w:u w:val="single"/>
              </w:rPr>
            </w:pPr>
            <w:r>
              <w:rPr>
                <w:rFonts w:ascii="Times New Roman" w:hAnsi="Times New Roman" w:cs="Times New Roman"/>
              </w:rPr>
              <w:t>（7）按照市人民政府的规定使用预拌混凝土、预拌砂浆；</w:t>
            </w:r>
          </w:p>
          <w:p>
            <w:pPr>
              <w:pStyle w:val="62"/>
              <w:spacing w:line="360" w:lineRule="auto"/>
              <w:ind w:firstLine="480" w:firstLineChars="200"/>
              <w:rPr>
                <w:rFonts w:ascii="Times New Roman" w:hAnsi="Times New Roman" w:cs="Times New Roman"/>
              </w:rPr>
            </w:pPr>
            <w:r>
              <w:rPr>
                <w:rFonts w:ascii="Times New Roman" w:hAnsi="Times New Roman" w:cs="Times New Roman"/>
              </w:rPr>
              <w:t>（8）采取分段作业、择时施工、洒水防尘等措施，降低扬尘污染。</w:t>
            </w:r>
          </w:p>
          <w:p>
            <w:pPr>
              <w:pStyle w:val="62"/>
              <w:spacing w:line="360" w:lineRule="auto"/>
              <w:ind w:firstLine="480" w:firstLineChars="200"/>
              <w:rPr>
                <w:rFonts w:ascii="Times New Roman" w:hAnsi="Times New Roman" w:cs="Times New Roman"/>
                <w:color w:val="auto"/>
                <w:szCs w:val="32"/>
              </w:rPr>
            </w:pPr>
            <w:r>
              <w:rPr>
                <w:rFonts w:ascii="Times New Roman" w:hAnsi="Times New Roman" w:cs="Times New Roman"/>
              </w:rPr>
              <w:t>（9）</w:t>
            </w:r>
            <w:r>
              <w:rPr>
                <w:rFonts w:ascii="Times New Roman" w:hAnsi="Times New Roman" w:cs="Times New Roman"/>
                <w:szCs w:val="24"/>
                <w:shd w:val="clear" w:color="auto" w:fill="FFFFFF"/>
              </w:rPr>
              <w:t>建设用地范围内的裸露泥地，应当进行绿化，不具备绿化条件的，应当实施硬化或者覆盖。</w:t>
            </w:r>
          </w:p>
          <w:p>
            <w:pPr>
              <w:pStyle w:val="62"/>
              <w:spacing w:line="360" w:lineRule="auto"/>
              <w:ind w:firstLine="480" w:firstLineChars="200"/>
              <w:rPr>
                <w:rFonts w:ascii="Times New Roman" w:hAnsi="Times New Roman" w:cs="Times New Roman"/>
              </w:rPr>
            </w:pPr>
            <w:r>
              <w:rPr>
                <w:rFonts w:ascii="Times New Roman" w:hAnsi="Times New Roman" w:cs="Times New Roman"/>
              </w:rPr>
              <w:t>二、房屋建筑及其附属设施建设工程施工、房屋装饰装修工程施工，还应当符合下列扬尘污染防治要求：</w:t>
            </w:r>
          </w:p>
          <w:p>
            <w:pPr>
              <w:pStyle w:val="62"/>
              <w:spacing w:line="360" w:lineRule="auto"/>
              <w:ind w:firstLine="480" w:firstLineChars="200"/>
              <w:rPr>
                <w:rFonts w:ascii="Times New Roman" w:hAnsi="Times New Roman" w:cs="Times New Roman"/>
              </w:rPr>
            </w:pPr>
            <w:r>
              <w:rPr>
                <w:rFonts w:ascii="Times New Roman" w:hAnsi="Times New Roman" w:cs="Times New Roman"/>
              </w:rPr>
              <w:t>（1）土石方作业阶段应当采取覆盖、喷淋洒水等防尘措施，达到作业区扬尘不扩散到界外，施工现场非作业区目测无扬尘的要求；</w:t>
            </w:r>
          </w:p>
          <w:p>
            <w:pPr>
              <w:pStyle w:val="62"/>
              <w:spacing w:line="360" w:lineRule="auto"/>
              <w:ind w:firstLine="480" w:firstLineChars="200"/>
              <w:rPr>
                <w:rFonts w:ascii="Times New Roman" w:hAnsi="Times New Roman" w:cs="Times New Roman"/>
              </w:rPr>
            </w:pPr>
            <w:r>
              <w:rPr>
                <w:rFonts w:ascii="Times New Roman" w:hAnsi="Times New Roman" w:cs="Times New Roman"/>
              </w:rPr>
              <w:t>（2）建筑施工脚手架外侧应当设置符合标准的密目防尘网或者防尘布，拆除时应当采取喷淋洒水等防尘措施；</w:t>
            </w:r>
          </w:p>
          <w:p>
            <w:pPr>
              <w:pStyle w:val="62"/>
              <w:spacing w:line="360" w:lineRule="auto"/>
              <w:ind w:firstLine="480" w:firstLineChars="200"/>
              <w:rPr>
                <w:rFonts w:ascii="Times New Roman" w:hAnsi="Times New Roman" w:cs="Times New Roman"/>
              </w:rPr>
            </w:pPr>
            <w:r>
              <w:rPr>
                <w:rFonts w:ascii="Times New Roman" w:hAnsi="Times New Roman" w:cs="Times New Roman"/>
              </w:rPr>
              <w:t>（3）对楼层、高处平台等进行建筑垃圾清理时，应当采取喷淋洒水等防尘措施；楼层内清扫出的建筑垃圾，应当密封清运，禁止高空抛掷、扬撒。</w:t>
            </w:r>
          </w:p>
          <w:p>
            <w:pPr>
              <w:pStyle w:val="62"/>
              <w:spacing w:line="360" w:lineRule="auto"/>
              <w:ind w:firstLine="480" w:firstLineChars="200"/>
              <w:rPr>
                <w:rFonts w:ascii="Times New Roman" w:hAnsi="Times New Roman" w:cs="Times New Roman"/>
              </w:rPr>
            </w:pPr>
            <w:r>
              <w:rPr>
                <w:rFonts w:ascii="Times New Roman" w:hAnsi="Times New Roman" w:cs="Times New Roman"/>
              </w:rPr>
              <w:t>（4）易产生扬尘污染的装饰装修材料采取覆盖措施；</w:t>
            </w:r>
          </w:p>
          <w:p>
            <w:pPr>
              <w:pStyle w:val="62"/>
              <w:spacing w:line="360" w:lineRule="auto"/>
              <w:ind w:firstLine="480" w:firstLineChars="200"/>
              <w:rPr>
                <w:rFonts w:ascii="Times New Roman" w:hAnsi="Times New Roman" w:cs="Times New Roman"/>
              </w:rPr>
            </w:pPr>
            <w:r>
              <w:rPr>
                <w:rFonts w:ascii="Times New Roman" w:hAnsi="Times New Roman" w:cs="Times New Roman"/>
              </w:rPr>
              <w:t>（5）墙体拆改、开槽切割等采取局部覆盖、喷淋等防尘措施；</w:t>
            </w:r>
          </w:p>
          <w:p>
            <w:pPr>
              <w:pStyle w:val="62"/>
              <w:spacing w:line="360" w:lineRule="auto"/>
              <w:ind w:firstLine="480" w:firstLineChars="200"/>
              <w:rPr>
                <w:rFonts w:ascii="Times New Roman" w:hAnsi="Times New Roman" w:cs="Times New Roman"/>
              </w:rPr>
            </w:pPr>
            <w:r>
              <w:rPr>
                <w:rFonts w:ascii="Times New Roman" w:hAnsi="Times New Roman" w:cs="Times New Roman"/>
              </w:rPr>
              <w:t>（6）及时封闭清运装饰装修垃圾，禁止高空抛掷、扬撒。</w:t>
            </w:r>
          </w:p>
          <w:p>
            <w:pPr>
              <w:spacing w:line="360" w:lineRule="auto"/>
              <w:ind w:firstLine="480"/>
              <w:rPr>
                <w:szCs w:val="32"/>
              </w:rPr>
            </w:pPr>
            <w:r>
              <w:rPr>
                <w:szCs w:val="32"/>
              </w:rPr>
              <w:t>经采取上述措施后，会减轻</w:t>
            </w:r>
            <w:r>
              <w:rPr>
                <w:rFonts w:hint="eastAsia"/>
                <w:szCs w:val="32"/>
              </w:rPr>
              <w:t>工业广场建设</w:t>
            </w:r>
            <w:r>
              <w:rPr>
                <w:szCs w:val="32"/>
              </w:rPr>
              <w:t>施工期扬尘对周围环境的影响。</w:t>
            </w:r>
            <w:r>
              <w:rPr>
                <w:rFonts w:hint="eastAsia"/>
                <w:szCs w:val="32"/>
              </w:rPr>
              <w:t>同时施工期需使用污染物排放符合国家标准的施工机械设备和运输车辆，并加强操作管理和日常养护，保证施工机械设备和运输车辆处于良好的工作状态，严禁使用不合格设备和报废车辆。</w:t>
            </w:r>
          </w:p>
          <w:p>
            <w:pPr>
              <w:spacing w:line="360" w:lineRule="auto"/>
              <w:ind w:firstLine="480"/>
              <w:rPr>
                <w:szCs w:val="32"/>
              </w:rPr>
            </w:pPr>
            <w:r>
              <w:rPr>
                <w:rFonts w:hint="eastAsia"/>
                <w:szCs w:val="32"/>
              </w:rPr>
              <w:t>综上所述，项目工业广场建设施工期将会对项目所在地环境空气质量造成一定影响，但这些影响随着施工期的结束也会结束；但项目仍需严格按照《防治城市扬尘污染技术标准》（HJ/T393-2007）、《岳阳市扬尘污染防治条例》（2019年12月1日）、《岳阳市人民政府关于加强大气污染防治的通告》（岳政告〔2015〕5号）、《关于印发岳阳市大气污染防治特护期工作方案的通知》（岳政办发〔2016〕27号）要求落实扬尘防治措施；施工工地周围按要求设置硬质密闭围挡；严禁大风、暴雨等恶劣天气施工，配备洒水设备并定期洒水抑尘；运送散装物料的车辆须采取密封方式或篷布遮盖，避免沿途洒漏；施工完成后及时完成渣土清理和植被绿化工作。采取上述措施后，施工期的废气对周边环境的影响较小，措施可行。</w:t>
            </w:r>
          </w:p>
          <w:p>
            <w:pPr>
              <w:spacing w:line="360" w:lineRule="auto"/>
              <w:ind w:firstLine="0" w:firstLineChars="0"/>
              <w:rPr>
                <w:b/>
                <w:sz w:val="28"/>
              </w:rPr>
            </w:pPr>
            <w:r>
              <w:rPr>
                <w:rFonts w:hint="eastAsia"/>
                <w:b/>
                <w:sz w:val="28"/>
              </w:rPr>
              <w:t>2、地表水环境保护措施</w:t>
            </w:r>
          </w:p>
          <w:p>
            <w:pPr>
              <w:spacing w:line="360" w:lineRule="auto"/>
              <w:ind w:firstLine="480"/>
            </w:pPr>
            <w:r>
              <w:rPr>
                <w:rFonts w:hint="eastAsia"/>
              </w:rPr>
              <w:t>施工废水通过沉淀后回用于设备冲洗、场地浇洒等，不外排；生活污水依托已有处理设施进行处理。</w:t>
            </w:r>
          </w:p>
          <w:p>
            <w:pPr>
              <w:spacing w:line="360" w:lineRule="auto"/>
              <w:ind w:firstLine="480"/>
            </w:pPr>
            <w:r>
              <w:rPr>
                <w:rFonts w:hint="eastAsia"/>
              </w:rPr>
              <w:t>在回填土堆放场、施工泥浆产生点设置临时沉砂池，含泥沙雨水、泥浆水经沉砂池沉淀后收集于贮水池，用于植物浇灌。</w:t>
            </w:r>
          </w:p>
          <w:p>
            <w:pPr>
              <w:spacing w:line="360" w:lineRule="auto"/>
              <w:ind w:firstLine="480"/>
            </w:pPr>
            <w:r>
              <w:rPr>
                <w:rFonts w:hint="eastAsia"/>
              </w:rPr>
              <w:t>工程施工期间，施工废水严禁外排。</w:t>
            </w:r>
          </w:p>
          <w:p>
            <w:pPr>
              <w:spacing w:line="360" w:lineRule="auto"/>
              <w:ind w:firstLine="0" w:firstLineChars="0"/>
              <w:rPr>
                <w:b/>
                <w:sz w:val="28"/>
              </w:rPr>
            </w:pPr>
            <w:r>
              <w:rPr>
                <w:rFonts w:hint="eastAsia"/>
                <w:b/>
                <w:sz w:val="28"/>
              </w:rPr>
              <w:t>3、声环境保护措施</w:t>
            </w:r>
          </w:p>
          <w:p>
            <w:pPr>
              <w:spacing w:line="360" w:lineRule="auto"/>
              <w:ind w:firstLine="480"/>
            </w:pPr>
            <w:r>
              <w:rPr>
                <w:rFonts w:hint="eastAsia"/>
              </w:rPr>
              <w:t>为减少其噪声影响，建设单位和施工单位必须按照《中华人民共和国环境噪声污染防治条例》等的规定执行。另外，建议从以下几方面采取适当的措施来减轻其噪声的影响。</w:t>
            </w:r>
          </w:p>
          <w:p>
            <w:pPr>
              <w:spacing w:line="360" w:lineRule="auto"/>
              <w:ind w:firstLine="480"/>
            </w:pPr>
            <w:r>
              <w:rPr>
                <w:rFonts w:hint="eastAsia"/>
              </w:rPr>
              <w:t>（1）合理选择施工时间：施工过程中应严格控制各施工机械的施工时间，主要噪声源尽量安排在昼间非正常休息时间内进行的要求，高噪声设备避免在中午12:00~14:00及夜间22:00~翌日6:00之间进行作业，同时应避免高噪声设备同时施工。</w:t>
            </w:r>
          </w:p>
          <w:p>
            <w:pPr>
              <w:spacing w:line="360" w:lineRule="auto"/>
              <w:ind w:firstLine="480"/>
            </w:pPr>
            <w:r>
              <w:rPr>
                <w:rFonts w:hint="eastAsia"/>
              </w:rPr>
              <w:t>（2）尽量选用低噪声机械设备或带隔声、消声的设备。施工部门应合理安排好施工时间和施工场所，高噪声作业区远离村庄，在施工边界设临时隔声屏，以减少噪声对周边村民的影响。</w:t>
            </w:r>
          </w:p>
          <w:p>
            <w:pPr>
              <w:spacing w:line="360" w:lineRule="auto"/>
              <w:ind w:firstLine="480"/>
            </w:pPr>
            <w:r>
              <w:rPr>
                <w:rFonts w:hint="eastAsia"/>
              </w:rPr>
              <w:t>（3）物料运输应尽量安排在昼间进行，施工场地的施工车辆出入地点应尽量远离敏感点，车辆出入现场时应低速、禁鸣。</w:t>
            </w:r>
          </w:p>
          <w:p>
            <w:pPr>
              <w:spacing w:line="360" w:lineRule="auto"/>
              <w:ind w:firstLine="480"/>
            </w:pPr>
            <w:r>
              <w:rPr>
                <w:rFonts w:hint="eastAsia"/>
              </w:rPr>
              <w:t>（4）合理布置施工机械和施工强度，作好施工组织，在高噪声设备周围设置屏蔽物，对附近操作的作业人员配戴防护耳塞，降低对操作人员的影响。</w:t>
            </w:r>
          </w:p>
          <w:p>
            <w:pPr>
              <w:spacing w:line="360" w:lineRule="auto"/>
              <w:ind w:firstLine="480"/>
            </w:pPr>
            <w:r>
              <w:rPr>
                <w:rFonts w:hint="eastAsia"/>
              </w:rPr>
              <w:t>（5）对施工场地噪声除采取以上降噪措施外，建设过程中应与周围的村民建立良好的关系，及时让他们了解施工进度及采取的降噪措施，并取得大家的共同理解。若因工艺或特殊需要必须连续施工，施工单位应在施工前报请有关部门批准，并向施工场地周围的村民发布公告，以征得公众的理解和支持。此外，施工期间应设热线投诉电话，接受噪音扰民投诉，并对投诉情况及时处理，对高噪声源进行积极治理或更严格限制其作业时间。</w:t>
            </w:r>
          </w:p>
          <w:p>
            <w:pPr>
              <w:spacing w:line="360" w:lineRule="auto"/>
              <w:ind w:firstLine="480"/>
            </w:pPr>
            <w:r>
              <w:rPr>
                <w:rFonts w:hint="eastAsia"/>
              </w:rPr>
              <w:t>只要建筑施工单位加强管理，严格执行以上有关的管理规定，施工过程中产生的噪声是可以得到有效的控制，不会对周围声环境带来明显影响，措施可行。</w:t>
            </w:r>
          </w:p>
          <w:p>
            <w:pPr>
              <w:spacing w:line="360" w:lineRule="auto"/>
              <w:ind w:firstLine="0" w:firstLineChars="0"/>
              <w:rPr>
                <w:b/>
                <w:sz w:val="28"/>
              </w:rPr>
            </w:pPr>
            <w:r>
              <w:rPr>
                <w:rFonts w:hint="eastAsia"/>
                <w:b/>
                <w:sz w:val="28"/>
              </w:rPr>
              <w:t>4、固体废物防治措施</w:t>
            </w:r>
          </w:p>
          <w:p>
            <w:pPr>
              <w:spacing w:line="360" w:lineRule="auto"/>
              <w:ind w:firstLine="480"/>
            </w:pPr>
            <w:r>
              <w:rPr>
                <w:rFonts w:hint="eastAsia"/>
              </w:rPr>
              <w:t>为了控制建筑废弃物对环境的污染，减少堆放和运输过程中对环境的影响，建议采取如下措施：</w:t>
            </w:r>
          </w:p>
          <w:p>
            <w:pPr>
              <w:spacing w:line="360" w:lineRule="auto"/>
              <w:ind w:firstLine="480"/>
            </w:pPr>
            <w:r>
              <w:rPr>
                <w:rFonts w:hint="eastAsia"/>
              </w:rPr>
              <w:t>（1）废弃建材、建筑垃圾运往指定地点，不得影响周围环境及人员、车辆出行，不得将以上堆置物放在村庄的上风向。</w:t>
            </w:r>
          </w:p>
          <w:p>
            <w:pPr>
              <w:spacing w:line="360" w:lineRule="auto"/>
              <w:ind w:firstLine="480"/>
            </w:pPr>
            <w:r>
              <w:rPr>
                <w:rFonts w:hint="eastAsia"/>
              </w:rPr>
              <w:t>（2）施工单位应当及时清理运走、处置建筑施工过程中产生的垃圾，并采取措施，防止污染环境。</w:t>
            </w:r>
          </w:p>
          <w:p>
            <w:pPr>
              <w:spacing w:line="360" w:lineRule="auto"/>
              <w:ind w:firstLine="480"/>
            </w:pPr>
            <w:r>
              <w:rPr>
                <w:rFonts w:hint="eastAsia"/>
              </w:rPr>
              <w:t>（3）车辆运输散体材料和废弃物时，必须密闭、包扎、覆盖，不得沿途漏撒；运载土方的车辆必须在规定的时间内，按指定路段行驶。</w:t>
            </w:r>
          </w:p>
          <w:p>
            <w:pPr>
              <w:spacing w:line="360" w:lineRule="auto"/>
              <w:ind w:firstLine="480"/>
            </w:pPr>
            <w:r>
              <w:rPr>
                <w:rFonts w:hint="eastAsia"/>
              </w:rPr>
              <w:t>（4）收集、贮存、运输、处置固体废物的单位和个人，必须采取防扬散、防流失、防渗漏或者其它防止污染环境的措施。</w:t>
            </w:r>
          </w:p>
          <w:p>
            <w:pPr>
              <w:spacing w:line="360" w:lineRule="auto"/>
              <w:ind w:firstLine="480"/>
            </w:pPr>
            <w:r>
              <w:rPr>
                <w:rFonts w:hint="eastAsia"/>
              </w:rPr>
              <w:t>综上所述，项目施工期在积极落实固废处置措施基础上，不会对周边环境造成太大的影响，措施可行。</w:t>
            </w:r>
          </w:p>
          <w:p>
            <w:pPr>
              <w:spacing w:line="360" w:lineRule="auto"/>
              <w:ind w:firstLine="0" w:firstLineChars="0"/>
              <w:rPr>
                <w:b/>
                <w:sz w:val="28"/>
              </w:rPr>
            </w:pPr>
            <w:r>
              <w:rPr>
                <w:rFonts w:hint="eastAsia"/>
                <w:b/>
                <w:sz w:val="28"/>
              </w:rPr>
              <w:t>5、土壤环境保护措施</w:t>
            </w:r>
          </w:p>
          <w:p>
            <w:pPr>
              <w:spacing w:line="360" w:lineRule="auto"/>
              <w:ind w:firstLine="480"/>
            </w:pPr>
            <w:r>
              <w:rPr>
                <w:rFonts w:hint="eastAsia"/>
              </w:rPr>
              <w:t>施工期施工废水沉淀后回用于设备冲洗、场地浇洒等，生活污水依托已有处理设施进行处理，无废水外排；施工期间采取洒水、覆盖等措施降低施工粉尘飞扬；施工固体废物及时清运；沉砂池等均采取防渗。不会对土壤环境造成较大影响。</w:t>
            </w:r>
          </w:p>
          <w:p>
            <w:pPr>
              <w:spacing w:line="360" w:lineRule="auto"/>
              <w:ind w:firstLine="0" w:firstLineChars="0"/>
              <w:rPr>
                <w:b/>
                <w:sz w:val="28"/>
              </w:rPr>
            </w:pPr>
            <w:r>
              <w:rPr>
                <w:b/>
                <w:sz w:val="28"/>
              </w:rPr>
              <w:t>6</w:t>
            </w:r>
            <w:r>
              <w:rPr>
                <w:rFonts w:hint="eastAsia"/>
                <w:b/>
                <w:sz w:val="28"/>
              </w:rPr>
              <w:t>、生态环境保护措施</w:t>
            </w:r>
          </w:p>
          <w:p>
            <w:pPr>
              <w:spacing w:line="360" w:lineRule="auto"/>
              <w:ind w:firstLine="480"/>
            </w:pPr>
            <w:r>
              <w:rPr>
                <w:rFonts w:hint="eastAsia"/>
              </w:rPr>
              <w:t>（1）建设单位应合理安排施工进度，随时施工随时保护，减少施工面的裸露时间，对形成的裸露土地，平整土地后及时镇压，消除松软地表，然后尽快恢复林草植被；同时还应及时处理施工地的挖方，对工地内产生的挖方需要利用的应适时夯实填埋，以便尽可能减少现场堆放时间。在施工过程中，尽量减小和有效控制对施工区域生态环境的影响范围和程度。</w:t>
            </w:r>
          </w:p>
          <w:p>
            <w:pPr>
              <w:adjustRightInd w:val="0"/>
              <w:snapToGrid w:val="0"/>
              <w:spacing w:line="360" w:lineRule="auto"/>
              <w:ind w:firstLine="480"/>
              <w:rPr>
                <w:snapToGrid/>
              </w:rPr>
            </w:pPr>
            <w:r>
              <w:rPr>
                <w:rFonts w:hint="eastAsia"/>
              </w:rPr>
              <w:t>（</w:t>
            </w:r>
            <w:r>
              <w:t>2</w:t>
            </w:r>
            <w:r>
              <w:rPr>
                <w:rFonts w:hint="eastAsia"/>
              </w:rPr>
              <w:t>）优化施工组织设计</w:t>
            </w:r>
          </w:p>
          <w:p>
            <w:pPr>
              <w:adjustRightInd w:val="0"/>
              <w:snapToGrid w:val="0"/>
              <w:spacing w:line="360" w:lineRule="auto"/>
              <w:ind w:firstLine="480"/>
            </w:pPr>
            <w:r>
              <w:rPr>
                <w:rFonts w:hint="eastAsia"/>
              </w:rPr>
              <w:t>建设单位应对土石方挖、填方案等进行周密论证，优选出水土流失少的方案，并需作好以下工作：</w:t>
            </w:r>
          </w:p>
          <w:p>
            <w:pPr>
              <w:adjustRightInd w:val="0"/>
              <w:snapToGrid w:val="0"/>
              <w:spacing w:line="360" w:lineRule="auto"/>
              <w:ind w:firstLine="480"/>
            </w:pPr>
            <w:r>
              <w:rPr>
                <w:rFonts w:hint="eastAsia" w:ascii="宋体" w:hAnsi="宋体" w:cs="宋体"/>
              </w:rPr>
              <w:t>①</w:t>
            </w:r>
            <w:r>
              <w:rPr>
                <w:rFonts w:hint="eastAsia"/>
              </w:rPr>
              <w:t>施工中要做好土石方平衡工作，开挖的土方应尽量作为施工场地平整回填之用。</w:t>
            </w:r>
          </w:p>
          <w:p>
            <w:pPr>
              <w:adjustRightInd w:val="0"/>
              <w:snapToGrid w:val="0"/>
              <w:spacing w:line="360" w:lineRule="auto"/>
              <w:ind w:firstLine="480"/>
            </w:pPr>
            <w:r>
              <w:rPr>
                <w:rFonts w:hint="eastAsia" w:ascii="宋体" w:hAnsi="宋体" w:cs="宋体"/>
              </w:rPr>
              <w:t>②</w:t>
            </w:r>
            <w:r>
              <w:rPr>
                <w:rFonts w:hint="eastAsia"/>
              </w:rPr>
              <w:t>挖方的临时堆放场地中，若有相对比较集中的地方，其周边应挖好排水沟，避免雨季时的水土流失；堆土的边坡要小，尽量压实，使其少占地且不易被雨水冲刷造成流失。</w:t>
            </w:r>
          </w:p>
          <w:p>
            <w:pPr>
              <w:adjustRightInd w:val="0"/>
              <w:snapToGrid w:val="0"/>
              <w:spacing w:line="360" w:lineRule="auto"/>
              <w:ind w:firstLine="480"/>
            </w:pPr>
            <w:r>
              <w:rPr>
                <w:rFonts w:hint="eastAsia"/>
              </w:rPr>
              <w:t>（</w:t>
            </w:r>
            <w:r>
              <w:t>3</w:t>
            </w:r>
            <w:r>
              <w:rPr>
                <w:rFonts w:hint="eastAsia"/>
              </w:rPr>
              <w:t>）严格禁止施工场地外部径流流进工地，同时减少施工现场内侵蚀径流，在施工周围布置外排水沟或撇水沟，施工现场内外径流分开排放。</w:t>
            </w:r>
          </w:p>
          <w:p>
            <w:pPr>
              <w:adjustRightInd w:val="0"/>
              <w:snapToGrid w:val="0"/>
              <w:spacing w:line="360" w:lineRule="auto"/>
              <w:ind w:firstLine="480"/>
            </w:pPr>
            <w:r>
              <w:rPr>
                <w:rFonts w:hint="eastAsia"/>
              </w:rPr>
              <w:t>（</w:t>
            </w:r>
            <w:r>
              <w:t>4</w:t>
            </w:r>
            <w:r>
              <w:rPr>
                <w:rFonts w:hint="eastAsia"/>
              </w:rPr>
              <w:t>）及时绿化、恢复植被</w:t>
            </w:r>
          </w:p>
          <w:p>
            <w:pPr>
              <w:adjustRightInd w:val="0"/>
              <w:snapToGrid w:val="0"/>
              <w:spacing w:line="360" w:lineRule="auto"/>
              <w:ind w:firstLine="480"/>
            </w:pPr>
            <w:r>
              <w:rPr>
                <w:rFonts w:hint="eastAsia"/>
              </w:rPr>
              <w:t>对不是工程要求必须改变地貌形态的场地，尽量减少其扰动，在施工过程中还应采用及时种植草皮等措施恢复或绿化裸露的地面的植被覆盖率；无论填、挖工程或堆土堆都应及时恢复植被或绿化。</w:t>
            </w:r>
          </w:p>
          <w:p>
            <w:pPr>
              <w:adjustRightInd w:val="0"/>
              <w:snapToGrid w:val="0"/>
              <w:spacing w:line="360" w:lineRule="auto"/>
              <w:ind w:firstLine="480"/>
            </w:pPr>
            <w:r>
              <w:rPr>
                <w:rFonts w:hint="eastAsia"/>
              </w:rPr>
              <w:t>（</w:t>
            </w:r>
            <w:r>
              <w:t>5</w:t>
            </w:r>
            <w:r>
              <w:rPr>
                <w:rFonts w:hint="eastAsia"/>
              </w:rPr>
              <w:t>）加强施工管理，加强对工人关于水土保持的教育，暴雨时不施工，减少水土流失量。</w:t>
            </w:r>
          </w:p>
          <w:p>
            <w:pPr>
              <w:adjustRightInd w:val="0"/>
              <w:snapToGrid w:val="0"/>
              <w:spacing w:line="360" w:lineRule="auto"/>
              <w:ind w:firstLine="480"/>
            </w:pPr>
            <w:r>
              <w:rPr>
                <w:rFonts w:hint="eastAsia"/>
              </w:rPr>
              <w:t>（</w:t>
            </w:r>
            <w:r>
              <w:t>6</w:t>
            </w:r>
            <w:r>
              <w:rPr>
                <w:rFonts w:hint="eastAsia"/>
              </w:rPr>
              <w:t>）施工对绿化的保护和恢复措施</w:t>
            </w:r>
          </w:p>
          <w:p>
            <w:pPr>
              <w:adjustRightInd w:val="0"/>
              <w:snapToGrid w:val="0"/>
              <w:spacing w:line="360" w:lineRule="auto"/>
              <w:ind w:firstLine="480"/>
            </w:pPr>
            <w:r>
              <w:rPr>
                <w:rFonts w:hint="eastAsia"/>
              </w:rPr>
              <w:t>施工过程中应注意保护相邻地带的树木、绿地等植被，尽量减少对现状树木的破坏。</w:t>
            </w:r>
          </w:p>
          <w:p>
            <w:pPr>
              <w:spacing w:line="360" w:lineRule="auto"/>
              <w:ind w:firstLine="480"/>
            </w:pPr>
            <w:r>
              <w:rPr>
                <w:rFonts w:hint="eastAsia"/>
              </w:rPr>
              <w:t>采取系列生态恢复和补偿措施后，本项目建成后对项目区域的生态环境影响较小，措施可行。</w:t>
            </w: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20"/>
              <w:rPr>
                <w:sz w:val="21"/>
                <w:szCs w:val="21"/>
              </w:rPr>
            </w:pPr>
          </w:p>
          <w:p>
            <w:pPr>
              <w:spacing w:line="360" w:lineRule="auto"/>
              <w:ind w:firstLine="420"/>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Mar>
              <w:left w:w="28" w:type="dxa"/>
              <w:right w:w="28" w:type="dxa"/>
            </w:tcMar>
            <w:vAlign w:val="center"/>
          </w:tcPr>
          <w:p>
            <w:pPr>
              <w:spacing w:line="240" w:lineRule="auto"/>
              <w:ind w:firstLine="0" w:firstLineChars="0"/>
              <w:jc w:val="center"/>
            </w:pPr>
            <w:r>
              <w:rPr>
                <w:rFonts w:hint="eastAsia"/>
              </w:rPr>
              <w:t>运营期生态环境保护措施</w:t>
            </w:r>
          </w:p>
        </w:tc>
        <w:tc>
          <w:tcPr>
            <w:tcW w:w="7805" w:type="dxa"/>
          </w:tcPr>
          <w:p>
            <w:pPr>
              <w:spacing w:line="360" w:lineRule="auto"/>
              <w:ind w:firstLine="0" w:firstLineChars="0"/>
              <w:rPr>
                <w:b/>
                <w:sz w:val="28"/>
              </w:rPr>
            </w:pPr>
            <w:r>
              <w:rPr>
                <w:rFonts w:hint="eastAsia"/>
                <w:b/>
                <w:sz w:val="28"/>
              </w:rPr>
              <w:t>1、大气环境保护措施</w:t>
            </w:r>
          </w:p>
          <w:p>
            <w:pPr>
              <w:spacing w:line="360" w:lineRule="auto"/>
              <w:ind w:firstLine="0" w:firstLineChars="0"/>
              <w:rPr>
                <w:b/>
              </w:rPr>
            </w:pPr>
            <w:r>
              <w:rPr>
                <w:rFonts w:hint="eastAsia"/>
                <w:b/>
              </w:rPr>
              <w:t>1</w:t>
            </w:r>
            <w:r>
              <w:rPr>
                <w:b/>
              </w:rPr>
              <w:t>.1</w:t>
            </w:r>
            <w:r>
              <w:rPr>
                <w:rFonts w:hint="eastAsia"/>
                <w:b/>
              </w:rPr>
              <w:t>大气环境治理措施可行性分析</w:t>
            </w:r>
          </w:p>
          <w:p>
            <w:pPr>
              <w:spacing w:line="360" w:lineRule="auto"/>
              <w:ind w:firstLine="480"/>
            </w:pPr>
            <w:r>
              <w:rPr>
                <w:rFonts w:hint="eastAsia"/>
              </w:rPr>
              <w:t>（1）露天采场覆盖层剥离粉尘、开采粉尘治理措施</w:t>
            </w:r>
          </w:p>
          <w:p>
            <w:pPr>
              <w:spacing w:line="360" w:lineRule="auto"/>
              <w:ind w:firstLine="480"/>
            </w:pPr>
            <w:r>
              <w:rPr>
                <w:rFonts w:hint="eastAsia"/>
              </w:rPr>
              <w:t>采取在露天采场覆盖层剥离及开采工作面洒水增加土壤持水率、降低挖斗卸料高度，挖采过程中采用喷雾机喷雾除尘等措施可以有效降低采剥过程中粉尘的产生与排放。</w:t>
            </w:r>
          </w:p>
          <w:p>
            <w:pPr>
              <w:spacing w:line="360" w:lineRule="auto"/>
              <w:ind w:firstLine="480"/>
            </w:pPr>
            <w:r>
              <w:rPr>
                <w:rFonts w:hint="eastAsia"/>
              </w:rPr>
              <w:t>（</w:t>
            </w:r>
            <w:r>
              <w:t>2</w:t>
            </w:r>
            <w:r>
              <w:rPr>
                <w:rFonts w:hint="eastAsia"/>
              </w:rPr>
              <w:t>）铲装粉尘治理措施</w:t>
            </w:r>
          </w:p>
          <w:p>
            <w:pPr>
              <w:spacing w:line="360" w:lineRule="auto"/>
              <w:ind w:firstLine="480"/>
            </w:pPr>
            <w:r>
              <w:rPr>
                <w:rFonts w:hint="eastAsia"/>
              </w:rPr>
              <w:t>装卸作业的防尘主要手段是洒水降低空气含尘量，在装载机上安装喷雾洒水装置，用水泵将水加压送至喷雾器，向铲头方向洒水。该方法可以起到良好的降尘效果。在汽车自卸石料时，应洒水降尘。</w:t>
            </w:r>
          </w:p>
          <w:p>
            <w:pPr>
              <w:spacing w:line="360" w:lineRule="auto"/>
              <w:ind w:firstLine="480"/>
            </w:pPr>
            <w:r>
              <w:rPr>
                <w:rFonts w:hint="eastAsia"/>
              </w:rPr>
              <w:t>（</w:t>
            </w:r>
            <w:r>
              <w:t>3</w:t>
            </w:r>
            <w:r>
              <w:rPr>
                <w:rFonts w:hint="eastAsia"/>
              </w:rPr>
              <w:t>）表土临时堆置场治理措施</w:t>
            </w:r>
          </w:p>
          <w:p>
            <w:pPr>
              <w:spacing w:line="360" w:lineRule="auto"/>
              <w:ind w:firstLine="480"/>
            </w:pPr>
            <w:r>
              <w:rPr>
                <w:rFonts w:hint="eastAsia"/>
              </w:rPr>
              <w:t>堆置场遇到大风会有扬尘产生，堆场扬尘属于无组织排放，建议建设单位对堆场采用防尘网覆盖、采用喷雾机喷雾除尘等降尘措施降低粉尘的排放量。</w:t>
            </w:r>
          </w:p>
          <w:p>
            <w:pPr>
              <w:spacing w:line="360" w:lineRule="auto"/>
              <w:ind w:firstLine="480"/>
            </w:pPr>
            <w:r>
              <w:rPr>
                <w:rFonts w:hint="eastAsia"/>
              </w:rPr>
              <w:t>根据《矿山生态环境保护与恢复治理技术规范（试行）》（HJ651-2013），矿山企业应采取如下措施避免或减轻大气污染：</w:t>
            </w:r>
          </w:p>
          <w:p>
            <w:pPr>
              <w:spacing w:line="360" w:lineRule="auto"/>
              <w:ind w:firstLine="480"/>
            </w:pPr>
            <w:r>
              <w:rPr>
                <w:rFonts w:hint="eastAsia"/>
              </w:rPr>
              <w:t>①采矿清理地面植被时，禁止燃烧植被。运输剥离土的道路应洒水或采取其他措施减少粉尘。</w:t>
            </w:r>
          </w:p>
          <w:p>
            <w:pPr>
              <w:spacing w:line="360" w:lineRule="auto"/>
              <w:ind w:firstLine="480"/>
            </w:pPr>
            <w:r>
              <w:rPr>
                <w:rFonts w:hint="eastAsia"/>
              </w:rPr>
              <w:t>②勘探、采矿及选矿作业均采用湿法作业。</w:t>
            </w:r>
          </w:p>
          <w:p>
            <w:pPr>
              <w:spacing w:line="360" w:lineRule="auto"/>
              <w:ind w:firstLine="480"/>
            </w:pPr>
            <w:r>
              <w:rPr>
                <w:rFonts w:hint="eastAsia"/>
              </w:rPr>
              <w:t>③矿物和矿渣运输道路应硬化并洒水防尘，道路出口设置车辆冲洗池，运输车辆采取围挡、遮盖等措施。</w:t>
            </w:r>
          </w:p>
          <w:p>
            <w:pPr>
              <w:spacing w:line="360" w:lineRule="auto"/>
              <w:ind w:firstLine="480"/>
            </w:pPr>
            <w:r>
              <w:rPr>
                <w:rFonts w:hint="eastAsia"/>
              </w:rPr>
              <w:t>④矿物堆场和临时料场应采取防止风蚀和扬尘措施。</w:t>
            </w:r>
          </w:p>
          <w:p>
            <w:pPr>
              <w:spacing w:line="360" w:lineRule="auto"/>
              <w:ind w:firstLine="480"/>
            </w:pPr>
            <w:r>
              <w:rPr>
                <w:rFonts w:hint="eastAsia"/>
              </w:rPr>
              <w:t>本项目在整个开采所采取的粉尘治理均能满足《矿山生态环境保护与恢复治理技术规范（试行）》（HJ651-2013）的要求。</w:t>
            </w:r>
          </w:p>
          <w:p>
            <w:pPr>
              <w:spacing w:line="360" w:lineRule="auto"/>
              <w:ind w:firstLine="480"/>
            </w:pPr>
            <w:r>
              <w:rPr>
                <w:rFonts w:hint="eastAsia"/>
              </w:rPr>
              <w:t>（3）制砂粉尘治理措施</w:t>
            </w:r>
          </w:p>
          <w:p>
            <w:pPr>
              <w:spacing w:line="360" w:lineRule="auto"/>
              <w:ind w:firstLine="480"/>
            </w:pPr>
            <w:r>
              <w:rPr>
                <w:rFonts w:hint="eastAsia"/>
              </w:rPr>
              <w:t>本项目采取皮带输送机封闭运输，输送转接处及卸料处设置喷淋设施，同时砂石破碎、筛分均为封闭加工且安装喷雾抑尘设施以降低粉尘的产生与排放。</w:t>
            </w:r>
          </w:p>
          <w:p>
            <w:pPr>
              <w:spacing w:line="360" w:lineRule="auto"/>
              <w:ind w:firstLine="480"/>
            </w:pPr>
            <w:r>
              <w:rPr>
                <w:rFonts w:hint="eastAsia"/>
              </w:rPr>
              <w:t>（4）产品运输粉尘、运输车辆及机械燃油尾气治理措施</w:t>
            </w:r>
          </w:p>
          <w:p>
            <w:pPr>
              <w:spacing w:line="360" w:lineRule="auto"/>
              <w:ind w:firstLine="480"/>
            </w:pPr>
            <w:r>
              <w:rPr>
                <w:rFonts w:hint="eastAsia"/>
              </w:rPr>
              <w:t>汽车路面防尘措施主要采用洒水为主，适当提高洒水频率，采用喷雾、洒水等方式进行除尘，喷淋强度应达到或略超过项目区的蒸发强度，该方法简便及防尘效果好。矿区道路出口设置车辆冲洗池，出矿区前搞好外部清洁，清洗车辆轮胎及底盘泥土，避免车辆将泥土带至外部道路；控制车辆行驶速度、清理道路表面粉尘；运输车辆采用遮盖措施，运输车辆采取密闭措施，装载不宜过满，保证运输过程不洒落；控制车速，采取上述措施后，可减少运输线路产生的扬尘量。选择优质燃料、匀速行驶、保持良好车况等可减少车辆尾气的产生。</w:t>
            </w:r>
          </w:p>
          <w:p>
            <w:pPr>
              <w:spacing w:line="360" w:lineRule="auto"/>
              <w:ind w:firstLine="480"/>
            </w:pPr>
            <w:r>
              <w:rPr>
                <w:rFonts w:hint="eastAsia"/>
              </w:rPr>
              <w:t>（</w:t>
            </w:r>
            <w:r>
              <w:t>5</w:t>
            </w:r>
            <w:r>
              <w:rPr>
                <w:rFonts w:hint="eastAsia"/>
              </w:rPr>
              <w:t>）食堂油烟处理措施</w:t>
            </w:r>
          </w:p>
          <w:p>
            <w:pPr>
              <w:spacing w:line="360" w:lineRule="auto"/>
              <w:ind w:firstLine="480"/>
            </w:pPr>
            <w:r>
              <w:rPr>
                <w:rFonts w:hint="eastAsia"/>
              </w:rPr>
              <w:t>本项目食堂安装抽油烟机，油烟经管道引至屋顶排放，满足《饮食业油烟排放标准》（GB18483-2001）小型规模标准要求。</w:t>
            </w:r>
          </w:p>
          <w:p>
            <w:pPr>
              <w:spacing w:line="360" w:lineRule="auto"/>
              <w:ind w:firstLine="0" w:firstLineChars="0"/>
              <w:rPr>
                <w:b/>
              </w:rPr>
            </w:pPr>
            <w:r>
              <w:rPr>
                <w:rFonts w:hint="eastAsia"/>
                <w:b/>
              </w:rPr>
              <w:t>1</w:t>
            </w:r>
            <w:r>
              <w:rPr>
                <w:b/>
              </w:rPr>
              <w:t>.2</w:t>
            </w:r>
            <w:r>
              <w:rPr>
                <w:rFonts w:hint="eastAsia"/>
                <w:b/>
              </w:rPr>
              <w:t>大气环境治理措施经济可行性分析</w:t>
            </w:r>
          </w:p>
          <w:p>
            <w:pPr>
              <w:spacing w:line="360" w:lineRule="auto"/>
              <w:ind w:firstLine="480"/>
            </w:pPr>
            <w:r>
              <w:rPr>
                <w:rFonts w:hint="eastAsia"/>
              </w:rPr>
              <w:t>本项目粉尘治理措施主要为湿法除尘。水喷淋装置的成本相对较低，投资很小，属于较合理范围，因此废气治理措施在经济上是可行的。</w:t>
            </w:r>
          </w:p>
          <w:p>
            <w:pPr>
              <w:spacing w:line="360" w:lineRule="auto"/>
              <w:ind w:firstLine="0" w:firstLineChars="0"/>
              <w:rPr>
                <w:b/>
                <w:sz w:val="28"/>
              </w:rPr>
            </w:pPr>
            <w:r>
              <w:rPr>
                <w:rFonts w:hint="eastAsia"/>
                <w:b/>
                <w:sz w:val="28"/>
              </w:rPr>
              <w:t>2、地表水环境保护措施</w:t>
            </w:r>
          </w:p>
          <w:p>
            <w:pPr>
              <w:spacing w:line="360" w:lineRule="auto"/>
              <w:ind w:firstLine="0" w:firstLineChars="0"/>
              <w:rPr>
                <w:b/>
              </w:rPr>
            </w:pPr>
            <w:r>
              <w:rPr>
                <w:rFonts w:hint="eastAsia"/>
                <w:b/>
              </w:rPr>
              <w:t>2</w:t>
            </w:r>
            <w:r>
              <w:rPr>
                <w:b/>
              </w:rPr>
              <w:t>.1</w:t>
            </w:r>
            <w:r>
              <w:rPr>
                <w:rFonts w:hint="eastAsia"/>
                <w:b/>
              </w:rPr>
              <w:t>地表水环境保护措施技术可行性分析</w:t>
            </w:r>
          </w:p>
          <w:p>
            <w:pPr>
              <w:spacing w:line="360" w:lineRule="auto"/>
              <w:ind w:firstLine="480"/>
            </w:pPr>
            <w:r>
              <w:rPr>
                <w:rFonts w:hint="eastAsia"/>
              </w:rPr>
              <w:t>（1）生活污水</w:t>
            </w:r>
          </w:p>
          <w:p>
            <w:pPr>
              <w:spacing w:line="360" w:lineRule="auto"/>
              <w:ind w:firstLine="480"/>
            </w:pPr>
            <w:r>
              <w:rPr>
                <w:rFonts w:hint="eastAsia"/>
              </w:rPr>
              <w:t>本项目运营期生活污水产生量约为</w:t>
            </w:r>
            <w:r>
              <w:t>3.36m</w:t>
            </w:r>
            <w:r>
              <w:rPr>
                <w:vertAlign w:val="superscript"/>
              </w:rPr>
              <w:t>3</w:t>
            </w:r>
            <w:r>
              <w:t>/d</w:t>
            </w:r>
            <w:r>
              <w:rPr>
                <w:rFonts w:hint="eastAsia"/>
              </w:rPr>
              <w:t>（</w:t>
            </w:r>
            <w:r>
              <w:t>1008</w:t>
            </w:r>
            <w:r>
              <w:rPr>
                <w:rFonts w:hint="eastAsia"/>
              </w:rPr>
              <w:t>m</w:t>
            </w:r>
            <w:r>
              <w:rPr>
                <w:vertAlign w:val="superscript"/>
              </w:rPr>
              <w:t>3</w:t>
            </w:r>
            <w:r>
              <w:t>/a</w:t>
            </w:r>
            <w:r>
              <w:rPr>
                <w:rFonts w:hint="eastAsia"/>
              </w:rPr>
              <w:t>），经隔油池、化粪池处理后用于矿区绿化、周边林地、菜地等施肥。</w:t>
            </w:r>
          </w:p>
          <w:p>
            <w:pPr>
              <w:pStyle w:val="57"/>
              <w:ind w:firstLine="480"/>
              <w:rPr>
                <w:szCs w:val="24"/>
              </w:rPr>
            </w:pPr>
            <w:r>
              <w:rPr>
                <w:rFonts w:hint="eastAsia"/>
                <w:szCs w:val="24"/>
              </w:rPr>
              <w:t>本项目员工生活污水排放量为</w:t>
            </w:r>
            <w:r>
              <w:rPr>
                <w:bCs/>
              </w:rPr>
              <w:t>3.36</w:t>
            </w:r>
            <w:r>
              <w:rPr>
                <w:rFonts w:hint="eastAsia"/>
                <w:bCs/>
              </w:rPr>
              <w:t>m</w:t>
            </w:r>
            <w:r>
              <w:rPr>
                <w:rFonts w:hint="eastAsia"/>
                <w:bCs/>
                <w:vertAlign w:val="superscript"/>
              </w:rPr>
              <w:t>3</w:t>
            </w:r>
            <w:r>
              <w:rPr>
                <w:rFonts w:hint="eastAsia"/>
                <w:bCs/>
              </w:rPr>
              <w:t>/d</w:t>
            </w:r>
            <w:r>
              <w:rPr>
                <w:rFonts w:hint="eastAsia"/>
                <w:szCs w:val="24"/>
              </w:rPr>
              <w:t>。根据初步设计报告，本项目工业广场内综合楼、职工宿舍、计量间分别设置一个化粪池，化粪池容积分别为1</w:t>
            </w:r>
            <w:r>
              <w:rPr>
                <w:szCs w:val="24"/>
              </w:rPr>
              <w:t>0</w:t>
            </w:r>
            <w:r>
              <w:rPr>
                <w:rFonts w:hint="eastAsia"/>
                <w:szCs w:val="24"/>
              </w:rPr>
              <w:t>m</w:t>
            </w:r>
            <w:r>
              <w:rPr>
                <w:szCs w:val="24"/>
                <w:vertAlign w:val="superscript"/>
              </w:rPr>
              <w:t>3</w:t>
            </w:r>
            <w:r>
              <w:rPr>
                <w:rFonts w:hint="eastAsia"/>
                <w:szCs w:val="24"/>
              </w:rPr>
              <w:t>、1</w:t>
            </w:r>
            <w:r>
              <w:rPr>
                <w:szCs w:val="24"/>
              </w:rPr>
              <w:t>0</w:t>
            </w:r>
            <w:r>
              <w:rPr>
                <w:rFonts w:hint="eastAsia"/>
                <w:szCs w:val="24"/>
              </w:rPr>
              <w:t>m</w:t>
            </w:r>
            <w:r>
              <w:rPr>
                <w:szCs w:val="24"/>
                <w:vertAlign w:val="superscript"/>
              </w:rPr>
              <w:t>3</w:t>
            </w:r>
            <w:r>
              <w:rPr>
                <w:rFonts w:hint="eastAsia"/>
                <w:szCs w:val="24"/>
              </w:rPr>
              <w:t>、1m</w:t>
            </w:r>
            <w:r>
              <w:rPr>
                <w:szCs w:val="24"/>
                <w:vertAlign w:val="superscript"/>
              </w:rPr>
              <w:t>3</w:t>
            </w:r>
            <w:r>
              <w:rPr>
                <w:rFonts w:hint="eastAsia"/>
                <w:szCs w:val="24"/>
              </w:rPr>
              <w:t>（总容积2</w:t>
            </w:r>
            <w:r>
              <w:rPr>
                <w:szCs w:val="24"/>
              </w:rPr>
              <w:t>1</w:t>
            </w:r>
            <w:r>
              <w:rPr>
                <w:rFonts w:hint="eastAsia"/>
                <w:szCs w:val="24"/>
              </w:rPr>
              <w:t>m</w:t>
            </w:r>
            <w:r>
              <w:rPr>
                <w:szCs w:val="24"/>
                <w:vertAlign w:val="superscript"/>
              </w:rPr>
              <w:t>3</w:t>
            </w:r>
            <w:r>
              <w:rPr>
                <w:rFonts w:hint="eastAsia"/>
                <w:szCs w:val="24"/>
              </w:rPr>
              <w:t>）</w:t>
            </w:r>
            <w:r>
              <w:rPr>
                <w:rFonts w:cs="Times New Roman"/>
                <w:szCs w:val="24"/>
              </w:rPr>
              <w:t>，生活污水3.36m</w:t>
            </w:r>
            <w:r>
              <w:rPr>
                <w:rFonts w:cs="Times New Roman"/>
                <w:szCs w:val="24"/>
                <w:vertAlign w:val="superscript"/>
              </w:rPr>
              <w:t>3</w:t>
            </w:r>
            <w:r>
              <w:rPr>
                <w:rFonts w:cs="Times New Roman"/>
                <w:szCs w:val="24"/>
              </w:rPr>
              <w:t>&lt;化粪池21m</w:t>
            </w:r>
            <w:r>
              <w:rPr>
                <w:rFonts w:cs="Times New Roman"/>
                <w:szCs w:val="24"/>
                <w:vertAlign w:val="superscript"/>
              </w:rPr>
              <w:t>3</w:t>
            </w:r>
            <w:r>
              <w:rPr>
                <w:rFonts w:cs="Times New Roman"/>
                <w:szCs w:val="24"/>
              </w:rPr>
              <w:t>，</w:t>
            </w:r>
            <w:r>
              <w:rPr>
                <w:rFonts w:hint="eastAsia"/>
                <w:szCs w:val="24"/>
              </w:rPr>
              <w:t>可完全接纳本项目生活污水，能贮存约</w:t>
            </w:r>
            <w:r>
              <w:rPr>
                <w:szCs w:val="24"/>
              </w:rPr>
              <w:t>6</w:t>
            </w:r>
            <w:r>
              <w:rPr>
                <w:rFonts w:hint="eastAsia"/>
                <w:szCs w:val="24"/>
              </w:rPr>
              <w:t>天。生活污水经化粪池处理后用于周边施肥，可实现生活污水资源化，因此，排入化粪池处理措施是可行的。生活污水主要污染物为COD、BOD</w:t>
            </w:r>
            <w:r>
              <w:rPr>
                <w:rFonts w:hint="eastAsia"/>
                <w:szCs w:val="24"/>
                <w:vertAlign w:val="subscript"/>
              </w:rPr>
              <w:t>5</w:t>
            </w:r>
            <w:r>
              <w:rPr>
                <w:rFonts w:hint="eastAsia"/>
                <w:szCs w:val="24"/>
              </w:rPr>
              <w:t>、SS、NH</w:t>
            </w:r>
            <w:r>
              <w:rPr>
                <w:rFonts w:hint="eastAsia"/>
                <w:szCs w:val="24"/>
                <w:vertAlign w:val="subscript"/>
              </w:rPr>
              <w:t>3</w:t>
            </w:r>
            <w:r>
              <w:rPr>
                <w:rFonts w:hint="eastAsia"/>
                <w:szCs w:val="24"/>
              </w:rPr>
              <w:t>-N等。项目四周林地围绕，植被覆盖率好，林地面积约</w:t>
            </w:r>
            <w:r>
              <w:rPr>
                <w:szCs w:val="24"/>
              </w:rPr>
              <w:t>10</w:t>
            </w:r>
            <w:r>
              <w:rPr>
                <w:rFonts w:hint="eastAsia"/>
                <w:szCs w:val="24"/>
              </w:rPr>
              <w:t>亩，可完全消化本项目生活污水。因此，本项目生活污水经处理后用于周边施肥措施可行。</w:t>
            </w:r>
          </w:p>
          <w:p>
            <w:pPr>
              <w:pStyle w:val="57"/>
              <w:ind w:firstLine="480"/>
              <w:rPr>
                <w:szCs w:val="24"/>
              </w:rPr>
            </w:pPr>
            <w:r>
              <w:rPr>
                <w:rFonts w:hint="eastAsia"/>
                <w:szCs w:val="24"/>
              </w:rPr>
              <w:t>（2）洗砂废水</w:t>
            </w:r>
          </w:p>
          <w:p>
            <w:pPr>
              <w:pStyle w:val="57"/>
              <w:ind w:firstLine="480"/>
              <w:rPr>
                <w:color w:val="000000"/>
                <w:u w:val="single"/>
              </w:rPr>
            </w:pPr>
            <w:r>
              <w:rPr>
                <w:rFonts w:hint="eastAsia"/>
                <w:szCs w:val="24"/>
                <w:u w:val="single"/>
              </w:rPr>
              <w:t>本项目</w:t>
            </w:r>
            <w:r>
              <w:rPr>
                <w:rFonts w:hint="eastAsia"/>
                <w:u w:val="single"/>
              </w:rPr>
              <w:t>运营期</w:t>
            </w:r>
            <w:r>
              <w:rPr>
                <w:rFonts w:hint="eastAsia"/>
                <w:szCs w:val="24"/>
                <w:u w:val="single"/>
              </w:rPr>
              <w:t>洗砂废水产生量为1329.66</w:t>
            </w:r>
            <w:r>
              <w:rPr>
                <w:rFonts w:hint="eastAsia"/>
                <w:color w:val="000000"/>
                <w:u w:val="single"/>
              </w:rPr>
              <w:t>m</w:t>
            </w:r>
            <w:r>
              <w:rPr>
                <w:color w:val="000000"/>
                <w:u w:val="single"/>
                <w:vertAlign w:val="superscript"/>
              </w:rPr>
              <w:t>3</w:t>
            </w:r>
            <w:r>
              <w:rPr>
                <w:color w:val="000000"/>
                <w:u w:val="single"/>
              </w:rPr>
              <w:t>/</w:t>
            </w:r>
            <w:r>
              <w:rPr>
                <w:rFonts w:hint="eastAsia"/>
                <w:color w:val="000000"/>
                <w:u w:val="single"/>
              </w:rPr>
              <w:t>d，根据初步设计报告，工业场区拟设置2台1</w:t>
            </w:r>
            <w:r>
              <w:rPr>
                <w:color w:val="000000"/>
                <w:u w:val="single"/>
              </w:rPr>
              <w:t>000</w:t>
            </w:r>
            <w:r>
              <w:rPr>
                <w:rFonts w:hint="eastAsia"/>
                <w:u w:val="single"/>
              </w:rPr>
              <w:t>m</w:t>
            </w:r>
            <w:r>
              <w:rPr>
                <w:rFonts w:hint="eastAsia"/>
                <w:u w:val="single"/>
                <w:vertAlign w:val="superscript"/>
              </w:rPr>
              <w:t>3</w:t>
            </w:r>
            <w:r>
              <w:rPr>
                <w:rFonts w:hint="eastAsia"/>
                <w:u w:val="single"/>
              </w:rPr>
              <w:t>浓缩罐和1台930m</w:t>
            </w:r>
            <w:r>
              <w:rPr>
                <w:rFonts w:hint="eastAsia"/>
                <w:u w:val="single"/>
                <w:vertAlign w:val="superscript"/>
              </w:rPr>
              <w:t>3</w:t>
            </w:r>
            <w:r>
              <w:rPr>
                <w:rFonts w:hint="eastAsia"/>
                <w:u w:val="single"/>
              </w:rPr>
              <w:t>清水罐及1处1000m</w:t>
            </w:r>
            <w:r>
              <w:rPr>
                <w:rFonts w:hint="eastAsia"/>
                <w:u w:val="single"/>
                <w:vertAlign w:val="superscript"/>
              </w:rPr>
              <w:t>3</w:t>
            </w:r>
            <w:r>
              <w:rPr>
                <w:rFonts w:hint="eastAsia"/>
                <w:u w:val="single"/>
              </w:rPr>
              <w:t>二级沉淀回用水池用于处理洗砂废水；浓缩罐拟采用气浮浓缩法进行，气浮浓缩是使溶于水中的气体以微气泡的形式释放出来，并能迅速又均匀的附着于污泥固体颗粒上，使固体颗粒的密度小于水而产生上浮，从而达到固体颗粒与水分离的方法。该方法泥水分离效果好，所需土地面积少，臭气产生较小，可使</w:t>
            </w:r>
            <w:r>
              <w:rPr>
                <w:rFonts w:hint="eastAsia"/>
                <w:color w:val="000000"/>
                <w:u w:val="single"/>
              </w:rPr>
              <w:t>砂砾不混于浓缩污泥中，产生的污泥后暂存于场外污泥暂存池内（污泥暂存池位于生产加工车间北侧，地面需进行硬化防渗处理三面进行围档，设围堰或截留沟等截水设施，防止污泥渗漏及雨天地表径流冲刷；建议容积设至少600m</w:t>
            </w:r>
            <w:r>
              <w:rPr>
                <w:rFonts w:hint="eastAsia"/>
                <w:color w:val="000000"/>
                <w:u w:val="single"/>
                <w:vertAlign w:val="superscript"/>
              </w:rPr>
              <w:t>3</w:t>
            </w:r>
            <w:r>
              <w:rPr>
                <w:rFonts w:hint="eastAsia"/>
                <w:color w:val="000000"/>
                <w:u w:val="single"/>
              </w:rPr>
              <w:t>，按照污泥含水率为30%计，在场内能暂存约2天）。</w:t>
            </w:r>
          </w:p>
          <w:p>
            <w:pPr>
              <w:pStyle w:val="57"/>
              <w:ind w:firstLine="480"/>
              <w:rPr>
                <w:u w:val="single"/>
              </w:rPr>
            </w:pPr>
            <w:r>
              <w:rPr>
                <w:rFonts w:hint="eastAsia"/>
                <w:u w:val="single"/>
              </w:rPr>
              <w:t>本项目洗砂废水</w:t>
            </w:r>
            <w:r>
              <w:rPr>
                <w:rFonts w:hint="eastAsia"/>
                <w:color w:val="000000"/>
                <w:u w:val="single"/>
              </w:rPr>
              <w:t>主要污染物为SS，经废水设备处理后回用于洗砂工序，不外排，该处理措施可行。</w:t>
            </w:r>
          </w:p>
          <w:p>
            <w:pPr>
              <w:pStyle w:val="57"/>
              <w:ind w:firstLine="480"/>
            </w:pPr>
            <w:r>
              <w:rPr>
                <w:rFonts w:hint="eastAsia"/>
                <w:color w:val="000000"/>
              </w:rPr>
              <w:t>（3）</w:t>
            </w:r>
            <w:r>
              <w:rPr>
                <w:rFonts w:hint="eastAsia"/>
              </w:rPr>
              <w:t>车辆冲洗废水</w:t>
            </w:r>
          </w:p>
          <w:p>
            <w:pPr>
              <w:pStyle w:val="57"/>
              <w:ind w:firstLine="480"/>
              <w:rPr>
                <w:color w:val="000000"/>
                <w:u w:val="single"/>
              </w:rPr>
            </w:pPr>
            <w:r>
              <w:rPr>
                <w:rFonts w:hint="eastAsia"/>
                <w:u w:val="single"/>
              </w:rPr>
              <w:t>本项目车辆冲洗废水产生量约为</w:t>
            </w:r>
            <w:r>
              <w:rPr>
                <w:u w:val="single"/>
              </w:rPr>
              <w:t>2.7m</w:t>
            </w:r>
            <w:r>
              <w:rPr>
                <w:u w:val="single"/>
                <w:vertAlign w:val="superscript"/>
              </w:rPr>
              <w:t>3</w:t>
            </w:r>
            <w:r>
              <w:rPr>
                <w:u w:val="single"/>
              </w:rPr>
              <w:t>/d</w:t>
            </w:r>
            <w:r>
              <w:rPr>
                <w:rFonts w:hint="eastAsia"/>
                <w:color w:val="000000"/>
                <w:u w:val="single"/>
              </w:rPr>
              <w:t>，车辆冲洗拟设置废水三级沉淀池约10m</w:t>
            </w:r>
            <w:r>
              <w:rPr>
                <w:color w:val="000000"/>
                <w:u w:val="single"/>
                <w:vertAlign w:val="superscript"/>
              </w:rPr>
              <w:t>3</w:t>
            </w:r>
            <w:r>
              <w:rPr>
                <w:rFonts w:hint="eastAsia"/>
                <w:color w:val="000000"/>
                <w:u w:val="single"/>
              </w:rPr>
              <w:t>，可容纳每日洗车废水，洗车用水水质要求不高，主要污染物为SS，冲洗</w:t>
            </w:r>
            <w:r>
              <w:rPr>
                <w:rFonts w:hint="eastAsia"/>
                <w:u w:val="single"/>
              </w:rPr>
              <w:t>废水经过沉淀处理后回用于车辆冲洗，不排放，该处理措施可行。</w:t>
            </w:r>
          </w:p>
          <w:p>
            <w:pPr>
              <w:spacing w:line="360" w:lineRule="auto"/>
              <w:ind w:firstLine="480"/>
            </w:pPr>
            <w:r>
              <w:rPr>
                <w:rFonts w:hint="eastAsia"/>
              </w:rPr>
              <w:t>（</w:t>
            </w:r>
            <w:r>
              <w:t>4</w:t>
            </w:r>
            <w:r>
              <w:rPr>
                <w:rFonts w:hint="eastAsia"/>
              </w:rPr>
              <w:t>）初期雨水</w:t>
            </w:r>
          </w:p>
          <w:p>
            <w:pPr>
              <w:spacing w:line="360" w:lineRule="auto"/>
              <w:ind w:firstLine="480"/>
            </w:pPr>
            <w:r>
              <w:rPr>
                <w:rFonts w:hint="eastAsia"/>
                <w:u w:val="single"/>
              </w:rPr>
              <w:t>矿区初期雨水经区域内设置的截排水沟收集于临时沉砂池中，经沉淀后回用于矿区用水。项目矿区无外来污染源，矿石不含重金属、放射性物质等，初期雨水主要污染物是</w:t>
            </w:r>
            <w:r>
              <w:rPr>
                <w:u w:val="single"/>
              </w:rPr>
              <w:t>SS</w:t>
            </w:r>
            <w:r>
              <w:rPr>
                <w:rFonts w:hint="eastAsia"/>
                <w:u w:val="single"/>
              </w:rPr>
              <w:t>。项目拟在矿区边界处设置约2544m排水沟及6处沉砂池，修建的沉砂池均位于地势较低的地方，雨水能通过重力自流至池体；建议每处沉砂池容积至少为80m</w:t>
            </w:r>
            <w:r>
              <w:rPr>
                <w:rFonts w:hint="eastAsia"/>
                <w:u w:val="single"/>
                <w:vertAlign w:val="superscript"/>
              </w:rPr>
              <w:t>3</w:t>
            </w:r>
            <w:r>
              <w:rPr>
                <w:rFonts w:hint="eastAsia"/>
                <w:u w:val="single"/>
              </w:rPr>
              <w:t>，能够容纳产生的初期雨水，不会外排影响周围环境。</w:t>
            </w:r>
            <w:r>
              <w:rPr>
                <w:rFonts w:hint="eastAsia"/>
              </w:rPr>
              <w:t>项目地面降尘对水质要求不高，因此初期雨水经沉淀后可以用于地面降尘。因此本项目的初期雨水治理措施具有可行性。</w:t>
            </w:r>
          </w:p>
          <w:p>
            <w:pPr>
              <w:spacing w:line="360" w:lineRule="auto"/>
              <w:ind w:firstLine="0" w:firstLineChars="0"/>
              <w:rPr>
                <w:b/>
              </w:rPr>
            </w:pPr>
            <w:r>
              <w:rPr>
                <w:b/>
              </w:rPr>
              <w:t>2.2</w:t>
            </w:r>
            <w:r>
              <w:rPr>
                <w:rFonts w:hint="eastAsia"/>
                <w:b/>
              </w:rPr>
              <w:t>地表水环境保护措施经济可行性论证</w:t>
            </w:r>
          </w:p>
          <w:p>
            <w:pPr>
              <w:spacing w:line="360" w:lineRule="auto"/>
              <w:ind w:firstLine="480"/>
            </w:pPr>
            <w:r>
              <w:rPr>
                <w:rFonts w:hint="eastAsia"/>
              </w:rPr>
              <w:t>沉砂池是去除水中悬浮物的一种构筑物，具有沉淀效果稳定，处理可靠，操作简便，维修工作量小等特点。同时该法不需添加任何药剂，需设专人管，定期将淤泥清走。沉砂池成本相对较低，投资很小，属于较合理范围，因此废水治理措施基建在经济上是可行的。</w:t>
            </w:r>
          </w:p>
          <w:p>
            <w:pPr>
              <w:spacing w:line="360" w:lineRule="auto"/>
              <w:ind w:firstLine="480"/>
              <w:rPr>
                <w:u w:val="single"/>
              </w:rPr>
            </w:pPr>
            <w:r>
              <w:rPr>
                <w:rFonts w:hint="eastAsia"/>
                <w:u w:val="single"/>
              </w:rPr>
              <w:t>本项目均采用物理沉降的方式，生产废水中主要污染物为SS，是比重较大的颗粒，可以采用自然沉降的方式。且厂区抑尘及加工洗砂对水质要求不高，不仅能减少项目的新鲜水用量，而且可以降低对外环境地表水体的影响。因此，本项目收集的废水、初期雨水经沉淀后回用技术上是可行的。</w:t>
            </w:r>
          </w:p>
          <w:p>
            <w:pPr>
              <w:spacing w:line="360" w:lineRule="auto"/>
              <w:ind w:firstLine="0" w:firstLineChars="0"/>
              <w:rPr>
                <w:b/>
                <w:sz w:val="28"/>
              </w:rPr>
            </w:pPr>
            <w:r>
              <w:rPr>
                <w:rFonts w:hint="eastAsia"/>
                <w:b/>
                <w:sz w:val="28"/>
              </w:rPr>
              <w:t>3、声环境保护措施</w:t>
            </w:r>
          </w:p>
          <w:p>
            <w:pPr>
              <w:spacing w:line="360" w:lineRule="auto"/>
              <w:ind w:firstLine="0" w:firstLineChars="0"/>
              <w:rPr>
                <w:b/>
              </w:rPr>
            </w:pPr>
            <w:r>
              <w:rPr>
                <w:rFonts w:hint="eastAsia"/>
                <w:b/>
              </w:rPr>
              <w:t>3</w:t>
            </w:r>
            <w:r>
              <w:rPr>
                <w:b/>
              </w:rPr>
              <w:t>.1</w:t>
            </w:r>
            <w:r>
              <w:rPr>
                <w:rFonts w:hint="eastAsia"/>
                <w:b/>
              </w:rPr>
              <w:t>声环境保护措施技术可行性分析</w:t>
            </w:r>
          </w:p>
          <w:p>
            <w:pPr>
              <w:spacing w:line="360" w:lineRule="auto"/>
              <w:ind w:firstLine="480"/>
            </w:pPr>
            <w:r>
              <w:rPr>
                <w:rFonts w:hint="eastAsia"/>
              </w:rPr>
              <w:t>（1）开采噪声防治措施</w:t>
            </w:r>
          </w:p>
          <w:p>
            <w:pPr>
              <w:spacing w:line="360" w:lineRule="auto"/>
              <w:ind w:firstLine="480"/>
            </w:pPr>
            <w:r>
              <w:rPr>
                <w:rFonts w:hint="eastAsia"/>
                <w:u w:val="single"/>
              </w:rPr>
              <w:t>矿山开采过程中铲装、装卸、运输等环节都将产生不同程度的噪声。高噪声设备主要为挖掘机、自卸车等。对于采矿现场，高噪声设备在作业时尽量布置在有天然屏障（土坡、山丘）的地方，或者利用其他隔声材料和隔声结构来阻挡噪声的传播；开采保持湿式作业，并定期对机械设备进行维修及保养，以保证设备的正常运转，避免不正常的设备噪声产生</w:t>
            </w:r>
            <w:r>
              <w:rPr>
                <w:rFonts w:hint="eastAsia"/>
              </w:rPr>
              <w:t>。</w:t>
            </w:r>
          </w:p>
          <w:p>
            <w:pPr>
              <w:spacing w:line="360" w:lineRule="auto"/>
              <w:ind w:firstLine="480"/>
            </w:pPr>
            <w:r>
              <w:rPr>
                <w:rFonts w:hint="eastAsia"/>
              </w:rPr>
              <w:t>（2）运输噪声防治措施</w:t>
            </w:r>
          </w:p>
          <w:p>
            <w:pPr>
              <w:spacing w:line="360" w:lineRule="auto"/>
              <w:ind w:firstLine="480"/>
            </w:pPr>
            <w:r>
              <w:rPr>
                <w:rFonts w:hint="eastAsia"/>
              </w:rPr>
              <w:t>本项目公路汽车开拓及移动式皮带运输，公路运输时要求司机少按喇叭，控制车速、严禁鸣号，严禁超载超速，禁止在午休时间和晚上运输，矿山应定期维护维修外运路面，减少对路面的损坏，道路两侧加强绿化，注重乔、灌、草的结合，进一步减少其对道路周边环境的影响。</w:t>
            </w:r>
          </w:p>
          <w:p>
            <w:pPr>
              <w:spacing w:line="360" w:lineRule="auto"/>
              <w:ind w:firstLine="480"/>
            </w:pPr>
            <w:r>
              <w:rPr>
                <w:rFonts w:hint="eastAsia"/>
              </w:rPr>
              <w:t>（3）生产加工防治措施</w:t>
            </w:r>
          </w:p>
          <w:p>
            <w:pPr>
              <w:spacing w:line="360" w:lineRule="auto"/>
              <w:ind w:firstLine="480"/>
              <w:rPr>
                <w:u w:val="single"/>
              </w:rPr>
            </w:pPr>
            <w:r>
              <w:rPr>
                <w:rFonts w:hint="eastAsia"/>
                <w:u w:val="single"/>
              </w:rPr>
              <w:t>本项目工业广场生产加工噪声的措施主要有：选用低噪声设备或自带消音设施的设备，同时采取设备基础减振（如增设减振垫等）；合理布局，对高噪声设备，在布置上尽量远离生活区及居民区；运行设备应做到勤检修、多维护，保持设备在最佳工况下运行；同时加强工业场区绿化，以减少噪声对周边环境的影响。</w:t>
            </w:r>
          </w:p>
          <w:p>
            <w:pPr>
              <w:spacing w:line="360" w:lineRule="auto"/>
              <w:ind w:firstLine="480"/>
            </w:pPr>
            <w:r>
              <w:rPr>
                <w:rFonts w:hint="eastAsia"/>
              </w:rPr>
              <w:t>在采取相应措施后，再经过传播距离衰减，可以实现噪声在厂（矿）界达标排放，使项目对敏感点噪声控制到可接受程度，不会对区域声环境质量产生明显影响。</w:t>
            </w:r>
          </w:p>
          <w:p>
            <w:pPr>
              <w:spacing w:line="360" w:lineRule="auto"/>
              <w:ind w:firstLine="0" w:firstLineChars="0"/>
              <w:rPr>
                <w:b/>
              </w:rPr>
            </w:pPr>
            <w:r>
              <w:rPr>
                <w:rFonts w:hint="eastAsia"/>
                <w:b/>
              </w:rPr>
              <w:t>3</w:t>
            </w:r>
            <w:r>
              <w:rPr>
                <w:b/>
              </w:rPr>
              <w:t>.2</w:t>
            </w:r>
            <w:r>
              <w:rPr>
                <w:rFonts w:hint="eastAsia"/>
                <w:b/>
              </w:rPr>
              <w:t>声环境保护措施经济可行性分析</w:t>
            </w:r>
          </w:p>
          <w:p>
            <w:pPr>
              <w:spacing w:line="360" w:lineRule="auto"/>
              <w:ind w:firstLine="480"/>
            </w:pPr>
            <w:r>
              <w:rPr>
                <w:rFonts w:hint="eastAsia"/>
              </w:rPr>
              <w:t>本项目噪声污染治理措施投资较小，在建设单位可承受范围内，此外采用上述治理措施后可有效治理噪声污染，降低对周围声环境质量的影响，产生较好的社会效益。因此本项目噪声治理措施在经济上是可行的。</w:t>
            </w:r>
          </w:p>
          <w:p>
            <w:pPr>
              <w:spacing w:line="360" w:lineRule="auto"/>
              <w:ind w:firstLine="0" w:firstLineChars="0"/>
              <w:rPr>
                <w:b/>
                <w:sz w:val="28"/>
              </w:rPr>
            </w:pPr>
            <w:r>
              <w:rPr>
                <w:rFonts w:hint="eastAsia"/>
                <w:b/>
                <w:sz w:val="28"/>
              </w:rPr>
              <w:t>4、固体废物防治措施</w:t>
            </w:r>
          </w:p>
          <w:p>
            <w:pPr>
              <w:spacing w:line="360" w:lineRule="auto"/>
              <w:ind w:firstLine="0" w:firstLineChars="0"/>
              <w:rPr>
                <w:b/>
              </w:rPr>
            </w:pPr>
            <w:r>
              <w:rPr>
                <w:b/>
              </w:rPr>
              <w:t>4.1</w:t>
            </w:r>
            <w:r>
              <w:rPr>
                <w:rFonts w:hint="eastAsia"/>
                <w:b/>
              </w:rPr>
              <w:t>固废治理措施技术可行性分析</w:t>
            </w:r>
          </w:p>
          <w:p>
            <w:pPr>
              <w:spacing w:line="360" w:lineRule="auto"/>
              <w:ind w:firstLine="480"/>
            </w:pPr>
            <w:r>
              <w:rPr>
                <w:rFonts w:hint="eastAsia"/>
              </w:rPr>
              <w:t>项目固废主要为员工生活垃圾、剥离表土、尾泥（污泥）、废含油抹布和手套、废润滑油、废油桶。</w:t>
            </w:r>
          </w:p>
          <w:p>
            <w:pPr>
              <w:spacing w:line="360" w:lineRule="auto"/>
              <w:ind w:firstLine="480"/>
            </w:pPr>
            <w:r>
              <w:rPr>
                <w:rFonts w:hint="eastAsia"/>
              </w:rPr>
              <w:t>员工生活垃圾经垃圾桶收集后交由环卫部门统一清运处理。</w:t>
            </w:r>
          </w:p>
          <w:p>
            <w:pPr>
              <w:spacing w:line="360" w:lineRule="auto"/>
              <w:ind w:firstLine="480"/>
            </w:pPr>
            <w:r>
              <w:rPr>
                <w:rFonts w:hint="eastAsia"/>
              </w:rPr>
              <w:t>剥离表土暂存于表土临时堆置场用于矿区复垦复绿。</w:t>
            </w:r>
          </w:p>
          <w:p>
            <w:pPr>
              <w:spacing w:line="360" w:lineRule="auto"/>
              <w:ind w:firstLine="480"/>
            </w:pPr>
            <w:r>
              <w:rPr>
                <w:rFonts w:hint="eastAsia"/>
              </w:rPr>
              <w:t>沉砂池沉渣收集后暂存于泥饼池</w:t>
            </w:r>
            <w:r>
              <w:rPr>
                <w:rFonts w:hint="eastAsia"/>
                <w:szCs w:val="21"/>
              </w:rPr>
              <w:t>后外运用于湘阴县高新区建设用填方。</w:t>
            </w:r>
          </w:p>
          <w:p>
            <w:pPr>
              <w:spacing w:line="360" w:lineRule="auto"/>
              <w:ind w:firstLine="480"/>
            </w:pPr>
            <w:r>
              <w:rPr>
                <w:rFonts w:hint="eastAsia"/>
              </w:rPr>
              <w:t>废含油抹布和手套、废润滑油、废油桶分类暂存于危险废物暂存间，交由有资质单位处置。</w:t>
            </w:r>
          </w:p>
          <w:p>
            <w:pPr>
              <w:spacing w:line="360" w:lineRule="auto"/>
              <w:ind w:firstLine="480"/>
            </w:pPr>
            <w:r>
              <w:rPr>
                <w:rFonts w:hint="eastAsia"/>
              </w:rPr>
              <w:t>以上固废均得到有效处理，措施可行。</w:t>
            </w:r>
          </w:p>
          <w:p>
            <w:pPr>
              <w:spacing w:line="360" w:lineRule="auto"/>
              <w:ind w:firstLine="0" w:firstLineChars="0"/>
              <w:rPr>
                <w:b/>
              </w:rPr>
            </w:pPr>
            <w:r>
              <w:rPr>
                <w:rFonts w:hint="eastAsia"/>
                <w:b/>
              </w:rPr>
              <w:t>4</w:t>
            </w:r>
            <w:r>
              <w:rPr>
                <w:b/>
              </w:rPr>
              <w:t>.2</w:t>
            </w:r>
            <w:r>
              <w:rPr>
                <w:rFonts w:hint="eastAsia"/>
                <w:b/>
              </w:rPr>
              <w:t>危废暂存间设置要求</w:t>
            </w:r>
          </w:p>
          <w:p>
            <w:pPr>
              <w:spacing w:line="360" w:lineRule="auto"/>
              <w:ind w:firstLine="480"/>
            </w:pPr>
            <w:r>
              <w:rPr>
                <w:rFonts w:hint="eastAsia"/>
              </w:rPr>
              <w:t>本项目所产生并需暂存于危险废物暂存间的危险废物产生量为0.52t/a，固废综合密度按1t/m</w:t>
            </w:r>
            <w:r>
              <w:rPr>
                <w:rFonts w:hint="eastAsia"/>
                <w:vertAlign w:val="superscript"/>
              </w:rPr>
              <w:t>3</w:t>
            </w:r>
            <w:r>
              <w:rPr>
                <w:rFonts w:hint="eastAsia"/>
              </w:rPr>
              <w:t>计，则暂存一年所需容积约0.52m</w:t>
            </w:r>
            <w:r>
              <w:rPr>
                <w:rFonts w:hint="eastAsia"/>
                <w:vertAlign w:val="superscript"/>
              </w:rPr>
              <w:t>3</w:t>
            </w:r>
            <w:r>
              <w:rPr>
                <w:rFonts w:hint="eastAsia"/>
              </w:rPr>
              <w:t>。危险废物暂存间占地面积2m</w:t>
            </w:r>
            <w:r>
              <w:rPr>
                <w:rFonts w:hint="eastAsia"/>
                <w:vertAlign w:val="superscript"/>
              </w:rPr>
              <w:t>2</w:t>
            </w:r>
            <w:r>
              <w:rPr>
                <w:rFonts w:hint="eastAsia"/>
              </w:rPr>
              <w:t>，有效高度2m，则有效容积为4m</w:t>
            </w:r>
            <w:r>
              <w:rPr>
                <w:rFonts w:hint="eastAsia"/>
                <w:vertAlign w:val="superscript"/>
              </w:rPr>
              <w:t>3</w:t>
            </w:r>
            <w:r>
              <w:rPr>
                <w:rFonts w:hint="eastAsia"/>
              </w:rPr>
              <w:t>，可满足储存要求。因此，本项目危险废物暂存间设置可行。</w:t>
            </w:r>
          </w:p>
          <w:p>
            <w:pPr>
              <w:spacing w:line="360" w:lineRule="auto"/>
              <w:ind w:firstLine="480"/>
              <w:rPr>
                <w:snapToGrid/>
              </w:rPr>
            </w:pPr>
            <w:r>
              <w:rPr>
                <w:rFonts w:hint="eastAsia"/>
              </w:rPr>
              <w:t>（1）贮存仓库设置要求</w:t>
            </w:r>
          </w:p>
          <w:p>
            <w:pPr>
              <w:spacing w:line="360" w:lineRule="auto"/>
              <w:ind w:firstLine="480"/>
            </w:pPr>
            <w:r>
              <w:rPr>
                <w:rFonts w:hint="eastAsia"/>
              </w:rPr>
              <w:t>危险废物仓库建设应满足《危险废物贮存污染控制标准》（</w:t>
            </w:r>
            <w:r>
              <w:t>GB18597-2</w:t>
            </w:r>
            <w:r>
              <w:rPr>
                <w:rFonts w:hint="eastAsia"/>
              </w:rPr>
              <w:t>023）相关要求，主要包括：</w:t>
            </w:r>
          </w:p>
          <w:p>
            <w:pPr>
              <w:spacing w:line="360" w:lineRule="auto"/>
              <w:ind w:firstLine="480"/>
            </w:pPr>
            <w:r>
              <w:rPr>
                <w:rFonts w:hint="eastAsia"/>
              </w:rPr>
              <w:t>①危险废物采用合适的相容容器存放；针对不同类别、形态、物理化学性质的危险废物，其容器和包装物应满足相应的防渗、防漏、防腐和强度等要求。</w:t>
            </w:r>
          </w:p>
          <w:p>
            <w:pPr>
              <w:spacing w:line="360" w:lineRule="auto"/>
              <w:ind w:firstLine="480"/>
            </w:pPr>
            <w:r>
              <w:rPr>
                <w:rFonts w:hint="eastAsia"/>
              </w:rPr>
              <w:t>②危险废物贮存场所的基础必须防渗，铺设的防渗层防渗性能不得低于</w:t>
            </w:r>
            <w:r>
              <w:t>1m</w:t>
            </w:r>
            <w:r>
              <w:rPr>
                <w:rFonts w:hint="eastAsia"/>
              </w:rPr>
              <w:t>厚、渗透系数≤</w:t>
            </w:r>
            <w:r>
              <w:t>10</w:t>
            </w:r>
            <w:r>
              <w:rPr>
                <w:vertAlign w:val="superscript"/>
              </w:rPr>
              <w:t>-7</w:t>
            </w:r>
            <w:r>
              <w:t>cm/s</w:t>
            </w:r>
            <w:r>
              <w:rPr>
                <w:rFonts w:hint="eastAsia"/>
              </w:rPr>
              <w:t>粘土层的防渗性能，或</w:t>
            </w:r>
            <w:r>
              <w:t>2mm</w:t>
            </w:r>
            <w:r>
              <w:rPr>
                <w:rFonts w:hint="eastAsia"/>
              </w:rPr>
              <w:t>厚高密度聚乙烯，或至少</w:t>
            </w:r>
            <w:r>
              <w:t>2mm</w:t>
            </w:r>
            <w:r>
              <w:rPr>
                <w:rFonts w:hint="eastAsia"/>
              </w:rPr>
              <w:t>厚的其它人工材料，渗透系数≤</w:t>
            </w:r>
            <w:r>
              <w:t>10</w:t>
            </w:r>
            <w:r>
              <w:rPr>
                <w:vertAlign w:val="superscript"/>
              </w:rPr>
              <w:t>-10</w:t>
            </w:r>
            <w:r>
              <w:t>cm/s</w:t>
            </w:r>
            <w:r>
              <w:rPr>
                <w:rFonts w:hint="eastAsia"/>
              </w:rPr>
              <w:t>。</w:t>
            </w:r>
          </w:p>
          <w:p>
            <w:pPr>
              <w:spacing w:line="360" w:lineRule="auto"/>
              <w:ind w:firstLine="480"/>
            </w:pPr>
            <w:r>
              <w:rPr>
                <w:rFonts w:hint="eastAsia"/>
              </w:rPr>
              <w:t>③贮存设施应根据危险废物的类别、数量、形态、物理化学性质和污染防治等要求设置必要的贮存分区，避免不相容的危险废物接触、混合。</w:t>
            </w:r>
          </w:p>
          <w:p>
            <w:pPr>
              <w:spacing w:line="360" w:lineRule="auto"/>
              <w:ind w:firstLine="480"/>
            </w:pPr>
            <w:r>
              <w:rPr>
                <w:rFonts w:hint="eastAsia"/>
              </w:rPr>
              <w:t>④贮存设施或贮存分区内地面、墙面裙脚、堵截泄漏的围堰、接触危险废物的隔板和墙体等应采用坚固的材料建造，表面无裂缝。</w:t>
            </w:r>
          </w:p>
          <w:p>
            <w:pPr>
              <w:spacing w:line="360" w:lineRule="auto"/>
              <w:ind w:firstLine="480"/>
            </w:pPr>
            <w:r>
              <w:rPr>
                <w:rFonts w:hint="eastAsia"/>
              </w:rPr>
              <w:t>⑤同一贮存设施宜采用相同的防渗、防腐工艺（包括防渗、防腐结构或材料），防渗、防腐材料应覆盖所有可能与废物及其渗滤液、渗漏液等接触的构筑物表面；采用不同防渗、防腐工艺应分别建设贮存分区。</w:t>
            </w:r>
          </w:p>
          <w:p>
            <w:pPr>
              <w:spacing w:line="360" w:lineRule="auto"/>
              <w:ind w:firstLine="480"/>
            </w:pPr>
            <w:r>
              <w:rPr>
                <w:rFonts w:hint="eastAsia"/>
              </w:rPr>
              <w:t>⑥贮存设施应采取技术和管理措施防止无关人员进入。</w:t>
            </w:r>
          </w:p>
          <w:p>
            <w:pPr>
              <w:spacing w:line="360" w:lineRule="auto"/>
              <w:ind w:firstLine="480"/>
            </w:pPr>
            <w:r>
              <w:rPr>
                <w:rFonts w:hint="eastAsia"/>
              </w:rPr>
              <w:t>⑦危险废物存入贮存设施前应对危险废物类别和特性与危险废物标签等危险废物识别标志的一致性进行核验，不一致的或类别、特性不明的不应存入。</w:t>
            </w:r>
          </w:p>
          <w:p>
            <w:pPr>
              <w:spacing w:line="360" w:lineRule="auto"/>
              <w:ind w:firstLine="480"/>
              <w:rPr>
                <w:rFonts w:ascii="宋体" w:hAnsi="宋体" w:cs="宋体"/>
              </w:rPr>
            </w:pPr>
            <w:r>
              <w:rPr>
                <w:rFonts w:hint="eastAsia" w:ascii="宋体" w:hAnsi="宋体" w:cs="宋体"/>
              </w:rPr>
              <w:t>⑧应定期检查危险废物的贮存状况，及时清理贮存设施地面，更换破损泄漏的危险废物贮存容器和包装物，保证堆存危险废物的防雨、防风、防扬尘等设施功能完好。</w:t>
            </w:r>
          </w:p>
          <w:p>
            <w:pPr>
              <w:spacing w:line="360" w:lineRule="auto"/>
              <w:ind w:firstLine="480"/>
              <w:rPr>
                <w:rFonts w:ascii="宋体" w:hAnsi="宋体" w:cs="宋体"/>
              </w:rPr>
            </w:pPr>
            <w:r>
              <w:rPr>
                <w:rFonts w:hint="eastAsia" w:ascii="宋体" w:hAnsi="宋体" w:cs="宋体"/>
              </w:rPr>
              <w:t>⑨贮存点应采取防风、防雨、防晒和防止危险废物流失、扬散等措施。</w:t>
            </w:r>
          </w:p>
          <w:p>
            <w:pPr>
              <w:spacing w:line="360" w:lineRule="auto"/>
              <w:ind w:firstLine="480"/>
            </w:pPr>
            <w:r>
              <w:rPr>
                <w:rFonts w:hint="eastAsia"/>
              </w:rPr>
              <w:t>（2）日常管理和台账要求</w:t>
            </w:r>
          </w:p>
          <w:p>
            <w:pPr>
              <w:spacing w:line="360" w:lineRule="auto"/>
              <w:ind w:firstLine="480"/>
            </w:pPr>
            <w:r>
              <w:rPr>
                <w:rFonts w:hint="eastAsia"/>
              </w:rPr>
              <w:t>一般工业固废交由合法、合规的单位收集处理。若本项目一般工业固废涉及跨省利用的，由本市固体废物产生单位或集中收集单位按本通知要求，在转移前通过“一网通办”向生态环境部门进行备案，经备案通过后方可转移。</w:t>
            </w:r>
          </w:p>
          <w:p>
            <w:pPr>
              <w:spacing w:line="360" w:lineRule="auto"/>
              <w:ind w:firstLine="480"/>
            </w:pPr>
            <w:r>
              <w:rPr>
                <w:rFonts w:hint="eastAsia"/>
              </w:rPr>
              <w:t>建设单位应建立严格危险废物管理体系，将危险废物委托具有危废处理资质单位处置，禁止将危险废物提供或委托给无危险废物经营许可证的单位。严格执行危废五联单转移制度等管理要求，做到：坚持减量化、资源化、无害化原则，妥善利用或处置产生的危险废物；规范危险废物贮存场所建设，根据危险废物的种类和特性进行分区、分类贮存，按照相关规范要求，设置防雨、防扬散、防渗漏等设施，最大贮存期限一般不超过一年；按照国家和本市有关要求制定危险废物年度管理计划，并进行在线申报备案；结合自身实际，建立危险废物台账，如实记载危险废物的种类、数量、性质、产生环节、流向、贮存、利用处置等信息，并在信息系统中及时申报，申报数据应与台账、管理计划数据相一致。</w:t>
            </w:r>
          </w:p>
          <w:p>
            <w:pPr>
              <w:spacing w:line="360" w:lineRule="auto"/>
              <w:ind w:firstLine="0" w:firstLineChars="0"/>
              <w:rPr>
                <w:b/>
                <w:sz w:val="28"/>
              </w:rPr>
            </w:pPr>
            <w:r>
              <w:rPr>
                <w:rFonts w:hint="eastAsia"/>
                <w:b/>
                <w:sz w:val="28"/>
              </w:rPr>
              <w:t>5、土壤环境保护措施</w:t>
            </w:r>
          </w:p>
          <w:p>
            <w:pPr>
              <w:spacing w:line="360" w:lineRule="auto"/>
              <w:ind w:firstLine="480"/>
            </w:pPr>
            <w:r>
              <w:rPr>
                <w:rFonts w:hint="eastAsia"/>
              </w:rPr>
              <w:t>本项目拟采用以下土壤质量控制和修复措施：</w:t>
            </w:r>
          </w:p>
          <w:p>
            <w:pPr>
              <w:spacing w:line="360" w:lineRule="auto"/>
              <w:ind w:firstLine="480"/>
            </w:pPr>
            <w:r>
              <w:rPr>
                <w:rFonts w:hint="eastAsia"/>
              </w:rPr>
              <w:t>（1）熟土再利用：剥离期，把表层含腐殖质熟土临时堆置，在开采结束后，利用表层熟土作为复垦的基质。</w:t>
            </w:r>
          </w:p>
          <w:p>
            <w:pPr>
              <w:spacing w:line="360" w:lineRule="auto"/>
              <w:ind w:firstLine="480"/>
            </w:pPr>
            <w:r>
              <w:rPr>
                <w:rFonts w:hint="eastAsia"/>
              </w:rPr>
              <w:t>（2）利用乡土植物调控土壤结构和理化性质，及时复垦。复垦是矿山开采后重要的一环。尽量利用乡土植物和本地土壤作为植土，及时复绿，减少水土流失和雨水淋溶。乡土植物对土壤具有很强的适应性的调节能力，利用本地土壤也保证的土壤基本元素的稳定，避免土壤酸碱化。减少水土流失和雨水淋溶可保证土壤易溶元素的稳定。</w:t>
            </w:r>
          </w:p>
          <w:p>
            <w:pPr>
              <w:spacing w:line="360" w:lineRule="auto"/>
              <w:ind w:firstLine="480"/>
            </w:pPr>
            <w:r>
              <w:rPr>
                <w:rFonts w:hint="eastAsia"/>
              </w:rPr>
              <w:t>（3）控制本矿区的采矿弃土、沉砂池沉渣等合理处置，不进入外环境，保持土壤成分稳定。</w:t>
            </w:r>
          </w:p>
          <w:p>
            <w:pPr>
              <w:spacing w:line="360" w:lineRule="auto"/>
              <w:ind w:firstLine="480"/>
            </w:pPr>
            <w:r>
              <w:rPr>
                <w:rFonts w:hint="eastAsia"/>
              </w:rPr>
              <w:t>采用上述土壤质量控制和修复措施后，项目开采前后土壤成份无较大变动，土壤酸碱性基本不变；复垦期，乡土植物可以顺利生长并繁衍后代；开采后对区域土壤环境影响很小。采用植物和工程措施后，土壤结构和性质可以短时间内恢复，不会造成土壤贫瘠化问题，对土壤结构和性质的影响较小，是可以接受的。</w:t>
            </w:r>
          </w:p>
          <w:p>
            <w:pPr>
              <w:spacing w:line="360" w:lineRule="auto"/>
              <w:ind w:firstLine="0" w:firstLineChars="0"/>
              <w:rPr>
                <w:b/>
                <w:sz w:val="28"/>
              </w:rPr>
            </w:pPr>
            <w:r>
              <w:rPr>
                <w:b/>
                <w:sz w:val="28"/>
              </w:rPr>
              <w:t>6</w:t>
            </w:r>
            <w:r>
              <w:rPr>
                <w:rFonts w:hint="eastAsia"/>
                <w:b/>
                <w:sz w:val="28"/>
              </w:rPr>
              <w:t>、生态环境保护措施</w:t>
            </w:r>
          </w:p>
          <w:p>
            <w:pPr>
              <w:widowControl/>
              <w:spacing w:line="360" w:lineRule="auto"/>
              <w:ind w:firstLine="0" w:firstLineChars="0"/>
              <w:rPr>
                <w:b/>
              </w:rPr>
            </w:pPr>
            <w:r>
              <w:rPr>
                <w:rFonts w:hint="eastAsia"/>
                <w:b/>
              </w:rPr>
              <w:t>6</w:t>
            </w:r>
            <w:r>
              <w:rPr>
                <w:b/>
              </w:rPr>
              <w:t>.1</w:t>
            </w:r>
            <w:r>
              <w:rPr>
                <w:rFonts w:hint="eastAsia"/>
                <w:b/>
              </w:rPr>
              <w:t>生态修复措施</w:t>
            </w:r>
          </w:p>
          <w:p>
            <w:pPr>
              <w:widowControl/>
              <w:spacing w:line="360" w:lineRule="auto"/>
              <w:ind w:firstLine="480"/>
              <w:rPr>
                <w:snapToGrid/>
                <w:u w:val="single"/>
              </w:rPr>
            </w:pPr>
            <w:r>
              <w:rPr>
                <w:rFonts w:hint="eastAsia"/>
                <w:u w:val="single"/>
              </w:rPr>
              <w:t>根据《矿山生态环境保护与恢复治理技术规范（试行）》（</w:t>
            </w:r>
            <w:r>
              <w:rPr>
                <w:u w:val="single"/>
              </w:rPr>
              <w:t>HJ651-2013</w:t>
            </w:r>
            <w:r>
              <w:rPr>
                <w:rFonts w:hint="eastAsia"/>
                <w:u w:val="single"/>
              </w:rPr>
              <w:t>），生态恢复应注意以下方面：</w:t>
            </w:r>
          </w:p>
          <w:p>
            <w:pPr>
              <w:widowControl/>
              <w:spacing w:line="360" w:lineRule="auto"/>
              <w:ind w:firstLine="480"/>
              <w:rPr>
                <w:u w:val="single"/>
              </w:rPr>
            </w:pPr>
            <w:r>
              <w:rPr>
                <w:rFonts w:hint="eastAsia"/>
                <w:u w:val="single"/>
              </w:rPr>
              <w:t>（1）采矿区生态恢复</w:t>
            </w:r>
          </w:p>
          <w:p>
            <w:pPr>
              <w:widowControl/>
              <w:tabs>
                <w:tab w:val="left" w:pos="312"/>
              </w:tabs>
              <w:spacing w:line="360" w:lineRule="auto"/>
              <w:ind w:firstLine="480"/>
              <w:rPr>
                <w:u w:val="single"/>
              </w:rPr>
            </w:pPr>
            <w:r>
              <w:rPr>
                <w:rFonts w:hint="eastAsia" w:ascii="宋体" w:hAnsi="宋体" w:cs="宋体"/>
                <w:u w:val="single"/>
              </w:rPr>
              <w:t>①</w:t>
            </w:r>
            <w:r>
              <w:rPr>
                <w:rFonts w:hint="eastAsia"/>
                <w:u w:val="single"/>
              </w:rPr>
              <w:t>边坡进行防护加固，防止塌陷，边坡治理后应保持稳定。非干旱地区采场边坡应恢复植被。边坡恢复措施及设计要求应符合（</w:t>
            </w:r>
            <w:r>
              <w:rPr>
                <w:u w:val="single"/>
              </w:rPr>
              <w:t>GB50433-2008</w:t>
            </w:r>
            <w:r>
              <w:rPr>
                <w:rFonts w:hint="eastAsia"/>
                <w:u w:val="single"/>
              </w:rPr>
              <w:t>）的相关要求；</w:t>
            </w:r>
          </w:p>
          <w:p>
            <w:pPr>
              <w:widowControl/>
              <w:tabs>
                <w:tab w:val="left" w:pos="312"/>
              </w:tabs>
              <w:spacing w:line="360" w:lineRule="auto"/>
              <w:ind w:firstLine="480"/>
              <w:rPr>
                <w:u w:val="single"/>
              </w:rPr>
            </w:pPr>
            <w:r>
              <w:rPr>
                <w:rFonts w:hint="eastAsia" w:ascii="宋体" w:hAnsi="宋体" w:cs="宋体"/>
                <w:u w:val="single"/>
              </w:rPr>
              <w:t>②</w:t>
            </w:r>
            <w:r>
              <w:rPr>
                <w:rFonts w:hint="eastAsia"/>
                <w:u w:val="single"/>
              </w:rPr>
              <w:t>恢复后的采场进行土地资源再利用时，再坡度、土层厚度、稳定性、土壤环境安全性等方面应满足相关用地要求。</w:t>
            </w:r>
          </w:p>
          <w:p>
            <w:pPr>
              <w:widowControl/>
              <w:spacing w:line="360" w:lineRule="auto"/>
              <w:ind w:firstLine="480"/>
              <w:rPr>
                <w:u w:val="single"/>
              </w:rPr>
            </w:pPr>
            <w:r>
              <w:rPr>
                <w:rFonts w:hint="eastAsia"/>
                <w:u w:val="single"/>
              </w:rPr>
              <w:t>（3）矿区道路生态修复</w:t>
            </w:r>
          </w:p>
          <w:p>
            <w:pPr>
              <w:widowControl/>
              <w:tabs>
                <w:tab w:val="left" w:pos="312"/>
              </w:tabs>
              <w:spacing w:line="360" w:lineRule="auto"/>
              <w:ind w:firstLine="480"/>
              <w:rPr>
                <w:u w:val="single"/>
              </w:rPr>
            </w:pPr>
            <w:r>
              <w:rPr>
                <w:rFonts w:hint="eastAsia"/>
                <w:u w:val="single"/>
              </w:rPr>
              <w:t>①矿区道路应严格控制占地面积和范围。开挖路基及取弃土工程均应根据道路施工进度有计划地进行表土剥离并保存设置截排水沟、挡土墙等相应保护措施，严禁施工占用水塘和集体水库用地；</w:t>
            </w:r>
          </w:p>
          <w:p>
            <w:pPr>
              <w:widowControl/>
              <w:tabs>
                <w:tab w:val="left" w:pos="312"/>
              </w:tabs>
              <w:spacing w:line="360" w:lineRule="auto"/>
              <w:ind w:firstLine="480"/>
              <w:rPr>
                <w:u w:val="single"/>
              </w:rPr>
            </w:pPr>
            <w:r>
              <w:rPr>
                <w:rFonts w:hint="eastAsia"/>
                <w:u w:val="single"/>
              </w:rPr>
              <w:t>②矿区道路修建过程中应对道路两侧及时进行边坡硬化处理，并对道路两侧及时植树和植草绿化。道路绿化应以当地乡土树（草）种为主，选择适应性强、防尘效果好、护坡功能强的植物种，道路建设施工结束后，临时占地应及时恢复，与原有地貌和景观协调。</w:t>
            </w:r>
          </w:p>
          <w:p>
            <w:pPr>
              <w:widowControl/>
              <w:spacing w:line="360" w:lineRule="auto"/>
              <w:ind w:firstLine="480"/>
              <w:rPr>
                <w:u w:val="single"/>
              </w:rPr>
            </w:pPr>
            <w:r>
              <w:rPr>
                <w:rFonts w:hint="eastAsia"/>
                <w:u w:val="single"/>
              </w:rPr>
              <w:t>根据以上论述可知，项目通过在采矿区、矿区道路等区域采用工程技术措施（疏排水工程、覆土工程等）、生物和化学措施（植被恢复、土壤改良等）实施生态修复，实施后生态复率可达</w:t>
            </w:r>
            <w:r>
              <w:rPr>
                <w:u w:val="single"/>
              </w:rPr>
              <w:t>100%</w:t>
            </w:r>
            <w:r>
              <w:rPr>
                <w:rFonts w:hint="eastAsia"/>
                <w:u w:val="single"/>
              </w:rPr>
              <w:t>，符合了《矿山生态环境保护与恢复理技术规范（试行）》（</w:t>
            </w:r>
            <w:r>
              <w:rPr>
                <w:u w:val="single"/>
              </w:rPr>
              <w:t>HJ651-2013</w:t>
            </w:r>
            <w:r>
              <w:rPr>
                <w:rFonts w:hint="eastAsia"/>
                <w:u w:val="single"/>
              </w:rPr>
              <w:t>）的要求。</w:t>
            </w:r>
          </w:p>
          <w:p>
            <w:pPr>
              <w:widowControl/>
              <w:spacing w:line="360" w:lineRule="auto"/>
              <w:ind w:firstLine="480"/>
            </w:pPr>
            <w:r>
              <w:rPr>
                <w:rFonts w:hint="eastAsia"/>
              </w:rPr>
              <w:t>（</w:t>
            </w:r>
            <w:r>
              <w:t>3</w:t>
            </w:r>
            <w:r>
              <w:rPr>
                <w:rFonts w:hint="eastAsia"/>
              </w:rPr>
              <w:t>）生态环境保护措施</w:t>
            </w:r>
          </w:p>
          <w:p>
            <w:pPr>
              <w:widowControl/>
              <w:spacing w:line="360" w:lineRule="auto"/>
              <w:ind w:firstLine="480"/>
            </w:pPr>
            <w:r>
              <w:rPr>
                <w:rFonts w:hint="eastAsia"/>
              </w:rPr>
              <w:t>①开采矿石岩层时，尽量保证周边围岩的稳定，建立实时的监测机制，做好周边岩体稳定性的预警，以防山体崩塌对周边环境及生物造成破坏。被剥离的表土必须堆放在指定的堆置场，禁止随意排弃表土，避免在矿区内增加新的扬尘污染和水土流失；</w:t>
            </w:r>
          </w:p>
          <w:p>
            <w:pPr>
              <w:widowControl/>
              <w:spacing w:line="360" w:lineRule="auto"/>
              <w:ind w:firstLine="480"/>
            </w:pPr>
            <w:r>
              <w:rPr>
                <w:rFonts w:hint="eastAsia"/>
              </w:rPr>
              <w:t>②合理安排矿山的基建施工进度，对采场采取上而下，分层台阶式开采。避免在多数植物花果期间大规模动工，同时对区域内的高大乔木进行异地种植，尽可能采用低噪声机械，减少设备噪声对野生动物的惊扰；</w:t>
            </w:r>
          </w:p>
          <w:p>
            <w:pPr>
              <w:widowControl/>
              <w:spacing w:line="360" w:lineRule="auto"/>
              <w:ind w:firstLine="480"/>
            </w:pPr>
            <w:r>
              <w:rPr>
                <w:rFonts w:hint="eastAsia"/>
              </w:rPr>
              <w:t>③露天开采形成矿坑后，需采取一定的安全措施和设置警示标志；</w:t>
            </w:r>
          </w:p>
          <w:p>
            <w:pPr>
              <w:widowControl/>
              <w:spacing w:line="360" w:lineRule="auto"/>
              <w:ind w:firstLine="480"/>
            </w:pPr>
            <w:r>
              <w:rPr>
                <w:rFonts w:hint="eastAsia"/>
              </w:rPr>
              <w:t>④尽量采用低噪声机械设备，对高强噪声源采取隔音降噪措施，以减轻生产噪声惊吓周围野生动物；</w:t>
            </w:r>
          </w:p>
          <w:p>
            <w:pPr>
              <w:widowControl/>
              <w:spacing w:line="360" w:lineRule="auto"/>
              <w:ind w:firstLine="480"/>
            </w:pPr>
            <w:r>
              <w:rPr>
                <w:rFonts w:hint="eastAsia"/>
              </w:rPr>
              <w:t>⑤加强对员工的宣传教育和管理，禁止滥捕乱猎，保护野生动物。如发现国家地方保护的濒危、珍稀野生动植物，需加强保护，及时上报相关部门；</w:t>
            </w:r>
          </w:p>
          <w:p>
            <w:pPr>
              <w:widowControl/>
              <w:spacing w:line="360" w:lineRule="auto"/>
              <w:ind w:firstLine="480"/>
            </w:pPr>
            <w:r>
              <w:rPr>
                <w:rFonts w:hint="eastAsia"/>
              </w:rPr>
              <w:t>⑥制定合理有效的规章制度，避免人为因素对矿山周围生态环境的破坏，明确开采范围，禁止工人进入非开采区活动，严禁烟火和破坏植被活动；</w:t>
            </w:r>
          </w:p>
          <w:p>
            <w:pPr>
              <w:widowControl/>
              <w:spacing w:line="360" w:lineRule="auto"/>
              <w:ind w:firstLine="480"/>
            </w:pPr>
          </w:p>
          <w:p>
            <w:pPr>
              <w:widowControl/>
              <w:spacing w:line="360" w:lineRule="auto"/>
              <w:ind w:firstLine="480"/>
            </w:pPr>
          </w:p>
          <w:p>
            <w:pPr>
              <w:widowControl/>
              <w:spacing w:line="360" w:lineRule="auto"/>
              <w:ind w:firstLine="480"/>
            </w:pPr>
            <w:r>
              <w:rPr>
                <w:rFonts w:hint="eastAsia"/>
              </w:rPr>
              <w:t>⑦建设单位应分片区开采，边开采边绿化、复垦。按照复垦方案和水土保持方案要求，及时进行造地复垦，切实落实生态保护措施；</w:t>
            </w:r>
          </w:p>
          <w:p>
            <w:pPr>
              <w:widowControl/>
              <w:spacing w:line="360" w:lineRule="auto"/>
              <w:ind w:firstLine="480"/>
            </w:pPr>
            <w:r>
              <w:rPr>
                <w:rFonts w:hint="eastAsia"/>
              </w:rPr>
              <w:t>⑧矿山应尽快制定“边开采边复垦”的生态恢复和补偿方案，落实生态恢复和补偿工作，通过采取废土回填及场地周围绿化等措施，可加快生态系统恢复和正向演替的过程。结合本区生态环境和土地功能区划，本项目矿山开采完成后对终止使用的采场表面应采取整治和覆土措施，改造成可利用的土地。经过整治的土地，应根据其质量条件和项目区的需要，进一步对其地表加工处理，分别改造为农业、林业用地和其它用地。对矿山开采造成的生态破坏进行有效的补偿；</w:t>
            </w:r>
          </w:p>
          <w:p>
            <w:pPr>
              <w:widowControl/>
              <w:spacing w:line="360" w:lineRule="auto"/>
              <w:ind w:firstLine="480"/>
            </w:pPr>
            <w:r>
              <w:rPr>
                <w:rFonts w:hint="eastAsia"/>
              </w:rPr>
              <w:t>⑨编制水保持方案，严格按照水土保持方案设计中的要求采取水土保持相关措施，减少运营期水土流失量；</w:t>
            </w:r>
          </w:p>
          <w:p>
            <w:pPr>
              <w:widowControl/>
              <w:spacing w:line="360" w:lineRule="auto"/>
              <w:ind w:firstLine="480"/>
            </w:pPr>
            <w:r>
              <w:rPr>
                <w:rFonts w:hint="eastAsia" w:ascii="宋体" w:hAnsi="宋体" w:cs="宋体"/>
              </w:rPr>
              <w:t>⑩项目的运营期和闭矿期都属于水流失重点防治时段。防治措施重点在于加强管理，以预防为主，通过覆土、土地整治和植树造林。根据各功能区特点布设适宜的工程和植物措施，有效控制水土流失。以土地整治和绿化工程相结合，合理利用土地资源，改善生态环境。</w:t>
            </w:r>
          </w:p>
          <w:p>
            <w:pPr>
              <w:adjustRightInd w:val="0"/>
              <w:snapToGrid w:val="0"/>
              <w:spacing w:line="360" w:lineRule="auto"/>
              <w:ind w:firstLine="520"/>
              <w:rPr>
                <w:bCs/>
                <w:spacing w:val="10"/>
                <w:u w:val="single"/>
              </w:rPr>
            </w:pPr>
            <w:r>
              <w:rPr>
                <w:rFonts w:hint="eastAsia"/>
                <w:bCs/>
                <w:spacing w:val="10"/>
                <w:u w:val="single"/>
              </w:rPr>
              <w:t>（</w:t>
            </w:r>
            <w:r>
              <w:rPr>
                <w:bCs/>
                <w:spacing w:val="10"/>
                <w:u w:val="single"/>
              </w:rPr>
              <w:t>4</w:t>
            </w:r>
            <w:r>
              <w:rPr>
                <w:rFonts w:hint="eastAsia"/>
                <w:bCs/>
                <w:spacing w:val="10"/>
                <w:u w:val="single"/>
              </w:rPr>
              <w:t>）闭矿期生态恢复措施</w:t>
            </w:r>
          </w:p>
          <w:p>
            <w:pPr>
              <w:widowControl/>
              <w:spacing w:line="360" w:lineRule="auto"/>
              <w:ind w:firstLine="480"/>
              <w:rPr>
                <w:u w:val="single"/>
              </w:rPr>
            </w:pPr>
            <w:r>
              <w:rPr>
                <w:rFonts w:hint="eastAsia"/>
                <w:u w:val="single"/>
              </w:rPr>
              <w:t>矿山服务期满后，如果采取措施不当或未采取防护措施，容易造成水土流失等自然灾害。</w:t>
            </w:r>
          </w:p>
          <w:p>
            <w:pPr>
              <w:widowControl/>
              <w:spacing w:line="360" w:lineRule="auto"/>
              <w:ind w:firstLine="480"/>
              <w:rPr>
                <w:u w:val="single"/>
              </w:rPr>
            </w:pPr>
            <w:r>
              <w:rPr>
                <w:rFonts w:hint="eastAsia"/>
                <w:u w:val="single"/>
              </w:rPr>
              <w:t>建议项目开采结束后对矿区进行复垦绿化，修复及复垦措施如下：</w:t>
            </w:r>
          </w:p>
          <w:p>
            <w:pPr>
              <w:widowControl/>
              <w:spacing w:line="360" w:lineRule="auto"/>
              <w:ind w:firstLine="480"/>
              <w:rPr>
                <w:u w:val="single"/>
              </w:rPr>
            </w:pPr>
            <w:r>
              <w:rPr>
                <w:rFonts w:hint="eastAsia"/>
                <w:u w:val="single"/>
              </w:rPr>
              <w:t>①技术措施</w:t>
            </w:r>
          </w:p>
          <w:p>
            <w:pPr>
              <w:widowControl/>
              <w:spacing w:line="360" w:lineRule="auto"/>
              <w:ind w:firstLine="480"/>
              <w:rPr>
                <w:u w:val="single"/>
              </w:rPr>
            </w:pPr>
            <w:r>
              <w:rPr>
                <w:rFonts w:hint="eastAsia"/>
                <w:u w:val="single"/>
              </w:rPr>
              <w:t>a、拆除及整平工程措施</w:t>
            </w:r>
          </w:p>
          <w:p>
            <w:pPr>
              <w:widowControl/>
              <w:spacing w:line="360" w:lineRule="auto"/>
              <w:ind w:firstLine="480"/>
              <w:rPr>
                <w:u w:val="single"/>
              </w:rPr>
            </w:pPr>
            <w:r>
              <w:rPr>
                <w:rFonts w:hint="eastAsia"/>
                <w:u w:val="single"/>
              </w:rPr>
              <w:t>拆除地面建筑设施及地面硬化物，并清运建筑垃圾，对场地进行整平。</w:t>
            </w:r>
          </w:p>
          <w:p>
            <w:pPr>
              <w:widowControl/>
              <w:spacing w:line="360" w:lineRule="auto"/>
              <w:ind w:firstLine="480"/>
              <w:rPr>
                <w:u w:val="single"/>
              </w:rPr>
            </w:pPr>
            <w:r>
              <w:rPr>
                <w:rFonts w:hint="eastAsia"/>
                <w:u w:val="single"/>
              </w:rPr>
              <w:t>b、翻耕、整平工程</w:t>
            </w:r>
          </w:p>
          <w:p>
            <w:pPr>
              <w:widowControl/>
              <w:spacing w:line="360" w:lineRule="auto"/>
              <w:ind w:firstLine="480"/>
              <w:rPr>
                <w:u w:val="single"/>
              </w:rPr>
            </w:pPr>
            <w:r>
              <w:rPr>
                <w:rFonts w:hint="eastAsia"/>
                <w:u w:val="single"/>
              </w:rPr>
              <w:t>清运或利用完后，采用推土机对场地进行翻耕、整平，推进方向由高处向低处。</w:t>
            </w:r>
          </w:p>
          <w:p>
            <w:pPr>
              <w:widowControl/>
              <w:spacing w:line="360" w:lineRule="auto"/>
              <w:ind w:firstLine="480"/>
              <w:rPr>
                <w:u w:val="single"/>
              </w:rPr>
            </w:pPr>
            <w:r>
              <w:rPr>
                <w:rFonts w:hint="eastAsia"/>
                <w:u w:val="single"/>
              </w:rPr>
              <w:t>c、覆土植树种草</w:t>
            </w:r>
          </w:p>
          <w:p>
            <w:pPr>
              <w:widowControl/>
              <w:spacing w:line="360" w:lineRule="auto"/>
              <w:ind w:firstLine="480"/>
              <w:rPr>
                <w:u w:val="single"/>
              </w:rPr>
            </w:pPr>
            <w:r>
              <w:rPr>
                <w:rFonts w:hint="eastAsia"/>
                <w:u w:val="single"/>
              </w:rPr>
              <w:t>表土临时堆置场暂存表土作为复垦耕植土使用，然后坑栽，需覆土，乔木选用柏树、玉兰等。</w:t>
            </w:r>
          </w:p>
          <w:p>
            <w:pPr>
              <w:widowControl/>
              <w:spacing w:line="360" w:lineRule="auto"/>
              <w:ind w:firstLine="480"/>
              <w:rPr>
                <w:u w:val="single"/>
              </w:rPr>
            </w:pPr>
            <w:r>
              <w:rPr>
                <w:rFonts w:hint="eastAsia"/>
                <w:u w:val="single"/>
              </w:rPr>
              <w:t>②生物化学工程措施</w:t>
            </w:r>
          </w:p>
          <w:p>
            <w:pPr>
              <w:widowControl/>
              <w:spacing w:line="360" w:lineRule="auto"/>
              <w:ind w:firstLine="480"/>
              <w:rPr>
                <w:u w:val="single"/>
              </w:rPr>
            </w:pPr>
            <w:r>
              <w:rPr>
                <w:rFonts w:hint="eastAsia"/>
                <w:u w:val="single"/>
              </w:rPr>
              <w:t>a、土壤改良、培肥措施</w:t>
            </w:r>
          </w:p>
          <w:p>
            <w:pPr>
              <w:widowControl/>
              <w:spacing w:line="360" w:lineRule="auto"/>
              <w:ind w:firstLine="480"/>
              <w:rPr>
                <w:u w:val="single"/>
              </w:rPr>
            </w:pPr>
            <w:r>
              <w:rPr>
                <w:rFonts w:hint="eastAsia"/>
                <w:u w:val="single"/>
              </w:rPr>
              <w:t>土地翻耕后在坑穴内施基肥或化肥，基肥主要为有机肥料，须腐熟后才能施用；化肥主要选用复合肥。基肥要与土充分混匀，表层覆盖种植土，并充分浇水。</w:t>
            </w:r>
          </w:p>
          <w:p>
            <w:pPr>
              <w:widowControl/>
              <w:spacing w:line="360" w:lineRule="auto"/>
              <w:ind w:firstLine="480"/>
              <w:rPr>
                <w:u w:val="single"/>
              </w:rPr>
            </w:pPr>
            <w:r>
              <w:rPr>
                <w:rFonts w:hint="eastAsia"/>
                <w:u w:val="single"/>
              </w:rPr>
              <w:t>b、植物措施</w:t>
            </w:r>
          </w:p>
          <w:p>
            <w:pPr>
              <w:widowControl/>
              <w:spacing w:line="360" w:lineRule="auto"/>
              <w:ind w:firstLine="480"/>
              <w:rPr>
                <w:u w:val="single"/>
              </w:rPr>
            </w:pPr>
            <w:r>
              <w:rPr>
                <w:rFonts w:hint="eastAsia"/>
                <w:u w:val="single"/>
              </w:rPr>
              <w:t>通过人工整理和覆土措施后，及时种植树苗、撒播草种，逐渐恢复植被，保土保水，减少水土流失，增加绿化面积，改善生态环境。选择生长快、成活率高、适宜本地土壤生长的杉树作为恢复林地的主要树种。</w:t>
            </w:r>
          </w:p>
          <w:p>
            <w:pPr>
              <w:widowControl/>
              <w:spacing w:line="360" w:lineRule="auto"/>
              <w:ind w:firstLine="480"/>
              <w:rPr>
                <w:u w:val="single"/>
              </w:rPr>
            </w:pPr>
            <w:r>
              <w:rPr>
                <w:rFonts w:hint="eastAsia"/>
                <w:u w:val="single"/>
              </w:rPr>
              <w:t>③复垦措施</w:t>
            </w:r>
          </w:p>
          <w:p>
            <w:pPr>
              <w:widowControl/>
              <w:spacing w:line="360" w:lineRule="auto"/>
              <w:ind w:firstLine="480"/>
              <w:rPr>
                <w:u w:val="single"/>
              </w:rPr>
            </w:pPr>
            <w:r>
              <w:rPr>
                <w:rFonts w:hint="eastAsia"/>
                <w:u w:val="single"/>
              </w:rPr>
              <w:t>露采场复垦方向为林草地，复垦工程包括覆土工程、场地平整、台阶外缘种植槽工程、植树、植草、植藤本类植物。</w:t>
            </w:r>
          </w:p>
          <w:p>
            <w:pPr>
              <w:widowControl/>
              <w:spacing w:line="360" w:lineRule="auto"/>
              <w:ind w:firstLine="480"/>
              <w:rPr>
                <w:u w:val="single"/>
              </w:rPr>
            </w:pPr>
            <w:r>
              <w:rPr>
                <w:rFonts w:hint="eastAsia"/>
                <w:u w:val="single"/>
              </w:rPr>
              <w:t>覆土工程。露采场的底盘及台阶修复复垦用土均采用表土。</w:t>
            </w:r>
          </w:p>
          <w:p>
            <w:pPr>
              <w:widowControl/>
              <w:spacing w:line="360" w:lineRule="auto"/>
              <w:ind w:firstLine="480"/>
              <w:rPr>
                <w:u w:val="single"/>
              </w:rPr>
            </w:pPr>
            <w:r>
              <w:rPr>
                <w:rFonts w:hint="eastAsia"/>
                <w:u w:val="single"/>
              </w:rPr>
              <w:t>场地平整。对露采场应进行人工平整，削放坡及找平，达到恢复植被的要求。</w:t>
            </w:r>
          </w:p>
          <w:p>
            <w:pPr>
              <w:widowControl/>
              <w:spacing w:line="360" w:lineRule="auto"/>
              <w:ind w:firstLine="480"/>
              <w:rPr>
                <w:u w:val="single"/>
              </w:rPr>
            </w:pPr>
            <w:r>
              <w:rPr>
                <w:rFonts w:hint="eastAsia"/>
                <w:u w:val="single"/>
              </w:rPr>
              <w:t>台阶外缘种植槽工程。对露采场台阶外沿修建砖砌种植槽，防止雨水冲刷，有利于水土保持，并达到恢复植被的要求。</w:t>
            </w:r>
          </w:p>
          <w:p>
            <w:pPr>
              <w:widowControl/>
              <w:spacing w:line="360" w:lineRule="auto"/>
              <w:ind w:firstLine="480"/>
              <w:rPr>
                <w:u w:val="single"/>
              </w:rPr>
            </w:pPr>
            <w:r>
              <w:rPr>
                <w:rFonts w:hint="eastAsia"/>
                <w:u w:val="single"/>
              </w:rPr>
              <w:t>④植被恢复</w:t>
            </w:r>
          </w:p>
          <w:p>
            <w:pPr>
              <w:widowControl/>
              <w:spacing w:line="360" w:lineRule="auto"/>
              <w:ind w:firstLine="480"/>
              <w:rPr>
                <w:u w:val="single"/>
              </w:rPr>
            </w:pPr>
            <w:r>
              <w:rPr>
                <w:rFonts w:hint="eastAsia"/>
                <w:u w:val="single"/>
              </w:rPr>
              <w:t>a、植树、植草。场地平整后进行植树恢复植被。根据本项目区及区域生态植物生长情况，恢复林地按照乔木搭配灌木树种。</w:t>
            </w:r>
          </w:p>
          <w:p>
            <w:pPr>
              <w:widowControl/>
              <w:spacing w:line="360" w:lineRule="auto"/>
              <w:ind w:firstLine="480"/>
              <w:rPr>
                <w:u w:val="single"/>
              </w:rPr>
            </w:pPr>
            <w:r>
              <w:rPr>
                <w:rFonts w:hint="eastAsia"/>
                <w:u w:val="single"/>
              </w:rPr>
              <w:t>b、藤本植物。矿区开挖边坡采用上垂下爬的方式进行修复，于边坡顶部种植。</w:t>
            </w:r>
          </w:p>
          <w:p>
            <w:pPr>
              <w:widowControl/>
              <w:spacing w:line="360" w:lineRule="auto"/>
              <w:ind w:firstLine="480"/>
              <w:rPr>
                <w:rFonts w:ascii="宋体" w:hAnsi="宋体" w:cs="宋体"/>
                <w:u w:val="single"/>
              </w:rPr>
            </w:pPr>
            <w:r>
              <w:rPr>
                <w:rFonts w:hint="eastAsia" w:ascii="宋体" w:hAnsi="宋体" w:cs="宋体"/>
                <w:u w:val="single"/>
              </w:rPr>
              <w:t>⑤管护措施</w:t>
            </w:r>
          </w:p>
          <w:p>
            <w:pPr>
              <w:widowControl/>
              <w:spacing w:line="360" w:lineRule="auto"/>
              <w:ind w:firstLine="480"/>
              <w:rPr>
                <w:u w:val="single"/>
              </w:rPr>
            </w:pPr>
            <w:r>
              <w:rPr>
                <w:rFonts w:hint="eastAsia"/>
                <w:u w:val="single"/>
              </w:rPr>
              <w:t>对于复垦完毕的土地，需要三年的管护，防止复垦土地的退化。</w:t>
            </w:r>
          </w:p>
          <w:p>
            <w:pPr>
              <w:widowControl/>
              <w:spacing w:line="360" w:lineRule="auto"/>
              <w:ind w:firstLine="0" w:firstLineChars="0"/>
              <w:rPr>
                <w:b/>
              </w:rPr>
            </w:pPr>
            <w:r>
              <w:rPr>
                <w:rFonts w:hint="eastAsia"/>
                <w:b/>
              </w:rPr>
              <w:t>6</w:t>
            </w:r>
            <w:r>
              <w:rPr>
                <w:b/>
              </w:rPr>
              <w:t>.2</w:t>
            </w:r>
            <w:r>
              <w:rPr>
                <w:rFonts w:hint="eastAsia"/>
                <w:b/>
              </w:rPr>
              <w:t>水土流失防治措施</w:t>
            </w:r>
          </w:p>
          <w:p>
            <w:pPr>
              <w:spacing w:line="360" w:lineRule="auto"/>
              <w:ind w:firstLine="480"/>
            </w:pPr>
            <w:r>
              <w:rPr>
                <w:rFonts w:hint="eastAsia"/>
              </w:rPr>
              <w:t>矿山开采过程中，由于扰动地貌、平整场地等所造成的地表植被破坏和土壤裸露，遇到降雨天气，极易引起水土流失。裸露面被雨水冲刷流失的泥土随着径流的雨水流向低洼处或进入附近水体，会影响地表水水质，如果大量的泥土进入地表水体，会堵塞沟渠，并影响区域行洪等。为了有效防止水土流失，需采取如下措施：</w:t>
            </w:r>
          </w:p>
          <w:p>
            <w:pPr>
              <w:spacing w:line="360" w:lineRule="auto"/>
              <w:ind w:firstLine="480"/>
            </w:pPr>
            <w:r>
              <w:rPr>
                <w:rFonts w:hint="eastAsia"/>
              </w:rPr>
              <w:t>（1）运行期在开采前清表，清整表土，集中堆放于排土场；设置排水沟、沉砂池、铺彩条布等临时措施；采矿结束后对采矿区底部进行场地平整复绿，采矿边坡播撒草籽绿化，底部场地平整及边坡绿化前进行覆土。</w:t>
            </w:r>
          </w:p>
          <w:p>
            <w:pPr>
              <w:spacing w:line="360" w:lineRule="auto"/>
              <w:ind w:firstLine="480"/>
            </w:pPr>
            <w:r>
              <w:rPr>
                <w:rFonts w:hint="eastAsia"/>
              </w:rPr>
              <w:t>（2）新开挖边坡要采取工程防护与绿化相结合的方法，尽可能种树植草，最大程度减轻工程构筑物占地对生态环境的影响。合理布置道路、设备等基础设施，尽可能减少土地的占用，控制导致土地退化的用地方式，使土地利用更趋合理。</w:t>
            </w:r>
          </w:p>
          <w:p>
            <w:pPr>
              <w:spacing w:line="360" w:lineRule="auto"/>
              <w:ind w:firstLine="480"/>
            </w:pPr>
            <w:r>
              <w:rPr>
                <w:rFonts w:hint="eastAsia"/>
              </w:rPr>
              <w:t>（3）在排土场设置挡土墙、排水沟、沉砂池，播撒草籽、临时覆盖等措施，采矿结束后，将表土运走后进行场地平整及复绿。</w:t>
            </w:r>
          </w:p>
          <w:p>
            <w:pPr>
              <w:spacing w:line="360" w:lineRule="auto"/>
              <w:ind w:firstLine="480"/>
              <w:rPr>
                <w:u w:val="single"/>
              </w:rPr>
            </w:pPr>
            <w:r>
              <w:rPr>
                <w:rFonts w:hint="eastAsia"/>
                <w:u w:val="single"/>
              </w:rPr>
              <w:t>切实遵循“三同时”制度，做到水土保持防护工程与主体工程施工同步进行；采场区开采过程中，需对矿区地表进行清基，剥离的表土堆置在临时排土场，后期用于矿区回填及迹地恢复；采场区开采过程中，定期观测各点的空间位置及其相对位置的变化，从而尽快地掌握地表移动变形的大小及规律，确保工程运行安全。在生产运行期（设计水平年后）引发的水土流失，应另行编制水土保持方案解决。</w:t>
            </w:r>
          </w:p>
          <w:p>
            <w:pPr>
              <w:spacing w:line="360" w:lineRule="auto"/>
              <w:ind w:firstLine="0" w:firstLineChars="0"/>
              <w:rPr>
                <w:b/>
                <w:u w:val="single"/>
              </w:rPr>
            </w:pPr>
            <w:r>
              <w:rPr>
                <w:rFonts w:hint="eastAsia"/>
                <w:b/>
                <w:u w:val="single"/>
              </w:rPr>
              <w:t>6</w:t>
            </w:r>
            <w:r>
              <w:rPr>
                <w:b/>
                <w:u w:val="single"/>
              </w:rPr>
              <w:t>.</w:t>
            </w:r>
            <w:r>
              <w:rPr>
                <w:rFonts w:hint="eastAsia"/>
                <w:b/>
                <w:u w:val="single"/>
              </w:rPr>
              <w:t>3绿色矿山</w:t>
            </w:r>
          </w:p>
          <w:p>
            <w:pPr>
              <w:spacing w:line="360" w:lineRule="auto"/>
              <w:ind w:firstLine="480"/>
              <w:rPr>
                <w:u w:val="single"/>
              </w:rPr>
            </w:pPr>
            <w:r>
              <w:rPr>
                <w:rFonts w:hint="eastAsia"/>
                <w:u w:val="single"/>
              </w:rPr>
              <w:t>本项目在矿产资源开发全过程中，应实施科学有序开采，对矿区及周边生态环境扰动控制在可控范围内，实现矿区环境生态化、开采方式科学化、资源利用高效化、管理信息数字化和矿区社区和谐化的矿山。</w:t>
            </w:r>
          </w:p>
          <w:p>
            <w:pPr>
              <w:spacing w:line="360" w:lineRule="auto"/>
              <w:ind w:firstLine="480"/>
              <w:rPr>
                <w:u w:val="single"/>
              </w:rPr>
            </w:pPr>
            <w:r>
              <w:rPr>
                <w:rFonts w:hint="eastAsia"/>
                <w:u w:val="single"/>
              </w:rPr>
              <w:t>在矿山建设过程中，绿色矿山建设重点工程如下：</w:t>
            </w:r>
          </w:p>
          <w:p>
            <w:pPr>
              <w:spacing w:line="360" w:lineRule="auto"/>
              <w:ind w:firstLine="480"/>
              <w:rPr>
                <w:u w:val="single"/>
              </w:rPr>
            </w:pPr>
            <w:r>
              <w:rPr>
                <w:rFonts w:hint="eastAsia"/>
                <w:u w:val="single"/>
              </w:rPr>
              <w:t>（1）矿容矿貌提升工程</w:t>
            </w:r>
          </w:p>
          <w:p>
            <w:pPr>
              <w:spacing w:line="360" w:lineRule="auto"/>
              <w:ind w:firstLine="480"/>
              <w:rPr>
                <w:u w:val="single"/>
              </w:rPr>
            </w:pPr>
            <w:r>
              <w:rPr>
                <w:rFonts w:hint="eastAsia"/>
                <w:u w:val="single"/>
              </w:rPr>
              <w:t>工业场区：设置绿色矿山学习培训专用办公室等，根据各个房间的功能，墙壁上张贴相应的制度和宣传标准，对生活垃圾进行分类处理，建立卫生保洁制度。在矿山和加工厂管理区至生活区路段内不同地点设置体现矿山企业文化和绿色矿山文化的宣传标语和文化走廊。</w:t>
            </w:r>
          </w:p>
          <w:p>
            <w:pPr>
              <w:spacing w:line="360" w:lineRule="auto"/>
              <w:ind w:firstLine="480"/>
              <w:rPr>
                <w:u w:val="single"/>
              </w:rPr>
            </w:pPr>
            <w:r>
              <w:rPr>
                <w:rFonts w:hint="eastAsia"/>
                <w:u w:val="single"/>
              </w:rPr>
              <w:t>生态护坡工程：矿山未来开采拟在矿区南部设置表土临时堆置场，周边设置临时挡土墙，建议设置为生态挡土墙，区域可种植爬山虎之类的藤类植物。</w:t>
            </w:r>
          </w:p>
          <w:p>
            <w:pPr>
              <w:spacing w:line="360" w:lineRule="auto"/>
              <w:ind w:firstLine="480"/>
              <w:rPr>
                <w:u w:val="single"/>
              </w:rPr>
            </w:pPr>
            <w:r>
              <w:rPr>
                <w:rFonts w:hint="eastAsia"/>
                <w:u w:val="single"/>
              </w:rPr>
              <w:t>（2）矿区绿化工程</w:t>
            </w:r>
          </w:p>
          <w:p>
            <w:pPr>
              <w:spacing w:line="360" w:lineRule="auto"/>
              <w:ind w:firstLine="480"/>
              <w:rPr>
                <w:u w:val="single"/>
              </w:rPr>
            </w:pPr>
            <w:r>
              <w:rPr>
                <w:rFonts w:hint="eastAsia"/>
                <w:u w:val="single"/>
              </w:rPr>
              <w:t>生活办公区：靠近道路侧及围墙设置花坛，种植观赏性植物。</w:t>
            </w:r>
          </w:p>
          <w:p>
            <w:pPr>
              <w:spacing w:line="360" w:lineRule="auto"/>
              <w:ind w:firstLine="480"/>
              <w:rPr>
                <w:u w:val="single"/>
              </w:rPr>
            </w:pPr>
            <w:r>
              <w:rPr>
                <w:rFonts w:hint="eastAsia"/>
                <w:u w:val="single"/>
              </w:rPr>
              <w:t>运输道路：硬化区域运输道路，设置绿化带，采用大乔木和低矮灌木混交种植。</w:t>
            </w:r>
          </w:p>
          <w:p>
            <w:pPr>
              <w:spacing w:line="360" w:lineRule="auto"/>
              <w:ind w:firstLine="480"/>
              <w:rPr>
                <w:u w:val="single"/>
              </w:rPr>
            </w:pPr>
            <w:r>
              <w:rPr>
                <w:rFonts w:hint="eastAsia"/>
                <w:u w:val="single"/>
              </w:rPr>
              <w:t>（3）地表变形人工常规监测工程</w:t>
            </w:r>
          </w:p>
          <w:p>
            <w:pPr>
              <w:spacing w:line="360" w:lineRule="auto"/>
              <w:ind w:firstLine="480"/>
              <w:rPr>
                <w:u w:val="single"/>
              </w:rPr>
            </w:pPr>
            <w:r>
              <w:rPr>
                <w:rFonts w:hint="eastAsia"/>
                <w:u w:val="single"/>
              </w:rPr>
              <w:t>监测内容为宏观判断采坑边坡的稳定性和生物工程情况。巡查时注意工程施工中有无新的坡面危石、浮石出现，若有则应及时清除处理。监测频率为每月2次（常规监测选择有一定经验的职工进行定期监测），建立监测台账，并设置地质灾害应急预案。</w:t>
            </w:r>
          </w:p>
          <w:p>
            <w:pPr>
              <w:spacing w:line="360" w:lineRule="auto"/>
              <w:ind w:firstLine="0" w:firstLineChars="0"/>
              <w:rPr>
                <w:b/>
              </w:rPr>
            </w:pPr>
            <w:r>
              <w:rPr>
                <w:rFonts w:hint="eastAsia"/>
                <w:b/>
              </w:rPr>
              <w:t>6</w:t>
            </w:r>
            <w:r>
              <w:rPr>
                <w:b/>
              </w:rPr>
              <w:t>.</w:t>
            </w:r>
            <w:r>
              <w:rPr>
                <w:rFonts w:hint="eastAsia"/>
                <w:b/>
              </w:rPr>
              <w:t>4生态环境保护措施经济技术可行性分析</w:t>
            </w:r>
          </w:p>
          <w:p>
            <w:pPr>
              <w:spacing w:line="360" w:lineRule="auto"/>
              <w:ind w:firstLine="480"/>
            </w:pPr>
            <w:r>
              <w:rPr>
                <w:rFonts w:hint="eastAsia"/>
              </w:rPr>
              <w:t>矿区应根据“谁开发谁保护、谁破坏谁治理、谁投资谁受益”的原则，缴纳矿山地质环境保护与土地复垦保证金。</w:t>
            </w:r>
          </w:p>
          <w:p>
            <w:pPr>
              <w:spacing w:line="360" w:lineRule="auto"/>
              <w:ind w:firstLine="480"/>
            </w:pPr>
            <w:r>
              <w:rPr>
                <w:rFonts w:hint="eastAsia"/>
              </w:rPr>
              <w:t>（1）认真落实保证金制度</w:t>
            </w:r>
          </w:p>
          <w:p>
            <w:pPr>
              <w:spacing w:line="360" w:lineRule="auto"/>
              <w:ind w:firstLine="480"/>
            </w:pPr>
            <w:r>
              <w:rPr>
                <w:rFonts w:hint="eastAsia"/>
              </w:rPr>
              <w:t>矿山应每年从生产经营收入中，提取经费用于当年度的矿山生态环境保护所需费用。同时应做好资金的使用管理，保证资金及时足额到位、实行专户存储、专款专用、不得挪作它用，以保障矿山生态环境保护与土地复垦工程顺利进行。本矿山生态环境保护未来按年度进行预存费用，在闭坑前一年预存完毕。</w:t>
            </w:r>
          </w:p>
          <w:p>
            <w:pPr>
              <w:spacing w:line="360" w:lineRule="auto"/>
              <w:ind w:firstLine="480"/>
            </w:pPr>
            <w:r>
              <w:rPr>
                <w:rFonts w:hint="eastAsia"/>
              </w:rPr>
              <w:t>（2）确保各项资金能落实到位。</w:t>
            </w:r>
          </w:p>
          <w:p>
            <w:pPr>
              <w:spacing w:line="360" w:lineRule="auto"/>
              <w:ind w:firstLine="480"/>
            </w:pPr>
            <w:r>
              <w:rPr>
                <w:rFonts w:hint="eastAsia"/>
              </w:rPr>
              <w:t>矿山地质环境保护与土地复垦行政管理部门，应根据矿山企业治理生态环境保护和土地复垦工作的进度状况、治理效果状况，及时返还全部或部分不同时段的恢复治理保证金，以保证矿山企业有足够的资金用于矿山生态环境保护与土地复垦工作。</w:t>
            </w:r>
          </w:p>
          <w:p>
            <w:pPr>
              <w:spacing w:line="360" w:lineRule="auto"/>
              <w:ind w:firstLine="480"/>
            </w:pPr>
            <w:r>
              <w:rPr>
                <w:rFonts w:hint="eastAsia"/>
              </w:rPr>
              <w:t>综上，实施有效的水土保持和生态修复措施后，将有效地防止防治责任范围内及周边地区环境恶化，使采矿造成的水土流失得到有效控制，被破坏的植被得到恢复，有利于整个生态系统的平衡，减轻各种自然灾害可能造成的损失。</w:t>
            </w:r>
          </w:p>
          <w:p>
            <w:pPr>
              <w:spacing w:line="360" w:lineRule="auto"/>
              <w:ind w:firstLine="480"/>
            </w:pPr>
            <w:r>
              <w:rPr>
                <w:rFonts w:hint="eastAsia"/>
              </w:rPr>
              <w:t>本项目属于自然资源开发项目，工程建设和运营中对区域生态环境的破坏是无可避免的。本着“谁破坏、谁恢复”的原则，企业应通过落实生态恢复措施来恢复和改善因本工程建设对生态环境的破坏，以最小生态代价获得项目建设的经济效益。实施有效的水土保持和生态恢复措施后，将使本工程建设带来的水土流失得到有效控制，在一定程度上恢复区域被破坏的生态环境。工程所采取的生态环境防护、恢复措施在技术上稳妥可靠，符合绿色矿山的建设要求，经济技术上是可行的。</w:t>
            </w:r>
          </w:p>
          <w:p>
            <w:pPr>
              <w:spacing w:line="360" w:lineRule="auto"/>
              <w:ind w:firstLine="0" w:firstLineChars="0"/>
              <w:rPr>
                <w:b/>
                <w:sz w:val="28"/>
                <w:szCs w:val="28"/>
              </w:rPr>
            </w:pPr>
            <w:r>
              <w:rPr>
                <w:rFonts w:hint="eastAsia"/>
                <w:b/>
                <w:sz w:val="28"/>
                <w:szCs w:val="28"/>
              </w:rPr>
              <w:t>7</w:t>
            </w:r>
            <w:r>
              <w:rPr>
                <w:b/>
                <w:sz w:val="28"/>
                <w:szCs w:val="28"/>
              </w:rPr>
              <w:t>.</w:t>
            </w:r>
            <w:r>
              <w:rPr>
                <w:rFonts w:hint="eastAsia"/>
                <w:b/>
                <w:sz w:val="28"/>
                <w:szCs w:val="28"/>
              </w:rPr>
              <w:t>环境风险防范措施</w:t>
            </w:r>
          </w:p>
          <w:p>
            <w:pPr>
              <w:spacing w:line="360" w:lineRule="auto"/>
              <w:ind w:firstLine="0" w:firstLineChars="0"/>
              <w:rPr>
                <w:b/>
              </w:rPr>
            </w:pPr>
            <w:r>
              <w:rPr>
                <w:rFonts w:hint="eastAsia"/>
                <w:b/>
              </w:rPr>
              <w:t>7</w:t>
            </w:r>
            <w:r>
              <w:rPr>
                <w:b/>
              </w:rPr>
              <w:t>.1</w:t>
            </w:r>
            <w:r>
              <w:rPr>
                <w:rFonts w:hint="eastAsia"/>
                <w:b/>
              </w:rPr>
              <w:t>表土临时堆置场风险防范措施</w:t>
            </w:r>
          </w:p>
          <w:p>
            <w:pPr>
              <w:spacing w:line="360" w:lineRule="auto"/>
              <w:ind w:firstLine="480"/>
            </w:pPr>
            <w:r>
              <w:rPr>
                <w:rFonts w:hint="eastAsia"/>
              </w:rPr>
              <w:t>表土临时堆置场的事故主要来自于水土流失造成的滑坡、泥石流。在项目废土的暂存过程中应严格执行以下的治理措施：</w:t>
            </w:r>
          </w:p>
          <w:p>
            <w:pPr>
              <w:spacing w:line="360" w:lineRule="auto"/>
              <w:ind w:firstLine="480"/>
            </w:pPr>
            <w:r>
              <w:rPr>
                <w:rFonts w:hint="eastAsia"/>
              </w:rPr>
              <w:t>①根据设计边界完成外部截水，废土堆场周边须设截水沟，防止山坡径流冲蚀堆置场，</w:t>
            </w:r>
          </w:p>
          <w:p>
            <w:pPr>
              <w:spacing w:line="360" w:lineRule="auto"/>
              <w:ind w:firstLine="480"/>
            </w:pPr>
            <w:r>
              <w:rPr>
                <w:rFonts w:hint="eastAsia"/>
              </w:rPr>
              <w:t>②根据设计边界修筑坡底拦渣坝，防止松散泥土雨季流失；</w:t>
            </w:r>
          </w:p>
          <w:p>
            <w:pPr>
              <w:spacing w:line="360" w:lineRule="auto"/>
              <w:ind w:firstLine="480"/>
            </w:pPr>
            <w:r>
              <w:rPr>
                <w:rFonts w:hint="eastAsia"/>
              </w:rPr>
              <w:t>③修筑临时堆置场专用排洪沟；</w:t>
            </w:r>
          </w:p>
          <w:p>
            <w:pPr>
              <w:spacing w:line="360" w:lineRule="auto"/>
              <w:ind w:firstLine="480"/>
            </w:pPr>
            <w:r>
              <w:rPr>
                <w:rFonts w:hint="eastAsia"/>
              </w:rPr>
              <w:t>④在临时堆置场下游修建沉淀池，预防水土流失;</w:t>
            </w:r>
          </w:p>
          <w:p>
            <w:pPr>
              <w:spacing w:line="360" w:lineRule="auto"/>
              <w:ind w:firstLine="480"/>
            </w:pPr>
            <w:r>
              <w:rPr>
                <w:rFonts w:hint="eastAsia"/>
              </w:rPr>
              <w:t>⑤施工后期应及时进行土地整治和绿化恢复。</w:t>
            </w:r>
          </w:p>
          <w:p>
            <w:pPr>
              <w:spacing w:line="360" w:lineRule="auto"/>
              <w:ind w:firstLine="480"/>
            </w:pPr>
            <w:r>
              <w:rPr>
                <w:rFonts w:hint="eastAsia"/>
              </w:rPr>
              <w:t>项目临时堆置场采取上述各项临时挡拦工程措施和植物措施后，可保证临时排土场中的临时弃土的稳定性，措施可行。</w:t>
            </w:r>
          </w:p>
          <w:p>
            <w:pPr>
              <w:spacing w:line="360" w:lineRule="auto"/>
              <w:ind w:firstLine="0" w:firstLineChars="0"/>
              <w:rPr>
                <w:b/>
              </w:rPr>
            </w:pPr>
            <w:r>
              <w:rPr>
                <w:rFonts w:hint="eastAsia"/>
                <w:b/>
              </w:rPr>
              <w:t>7</w:t>
            </w:r>
            <w:r>
              <w:rPr>
                <w:b/>
              </w:rPr>
              <w:t>.2</w:t>
            </w:r>
            <w:r>
              <w:rPr>
                <w:rFonts w:hint="eastAsia"/>
                <w:b/>
              </w:rPr>
              <w:t>开采区地质灾害风险防范措施</w:t>
            </w:r>
          </w:p>
          <w:p>
            <w:pPr>
              <w:spacing w:line="360" w:lineRule="auto"/>
              <w:ind w:firstLine="480"/>
            </w:pPr>
            <w:r>
              <w:rPr>
                <w:rFonts w:hint="eastAsia"/>
              </w:rPr>
              <w:t>完善管理措施。根据矿山的实际情况，认真开展矿区地质灾害调查、勘察与评价工作，掌握地质灾害的成因、发育情况与分布特点，准确圈出地质灾害易发区与危险区提出防治与保护的措施和方法，提供给有关部门设计与施工。建立健全地质灾害防治机构，重视防灾资金的投入。建立地质灾害监测预报系统，及时提供防灾信息。坚持矿业开发与地质灾害防治工程同时设计、同时施工、同时管理的方针。</w:t>
            </w:r>
          </w:p>
          <w:p>
            <w:pPr>
              <w:spacing w:line="360" w:lineRule="auto"/>
              <w:ind w:firstLine="480"/>
            </w:pPr>
            <w:r>
              <w:rPr>
                <w:rFonts w:hint="eastAsia"/>
              </w:rPr>
              <w:t>滑坡防治措施：根据各地段边坡地质构造，岩层结构及其稳定性和滑坡特点，分别采取削坡减载、设挡土（碴）墙、封闭坡面、砌体护坡、打抗滑桩、植被等方法进行滑坡防治。</w:t>
            </w:r>
          </w:p>
          <w:p>
            <w:pPr>
              <w:spacing w:line="360" w:lineRule="auto"/>
              <w:ind w:firstLine="480"/>
            </w:pPr>
            <w:r>
              <w:rPr>
                <w:rFonts w:hint="eastAsia"/>
              </w:rPr>
              <w:t>山体塌方防治措施，采取缓坡减灾、砌体加固和避免超高剥采方法。矿坑外山坡崩塌主要采取建防排水沟、砌挡土坝、种树等方法。</w:t>
            </w:r>
          </w:p>
          <w:p>
            <w:pPr>
              <w:spacing w:line="360" w:lineRule="auto"/>
              <w:ind w:firstLine="480"/>
            </w:pPr>
          </w:p>
          <w:p>
            <w:pPr>
              <w:spacing w:line="360" w:lineRule="auto"/>
              <w:ind w:firstLine="0" w:firstLineChars="0"/>
              <w:rPr>
                <w:b/>
              </w:rPr>
            </w:pPr>
            <w:r>
              <w:rPr>
                <w:rFonts w:hint="eastAsia"/>
                <w:b/>
              </w:rPr>
              <w:t>7</w:t>
            </w:r>
            <w:r>
              <w:rPr>
                <w:b/>
              </w:rPr>
              <w:t>.4</w:t>
            </w:r>
            <w:r>
              <w:rPr>
                <w:rFonts w:hint="eastAsia"/>
                <w:b/>
              </w:rPr>
              <w:t>火灾事故风险防范措施</w:t>
            </w:r>
          </w:p>
          <w:p>
            <w:pPr>
              <w:spacing w:line="360" w:lineRule="auto"/>
              <w:ind w:firstLine="480"/>
            </w:pPr>
            <w:r>
              <w:rPr>
                <w:rFonts w:hint="eastAsia"/>
              </w:rPr>
              <w:t>①消除和控制明火源，配备灭火器、消防沙等消防物质，以便及时扑灭初期火灾；</w:t>
            </w:r>
          </w:p>
          <w:p>
            <w:pPr>
              <w:spacing w:line="360" w:lineRule="auto"/>
              <w:ind w:firstLine="480"/>
            </w:pPr>
            <w:r>
              <w:rPr>
                <w:rFonts w:hint="eastAsia"/>
              </w:rPr>
              <w:t>②如发生事故，产生的消防废水需收集到沉淀池，确保消防废水不会直接排入水体；</w:t>
            </w:r>
          </w:p>
          <w:p>
            <w:pPr>
              <w:spacing w:line="360" w:lineRule="auto"/>
              <w:ind w:firstLine="0" w:firstLineChars="0"/>
              <w:rPr>
                <w:b/>
                <w:u w:val="single"/>
              </w:rPr>
            </w:pPr>
            <w:r>
              <w:rPr>
                <w:rFonts w:hint="eastAsia"/>
                <w:b/>
                <w:u w:val="single"/>
              </w:rPr>
              <w:t>7</w:t>
            </w:r>
            <w:r>
              <w:rPr>
                <w:b/>
                <w:u w:val="single"/>
              </w:rPr>
              <w:t>.</w:t>
            </w:r>
            <w:r>
              <w:rPr>
                <w:rFonts w:hint="eastAsia"/>
                <w:b/>
                <w:u w:val="single"/>
              </w:rPr>
              <w:t>5柴油泄漏风险防范措施</w:t>
            </w:r>
          </w:p>
          <w:p>
            <w:pPr>
              <w:spacing w:line="360" w:lineRule="auto"/>
              <w:ind w:firstLine="480"/>
            </w:pPr>
            <w:r>
              <w:rPr>
                <w:rFonts w:hint="eastAsia"/>
                <w:u w:val="single"/>
              </w:rPr>
              <w:t>在项目现场准备好泄漏物清理工具和盛装容器，以便在泄漏事故发生后能及时清理泄漏物，防止污染物渗入地下水；在泄漏物清理后及时用水冲洗地面；准备好土壤挖掘工具和盛装容器，以便能及时处理受泄漏物影响的土壤，防止土壤中污染物进一步下渗从而影响地下水。</w:t>
            </w:r>
          </w:p>
          <w:p>
            <w:pPr>
              <w:spacing w:line="360" w:lineRule="auto"/>
              <w:ind w:firstLine="0" w:firstLineChars="0"/>
              <w:rPr>
                <w:b/>
              </w:rPr>
            </w:pPr>
            <w:r>
              <w:rPr>
                <w:rFonts w:hint="eastAsia"/>
                <w:b/>
              </w:rPr>
              <w:t>7</w:t>
            </w:r>
            <w:r>
              <w:rPr>
                <w:b/>
              </w:rPr>
              <w:t>.</w:t>
            </w:r>
            <w:r>
              <w:rPr>
                <w:rFonts w:hint="eastAsia"/>
                <w:b/>
              </w:rPr>
              <w:t>6其他风险防范措施</w:t>
            </w:r>
          </w:p>
          <w:p>
            <w:pPr>
              <w:spacing w:line="360" w:lineRule="auto"/>
              <w:ind w:firstLine="480"/>
            </w:pPr>
            <w:r>
              <w:rPr>
                <w:rFonts w:hint="eastAsia"/>
              </w:rPr>
              <w:t>建议本矿区成立应急预案小组，规范其职责是在发生环境风险事故时，分析灾情、确定事故救援方案、制定各阶段的应急对策，发布组织指挥救援队伍，向各应急救援专业队伍下达指挥命令、向上级部门汇报、以及向周边单位通报事故情况，如有需要则发出救援请求，并负责组织事故调查、总结应急救援工作的经验教训，平时负责本预案的制定、修订，检查督促做好风险事故预防和应急救援准备工作，包括应急教育、培训和定期演练等活动。</w:t>
            </w:r>
          </w:p>
          <w:p>
            <w:pPr>
              <w:spacing w:line="360" w:lineRule="auto"/>
              <w:ind w:firstLine="480"/>
            </w:pPr>
            <w:r>
              <w:rPr>
                <w:rFonts w:hint="eastAsia"/>
              </w:rPr>
              <w:t>综上，在采取以上措施后，能够将项目运营期对环境的影响降至最低，措施可行。</w:t>
            </w: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80"/>
            </w:pPr>
          </w:p>
          <w:p>
            <w:pPr>
              <w:spacing w:line="360" w:lineRule="auto"/>
              <w:ind w:firstLine="420"/>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99" w:type="dxa"/>
            <w:vAlign w:val="center"/>
          </w:tcPr>
          <w:p>
            <w:pPr>
              <w:spacing w:line="240" w:lineRule="auto"/>
              <w:ind w:firstLine="0" w:firstLineChars="0"/>
              <w:jc w:val="center"/>
            </w:pPr>
            <w:r>
              <w:rPr>
                <w:rFonts w:hint="eastAsia"/>
              </w:rPr>
              <w:t>其他</w:t>
            </w:r>
          </w:p>
        </w:tc>
        <w:tc>
          <w:tcPr>
            <w:tcW w:w="7805" w:type="dxa"/>
            <w:vAlign w:val="center"/>
          </w:tcPr>
          <w:p>
            <w:pPr>
              <w:spacing w:line="360" w:lineRule="auto"/>
              <w:ind w:firstLine="0" w:firstLineChars="0"/>
              <w:rPr>
                <w:b/>
                <w:sz w:val="28"/>
              </w:rPr>
            </w:pPr>
            <w:r>
              <w:rPr>
                <w:rFonts w:hint="eastAsia"/>
                <w:b/>
                <w:sz w:val="28"/>
              </w:rPr>
              <w:t>1、环境监测计划</w:t>
            </w:r>
          </w:p>
          <w:p>
            <w:pPr>
              <w:spacing w:line="360" w:lineRule="auto"/>
              <w:ind w:firstLine="0" w:firstLineChars="0"/>
              <w:rPr>
                <w:b/>
              </w:rPr>
            </w:pPr>
            <w:r>
              <w:rPr>
                <w:rFonts w:hint="eastAsia"/>
                <w:b/>
              </w:rPr>
              <w:t>1</w:t>
            </w:r>
            <w:r>
              <w:rPr>
                <w:b/>
              </w:rPr>
              <w:t>.1</w:t>
            </w:r>
            <w:r>
              <w:rPr>
                <w:rFonts w:hint="eastAsia"/>
                <w:b/>
              </w:rPr>
              <w:t>施工期</w:t>
            </w:r>
          </w:p>
          <w:p>
            <w:pPr>
              <w:spacing w:line="360" w:lineRule="auto"/>
              <w:ind w:firstLine="480"/>
            </w:pPr>
            <w:r>
              <w:rPr>
                <w:rFonts w:hint="eastAsia"/>
              </w:rPr>
              <w:t>为了及时了解和掌握建设项目施工期主要污染源污染物的排放状况，项目建设单位应定期委托有资质的环境监测单位对施工期主要污染源排放的污染物进行监测。主要监测内容详见下表。</w:t>
            </w:r>
          </w:p>
          <w:p>
            <w:pPr>
              <w:pStyle w:val="2"/>
              <w:spacing w:line="360" w:lineRule="auto"/>
              <w:rPr>
                <w:b w:val="0"/>
              </w:rPr>
            </w:pPr>
            <w:r>
              <w:rPr>
                <w:rFonts w:hint="eastAsia"/>
                <w:b w:val="0"/>
              </w:rPr>
              <w:t>表5</w:t>
            </w:r>
            <w:r>
              <w:rPr>
                <w:b w:val="0"/>
              </w:rPr>
              <w:t xml:space="preserve">-1 </w:t>
            </w:r>
            <w:r>
              <w:rPr>
                <w:rFonts w:hint="eastAsia"/>
                <w:b w:val="0"/>
              </w:rPr>
              <w:t>施工期环境监测计划</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1"/>
              <w:gridCol w:w="992"/>
              <w:gridCol w:w="1134"/>
              <w:gridCol w:w="1134"/>
              <w:gridCol w:w="3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41" w:type="dxa"/>
                  <w:vAlign w:val="center"/>
                </w:tcPr>
                <w:p>
                  <w:pPr>
                    <w:pStyle w:val="13"/>
                  </w:pPr>
                  <w:r>
                    <w:rPr>
                      <w:rFonts w:hint="eastAsia"/>
                    </w:rPr>
                    <w:t>类别</w:t>
                  </w:r>
                </w:p>
              </w:tc>
              <w:tc>
                <w:tcPr>
                  <w:tcW w:w="992" w:type="dxa"/>
                  <w:vAlign w:val="center"/>
                </w:tcPr>
                <w:p>
                  <w:pPr>
                    <w:pStyle w:val="13"/>
                  </w:pPr>
                  <w:r>
                    <w:rPr>
                      <w:rFonts w:hint="eastAsia"/>
                    </w:rPr>
                    <w:t>监测点</w:t>
                  </w:r>
                </w:p>
              </w:tc>
              <w:tc>
                <w:tcPr>
                  <w:tcW w:w="1134" w:type="dxa"/>
                  <w:vAlign w:val="center"/>
                </w:tcPr>
                <w:p>
                  <w:pPr>
                    <w:pStyle w:val="13"/>
                  </w:pPr>
                  <w:r>
                    <w:rPr>
                      <w:rFonts w:hint="eastAsia"/>
                    </w:rPr>
                    <w:t>监测项目</w:t>
                  </w:r>
                </w:p>
              </w:tc>
              <w:tc>
                <w:tcPr>
                  <w:tcW w:w="1134" w:type="dxa"/>
                  <w:vAlign w:val="center"/>
                </w:tcPr>
                <w:p>
                  <w:pPr>
                    <w:pStyle w:val="13"/>
                  </w:pPr>
                  <w:r>
                    <w:rPr>
                      <w:rFonts w:hint="eastAsia"/>
                    </w:rPr>
                    <w:t>监测频率</w:t>
                  </w:r>
                </w:p>
              </w:tc>
              <w:tc>
                <w:tcPr>
                  <w:tcW w:w="3578" w:type="dxa"/>
                  <w:vAlign w:val="center"/>
                </w:tcPr>
                <w:p>
                  <w:pPr>
                    <w:pStyle w:val="13"/>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41" w:type="dxa"/>
                  <w:vAlign w:val="center"/>
                </w:tcPr>
                <w:p>
                  <w:pPr>
                    <w:pStyle w:val="13"/>
                  </w:pPr>
                  <w:r>
                    <w:rPr>
                      <w:rFonts w:hint="eastAsia"/>
                    </w:rPr>
                    <w:t>大气污染源</w:t>
                  </w:r>
                </w:p>
              </w:tc>
              <w:tc>
                <w:tcPr>
                  <w:tcW w:w="992" w:type="dxa"/>
                  <w:vAlign w:val="center"/>
                </w:tcPr>
                <w:p>
                  <w:pPr>
                    <w:pStyle w:val="13"/>
                  </w:pPr>
                  <w:r>
                    <w:rPr>
                      <w:rFonts w:hint="eastAsia"/>
                    </w:rPr>
                    <w:t>施工场界四周</w:t>
                  </w:r>
                </w:p>
              </w:tc>
              <w:tc>
                <w:tcPr>
                  <w:tcW w:w="1134" w:type="dxa"/>
                  <w:vAlign w:val="center"/>
                </w:tcPr>
                <w:p>
                  <w:pPr>
                    <w:pStyle w:val="13"/>
                  </w:pPr>
                  <w:r>
                    <w:rPr>
                      <w:rFonts w:hint="eastAsia"/>
                    </w:rPr>
                    <w:t>T</w:t>
                  </w:r>
                  <w:r>
                    <w:t>SP</w:t>
                  </w:r>
                </w:p>
              </w:tc>
              <w:tc>
                <w:tcPr>
                  <w:tcW w:w="1134" w:type="dxa"/>
                  <w:vAlign w:val="center"/>
                </w:tcPr>
                <w:p>
                  <w:pPr>
                    <w:pStyle w:val="13"/>
                  </w:pPr>
                  <w:r>
                    <w:rPr>
                      <w:rFonts w:hint="eastAsia"/>
                    </w:rPr>
                    <w:t>1次/季度，每次1天</w:t>
                  </w:r>
                </w:p>
              </w:tc>
              <w:tc>
                <w:tcPr>
                  <w:tcW w:w="3578" w:type="dxa"/>
                  <w:vAlign w:val="center"/>
                </w:tcPr>
                <w:p>
                  <w:pPr>
                    <w:pStyle w:val="13"/>
                    <w:wordWrap w:val="0"/>
                  </w:pPr>
                  <w:r>
                    <w:rPr>
                      <w:rFonts w:hint="eastAsia"/>
                    </w:rPr>
                    <w:t>《大气污染物综合排放标准》（GB</w:t>
                  </w:r>
                  <w:r>
                    <w:t>16297</w:t>
                  </w:r>
                  <w:r>
                    <w:rPr>
                      <w:rFonts w:hint="eastAsia"/>
                    </w:rPr>
                    <w:t>-</w:t>
                  </w:r>
                  <w:r>
                    <w:t>1996</w:t>
                  </w:r>
                  <w:r>
                    <w:rPr>
                      <w:rFonts w:hint="eastAsia"/>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741" w:type="dxa"/>
                  <w:vAlign w:val="center"/>
                </w:tcPr>
                <w:p>
                  <w:pPr>
                    <w:pStyle w:val="13"/>
                  </w:pPr>
                  <w:r>
                    <w:rPr>
                      <w:rFonts w:hint="eastAsia"/>
                    </w:rPr>
                    <w:t>噪声</w:t>
                  </w:r>
                </w:p>
              </w:tc>
              <w:tc>
                <w:tcPr>
                  <w:tcW w:w="992" w:type="dxa"/>
                  <w:vAlign w:val="center"/>
                </w:tcPr>
                <w:p>
                  <w:pPr>
                    <w:pStyle w:val="13"/>
                  </w:pPr>
                  <w:r>
                    <w:rPr>
                      <w:rFonts w:hint="eastAsia"/>
                    </w:rPr>
                    <w:t>施工场界四周</w:t>
                  </w:r>
                </w:p>
              </w:tc>
              <w:tc>
                <w:tcPr>
                  <w:tcW w:w="1134" w:type="dxa"/>
                  <w:vAlign w:val="center"/>
                </w:tcPr>
                <w:p>
                  <w:pPr>
                    <w:pStyle w:val="13"/>
                  </w:pPr>
                  <w:r>
                    <w:rPr>
                      <w:rFonts w:hint="eastAsia"/>
                    </w:rPr>
                    <w:t>等效连续A声级</w:t>
                  </w:r>
                </w:p>
              </w:tc>
              <w:tc>
                <w:tcPr>
                  <w:tcW w:w="1134" w:type="dxa"/>
                  <w:vAlign w:val="center"/>
                </w:tcPr>
                <w:p>
                  <w:pPr>
                    <w:pStyle w:val="13"/>
                  </w:pPr>
                  <w:r>
                    <w:rPr>
                      <w:rFonts w:hint="eastAsia"/>
                    </w:rPr>
                    <w:t>1天/季度，昼夜各1次</w:t>
                  </w:r>
                </w:p>
              </w:tc>
              <w:tc>
                <w:tcPr>
                  <w:tcW w:w="3578" w:type="dxa"/>
                  <w:vAlign w:val="center"/>
                </w:tcPr>
                <w:p>
                  <w:pPr>
                    <w:pStyle w:val="13"/>
                  </w:pPr>
                  <w:r>
                    <w:rPr>
                      <w:rFonts w:hint="eastAsia"/>
                    </w:rPr>
                    <w:t>《建筑施工场界环境噪声排放标准》（GB12523-2011）</w:t>
                  </w:r>
                </w:p>
              </w:tc>
            </w:tr>
          </w:tbl>
          <w:p>
            <w:pPr>
              <w:spacing w:line="360" w:lineRule="auto"/>
              <w:ind w:firstLine="0" w:firstLineChars="0"/>
              <w:rPr>
                <w:b/>
              </w:rPr>
            </w:pPr>
            <w:r>
              <w:rPr>
                <w:rFonts w:hint="eastAsia"/>
                <w:b/>
              </w:rPr>
              <w:t>1</w:t>
            </w:r>
            <w:r>
              <w:rPr>
                <w:b/>
              </w:rPr>
              <w:t>.2</w:t>
            </w:r>
            <w:r>
              <w:rPr>
                <w:rFonts w:hint="eastAsia"/>
                <w:b/>
              </w:rPr>
              <w:t>运营期</w:t>
            </w:r>
          </w:p>
          <w:p>
            <w:pPr>
              <w:spacing w:line="360" w:lineRule="auto"/>
              <w:ind w:firstLine="480"/>
            </w:pPr>
            <w:r>
              <w:rPr>
                <w:rFonts w:hint="eastAsia"/>
              </w:rPr>
              <w:t>（1）废气与噪声监测</w:t>
            </w:r>
          </w:p>
          <w:p>
            <w:pPr>
              <w:pStyle w:val="2"/>
              <w:spacing w:line="360" w:lineRule="auto"/>
              <w:rPr>
                <w:b w:val="0"/>
              </w:rPr>
            </w:pPr>
            <w:r>
              <w:rPr>
                <w:rFonts w:hint="eastAsia"/>
                <w:b w:val="0"/>
              </w:rPr>
              <w:t>表5</w:t>
            </w:r>
            <w:r>
              <w:rPr>
                <w:b w:val="0"/>
              </w:rPr>
              <w:t xml:space="preserve">-2 </w:t>
            </w:r>
            <w:r>
              <w:rPr>
                <w:rFonts w:hint="eastAsia"/>
                <w:b w:val="0"/>
              </w:rPr>
              <w:t>运营期废气与噪声监测计划表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11"/>
              <w:gridCol w:w="993"/>
              <w:gridCol w:w="11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27" w:type="pct"/>
                  <w:vAlign w:val="center"/>
                </w:tcPr>
                <w:p>
                  <w:pPr>
                    <w:pStyle w:val="13"/>
                  </w:pPr>
                  <w:r>
                    <w:rPr>
                      <w:rFonts w:hint="eastAsia"/>
                    </w:rPr>
                    <w:t>监测点</w:t>
                  </w:r>
                </w:p>
              </w:tc>
              <w:tc>
                <w:tcPr>
                  <w:tcW w:w="655" w:type="pct"/>
                  <w:vAlign w:val="center"/>
                </w:tcPr>
                <w:p>
                  <w:pPr>
                    <w:pStyle w:val="13"/>
                  </w:pPr>
                  <w:r>
                    <w:rPr>
                      <w:rFonts w:hint="eastAsia"/>
                    </w:rPr>
                    <w:t>监测项目</w:t>
                  </w:r>
                </w:p>
              </w:tc>
              <w:tc>
                <w:tcPr>
                  <w:tcW w:w="749" w:type="pct"/>
                  <w:vAlign w:val="center"/>
                </w:tcPr>
                <w:p>
                  <w:pPr>
                    <w:pStyle w:val="13"/>
                  </w:pPr>
                  <w:r>
                    <w:rPr>
                      <w:rFonts w:hint="eastAsia"/>
                    </w:rPr>
                    <w:t>监测频率</w:t>
                  </w:r>
                </w:p>
              </w:tc>
              <w:tc>
                <w:tcPr>
                  <w:tcW w:w="2269" w:type="pct"/>
                  <w:vAlign w:val="center"/>
                </w:tcPr>
                <w:p>
                  <w:pPr>
                    <w:pStyle w:val="13"/>
                  </w:pPr>
                  <w:r>
                    <w:rPr>
                      <w:rFonts w:hint="eastAsia"/>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27" w:type="pct"/>
                  <w:vAlign w:val="center"/>
                </w:tcPr>
                <w:p>
                  <w:pPr>
                    <w:pStyle w:val="13"/>
                  </w:pPr>
                  <w:r>
                    <w:rPr>
                      <w:rFonts w:hint="eastAsia"/>
                    </w:rPr>
                    <w:t>采矿区边界(上风向1个点，下风向3个点)</w:t>
                  </w:r>
                </w:p>
              </w:tc>
              <w:tc>
                <w:tcPr>
                  <w:tcW w:w="655" w:type="pct"/>
                  <w:vAlign w:val="center"/>
                </w:tcPr>
                <w:p>
                  <w:pPr>
                    <w:pStyle w:val="13"/>
                  </w:pPr>
                  <w:r>
                    <w:rPr>
                      <w:rFonts w:hint="eastAsia"/>
                    </w:rPr>
                    <w:t>T</w:t>
                  </w:r>
                  <w:r>
                    <w:t>SP</w:t>
                  </w:r>
                </w:p>
              </w:tc>
              <w:tc>
                <w:tcPr>
                  <w:tcW w:w="749" w:type="pct"/>
                  <w:vAlign w:val="center"/>
                </w:tcPr>
                <w:p>
                  <w:pPr>
                    <w:pStyle w:val="13"/>
                  </w:pPr>
                  <w:r>
                    <w:rPr>
                      <w:rFonts w:hint="eastAsia"/>
                    </w:rPr>
                    <w:t>1次/季度，每次1天</w:t>
                  </w:r>
                </w:p>
              </w:tc>
              <w:tc>
                <w:tcPr>
                  <w:tcW w:w="2269" w:type="pct"/>
                  <w:vAlign w:val="center"/>
                </w:tcPr>
                <w:p>
                  <w:pPr>
                    <w:pStyle w:val="13"/>
                  </w:pPr>
                  <w:r>
                    <w:rPr>
                      <w:rFonts w:hint="eastAsia"/>
                    </w:rPr>
                    <w:t>《大气污染物综合排放标准》（GB</w:t>
                  </w:r>
                  <w:r>
                    <w:t>16297</w:t>
                  </w:r>
                  <w:r>
                    <w:rPr>
                      <w:rFonts w:hint="eastAsia"/>
                    </w:rPr>
                    <w:t>-</w:t>
                  </w:r>
                  <w:r>
                    <w:t>1996</w:t>
                  </w:r>
                  <w:r>
                    <w:rPr>
                      <w:rFonts w:hint="eastAsia"/>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327" w:type="pct"/>
                  <w:vAlign w:val="center"/>
                </w:tcPr>
                <w:p>
                  <w:pPr>
                    <w:pStyle w:val="13"/>
                  </w:pPr>
                  <w:r>
                    <w:rPr>
                      <w:rFonts w:hint="eastAsia"/>
                    </w:rPr>
                    <w:t>采矿区、加工区边界1</w:t>
                  </w:r>
                  <w:r>
                    <w:t>m</w:t>
                  </w:r>
                  <w:r>
                    <w:rPr>
                      <w:rFonts w:hint="eastAsia"/>
                    </w:rPr>
                    <w:t>处</w:t>
                  </w:r>
                </w:p>
              </w:tc>
              <w:tc>
                <w:tcPr>
                  <w:tcW w:w="655" w:type="pct"/>
                  <w:vAlign w:val="center"/>
                </w:tcPr>
                <w:p>
                  <w:pPr>
                    <w:pStyle w:val="13"/>
                  </w:pPr>
                  <w:r>
                    <w:rPr>
                      <w:rFonts w:hint="eastAsia"/>
                    </w:rPr>
                    <w:t>等效连续A声级</w:t>
                  </w:r>
                </w:p>
              </w:tc>
              <w:tc>
                <w:tcPr>
                  <w:tcW w:w="749" w:type="pct"/>
                  <w:vAlign w:val="center"/>
                </w:tcPr>
                <w:p>
                  <w:pPr>
                    <w:pStyle w:val="13"/>
                  </w:pPr>
                  <w:r>
                    <w:rPr>
                      <w:rFonts w:hint="eastAsia"/>
                    </w:rPr>
                    <w:t>1天/季度，昼夜各1次</w:t>
                  </w:r>
                </w:p>
              </w:tc>
              <w:tc>
                <w:tcPr>
                  <w:tcW w:w="2269" w:type="pct"/>
                  <w:vAlign w:val="center"/>
                </w:tcPr>
                <w:p>
                  <w:pPr>
                    <w:pStyle w:val="13"/>
                  </w:pPr>
                  <w:r>
                    <w:rPr>
                      <w:rFonts w:hint="eastAsia"/>
                    </w:rPr>
                    <w:t>《工业企业厂界环境噪声排放标准》（GB12348-2008）</w:t>
                  </w:r>
                  <w:r>
                    <w:t>1</w:t>
                  </w:r>
                  <w:r>
                    <w:rPr>
                      <w:rFonts w:hint="eastAsia"/>
                    </w:rPr>
                    <w:t>类标准</w:t>
                  </w:r>
                </w:p>
              </w:tc>
            </w:tr>
          </w:tbl>
          <w:p>
            <w:pPr>
              <w:spacing w:line="360" w:lineRule="auto"/>
              <w:ind w:firstLine="480"/>
            </w:pPr>
            <w:r>
              <w:rPr>
                <w:rFonts w:hint="eastAsia" w:ascii="宋体" w:hAnsi="宋体"/>
              </w:rPr>
              <w:t>（</w:t>
            </w:r>
            <w:r>
              <w:rPr>
                <w:rFonts w:hint="eastAsia"/>
              </w:rPr>
              <w:t>2</w:t>
            </w:r>
            <w:r>
              <w:rPr>
                <w:rFonts w:hint="eastAsia" w:ascii="宋体" w:hAnsi="宋体"/>
              </w:rPr>
              <w:t>）生态监测</w:t>
            </w:r>
          </w:p>
          <w:p>
            <w:pPr>
              <w:spacing w:line="360" w:lineRule="auto"/>
              <w:ind w:firstLine="480"/>
            </w:pPr>
            <w:r>
              <w:rPr>
                <w:rFonts w:hint="eastAsia"/>
              </w:rPr>
              <w:t>主要监测运营期土地复垦、绿化的生态恢复措施，监测内容为植物生长势、高度、种植密度、成活率、郁闭度、生长量等。</w:t>
            </w:r>
          </w:p>
          <w:p>
            <w:pPr>
              <w:spacing w:line="360" w:lineRule="auto"/>
              <w:ind w:firstLine="480"/>
            </w:pPr>
            <w:r>
              <w:rPr>
                <w:rFonts w:hint="eastAsia"/>
              </w:rPr>
              <w:t>监测方法为样方随机调查法，每年监测2次，在露天采矿区、表土临时堆置场、道路周边随机设置监测点位，具体监测点位可参考附图</w:t>
            </w:r>
            <w:r>
              <w:t>14</w:t>
            </w:r>
            <w:r>
              <w:rPr>
                <w:rFonts w:hint="eastAsia"/>
              </w:rPr>
              <w:t>。运营期间应加强对复垦措施的日常维护，掌握植物生长情况，保证种植的成活率，定期查看植物长势，对于不成活坏死的植物，应及时清除、补种。</w:t>
            </w:r>
          </w:p>
          <w:p>
            <w:pPr>
              <w:spacing w:line="360" w:lineRule="auto"/>
              <w:ind w:firstLine="0" w:firstLineChars="0"/>
              <w:rPr>
                <w:b/>
              </w:rPr>
            </w:pPr>
            <w:r>
              <w:rPr>
                <w:rFonts w:hint="eastAsia"/>
                <w:b/>
              </w:rPr>
              <w:t>1</w:t>
            </w:r>
            <w:r>
              <w:rPr>
                <w:b/>
              </w:rPr>
              <w:t>.3</w:t>
            </w:r>
            <w:r>
              <w:rPr>
                <w:rFonts w:hint="eastAsia"/>
                <w:b/>
              </w:rPr>
              <w:t>闭场后期环境跟踪监测</w:t>
            </w:r>
          </w:p>
          <w:p>
            <w:pPr>
              <w:spacing w:line="360" w:lineRule="auto"/>
              <w:ind w:firstLine="480"/>
            </w:pPr>
            <w:r>
              <w:rPr>
                <w:rFonts w:hint="eastAsia"/>
              </w:rPr>
              <w:t>本着“谁污染谁治理，谁开发谁保护，谁破坏谁恢复”的原则，建设单位应根据闭坑矿山地质环境问题制定科学合理的治理方案，充分利用矿区废弃资源回填采空，因矿制宜进行闭坑后的土地复垦、绿化，不能给当地生态环境、农业生产和附近居民生活造成新的危害。</w:t>
            </w:r>
          </w:p>
          <w:p>
            <w:pPr>
              <w:spacing w:line="360" w:lineRule="auto"/>
              <w:ind w:firstLine="480"/>
            </w:pPr>
          </w:p>
          <w:p>
            <w:pPr>
              <w:spacing w:line="360" w:lineRule="auto"/>
              <w:ind w:firstLine="480"/>
            </w:pPr>
          </w:p>
          <w:p>
            <w:pPr>
              <w:spacing w:line="360" w:lineRule="auto"/>
              <w:ind w:firstLine="480"/>
            </w:pPr>
            <w:r>
              <w:rPr>
                <w:rFonts w:hint="eastAsia"/>
              </w:rPr>
              <w:t>（1）生态恢复监测</w:t>
            </w:r>
          </w:p>
          <w:p>
            <w:pPr>
              <w:spacing w:line="360" w:lineRule="auto"/>
              <w:ind w:firstLine="480"/>
            </w:pPr>
            <w:r>
              <w:rPr>
                <w:rFonts w:hint="eastAsia"/>
              </w:rPr>
              <w:t>项目闭场后对各区域进行土地复垦、绿化的生态恢复措施。监测内容为植物生长势、高度、种植密度、成活率、郁闭度、生长量等。</w:t>
            </w:r>
          </w:p>
          <w:p>
            <w:pPr>
              <w:spacing w:line="360" w:lineRule="auto"/>
              <w:ind w:firstLine="480"/>
            </w:pPr>
            <w:r>
              <w:rPr>
                <w:rFonts w:hint="eastAsia"/>
              </w:rPr>
              <w:t>监测方法为样方随机调查法，每年监测2次，加强对复垦措施的日常维护，掌握植物生长情况，保证种植的成活率，定期查看植物长势，对于不成活坏死的植物，应及时清除、补种。经过1年时间，植物大部分已稳定生长，区域生态基本恢复，后期可1年监测</w:t>
            </w:r>
            <w:r>
              <w:t>1</w:t>
            </w:r>
            <w:r>
              <w:rPr>
                <w:rFonts w:hint="eastAsia"/>
              </w:rPr>
              <w:t>次。</w:t>
            </w:r>
          </w:p>
          <w:p>
            <w:pPr>
              <w:spacing w:line="360" w:lineRule="auto"/>
              <w:ind w:firstLine="480"/>
            </w:pPr>
            <w:r>
              <w:rPr>
                <w:rFonts w:hint="eastAsia"/>
              </w:rPr>
              <w:t>（2）露采雨水排放监测</w:t>
            </w:r>
          </w:p>
          <w:p>
            <w:pPr>
              <w:spacing w:line="360" w:lineRule="auto"/>
              <w:ind w:firstLine="480"/>
            </w:pPr>
            <w:r>
              <w:rPr>
                <w:rFonts w:hint="eastAsia"/>
              </w:rPr>
              <w:t>项目闭场后，大部分用地刚进行土地复垦和绿化，植被还未稳定生长，无法起到固土作用，故此时遭遇雨水天气，还会造成水土流失。因此还需对沉砂池出水进行监测，保证露采雨水经沉淀处理后能达标排放，不对下游河流以及农田等造成影响。植被生长稳定期按1年计，1年后植被能起到固土作用，雨季时产生的水土流失较弱，沉砂池出水能保证达标排放。此时闭场后的露采雨水监测只需1年的跟踪监测。</w:t>
            </w:r>
          </w:p>
          <w:p>
            <w:pPr>
              <w:spacing w:line="360" w:lineRule="auto"/>
              <w:ind w:firstLine="480"/>
            </w:pPr>
            <w:r>
              <w:rPr>
                <w:rFonts w:hint="eastAsia"/>
              </w:rPr>
              <w:t>在沉砂池出水口设监测点1个，4-6月每个月观测一次，其余每3个月观测一次，24小时暴雨量超过50mm的时候增加一次监测。</w:t>
            </w:r>
          </w:p>
          <w:p>
            <w:pPr>
              <w:spacing w:line="360" w:lineRule="auto"/>
              <w:ind w:firstLine="480"/>
            </w:pPr>
            <w:r>
              <w:rPr>
                <w:rFonts w:hint="eastAsia"/>
              </w:rPr>
              <w:t>（3）崩塌、滑坡监测</w:t>
            </w:r>
          </w:p>
          <w:p>
            <w:pPr>
              <w:spacing w:line="360" w:lineRule="auto"/>
              <w:ind w:firstLine="480"/>
            </w:pPr>
            <w:r>
              <w:rPr>
                <w:rFonts w:hint="eastAsia"/>
              </w:rPr>
              <w:t>项目闭场后各开采平台之间形成边坡，由于地表径流冲蚀作用容易发生崩塌和滑坡。待项目生态恢复稳定后，场内的乔木、灌木根须发达，固土能力强，边坡较难发生相对位移而产生崩塌、滑坡。</w:t>
            </w:r>
          </w:p>
          <w:p>
            <w:pPr>
              <w:spacing w:line="360" w:lineRule="auto"/>
              <w:ind w:firstLine="480"/>
            </w:pPr>
            <w:r>
              <w:rPr>
                <w:rFonts w:hint="eastAsia"/>
              </w:rPr>
              <w:t>闭场后在露天采场内，监测线可垂直边坡倾向方位布设，每隔50~100m布置一条监测线，沿监测线走向每隔1-2个台阶布设一个移动监测点，布设监测点约40-50个。监测线与监测点形成监测网，可有效地监测露天采场边坡变形情况。闭场后前5年，每季度应监测一次，在汛期、雨季等情况下应每天一次连续跟踪监测；闭场5年后，每半年监测一次。</w:t>
            </w:r>
          </w:p>
          <w:p>
            <w:pPr>
              <w:spacing w:line="360" w:lineRule="auto"/>
              <w:ind w:firstLine="480"/>
            </w:pPr>
          </w:p>
          <w:p>
            <w:pPr>
              <w:spacing w:line="360" w:lineRule="auto"/>
              <w:ind w:firstLine="480"/>
            </w:pPr>
          </w:p>
          <w:p>
            <w:pPr>
              <w:spacing w:line="360" w:lineRule="auto"/>
              <w:ind w:firstLine="480"/>
            </w:pPr>
          </w:p>
          <w:p>
            <w:pPr>
              <w:spacing w:line="360" w:lineRule="auto"/>
              <w:ind w:firstLine="420"/>
              <w:rPr>
                <w:sz w:val="21"/>
                <w:szCs w:val="21"/>
              </w:rPr>
            </w:pPr>
          </w:p>
          <w:p>
            <w:pPr>
              <w:spacing w:line="360" w:lineRule="auto"/>
              <w:ind w:firstLine="420"/>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240" w:lineRule="auto"/>
              <w:ind w:firstLine="0" w:firstLineChars="0"/>
              <w:jc w:val="center"/>
            </w:pPr>
            <w:r>
              <w:rPr>
                <w:rFonts w:hint="eastAsia"/>
              </w:rPr>
              <w:t>环保投资</w:t>
            </w:r>
          </w:p>
        </w:tc>
        <w:tc>
          <w:tcPr>
            <w:tcW w:w="7805" w:type="dxa"/>
            <w:vAlign w:val="center"/>
          </w:tcPr>
          <w:p>
            <w:pPr>
              <w:spacing w:line="360" w:lineRule="auto"/>
              <w:ind w:firstLine="480"/>
            </w:pPr>
            <w:r>
              <w:rPr>
                <w:rFonts w:hint="eastAsia"/>
              </w:rPr>
              <w:t>本项目总投资约</w:t>
            </w:r>
            <w:r>
              <w:t>11669.26</w:t>
            </w:r>
            <w:r>
              <w:rPr>
                <w:rFonts w:hint="eastAsia"/>
              </w:rPr>
              <w:t>万元，其中环保投资约为641万元，占总投资额的</w:t>
            </w:r>
            <w:r>
              <w:t>5.</w:t>
            </w:r>
            <w:r>
              <w:rPr>
                <w:rFonts w:hint="eastAsia"/>
              </w:rPr>
              <w:t>49</w:t>
            </w:r>
            <w:r>
              <w:t>%</w:t>
            </w:r>
            <w:r>
              <w:rPr>
                <w:rFonts w:hint="eastAsia"/>
              </w:rPr>
              <w:t>，具体见下表。</w:t>
            </w:r>
          </w:p>
          <w:p>
            <w:pPr>
              <w:pStyle w:val="2"/>
              <w:spacing w:line="360" w:lineRule="auto"/>
              <w:rPr>
                <w:b w:val="0"/>
              </w:rPr>
            </w:pPr>
            <w:r>
              <w:rPr>
                <w:rFonts w:hint="eastAsia"/>
                <w:b w:val="0"/>
              </w:rPr>
              <w:t>表</w:t>
            </w:r>
            <w:r>
              <w:rPr>
                <w:b w:val="0"/>
              </w:rPr>
              <w:t xml:space="preserve">5-3 </w:t>
            </w:r>
            <w:r>
              <w:rPr>
                <w:rFonts w:hint="eastAsia"/>
                <w:b w:val="0"/>
              </w:rPr>
              <w:t>项目环保投资一览表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8"/>
              <w:gridCol w:w="3965"/>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pPr>
                    <w:pStyle w:val="13"/>
                  </w:pPr>
                  <w:r>
                    <w:rPr>
                      <w:rFonts w:hint="eastAsia"/>
                    </w:rPr>
                    <w:t>序号</w:t>
                  </w:r>
                </w:p>
              </w:tc>
              <w:tc>
                <w:tcPr>
                  <w:tcW w:w="1138" w:type="dxa"/>
                  <w:vAlign w:val="center"/>
                </w:tcPr>
                <w:p>
                  <w:pPr>
                    <w:pStyle w:val="13"/>
                  </w:pPr>
                  <w:r>
                    <w:rPr>
                      <w:rFonts w:hint="eastAsia"/>
                    </w:rPr>
                    <w:t>项目</w:t>
                  </w:r>
                </w:p>
              </w:tc>
              <w:tc>
                <w:tcPr>
                  <w:tcW w:w="3965" w:type="dxa"/>
                  <w:vAlign w:val="center"/>
                </w:tcPr>
                <w:p>
                  <w:pPr>
                    <w:pStyle w:val="13"/>
                  </w:pPr>
                  <w:r>
                    <w:rPr>
                      <w:rFonts w:hint="eastAsia"/>
                    </w:rPr>
                    <w:t>防治措施及设施</w:t>
                  </w:r>
                </w:p>
              </w:tc>
              <w:tc>
                <w:tcPr>
                  <w:tcW w:w="1739" w:type="dxa"/>
                  <w:vAlign w:val="center"/>
                </w:tcPr>
                <w:p>
                  <w:pPr>
                    <w:pStyle w:val="13"/>
                  </w:pPr>
                  <w:r>
                    <w:rPr>
                      <w:rFonts w:hint="eastAsia"/>
                    </w:rPr>
                    <w:t>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pPr>
                    <w:pStyle w:val="13"/>
                  </w:pPr>
                  <w:r>
                    <w:rPr>
                      <w:rFonts w:hint="eastAsia"/>
                    </w:rPr>
                    <w:t>1</w:t>
                  </w:r>
                </w:p>
              </w:tc>
              <w:tc>
                <w:tcPr>
                  <w:tcW w:w="1138" w:type="dxa"/>
                  <w:vAlign w:val="center"/>
                </w:tcPr>
                <w:p>
                  <w:pPr>
                    <w:pStyle w:val="13"/>
                  </w:pPr>
                  <w:r>
                    <w:rPr>
                      <w:rFonts w:hint="eastAsia"/>
                    </w:rPr>
                    <w:t>废气</w:t>
                  </w:r>
                </w:p>
              </w:tc>
              <w:tc>
                <w:tcPr>
                  <w:tcW w:w="3965" w:type="dxa"/>
                  <w:vAlign w:val="center"/>
                </w:tcPr>
                <w:p>
                  <w:pPr>
                    <w:pStyle w:val="13"/>
                  </w:pPr>
                  <w:r>
                    <w:rPr>
                      <w:rFonts w:hint="eastAsia"/>
                    </w:rPr>
                    <w:t>洒水车、设置喷雾洒水设施、装卸、道路、临时堆置场及生产加工等作业环节进行喷雾洒水降尘</w:t>
                  </w:r>
                </w:p>
              </w:tc>
              <w:tc>
                <w:tcPr>
                  <w:tcW w:w="1739" w:type="dxa"/>
                  <w:vAlign w:val="center"/>
                </w:tcPr>
                <w:p>
                  <w:pPr>
                    <w:pStyle w:val="13"/>
                  </w:pP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Merge w:val="restart"/>
                  <w:vAlign w:val="center"/>
                </w:tcPr>
                <w:p>
                  <w:pPr>
                    <w:pStyle w:val="13"/>
                  </w:pPr>
                  <w:r>
                    <w:rPr>
                      <w:rFonts w:hint="eastAsia"/>
                    </w:rPr>
                    <w:t>2</w:t>
                  </w:r>
                </w:p>
              </w:tc>
              <w:tc>
                <w:tcPr>
                  <w:tcW w:w="1138" w:type="dxa"/>
                  <w:vMerge w:val="restart"/>
                  <w:vAlign w:val="center"/>
                </w:tcPr>
                <w:p>
                  <w:pPr>
                    <w:pStyle w:val="13"/>
                  </w:pPr>
                  <w:r>
                    <w:rPr>
                      <w:rFonts w:hint="eastAsia"/>
                    </w:rPr>
                    <w:t>废水</w:t>
                  </w:r>
                </w:p>
              </w:tc>
              <w:tc>
                <w:tcPr>
                  <w:tcW w:w="3965" w:type="dxa"/>
                  <w:vAlign w:val="center"/>
                </w:tcPr>
                <w:p>
                  <w:pPr>
                    <w:pStyle w:val="13"/>
                  </w:pPr>
                  <w:r>
                    <w:rPr>
                      <w:rFonts w:hint="eastAsia"/>
                    </w:rPr>
                    <w:t>生活污水经隔油池、化粪池处理</w:t>
                  </w:r>
                </w:p>
              </w:tc>
              <w:tc>
                <w:tcPr>
                  <w:tcW w:w="1739" w:type="dxa"/>
                  <w:vAlign w:val="center"/>
                </w:tcPr>
                <w:p>
                  <w:pPr>
                    <w:pStyle w:val="13"/>
                  </w:pPr>
                  <w: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Merge w:val="continue"/>
                  <w:vAlign w:val="center"/>
                </w:tcPr>
                <w:p>
                  <w:pPr>
                    <w:pStyle w:val="13"/>
                  </w:pPr>
                </w:p>
              </w:tc>
              <w:tc>
                <w:tcPr>
                  <w:tcW w:w="1138" w:type="dxa"/>
                  <w:vMerge w:val="continue"/>
                  <w:vAlign w:val="center"/>
                </w:tcPr>
                <w:p>
                  <w:pPr>
                    <w:pStyle w:val="13"/>
                  </w:pPr>
                </w:p>
              </w:tc>
              <w:tc>
                <w:tcPr>
                  <w:tcW w:w="3965" w:type="dxa"/>
                  <w:vAlign w:val="center"/>
                </w:tcPr>
                <w:p>
                  <w:pPr>
                    <w:pStyle w:val="13"/>
                    <w:rPr>
                      <w:u w:val="single"/>
                    </w:rPr>
                  </w:pPr>
                  <w:r>
                    <w:rPr>
                      <w:rFonts w:hint="eastAsia"/>
                      <w:u w:val="single"/>
                    </w:rPr>
                    <w:t>浓缩罐+清水罐+二级沉淀回用水池；三级沉淀池；排水沟、临时沉砂池</w:t>
                  </w:r>
                </w:p>
              </w:tc>
              <w:tc>
                <w:tcPr>
                  <w:tcW w:w="1739" w:type="dxa"/>
                  <w:vAlign w:val="center"/>
                </w:tcPr>
                <w:p>
                  <w:pPr>
                    <w:pStyle w:val="13"/>
                    <w:rPr>
                      <w:u w:val="single"/>
                    </w:rPr>
                  </w:pPr>
                  <w:r>
                    <w:rPr>
                      <w:rFonts w:hint="eastAsia"/>
                      <w:u w:val="single"/>
                    </w:rPr>
                    <w:t>60</w:t>
                  </w:r>
                  <w:r>
                    <w:rPr>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pPr>
                    <w:pStyle w:val="13"/>
                  </w:pPr>
                  <w:r>
                    <w:rPr>
                      <w:rFonts w:hint="eastAsia"/>
                    </w:rPr>
                    <w:t>3</w:t>
                  </w:r>
                </w:p>
              </w:tc>
              <w:tc>
                <w:tcPr>
                  <w:tcW w:w="1138" w:type="dxa"/>
                  <w:vAlign w:val="center"/>
                </w:tcPr>
                <w:p>
                  <w:pPr>
                    <w:pStyle w:val="13"/>
                  </w:pPr>
                  <w:r>
                    <w:rPr>
                      <w:rFonts w:hint="eastAsia"/>
                    </w:rPr>
                    <w:t>噪声防治</w:t>
                  </w:r>
                </w:p>
              </w:tc>
              <w:tc>
                <w:tcPr>
                  <w:tcW w:w="3965" w:type="dxa"/>
                  <w:vAlign w:val="center"/>
                </w:tcPr>
                <w:p>
                  <w:pPr>
                    <w:pStyle w:val="13"/>
                  </w:pPr>
                  <w:r>
                    <w:rPr>
                      <w:rFonts w:hint="eastAsia"/>
                    </w:rPr>
                    <w:t>合理布局、基础减震、隔声、消声等</w:t>
                  </w:r>
                </w:p>
              </w:tc>
              <w:tc>
                <w:tcPr>
                  <w:tcW w:w="1739" w:type="dxa"/>
                  <w:vAlign w:val="center"/>
                </w:tcPr>
                <w:p>
                  <w:pPr>
                    <w:pStyle w:val="13"/>
                  </w:pPr>
                  <w: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pPr>
                    <w:pStyle w:val="13"/>
                  </w:pPr>
                  <w:r>
                    <w:rPr>
                      <w:rFonts w:hint="eastAsia"/>
                    </w:rPr>
                    <w:t>4</w:t>
                  </w:r>
                </w:p>
              </w:tc>
              <w:tc>
                <w:tcPr>
                  <w:tcW w:w="1138" w:type="dxa"/>
                  <w:vAlign w:val="center"/>
                </w:tcPr>
                <w:p>
                  <w:pPr>
                    <w:pStyle w:val="13"/>
                  </w:pPr>
                  <w:r>
                    <w:rPr>
                      <w:rFonts w:hint="eastAsia"/>
                    </w:rPr>
                    <w:t>固废</w:t>
                  </w:r>
                </w:p>
              </w:tc>
              <w:tc>
                <w:tcPr>
                  <w:tcW w:w="3965" w:type="dxa"/>
                  <w:vAlign w:val="center"/>
                </w:tcPr>
                <w:p>
                  <w:pPr>
                    <w:pStyle w:val="13"/>
                    <w:rPr>
                      <w:u w:val="single"/>
                    </w:rPr>
                  </w:pPr>
                  <w:r>
                    <w:rPr>
                      <w:rFonts w:hint="eastAsia"/>
                      <w:u w:val="single"/>
                    </w:rPr>
                    <w:t>垃圾桶；危废暂存间；泥饼暂存池；挡土墙、临时堆置场（覆盖、洒水）</w:t>
                  </w:r>
                </w:p>
              </w:tc>
              <w:tc>
                <w:tcPr>
                  <w:tcW w:w="1739" w:type="dxa"/>
                  <w:vAlign w:val="center"/>
                </w:tcPr>
                <w:p>
                  <w:pPr>
                    <w:pStyle w:val="13"/>
                    <w:rPr>
                      <w:u w:val="single"/>
                    </w:rPr>
                  </w:pPr>
                  <w:r>
                    <w:rPr>
                      <w:rFonts w:hint="eastAsia"/>
                      <w:u w:val="single"/>
                    </w:rPr>
                    <w:t>15</w:t>
                  </w:r>
                  <w:r>
                    <w:rPr>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pPr>
                    <w:pStyle w:val="13"/>
                  </w:pPr>
                  <w:r>
                    <w:rPr>
                      <w:rFonts w:hint="eastAsia"/>
                    </w:rPr>
                    <w:t>5</w:t>
                  </w:r>
                </w:p>
              </w:tc>
              <w:tc>
                <w:tcPr>
                  <w:tcW w:w="1138" w:type="dxa"/>
                  <w:vAlign w:val="center"/>
                </w:tcPr>
                <w:p>
                  <w:pPr>
                    <w:pStyle w:val="13"/>
                  </w:pPr>
                  <w:r>
                    <w:rPr>
                      <w:rFonts w:hint="eastAsia"/>
                    </w:rPr>
                    <w:t>绿化</w:t>
                  </w:r>
                </w:p>
              </w:tc>
              <w:tc>
                <w:tcPr>
                  <w:tcW w:w="3965" w:type="dxa"/>
                  <w:vAlign w:val="center"/>
                </w:tcPr>
                <w:p>
                  <w:pPr>
                    <w:pStyle w:val="13"/>
                  </w:pPr>
                  <w:r>
                    <w:rPr>
                      <w:rFonts w:hint="eastAsia"/>
                    </w:rPr>
                    <w:t>生产加工厂区绿化</w:t>
                  </w:r>
                </w:p>
              </w:tc>
              <w:tc>
                <w:tcPr>
                  <w:tcW w:w="1739" w:type="dxa"/>
                  <w:vAlign w:val="center"/>
                </w:tcPr>
                <w:p>
                  <w:pPr>
                    <w:pStyle w:val="13"/>
                  </w:pPr>
                  <w: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pPr>
                    <w:pStyle w:val="13"/>
                  </w:pPr>
                  <w:r>
                    <w:rPr>
                      <w:rFonts w:hint="eastAsia"/>
                    </w:rPr>
                    <w:t>6</w:t>
                  </w:r>
                </w:p>
              </w:tc>
              <w:tc>
                <w:tcPr>
                  <w:tcW w:w="1138" w:type="dxa"/>
                  <w:vAlign w:val="center"/>
                </w:tcPr>
                <w:p>
                  <w:pPr>
                    <w:pStyle w:val="13"/>
                    <w:rPr>
                      <w:u w:val="single"/>
                    </w:rPr>
                  </w:pPr>
                  <w:r>
                    <w:rPr>
                      <w:rFonts w:hint="eastAsia"/>
                      <w:u w:val="single"/>
                    </w:rPr>
                    <w:t>生态恢复</w:t>
                  </w:r>
                </w:p>
              </w:tc>
              <w:tc>
                <w:tcPr>
                  <w:tcW w:w="3965" w:type="dxa"/>
                  <w:vAlign w:val="center"/>
                </w:tcPr>
                <w:p>
                  <w:pPr>
                    <w:pStyle w:val="13"/>
                    <w:rPr>
                      <w:u w:val="single"/>
                    </w:rPr>
                  </w:pPr>
                  <w:r>
                    <w:rPr>
                      <w:rFonts w:hint="eastAsia"/>
                      <w:u w:val="single"/>
                    </w:rPr>
                    <w:t>矿山地质环境治理和土地复垦；边坡防护；植被恢复；截排水设施</w:t>
                  </w:r>
                </w:p>
              </w:tc>
              <w:tc>
                <w:tcPr>
                  <w:tcW w:w="1739" w:type="dxa"/>
                  <w:vAlign w:val="center"/>
                </w:tcPr>
                <w:p>
                  <w:pPr>
                    <w:pStyle w:val="13"/>
                    <w:rPr>
                      <w:u w:val="single"/>
                    </w:rPr>
                  </w:pPr>
                  <w:r>
                    <w:rPr>
                      <w:u w:val="single"/>
                    </w:rPr>
                    <w:t>4</w:t>
                  </w:r>
                  <w:r>
                    <w:rPr>
                      <w:rFonts w:hint="eastAsia"/>
                      <w:u w:val="single"/>
                    </w:rPr>
                    <w:t>6</w:t>
                  </w:r>
                  <w:r>
                    <w:rPr>
                      <w:u w:val="singl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pPr>
                    <w:pStyle w:val="13"/>
                    <w:rPr>
                      <w:u w:val="single"/>
                    </w:rPr>
                  </w:pPr>
                  <w:r>
                    <w:rPr>
                      <w:rFonts w:hint="eastAsia"/>
                      <w:u w:val="single"/>
                    </w:rPr>
                    <w:t>7</w:t>
                  </w:r>
                </w:p>
              </w:tc>
              <w:tc>
                <w:tcPr>
                  <w:tcW w:w="1138" w:type="dxa"/>
                  <w:vAlign w:val="center"/>
                </w:tcPr>
                <w:p>
                  <w:pPr>
                    <w:pStyle w:val="13"/>
                    <w:rPr>
                      <w:u w:val="single"/>
                    </w:rPr>
                  </w:pPr>
                  <w:r>
                    <w:rPr>
                      <w:rFonts w:hint="eastAsia"/>
                      <w:u w:val="single"/>
                    </w:rPr>
                    <w:t>风险</w:t>
                  </w:r>
                </w:p>
              </w:tc>
              <w:tc>
                <w:tcPr>
                  <w:tcW w:w="3965" w:type="dxa"/>
                  <w:vAlign w:val="center"/>
                </w:tcPr>
                <w:p>
                  <w:pPr>
                    <w:pStyle w:val="13"/>
                    <w:rPr>
                      <w:u w:val="single"/>
                    </w:rPr>
                  </w:pPr>
                  <w:r>
                    <w:rPr>
                      <w:rFonts w:hint="eastAsia"/>
                      <w:u w:val="single"/>
                    </w:rPr>
                    <w:t>储罐、污泥暂存池防渗，编制风险应急预案等</w:t>
                  </w:r>
                </w:p>
              </w:tc>
              <w:tc>
                <w:tcPr>
                  <w:tcW w:w="1739" w:type="dxa"/>
                  <w:vAlign w:val="center"/>
                </w:tcPr>
                <w:p>
                  <w:pPr>
                    <w:pStyle w:val="13"/>
                    <w:rPr>
                      <w:u w:val="single"/>
                    </w:rPr>
                  </w:pPr>
                  <w:r>
                    <w:rPr>
                      <w:rFonts w:hint="eastAsia"/>
                      <w:u w:val="singl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0" w:type="dxa"/>
                  <w:gridSpan w:val="3"/>
                  <w:vAlign w:val="center"/>
                </w:tcPr>
                <w:p>
                  <w:pPr>
                    <w:pStyle w:val="13"/>
                  </w:pPr>
                  <w:r>
                    <w:rPr>
                      <w:rFonts w:hint="eastAsia"/>
                    </w:rPr>
                    <w:t>合计</w:t>
                  </w:r>
                </w:p>
              </w:tc>
              <w:tc>
                <w:tcPr>
                  <w:tcW w:w="1739" w:type="dxa"/>
                  <w:vAlign w:val="center"/>
                </w:tcPr>
                <w:p>
                  <w:pPr>
                    <w:pStyle w:val="13"/>
                    <w:rPr>
                      <w:u w:val="single"/>
                    </w:rPr>
                  </w:pPr>
                  <w:r>
                    <w:rPr>
                      <w:rFonts w:hint="eastAsia"/>
                      <w:u w:val="single"/>
                    </w:rPr>
                    <w:t>641.0</w:t>
                  </w:r>
                </w:p>
              </w:tc>
            </w:tr>
          </w:tbl>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tc>
      </w:tr>
    </w:tbl>
    <w:p>
      <w:pPr>
        <w:adjustRightInd w:val="0"/>
        <w:snapToGrid w:val="0"/>
        <w:spacing w:line="240" w:lineRule="auto"/>
        <w:ind w:firstLine="0" w:firstLineChars="0"/>
        <w:rPr>
          <w:sz w:val="21"/>
          <w:szCs w:val="21"/>
        </w:rPr>
        <w:sectPr>
          <w:pgSz w:w="11907" w:h="16840"/>
          <w:pgMar w:top="1378" w:right="1531" w:bottom="1378" w:left="1559" w:header="709" w:footer="907" w:gutter="0"/>
          <w:pgNumType w:fmt="numberInDash"/>
          <w:cols w:space="720" w:num="1"/>
          <w:docGrid w:linePitch="326" w:charSpace="0"/>
        </w:sectPr>
      </w:pPr>
    </w:p>
    <w:p>
      <w:pPr>
        <w:pStyle w:val="12"/>
        <w:adjustRightInd w:val="0"/>
        <w:snapToGrid w:val="0"/>
        <w:spacing w:before="0" w:beforeAutospacing="0" w:after="0" w:afterAutospacing="0"/>
        <w:ind w:firstLine="600"/>
        <w:jc w:val="center"/>
        <w:outlineLvl w:val="0"/>
        <w:rPr>
          <w:rFonts w:ascii="黑体" w:hAnsi="黑体" w:eastAsia="黑体"/>
          <w:sz w:val="30"/>
          <w:szCs w:val="30"/>
        </w:rPr>
      </w:pPr>
      <w:bookmarkStart w:id="29" w:name="_Toc120544638"/>
      <w:r>
        <w:rPr>
          <w:rFonts w:hint="eastAsia" w:ascii="黑体" w:hAnsi="黑体" w:eastAsia="黑体"/>
          <w:sz w:val="30"/>
          <w:szCs w:val="30"/>
        </w:rPr>
        <w:t>六、生态环境保护措施监督检查清单</w:t>
      </w:r>
      <w:bookmarkEnd w:id="29"/>
    </w:p>
    <w:tbl>
      <w:tblPr>
        <w:tblStyle w:val="16"/>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331"/>
        <w:gridCol w:w="1943"/>
        <w:gridCol w:w="2206"/>
        <w:gridCol w:w="1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57" w:type="pct"/>
            <w:vMerge w:val="restart"/>
            <w:tcBorders>
              <w:tl2br w:val="single" w:color="auto" w:sz="4" w:space="0"/>
            </w:tcBorders>
          </w:tcPr>
          <w:p>
            <w:pPr>
              <w:pStyle w:val="13"/>
              <w:jc w:val="right"/>
            </w:pPr>
            <w:bookmarkStart w:id="30" w:name="_Toc120544639"/>
            <w:r>
              <w:t>内容</w:t>
            </w:r>
            <w:bookmarkEnd w:id="30"/>
          </w:p>
          <w:p>
            <w:pPr>
              <w:pStyle w:val="13"/>
            </w:pPr>
            <w:r>
              <w:t xml:space="preserve"> </w:t>
            </w:r>
            <w:bookmarkStart w:id="31" w:name="_Toc120544640"/>
          </w:p>
          <w:p>
            <w:pPr>
              <w:pStyle w:val="13"/>
              <w:jc w:val="left"/>
            </w:pPr>
            <w:r>
              <w:t>要素</w:t>
            </w:r>
            <w:bookmarkEnd w:id="31"/>
          </w:p>
        </w:tc>
        <w:tc>
          <w:tcPr>
            <w:tcW w:w="1904" w:type="pct"/>
            <w:gridSpan w:val="2"/>
            <w:vAlign w:val="center"/>
          </w:tcPr>
          <w:p>
            <w:pPr>
              <w:pStyle w:val="13"/>
            </w:pPr>
            <w:bookmarkStart w:id="32" w:name="_Toc120544641"/>
            <w:r>
              <w:t>施工期</w:t>
            </w:r>
            <w:bookmarkEnd w:id="32"/>
          </w:p>
        </w:tc>
        <w:tc>
          <w:tcPr>
            <w:tcW w:w="2339" w:type="pct"/>
            <w:gridSpan w:val="2"/>
            <w:vAlign w:val="center"/>
          </w:tcPr>
          <w:p>
            <w:pPr>
              <w:pStyle w:val="13"/>
            </w:pPr>
            <w:bookmarkStart w:id="33" w:name="_Toc120544642"/>
            <w:r>
              <w:t>运营期</w:t>
            </w:r>
            <w:bookmarkEnd w:id="3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7" w:type="pct"/>
            <w:vMerge w:val="continue"/>
          </w:tcPr>
          <w:p>
            <w:pPr>
              <w:pStyle w:val="13"/>
            </w:pPr>
          </w:p>
        </w:tc>
        <w:tc>
          <w:tcPr>
            <w:tcW w:w="904" w:type="pct"/>
            <w:vAlign w:val="center"/>
          </w:tcPr>
          <w:p>
            <w:pPr>
              <w:pStyle w:val="13"/>
            </w:pPr>
            <w:bookmarkStart w:id="34" w:name="_Toc120544643"/>
            <w:r>
              <w:t>环境保护措施</w:t>
            </w:r>
            <w:bookmarkEnd w:id="34"/>
          </w:p>
        </w:tc>
        <w:tc>
          <w:tcPr>
            <w:tcW w:w="1000" w:type="pct"/>
            <w:vAlign w:val="center"/>
          </w:tcPr>
          <w:p>
            <w:pPr>
              <w:pStyle w:val="13"/>
            </w:pPr>
            <w:bookmarkStart w:id="35" w:name="_Toc120544644"/>
            <w:r>
              <w:t>验收要求</w:t>
            </w:r>
            <w:bookmarkEnd w:id="35"/>
          </w:p>
        </w:tc>
        <w:tc>
          <w:tcPr>
            <w:tcW w:w="1418" w:type="pct"/>
            <w:vAlign w:val="center"/>
          </w:tcPr>
          <w:p>
            <w:pPr>
              <w:pStyle w:val="13"/>
            </w:pPr>
            <w:bookmarkStart w:id="36" w:name="_Toc120544645"/>
            <w:r>
              <w:t>环境保护措施</w:t>
            </w:r>
            <w:bookmarkEnd w:id="36"/>
          </w:p>
        </w:tc>
        <w:tc>
          <w:tcPr>
            <w:tcW w:w="922" w:type="pct"/>
            <w:vAlign w:val="center"/>
          </w:tcPr>
          <w:p>
            <w:pPr>
              <w:pStyle w:val="13"/>
            </w:pPr>
            <w:bookmarkStart w:id="37" w:name="_Toc120544646"/>
            <w:r>
              <w:t>验收要求</w:t>
            </w:r>
            <w:bookmarkEnd w:id="3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陆生生态</w:t>
            </w:r>
          </w:p>
        </w:tc>
        <w:tc>
          <w:tcPr>
            <w:tcW w:w="904" w:type="pct"/>
            <w:vAlign w:val="center"/>
          </w:tcPr>
          <w:p>
            <w:pPr>
              <w:pStyle w:val="13"/>
            </w:pPr>
            <w:r>
              <w:rPr>
                <w:rFonts w:hint="eastAsia"/>
              </w:rPr>
              <w:t>避免雨季施工，边施工边绿化，合理安排施工计划。</w:t>
            </w:r>
          </w:p>
        </w:tc>
        <w:tc>
          <w:tcPr>
            <w:tcW w:w="1000" w:type="pct"/>
            <w:vAlign w:val="center"/>
          </w:tcPr>
          <w:p>
            <w:pPr>
              <w:pStyle w:val="13"/>
            </w:pPr>
            <w:r>
              <w:rPr>
                <w:rFonts w:hint="eastAsia"/>
              </w:rPr>
              <w:t>临时施工场地落实复垦措施</w:t>
            </w:r>
          </w:p>
        </w:tc>
        <w:tc>
          <w:tcPr>
            <w:tcW w:w="1418" w:type="pct"/>
            <w:vAlign w:val="center"/>
          </w:tcPr>
          <w:p>
            <w:pPr>
              <w:pStyle w:val="13"/>
            </w:pPr>
            <w:r>
              <w:rPr>
                <w:rFonts w:hint="eastAsia"/>
              </w:rPr>
              <w:t>加强绿化措施，做到适地适树，应种植常绿乔、灌木以及布置花卉、草坪等</w:t>
            </w:r>
          </w:p>
        </w:tc>
        <w:tc>
          <w:tcPr>
            <w:tcW w:w="922" w:type="pct"/>
            <w:vAlign w:val="center"/>
          </w:tcPr>
          <w:p>
            <w:pPr>
              <w:pStyle w:val="13"/>
            </w:pPr>
            <w:r>
              <w:rPr>
                <w:rFonts w:hint="eastAsia"/>
              </w:rPr>
              <w:t>达到生态恢复和改善景观的目的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水生生态</w:t>
            </w:r>
          </w:p>
        </w:tc>
        <w:tc>
          <w:tcPr>
            <w:tcW w:w="904" w:type="pct"/>
            <w:vAlign w:val="center"/>
          </w:tcPr>
          <w:p>
            <w:pPr>
              <w:pStyle w:val="13"/>
            </w:pPr>
            <w:r>
              <w:rPr>
                <w:rFonts w:hint="eastAsia"/>
              </w:rPr>
              <w:t>/</w:t>
            </w:r>
          </w:p>
        </w:tc>
        <w:tc>
          <w:tcPr>
            <w:tcW w:w="1000" w:type="pct"/>
            <w:vAlign w:val="center"/>
          </w:tcPr>
          <w:p>
            <w:pPr>
              <w:pStyle w:val="13"/>
            </w:pPr>
            <w:r>
              <w:rPr>
                <w:rFonts w:hint="eastAsia"/>
              </w:rPr>
              <w:t>/</w:t>
            </w:r>
          </w:p>
        </w:tc>
        <w:tc>
          <w:tcPr>
            <w:tcW w:w="1418" w:type="pct"/>
            <w:vAlign w:val="center"/>
          </w:tcPr>
          <w:p>
            <w:pPr>
              <w:pStyle w:val="13"/>
            </w:pPr>
            <w:r>
              <w:rPr>
                <w:rFonts w:hint="eastAsia"/>
              </w:rPr>
              <w:t>/</w:t>
            </w:r>
          </w:p>
        </w:tc>
        <w:tc>
          <w:tcPr>
            <w:tcW w:w="922" w:type="pct"/>
            <w:vAlign w:val="center"/>
          </w:tcPr>
          <w:p>
            <w:pPr>
              <w:pStyle w:val="13"/>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地表水环境</w:t>
            </w:r>
          </w:p>
        </w:tc>
        <w:tc>
          <w:tcPr>
            <w:tcW w:w="904" w:type="pct"/>
            <w:vAlign w:val="center"/>
          </w:tcPr>
          <w:p>
            <w:pPr>
              <w:pStyle w:val="13"/>
            </w:pPr>
            <w:r>
              <w:rPr>
                <w:rFonts w:hint="eastAsia"/>
              </w:rPr>
              <w:t>施工废水经沉淀后回用；生活污水依托已有处理设施处理</w:t>
            </w:r>
          </w:p>
        </w:tc>
        <w:tc>
          <w:tcPr>
            <w:tcW w:w="1000" w:type="pct"/>
            <w:vAlign w:val="center"/>
          </w:tcPr>
          <w:p>
            <w:pPr>
              <w:pStyle w:val="13"/>
            </w:pPr>
            <w:r>
              <w:rPr>
                <w:rFonts w:hint="eastAsia"/>
              </w:rPr>
              <w:t>截排水沟、沉砂池，无废水外排</w:t>
            </w:r>
          </w:p>
        </w:tc>
        <w:tc>
          <w:tcPr>
            <w:tcW w:w="1418" w:type="pct"/>
            <w:vAlign w:val="center"/>
          </w:tcPr>
          <w:p>
            <w:pPr>
              <w:pStyle w:val="13"/>
              <w:rPr>
                <w:u w:val="single"/>
              </w:rPr>
            </w:pPr>
            <w:r>
              <w:rPr>
                <w:rFonts w:hint="eastAsia"/>
                <w:u w:val="single"/>
              </w:rPr>
              <w:t>生活污水经隔油池、化粪池处理后用于周边施肥；车辆冲洗废水经沉淀池沉淀后回用冲洗，洗砂废水经浓缩罐+清水罐+沉淀回用水池处理后回用于洗砂，初期雨水经排水沟收集至沉砂池处理后回用于厂区抑尘</w:t>
            </w:r>
          </w:p>
        </w:tc>
        <w:tc>
          <w:tcPr>
            <w:tcW w:w="922" w:type="pct"/>
            <w:vAlign w:val="center"/>
          </w:tcPr>
          <w:p>
            <w:pPr>
              <w:pStyle w:val="13"/>
              <w:rPr>
                <w:u w:val="single"/>
              </w:rPr>
            </w:pPr>
            <w:r>
              <w:rPr>
                <w:rFonts w:hint="eastAsia"/>
                <w:u w:val="single"/>
              </w:rPr>
              <w:t>隔油池+化粪池；浓缩罐+清水罐+沉淀回用水池；沉淀池；截排水沟、沉砂池，无废水外排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地下水及土壤环境</w:t>
            </w:r>
          </w:p>
        </w:tc>
        <w:tc>
          <w:tcPr>
            <w:tcW w:w="904" w:type="pct"/>
            <w:vAlign w:val="center"/>
          </w:tcPr>
          <w:p>
            <w:pPr>
              <w:pStyle w:val="13"/>
            </w:pPr>
            <w:r>
              <w:rPr>
                <w:rFonts w:hint="eastAsia"/>
              </w:rPr>
              <w:t>/</w:t>
            </w:r>
          </w:p>
        </w:tc>
        <w:tc>
          <w:tcPr>
            <w:tcW w:w="1000" w:type="pct"/>
            <w:vAlign w:val="center"/>
          </w:tcPr>
          <w:p>
            <w:pPr>
              <w:pStyle w:val="13"/>
            </w:pPr>
            <w:r>
              <w:rPr>
                <w:rFonts w:hint="eastAsia"/>
              </w:rPr>
              <w:t>/</w:t>
            </w:r>
          </w:p>
        </w:tc>
        <w:tc>
          <w:tcPr>
            <w:tcW w:w="1418" w:type="pct"/>
            <w:vAlign w:val="center"/>
          </w:tcPr>
          <w:p>
            <w:pPr>
              <w:pStyle w:val="13"/>
            </w:pPr>
            <w:r>
              <w:rPr>
                <w:rFonts w:hint="eastAsia"/>
              </w:rPr>
              <w:t>/</w:t>
            </w:r>
          </w:p>
        </w:tc>
        <w:tc>
          <w:tcPr>
            <w:tcW w:w="922" w:type="pct"/>
            <w:vAlign w:val="center"/>
          </w:tcPr>
          <w:p>
            <w:pPr>
              <w:pStyle w:val="13"/>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声环境</w:t>
            </w:r>
          </w:p>
        </w:tc>
        <w:tc>
          <w:tcPr>
            <w:tcW w:w="904" w:type="pct"/>
            <w:vAlign w:val="center"/>
          </w:tcPr>
          <w:p>
            <w:pPr>
              <w:pStyle w:val="13"/>
            </w:pPr>
            <w:r>
              <w:rPr>
                <w:rFonts w:hint="eastAsia"/>
              </w:rPr>
              <w:t>加强施工机械的维修、管理、选用低噪声设备</w:t>
            </w:r>
          </w:p>
        </w:tc>
        <w:tc>
          <w:tcPr>
            <w:tcW w:w="1000" w:type="pct"/>
            <w:vAlign w:val="center"/>
          </w:tcPr>
          <w:p>
            <w:pPr>
              <w:pStyle w:val="13"/>
            </w:pPr>
            <w:r>
              <w:rPr>
                <w:rFonts w:hint="eastAsia"/>
              </w:rPr>
              <w:t>《建筑施工场界环境噪声排放标准》（</w:t>
            </w:r>
            <w:r>
              <w:t>GB12523-2011</w:t>
            </w:r>
            <w:r>
              <w:rPr>
                <w:rFonts w:hint="eastAsia"/>
              </w:rPr>
              <w:t>）标准要求</w:t>
            </w:r>
          </w:p>
        </w:tc>
        <w:tc>
          <w:tcPr>
            <w:tcW w:w="1418" w:type="pct"/>
            <w:vAlign w:val="center"/>
          </w:tcPr>
          <w:p>
            <w:pPr>
              <w:pStyle w:val="13"/>
              <w:rPr>
                <w:u w:val="single"/>
              </w:rPr>
            </w:pPr>
            <w:r>
              <w:rPr>
                <w:rFonts w:hint="eastAsia"/>
                <w:u w:val="single"/>
              </w:rPr>
              <w:t>设备远离居民点放置（合理布局），选择低噪声型设备，基础减振，隔声，加强厂区绿化</w:t>
            </w:r>
          </w:p>
        </w:tc>
        <w:tc>
          <w:tcPr>
            <w:tcW w:w="922" w:type="pct"/>
            <w:vAlign w:val="center"/>
          </w:tcPr>
          <w:p>
            <w:pPr>
              <w:pStyle w:val="13"/>
              <w:rPr>
                <w:u w:val="single"/>
              </w:rPr>
            </w:pPr>
            <w:r>
              <w:rPr>
                <w:rFonts w:hint="eastAsia"/>
                <w:u w:val="single"/>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振动</w:t>
            </w:r>
          </w:p>
        </w:tc>
        <w:tc>
          <w:tcPr>
            <w:tcW w:w="904" w:type="pct"/>
            <w:vAlign w:val="center"/>
          </w:tcPr>
          <w:p>
            <w:pPr>
              <w:pStyle w:val="13"/>
            </w:pPr>
            <w:r>
              <w:rPr>
                <w:rFonts w:hint="eastAsia"/>
              </w:rPr>
              <w:t>/</w:t>
            </w:r>
          </w:p>
        </w:tc>
        <w:tc>
          <w:tcPr>
            <w:tcW w:w="1000" w:type="pct"/>
            <w:vAlign w:val="center"/>
          </w:tcPr>
          <w:p>
            <w:pPr>
              <w:pStyle w:val="13"/>
            </w:pPr>
            <w:r>
              <w:rPr>
                <w:rFonts w:hint="eastAsia"/>
              </w:rPr>
              <w:t>/</w:t>
            </w:r>
          </w:p>
        </w:tc>
        <w:tc>
          <w:tcPr>
            <w:tcW w:w="1418" w:type="pct"/>
            <w:vAlign w:val="center"/>
          </w:tcPr>
          <w:p>
            <w:pPr>
              <w:pStyle w:val="13"/>
            </w:pPr>
            <w:r>
              <w:rPr>
                <w:rFonts w:hint="eastAsia"/>
              </w:rPr>
              <w:t>/</w:t>
            </w:r>
          </w:p>
        </w:tc>
        <w:tc>
          <w:tcPr>
            <w:tcW w:w="922" w:type="pct"/>
            <w:vAlign w:val="center"/>
          </w:tcPr>
          <w:p>
            <w:pPr>
              <w:pStyle w:val="13"/>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大气环境</w:t>
            </w:r>
          </w:p>
        </w:tc>
        <w:tc>
          <w:tcPr>
            <w:tcW w:w="904" w:type="pct"/>
            <w:vAlign w:val="center"/>
          </w:tcPr>
          <w:p>
            <w:pPr>
              <w:pStyle w:val="13"/>
            </w:pPr>
            <w:r>
              <w:rPr>
                <w:rFonts w:hint="eastAsia"/>
              </w:rPr>
              <w:t>洒水降尘、选择无风或微风的天气条件下进行装卸作业、规范作业、减低卸料高度；定期洒水并清扫路面、对运输物料进行加盖帆布并限制车速</w:t>
            </w:r>
          </w:p>
        </w:tc>
        <w:tc>
          <w:tcPr>
            <w:tcW w:w="1000" w:type="pct"/>
            <w:vAlign w:val="center"/>
          </w:tcPr>
          <w:p>
            <w:pPr>
              <w:pStyle w:val="13"/>
            </w:pPr>
            <w:r>
              <w:rPr>
                <w:rFonts w:hint="eastAsia"/>
              </w:rPr>
              <w:t>《大气污染物综合排放标准》（GB</w:t>
            </w:r>
            <w:r>
              <w:t>6297</w:t>
            </w:r>
            <w:r>
              <w:rPr>
                <w:rFonts w:hint="eastAsia"/>
              </w:rPr>
              <w:t>-</w:t>
            </w:r>
            <w:r>
              <w:t>1996</w:t>
            </w:r>
            <w:r>
              <w:rPr>
                <w:rFonts w:hint="eastAsia"/>
              </w:rPr>
              <w:t>）无组织排放浓度限值</w:t>
            </w:r>
          </w:p>
        </w:tc>
        <w:tc>
          <w:tcPr>
            <w:tcW w:w="1418" w:type="pct"/>
            <w:vAlign w:val="center"/>
          </w:tcPr>
          <w:p>
            <w:pPr>
              <w:pStyle w:val="13"/>
              <w:rPr>
                <w:u w:val="single"/>
              </w:rPr>
            </w:pPr>
            <w:r>
              <w:rPr>
                <w:rFonts w:hint="eastAsia"/>
                <w:u w:val="single"/>
              </w:rPr>
              <w:t>采挖面洒水润湿，装车雾化洒水降尘，定期洒水并清扫路面、对运输物料进行加盖帆布并限制车速，洒水降尘、规范作业、减低卸料高度，堆置场做好覆盖，设挡土墙、排水沟等；洗砂工序喷淋；食堂油烟由抽油烟机引至屋顶排放</w:t>
            </w:r>
          </w:p>
        </w:tc>
        <w:tc>
          <w:tcPr>
            <w:tcW w:w="922" w:type="pct"/>
            <w:vAlign w:val="center"/>
          </w:tcPr>
          <w:p>
            <w:pPr>
              <w:pStyle w:val="13"/>
            </w:pPr>
            <w:r>
              <w:rPr>
                <w:rFonts w:hint="eastAsia"/>
              </w:rPr>
              <w:t>《大气污染物综合排放标准》（GB</w:t>
            </w:r>
            <w:r>
              <w:t>6297</w:t>
            </w:r>
            <w:r>
              <w:rPr>
                <w:rFonts w:hint="eastAsia"/>
              </w:rPr>
              <w:t>-</w:t>
            </w:r>
            <w:r>
              <w:t>1996</w:t>
            </w:r>
            <w:r>
              <w:rPr>
                <w:rFonts w:hint="eastAsia"/>
              </w:rPr>
              <w:t>）无组织排放浓度限值；《饮食业油烟排放标准》（GB18483-2001）小型规模标准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固体废物</w:t>
            </w:r>
          </w:p>
        </w:tc>
        <w:tc>
          <w:tcPr>
            <w:tcW w:w="904" w:type="pct"/>
            <w:vAlign w:val="center"/>
          </w:tcPr>
          <w:p>
            <w:pPr>
              <w:pStyle w:val="13"/>
            </w:pPr>
            <w:r>
              <w:rPr>
                <w:rFonts w:hint="eastAsia"/>
              </w:rPr>
              <w:t>及时清运建筑垃圾</w:t>
            </w:r>
          </w:p>
        </w:tc>
        <w:tc>
          <w:tcPr>
            <w:tcW w:w="1000" w:type="pct"/>
            <w:vAlign w:val="center"/>
          </w:tcPr>
          <w:p>
            <w:pPr>
              <w:pStyle w:val="13"/>
            </w:pPr>
            <w:r>
              <w:rPr>
                <w:rFonts w:hint="eastAsia"/>
              </w:rPr>
              <w:t>合理处置</w:t>
            </w:r>
          </w:p>
        </w:tc>
        <w:tc>
          <w:tcPr>
            <w:tcW w:w="1418" w:type="pct"/>
            <w:vAlign w:val="center"/>
          </w:tcPr>
          <w:p>
            <w:pPr>
              <w:pStyle w:val="13"/>
              <w:rPr>
                <w:u w:val="single"/>
              </w:rPr>
            </w:pPr>
            <w:r>
              <w:rPr>
                <w:rFonts w:hint="eastAsia"/>
                <w:u w:val="single"/>
              </w:rPr>
              <w:t>生活垃圾收集后交由环卫部门统一清运处理；剥离表土暂存于临时排土场，用于后期矿区复绿覆土；尾泥（污泥）暂存于泥饼池后外运用于湘阴县高新区建设用填方；废含油抹布和手套、废润滑油、废油桶分类暂存于危险废物暂存间，交由有资质单位处置</w:t>
            </w:r>
          </w:p>
        </w:tc>
        <w:tc>
          <w:tcPr>
            <w:tcW w:w="922" w:type="pct"/>
            <w:vAlign w:val="center"/>
          </w:tcPr>
          <w:p>
            <w:pPr>
              <w:pStyle w:val="13"/>
            </w:pPr>
            <w:r>
              <w:rPr>
                <w:rFonts w:hint="eastAsia"/>
              </w:rPr>
              <w:t>资源再生利用、减量化，符合环保有关要求，对周围环境不会造成影响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电磁环境</w:t>
            </w:r>
          </w:p>
        </w:tc>
        <w:tc>
          <w:tcPr>
            <w:tcW w:w="904" w:type="pct"/>
            <w:vAlign w:val="center"/>
          </w:tcPr>
          <w:p>
            <w:pPr>
              <w:pStyle w:val="13"/>
            </w:pPr>
            <w:r>
              <w:rPr>
                <w:rFonts w:hint="eastAsia"/>
              </w:rPr>
              <w:t>/</w:t>
            </w:r>
          </w:p>
        </w:tc>
        <w:tc>
          <w:tcPr>
            <w:tcW w:w="1000" w:type="pct"/>
            <w:vAlign w:val="center"/>
          </w:tcPr>
          <w:p>
            <w:pPr>
              <w:pStyle w:val="13"/>
            </w:pPr>
            <w:r>
              <w:rPr>
                <w:rFonts w:hint="eastAsia"/>
              </w:rPr>
              <w:t>/</w:t>
            </w:r>
          </w:p>
        </w:tc>
        <w:tc>
          <w:tcPr>
            <w:tcW w:w="1418" w:type="pct"/>
            <w:vAlign w:val="center"/>
          </w:tcPr>
          <w:p>
            <w:pPr>
              <w:pStyle w:val="13"/>
            </w:pPr>
            <w:r>
              <w:rPr>
                <w:rFonts w:hint="eastAsia"/>
              </w:rPr>
              <w:t>/</w:t>
            </w:r>
          </w:p>
        </w:tc>
        <w:tc>
          <w:tcPr>
            <w:tcW w:w="922" w:type="pct"/>
            <w:vAlign w:val="center"/>
          </w:tcPr>
          <w:p>
            <w:pPr>
              <w:pStyle w:val="13"/>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环境风险</w:t>
            </w:r>
          </w:p>
        </w:tc>
        <w:tc>
          <w:tcPr>
            <w:tcW w:w="904" w:type="pct"/>
            <w:vAlign w:val="center"/>
          </w:tcPr>
          <w:p>
            <w:pPr>
              <w:pStyle w:val="13"/>
            </w:pPr>
            <w:r>
              <w:rPr>
                <w:rFonts w:hint="eastAsia"/>
              </w:rPr>
              <w:t>/</w:t>
            </w:r>
          </w:p>
        </w:tc>
        <w:tc>
          <w:tcPr>
            <w:tcW w:w="1000" w:type="pct"/>
            <w:vAlign w:val="center"/>
          </w:tcPr>
          <w:p>
            <w:pPr>
              <w:pStyle w:val="13"/>
            </w:pPr>
            <w:r>
              <w:rPr>
                <w:rFonts w:hint="eastAsia"/>
              </w:rPr>
              <w:t>/</w:t>
            </w:r>
          </w:p>
        </w:tc>
        <w:tc>
          <w:tcPr>
            <w:tcW w:w="1418" w:type="pct"/>
            <w:vAlign w:val="center"/>
          </w:tcPr>
          <w:p>
            <w:pPr>
              <w:pStyle w:val="13"/>
            </w:pPr>
            <w:r>
              <w:rPr>
                <w:rFonts w:hint="eastAsia"/>
              </w:rPr>
              <w:t>/</w:t>
            </w:r>
          </w:p>
        </w:tc>
        <w:tc>
          <w:tcPr>
            <w:tcW w:w="922" w:type="pct"/>
            <w:vAlign w:val="center"/>
          </w:tcPr>
          <w:p>
            <w:pPr>
              <w:pStyle w:val="13"/>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环境监测</w:t>
            </w:r>
          </w:p>
        </w:tc>
        <w:tc>
          <w:tcPr>
            <w:tcW w:w="904" w:type="pct"/>
            <w:vAlign w:val="center"/>
          </w:tcPr>
          <w:p>
            <w:pPr>
              <w:pStyle w:val="13"/>
            </w:pPr>
            <w:r>
              <w:rPr>
                <w:rFonts w:hint="eastAsia"/>
              </w:rPr>
              <w:t>对施工场界大气、噪声的监测</w:t>
            </w:r>
          </w:p>
        </w:tc>
        <w:tc>
          <w:tcPr>
            <w:tcW w:w="1000" w:type="pct"/>
            <w:vAlign w:val="center"/>
          </w:tcPr>
          <w:p>
            <w:pPr>
              <w:pStyle w:val="13"/>
            </w:pPr>
            <w:r>
              <w:rPr>
                <w:rFonts w:hint="eastAsia"/>
              </w:rPr>
              <w:t>/</w:t>
            </w:r>
          </w:p>
        </w:tc>
        <w:tc>
          <w:tcPr>
            <w:tcW w:w="1418" w:type="pct"/>
            <w:vAlign w:val="center"/>
          </w:tcPr>
          <w:p>
            <w:pPr>
              <w:pStyle w:val="13"/>
              <w:rPr>
                <w:u w:val="single"/>
              </w:rPr>
            </w:pPr>
            <w:r>
              <w:rPr>
                <w:rFonts w:hint="eastAsia"/>
                <w:u w:val="single"/>
              </w:rPr>
              <w:t>对采矿区大气污染源、噪声监测；生态恢复监测；闭场后期环境跟踪监测</w:t>
            </w:r>
          </w:p>
        </w:tc>
        <w:tc>
          <w:tcPr>
            <w:tcW w:w="922" w:type="pct"/>
            <w:vAlign w:val="center"/>
          </w:tcPr>
          <w:p>
            <w:pPr>
              <w:pStyle w:val="13"/>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pct"/>
            <w:vAlign w:val="center"/>
          </w:tcPr>
          <w:p>
            <w:pPr>
              <w:pStyle w:val="13"/>
            </w:pPr>
            <w:r>
              <w:t>其他</w:t>
            </w:r>
          </w:p>
        </w:tc>
        <w:tc>
          <w:tcPr>
            <w:tcW w:w="904" w:type="pct"/>
            <w:vAlign w:val="center"/>
          </w:tcPr>
          <w:p>
            <w:pPr>
              <w:pStyle w:val="13"/>
            </w:pPr>
            <w:r>
              <w:rPr>
                <w:rFonts w:hint="eastAsia"/>
              </w:rPr>
              <w:t>/</w:t>
            </w:r>
          </w:p>
        </w:tc>
        <w:tc>
          <w:tcPr>
            <w:tcW w:w="1000" w:type="pct"/>
            <w:vAlign w:val="center"/>
          </w:tcPr>
          <w:p>
            <w:pPr>
              <w:pStyle w:val="13"/>
            </w:pPr>
            <w:r>
              <w:rPr>
                <w:rFonts w:hint="eastAsia"/>
              </w:rPr>
              <w:t>/</w:t>
            </w:r>
          </w:p>
        </w:tc>
        <w:tc>
          <w:tcPr>
            <w:tcW w:w="1418" w:type="pct"/>
            <w:vAlign w:val="center"/>
          </w:tcPr>
          <w:p>
            <w:pPr>
              <w:pStyle w:val="13"/>
            </w:pPr>
            <w:r>
              <w:rPr>
                <w:rFonts w:hint="eastAsia"/>
              </w:rPr>
              <w:t>/</w:t>
            </w:r>
          </w:p>
        </w:tc>
        <w:tc>
          <w:tcPr>
            <w:tcW w:w="922" w:type="pct"/>
            <w:vAlign w:val="center"/>
          </w:tcPr>
          <w:p>
            <w:pPr>
              <w:pStyle w:val="13"/>
            </w:pPr>
            <w:r>
              <w:rPr>
                <w:rFonts w:hint="eastAsia"/>
              </w:rPr>
              <w:t>/</w:t>
            </w:r>
          </w:p>
        </w:tc>
      </w:tr>
    </w:tbl>
    <w:p>
      <w:pPr>
        <w:pStyle w:val="12"/>
        <w:adjustRightInd w:val="0"/>
        <w:snapToGrid w:val="0"/>
        <w:spacing w:before="0" w:beforeAutospacing="0" w:after="0" w:afterAutospacing="0"/>
        <w:ind w:firstLine="198" w:firstLineChars="66"/>
        <w:outlineLvl w:val="0"/>
        <w:rPr>
          <w:rFonts w:ascii="黑体" w:hAnsi="黑体" w:eastAsia="黑体"/>
          <w:sz w:val="30"/>
          <w:szCs w:val="30"/>
        </w:rPr>
        <w:sectPr>
          <w:pgSz w:w="11906" w:h="16838"/>
          <w:pgMar w:top="1378" w:right="1531" w:bottom="1378" w:left="1559" w:header="709" w:footer="907" w:gutter="0"/>
          <w:pgNumType w:fmt="numberInDash"/>
          <w:cols w:space="720" w:num="1"/>
          <w:docGrid w:linePitch="326" w:charSpace="0"/>
        </w:sectPr>
      </w:pPr>
      <w:bookmarkStart w:id="38" w:name="_Toc120544647"/>
    </w:p>
    <w:p>
      <w:pPr>
        <w:pStyle w:val="12"/>
        <w:adjustRightInd w:val="0"/>
        <w:snapToGrid w:val="0"/>
        <w:spacing w:before="0" w:beforeAutospacing="0" w:after="0" w:afterAutospacing="0" w:line="360" w:lineRule="auto"/>
        <w:ind w:firstLine="0" w:firstLineChars="0"/>
        <w:jc w:val="center"/>
        <w:outlineLvl w:val="0"/>
        <w:rPr>
          <w:rFonts w:ascii="黑体" w:hAnsi="黑体" w:eastAsia="黑体"/>
          <w:sz w:val="30"/>
          <w:szCs w:val="30"/>
        </w:rPr>
      </w:pPr>
      <w:r>
        <w:rPr>
          <w:rFonts w:hint="eastAsia" w:ascii="黑体" w:hAnsi="黑体" w:eastAsia="黑体"/>
          <w:sz w:val="30"/>
          <w:szCs w:val="30"/>
        </w:rPr>
        <w:t>七、结论</w:t>
      </w:r>
      <w:bookmarkEnd w:id="38"/>
    </w:p>
    <w:tbl>
      <w:tblPr>
        <w:tblStyle w:val="16"/>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05" w:hRule="atLeast"/>
          <w:jc w:val="center"/>
        </w:trPr>
        <w:tc>
          <w:tcPr>
            <w:tcW w:w="9289" w:type="dxa"/>
          </w:tcPr>
          <w:p>
            <w:pPr>
              <w:spacing w:line="360" w:lineRule="auto"/>
              <w:ind w:firstLine="480"/>
            </w:pPr>
            <w:r>
              <w:rPr>
                <w:rFonts w:hint="eastAsia"/>
              </w:rPr>
              <w:t>通过前文分析，本项目有利于当地经济的发展，符合国家产业政策，符合湖南省及岳阳市矿产资源规划、岳阳市“三线一单”等相关法律法规要求，采取的“三废”治理措施可行、有效，工程实施后不会当地环境质量造成明显影响。评价认为，在确保各项污染物治理措施“三同时”和外排污染物达标的前提下，从环境影响角度而言，本项目建设是可行的。</w:t>
            </w:r>
          </w:p>
        </w:tc>
      </w:tr>
    </w:tbl>
    <w:p>
      <w:pPr>
        <w:adjustRightInd w:val="0"/>
        <w:snapToGrid w:val="0"/>
        <w:spacing w:line="240" w:lineRule="auto"/>
        <w:ind w:firstLine="0" w:firstLineChars="0"/>
        <w:rPr>
          <w:rFonts w:ascii="宋体"/>
          <w:sz w:val="2"/>
          <w:szCs w:val="10"/>
        </w:rPr>
      </w:pPr>
    </w:p>
    <w:sectPr>
      <w:pgSz w:w="11907" w:h="16840"/>
      <w:pgMar w:top="1378" w:right="1542" w:bottom="1378" w:left="1559" w:header="851" w:footer="709" w:gutter="0"/>
      <w:pgNumType w:fmt="numberInDash"/>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创艺简老宋">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adjustRightInd w:val="0"/>
      <w:ind w:firstLine="0" w:firstLineChars="0"/>
      <w:jc w:val="center"/>
      <w:rPr>
        <w:rStyle w:val="19"/>
        <w:sz w:val="32"/>
      </w:rPr>
    </w:pPr>
    <w:r>
      <w:rPr>
        <w:sz w:val="28"/>
      </w:rPr>
      <w:fldChar w:fldCharType="begin"/>
    </w:r>
    <w:r>
      <w:rPr>
        <w:rStyle w:val="19"/>
        <w:sz w:val="28"/>
      </w:rPr>
      <w:instrText xml:space="preserve">PAGE  </w:instrText>
    </w:r>
    <w:r>
      <w:rPr>
        <w:sz w:val="28"/>
      </w:rPr>
      <w:fldChar w:fldCharType="separate"/>
    </w:r>
    <w:r>
      <w:rPr>
        <w:rStyle w:val="19"/>
        <w:sz w:val="28"/>
      </w:rPr>
      <w:t>2</w:t>
    </w:r>
    <w:r>
      <w:rPr>
        <w:sz w:val="28"/>
      </w:rPr>
      <w:fldChar w:fldCharType="end"/>
    </w:r>
  </w:p>
  <w:p>
    <w:pPr>
      <w:pStyle w:val="9"/>
      <w:ind w:right="36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40" w:lineRule="auto"/>
      <w:ind w:firstLine="0" w:firstLineChars="0"/>
      <w:jc w:val="center"/>
      <w:rPr>
        <w:sz w:val="24"/>
      </w:rPr>
    </w:pPr>
    <w:r>
      <w:rPr>
        <w:sz w:val="24"/>
      </w:rPr>
      <w:fldChar w:fldCharType="begin"/>
    </w:r>
    <w:r>
      <w:rPr>
        <w:sz w:val="24"/>
      </w:rPr>
      <w:instrText xml:space="preserve">PAGE   \* MERGEFORMAT</w:instrText>
    </w:r>
    <w:r>
      <w:rPr>
        <w:sz w:val="24"/>
      </w:rPr>
      <w:fldChar w:fldCharType="separate"/>
    </w:r>
    <w:r>
      <w:rPr>
        <w:sz w:val="24"/>
        <w:lang w:val="zh-CN"/>
      </w:rPr>
      <w:t>2</w:t>
    </w:r>
    <w:r>
      <w:rPr>
        <w:sz w:val="24"/>
      </w:rPr>
      <w:fldChar w:fldCharType="end"/>
    </w:r>
  </w:p>
  <w:p>
    <w:pPr>
      <w:pStyle w:val="9"/>
      <w:spacing w:line="240" w:lineRule="auto"/>
      <w:ind w:firstLine="0" w:firstLineChars="0"/>
      <w:rPr>
        <w:sz w:val="24"/>
      </w:rPr>
    </w:pPr>
    <w:r>
      <w:rPr>
        <w:rFonts w:hint="eastAsia"/>
        <w:sz w:val="24"/>
      </w:rPr>
      <w:t>湖南亚冠环境科技有限公司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360" w:lineRule="auto"/>
      <w:ind w:firstLine="0" w:firstLineChars="0"/>
      <w:rPr>
        <w:sz w:val="24"/>
        <w:szCs w:val="24"/>
      </w:rPr>
    </w:pPr>
    <w:bookmarkStart w:id="39" w:name="_Hlk129619564"/>
    <w:bookmarkStart w:id="40" w:name="_Hlk129619565"/>
    <w:r>
      <w:rPr>
        <w:rFonts w:hint="eastAsia"/>
        <w:sz w:val="24"/>
        <w:szCs w:val="24"/>
      </w:rPr>
      <w:t>湘阴县静河镇共荣矿区建筑用砂矿开采及加工（90万t/a）建设项目环境影响报告表</w:t>
    </w:r>
    <w:bookmarkEnd w:id="39"/>
    <w:bookmarkEnd w:id="4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zZDdkNDFhMjM1NzljNjNmYTJlZTdiMTgyZTM5MmEifQ=="/>
  </w:docVars>
  <w:rsids>
    <w:rsidRoot w:val="00A14947"/>
    <w:rsid w:val="000007EB"/>
    <w:rsid w:val="00000D92"/>
    <w:rsid w:val="00000DCF"/>
    <w:rsid w:val="00001894"/>
    <w:rsid w:val="00001CED"/>
    <w:rsid w:val="00001E67"/>
    <w:rsid w:val="00003CD8"/>
    <w:rsid w:val="000044EE"/>
    <w:rsid w:val="00004A86"/>
    <w:rsid w:val="00004BBB"/>
    <w:rsid w:val="000066B2"/>
    <w:rsid w:val="00006717"/>
    <w:rsid w:val="00006F60"/>
    <w:rsid w:val="000072D9"/>
    <w:rsid w:val="00007993"/>
    <w:rsid w:val="00010B02"/>
    <w:rsid w:val="00011C33"/>
    <w:rsid w:val="00012540"/>
    <w:rsid w:val="00012CB4"/>
    <w:rsid w:val="00013FF6"/>
    <w:rsid w:val="00014747"/>
    <w:rsid w:val="00014965"/>
    <w:rsid w:val="00014F5C"/>
    <w:rsid w:val="0001523A"/>
    <w:rsid w:val="0001595B"/>
    <w:rsid w:val="000160C8"/>
    <w:rsid w:val="0001680C"/>
    <w:rsid w:val="00016C0F"/>
    <w:rsid w:val="00016ECB"/>
    <w:rsid w:val="00017664"/>
    <w:rsid w:val="000214FD"/>
    <w:rsid w:val="000236DD"/>
    <w:rsid w:val="00023728"/>
    <w:rsid w:val="0002434B"/>
    <w:rsid w:val="00025166"/>
    <w:rsid w:val="00025A09"/>
    <w:rsid w:val="00025BCB"/>
    <w:rsid w:val="00026018"/>
    <w:rsid w:val="000269F6"/>
    <w:rsid w:val="00026D53"/>
    <w:rsid w:val="000274B4"/>
    <w:rsid w:val="00027B97"/>
    <w:rsid w:val="00027F29"/>
    <w:rsid w:val="000305DE"/>
    <w:rsid w:val="00031939"/>
    <w:rsid w:val="00031D06"/>
    <w:rsid w:val="0003293C"/>
    <w:rsid w:val="00032C32"/>
    <w:rsid w:val="00032D25"/>
    <w:rsid w:val="0003360E"/>
    <w:rsid w:val="00033DCA"/>
    <w:rsid w:val="000350DE"/>
    <w:rsid w:val="00035746"/>
    <w:rsid w:val="00035860"/>
    <w:rsid w:val="00035E60"/>
    <w:rsid w:val="0003716E"/>
    <w:rsid w:val="000376E6"/>
    <w:rsid w:val="00037D30"/>
    <w:rsid w:val="00040270"/>
    <w:rsid w:val="00040718"/>
    <w:rsid w:val="00040803"/>
    <w:rsid w:val="0004094A"/>
    <w:rsid w:val="00041B7C"/>
    <w:rsid w:val="0004275C"/>
    <w:rsid w:val="00042AF8"/>
    <w:rsid w:val="00043DE3"/>
    <w:rsid w:val="00043E83"/>
    <w:rsid w:val="00044517"/>
    <w:rsid w:val="00044659"/>
    <w:rsid w:val="000448AC"/>
    <w:rsid w:val="00044E4E"/>
    <w:rsid w:val="00044EF7"/>
    <w:rsid w:val="00045696"/>
    <w:rsid w:val="00045941"/>
    <w:rsid w:val="00045A49"/>
    <w:rsid w:val="00045AE6"/>
    <w:rsid w:val="000461CA"/>
    <w:rsid w:val="000466F1"/>
    <w:rsid w:val="00046FDC"/>
    <w:rsid w:val="000476C0"/>
    <w:rsid w:val="000505D3"/>
    <w:rsid w:val="0005080C"/>
    <w:rsid w:val="00050923"/>
    <w:rsid w:val="00050C71"/>
    <w:rsid w:val="000518A6"/>
    <w:rsid w:val="00051A73"/>
    <w:rsid w:val="0005219D"/>
    <w:rsid w:val="000524C7"/>
    <w:rsid w:val="00053D63"/>
    <w:rsid w:val="00054885"/>
    <w:rsid w:val="000549B8"/>
    <w:rsid w:val="00054B24"/>
    <w:rsid w:val="00054C28"/>
    <w:rsid w:val="0005508E"/>
    <w:rsid w:val="0005568F"/>
    <w:rsid w:val="00055A5F"/>
    <w:rsid w:val="00055AD1"/>
    <w:rsid w:val="00055B79"/>
    <w:rsid w:val="00055C7D"/>
    <w:rsid w:val="00056180"/>
    <w:rsid w:val="00056DE2"/>
    <w:rsid w:val="00056ED8"/>
    <w:rsid w:val="00056F3C"/>
    <w:rsid w:val="000572D6"/>
    <w:rsid w:val="00060038"/>
    <w:rsid w:val="00060658"/>
    <w:rsid w:val="00060AED"/>
    <w:rsid w:val="0006153D"/>
    <w:rsid w:val="0006171F"/>
    <w:rsid w:val="00061765"/>
    <w:rsid w:val="00061B1F"/>
    <w:rsid w:val="00061F9F"/>
    <w:rsid w:val="00063338"/>
    <w:rsid w:val="00063B39"/>
    <w:rsid w:val="00063D73"/>
    <w:rsid w:val="00063DA3"/>
    <w:rsid w:val="0006455D"/>
    <w:rsid w:val="00064F7F"/>
    <w:rsid w:val="000656C3"/>
    <w:rsid w:val="00065B3E"/>
    <w:rsid w:val="00066025"/>
    <w:rsid w:val="000663A3"/>
    <w:rsid w:val="000664DB"/>
    <w:rsid w:val="00066921"/>
    <w:rsid w:val="00066D45"/>
    <w:rsid w:val="00067C19"/>
    <w:rsid w:val="000700BA"/>
    <w:rsid w:val="00070938"/>
    <w:rsid w:val="00070A77"/>
    <w:rsid w:val="0007105E"/>
    <w:rsid w:val="0007127D"/>
    <w:rsid w:val="00071961"/>
    <w:rsid w:val="00071AE5"/>
    <w:rsid w:val="00071B07"/>
    <w:rsid w:val="00071B18"/>
    <w:rsid w:val="00072696"/>
    <w:rsid w:val="00072D4E"/>
    <w:rsid w:val="000736CD"/>
    <w:rsid w:val="00073ABD"/>
    <w:rsid w:val="00074533"/>
    <w:rsid w:val="00074783"/>
    <w:rsid w:val="0007493A"/>
    <w:rsid w:val="00075383"/>
    <w:rsid w:val="000758A8"/>
    <w:rsid w:val="00075964"/>
    <w:rsid w:val="00075E13"/>
    <w:rsid w:val="00076619"/>
    <w:rsid w:val="00076FE4"/>
    <w:rsid w:val="0007735B"/>
    <w:rsid w:val="00077405"/>
    <w:rsid w:val="000801E0"/>
    <w:rsid w:val="000808E5"/>
    <w:rsid w:val="00080A9A"/>
    <w:rsid w:val="00081592"/>
    <w:rsid w:val="000815BE"/>
    <w:rsid w:val="00082076"/>
    <w:rsid w:val="000829B1"/>
    <w:rsid w:val="00082A29"/>
    <w:rsid w:val="00082AE6"/>
    <w:rsid w:val="0008331D"/>
    <w:rsid w:val="00083432"/>
    <w:rsid w:val="000838C1"/>
    <w:rsid w:val="00083C18"/>
    <w:rsid w:val="000844B5"/>
    <w:rsid w:val="00084B2F"/>
    <w:rsid w:val="000857E5"/>
    <w:rsid w:val="00086114"/>
    <w:rsid w:val="0008691A"/>
    <w:rsid w:val="00086F29"/>
    <w:rsid w:val="00087050"/>
    <w:rsid w:val="000875B4"/>
    <w:rsid w:val="000876B2"/>
    <w:rsid w:val="00087DDA"/>
    <w:rsid w:val="000903E9"/>
    <w:rsid w:val="0009123E"/>
    <w:rsid w:val="0009162B"/>
    <w:rsid w:val="0009189A"/>
    <w:rsid w:val="00092048"/>
    <w:rsid w:val="0009212B"/>
    <w:rsid w:val="0009228D"/>
    <w:rsid w:val="00092899"/>
    <w:rsid w:val="00092D4F"/>
    <w:rsid w:val="00093463"/>
    <w:rsid w:val="000934A4"/>
    <w:rsid w:val="00093D1D"/>
    <w:rsid w:val="00094013"/>
    <w:rsid w:val="00094C46"/>
    <w:rsid w:val="00095642"/>
    <w:rsid w:val="0009688F"/>
    <w:rsid w:val="00096CD1"/>
    <w:rsid w:val="0009745B"/>
    <w:rsid w:val="00097E19"/>
    <w:rsid w:val="000A0138"/>
    <w:rsid w:val="000A01F2"/>
    <w:rsid w:val="000A1329"/>
    <w:rsid w:val="000A1641"/>
    <w:rsid w:val="000A178E"/>
    <w:rsid w:val="000A1D90"/>
    <w:rsid w:val="000A3036"/>
    <w:rsid w:val="000A34CC"/>
    <w:rsid w:val="000A44FE"/>
    <w:rsid w:val="000A4C94"/>
    <w:rsid w:val="000A5083"/>
    <w:rsid w:val="000A557E"/>
    <w:rsid w:val="000A5708"/>
    <w:rsid w:val="000A6816"/>
    <w:rsid w:val="000A753C"/>
    <w:rsid w:val="000A7628"/>
    <w:rsid w:val="000A7696"/>
    <w:rsid w:val="000A7BE4"/>
    <w:rsid w:val="000B01F8"/>
    <w:rsid w:val="000B058F"/>
    <w:rsid w:val="000B1D53"/>
    <w:rsid w:val="000B201F"/>
    <w:rsid w:val="000B25D7"/>
    <w:rsid w:val="000B38B5"/>
    <w:rsid w:val="000B3F46"/>
    <w:rsid w:val="000B447A"/>
    <w:rsid w:val="000B4794"/>
    <w:rsid w:val="000B50DA"/>
    <w:rsid w:val="000B526A"/>
    <w:rsid w:val="000B5572"/>
    <w:rsid w:val="000B5DA0"/>
    <w:rsid w:val="000B61AE"/>
    <w:rsid w:val="000B67A5"/>
    <w:rsid w:val="000B68D4"/>
    <w:rsid w:val="000B693F"/>
    <w:rsid w:val="000B7B06"/>
    <w:rsid w:val="000C08C9"/>
    <w:rsid w:val="000C09AC"/>
    <w:rsid w:val="000C0A63"/>
    <w:rsid w:val="000C1B43"/>
    <w:rsid w:val="000C2A91"/>
    <w:rsid w:val="000C2D3F"/>
    <w:rsid w:val="000C3F8F"/>
    <w:rsid w:val="000C437E"/>
    <w:rsid w:val="000C5E7E"/>
    <w:rsid w:val="000C73B1"/>
    <w:rsid w:val="000C77DE"/>
    <w:rsid w:val="000D0559"/>
    <w:rsid w:val="000D073C"/>
    <w:rsid w:val="000D1043"/>
    <w:rsid w:val="000D11EC"/>
    <w:rsid w:val="000D12BD"/>
    <w:rsid w:val="000D12E1"/>
    <w:rsid w:val="000D2B32"/>
    <w:rsid w:val="000D34A9"/>
    <w:rsid w:val="000D3513"/>
    <w:rsid w:val="000D36BF"/>
    <w:rsid w:val="000D36DA"/>
    <w:rsid w:val="000D3B20"/>
    <w:rsid w:val="000D3EED"/>
    <w:rsid w:val="000D49E3"/>
    <w:rsid w:val="000D4B82"/>
    <w:rsid w:val="000D507C"/>
    <w:rsid w:val="000D5957"/>
    <w:rsid w:val="000D5E55"/>
    <w:rsid w:val="000D72BA"/>
    <w:rsid w:val="000E0A7B"/>
    <w:rsid w:val="000E101E"/>
    <w:rsid w:val="000E1458"/>
    <w:rsid w:val="000E14EF"/>
    <w:rsid w:val="000E17AB"/>
    <w:rsid w:val="000E1A47"/>
    <w:rsid w:val="000E1C4C"/>
    <w:rsid w:val="000E2D86"/>
    <w:rsid w:val="000E357E"/>
    <w:rsid w:val="000E417C"/>
    <w:rsid w:val="000E474D"/>
    <w:rsid w:val="000E5790"/>
    <w:rsid w:val="000E5C85"/>
    <w:rsid w:val="000E5F16"/>
    <w:rsid w:val="000E6C10"/>
    <w:rsid w:val="000E6D05"/>
    <w:rsid w:val="000E6DDA"/>
    <w:rsid w:val="000E7D2A"/>
    <w:rsid w:val="000F1BE2"/>
    <w:rsid w:val="000F39E9"/>
    <w:rsid w:val="000F3CB1"/>
    <w:rsid w:val="000F43BF"/>
    <w:rsid w:val="000F4452"/>
    <w:rsid w:val="000F4A1E"/>
    <w:rsid w:val="000F4F79"/>
    <w:rsid w:val="000F5BE6"/>
    <w:rsid w:val="000F5EF9"/>
    <w:rsid w:val="000F624E"/>
    <w:rsid w:val="000F6397"/>
    <w:rsid w:val="000F6619"/>
    <w:rsid w:val="000F6CF1"/>
    <w:rsid w:val="000F6DA1"/>
    <w:rsid w:val="000F6E2C"/>
    <w:rsid w:val="000F701B"/>
    <w:rsid w:val="000F75C9"/>
    <w:rsid w:val="000F7D60"/>
    <w:rsid w:val="0010291A"/>
    <w:rsid w:val="00102B23"/>
    <w:rsid w:val="00102B65"/>
    <w:rsid w:val="00102F7C"/>
    <w:rsid w:val="00103157"/>
    <w:rsid w:val="00105377"/>
    <w:rsid w:val="001056A0"/>
    <w:rsid w:val="001059E5"/>
    <w:rsid w:val="00105F5C"/>
    <w:rsid w:val="00106232"/>
    <w:rsid w:val="00106A7A"/>
    <w:rsid w:val="00107646"/>
    <w:rsid w:val="0011062B"/>
    <w:rsid w:val="00110DCA"/>
    <w:rsid w:val="001111B7"/>
    <w:rsid w:val="001116D0"/>
    <w:rsid w:val="00111E3B"/>
    <w:rsid w:val="0011266D"/>
    <w:rsid w:val="00112C5C"/>
    <w:rsid w:val="00113555"/>
    <w:rsid w:val="00114853"/>
    <w:rsid w:val="00114C44"/>
    <w:rsid w:val="00115279"/>
    <w:rsid w:val="0011535C"/>
    <w:rsid w:val="0011734D"/>
    <w:rsid w:val="00117459"/>
    <w:rsid w:val="0011749A"/>
    <w:rsid w:val="00120DDE"/>
    <w:rsid w:val="0012111F"/>
    <w:rsid w:val="00121171"/>
    <w:rsid w:val="0012132D"/>
    <w:rsid w:val="001213F8"/>
    <w:rsid w:val="00121B03"/>
    <w:rsid w:val="00121FD6"/>
    <w:rsid w:val="00122413"/>
    <w:rsid w:val="00122C11"/>
    <w:rsid w:val="001232BC"/>
    <w:rsid w:val="001235C2"/>
    <w:rsid w:val="001235D9"/>
    <w:rsid w:val="00123719"/>
    <w:rsid w:val="00123AD3"/>
    <w:rsid w:val="00123B1C"/>
    <w:rsid w:val="00123FC4"/>
    <w:rsid w:val="00124B2D"/>
    <w:rsid w:val="00124C32"/>
    <w:rsid w:val="001253C9"/>
    <w:rsid w:val="001254E6"/>
    <w:rsid w:val="0012587E"/>
    <w:rsid w:val="00125B23"/>
    <w:rsid w:val="00125C1B"/>
    <w:rsid w:val="00126334"/>
    <w:rsid w:val="001267B1"/>
    <w:rsid w:val="001268A8"/>
    <w:rsid w:val="001268FF"/>
    <w:rsid w:val="00126905"/>
    <w:rsid w:val="00126FED"/>
    <w:rsid w:val="00127043"/>
    <w:rsid w:val="00127155"/>
    <w:rsid w:val="00127707"/>
    <w:rsid w:val="00127758"/>
    <w:rsid w:val="001279EE"/>
    <w:rsid w:val="00127A68"/>
    <w:rsid w:val="00130314"/>
    <w:rsid w:val="0013037A"/>
    <w:rsid w:val="0013089F"/>
    <w:rsid w:val="00130B6F"/>
    <w:rsid w:val="00130E99"/>
    <w:rsid w:val="001311D5"/>
    <w:rsid w:val="00131939"/>
    <w:rsid w:val="00132241"/>
    <w:rsid w:val="0013240E"/>
    <w:rsid w:val="00132D9E"/>
    <w:rsid w:val="00133322"/>
    <w:rsid w:val="0013335A"/>
    <w:rsid w:val="00133496"/>
    <w:rsid w:val="00133663"/>
    <w:rsid w:val="0013369C"/>
    <w:rsid w:val="00133846"/>
    <w:rsid w:val="001338BE"/>
    <w:rsid w:val="0013499B"/>
    <w:rsid w:val="00134EBE"/>
    <w:rsid w:val="001358FC"/>
    <w:rsid w:val="00135B5C"/>
    <w:rsid w:val="001361E8"/>
    <w:rsid w:val="0013644A"/>
    <w:rsid w:val="00136CE3"/>
    <w:rsid w:val="00136D45"/>
    <w:rsid w:val="00140B13"/>
    <w:rsid w:val="00140B2D"/>
    <w:rsid w:val="00140BB3"/>
    <w:rsid w:val="00140C92"/>
    <w:rsid w:val="00140F32"/>
    <w:rsid w:val="00141B68"/>
    <w:rsid w:val="00142C03"/>
    <w:rsid w:val="001436C3"/>
    <w:rsid w:val="00143E1A"/>
    <w:rsid w:val="001452B6"/>
    <w:rsid w:val="0014597E"/>
    <w:rsid w:val="00146259"/>
    <w:rsid w:val="001466DA"/>
    <w:rsid w:val="0014718F"/>
    <w:rsid w:val="0014721E"/>
    <w:rsid w:val="00147B7F"/>
    <w:rsid w:val="00147EC4"/>
    <w:rsid w:val="00150BF8"/>
    <w:rsid w:val="0015175D"/>
    <w:rsid w:val="00151DD5"/>
    <w:rsid w:val="00152243"/>
    <w:rsid w:val="001524E1"/>
    <w:rsid w:val="00152F91"/>
    <w:rsid w:val="0015379F"/>
    <w:rsid w:val="0015392B"/>
    <w:rsid w:val="00153B83"/>
    <w:rsid w:val="00154DE1"/>
    <w:rsid w:val="00155B40"/>
    <w:rsid w:val="00156055"/>
    <w:rsid w:val="00156269"/>
    <w:rsid w:val="00156A07"/>
    <w:rsid w:val="00157435"/>
    <w:rsid w:val="001578DC"/>
    <w:rsid w:val="00157DFB"/>
    <w:rsid w:val="00157F47"/>
    <w:rsid w:val="00160118"/>
    <w:rsid w:val="001604F8"/>
    <w:rsid w:val="001606F2"/>
    <w:rsid w:val="0016079B"/>
    <w:rsid w:val="001614C1"/>
    <w:rsid w:val="00161666"/>
    <w:rsid w:val="00161921"/>
    <w:rsid w:val="0016245C"/>
    <w:rsid w:val="0016334C"/>
    <w:rsid w:val="00163EEA"/>
    <w:rsid w:val="00164056"/>
    <w:rsid w:val="001655E4"/>
    <w:rsid w:val="00165C0C"/>
    <w:rsid w:val="00165FBA"/>
    <w:rsid w:val="00167169"/>
    <w:rsid w:val="00167A07"/>
    <w:rsid w:val="0017046A"/>
    <w:rsid w:val="001704A3"/>
    <w:rsid w:val="00170A45"/>
    <w:rsid w:val="001713CE"/>
    <w:rsid w:val="00172550"/>
    <w:rsid w:val="0017257A"/>
    <w:rsid w:val="00172FC7"/>
    <w:rsid w:val="00173DC9"/>
    <w:rsid w:val="00174292"/>
    <w:rsid w:val="00174E9C"/>
    <w:rsid w:val="0017504D"/>
    <w:rsid w:val="00175251"/>
    <w:rsid w:val="00175820"/>
    <w:rsid w:val="0017595D"/>
    <w:rsid w:val="00175D5D"/>
    <w:rsid w:val="00175DE6"/>
    <w:rsid w:val="00176655"/>
    <w:rsid w:val="00177422"/>
    <w:rsid w:val="0017756A"/>
    <w:rsid w:val="0017772C"/>
    <w:rsid w:val="00177E55"/>
    <w:rsid w:val="00180538"/>
    <w:rsid w:val="00180BDE"/>
    <w:rsid w:val="00180D87"/>
    <w:rsid w:val="00180FC7"/>
    <w:rsid w:val="00181DC1"/>
    <w:rsid w:val="00182375"/>
    <w:rsid w:val="001825B4"/>
    <w:rsid w:val="00182A81"/>
    <w:rsid w:val="001831D7"/>
    <w:rsid w:val="00184725"/>
    <w:rsid w:val="0018473E"/>
    <w:rsid w:val="00184F10"/>
    <w:rsid w:val="00185237"/>
    <w:rsid w:val="00185546"/>
    <w:rsid w:val="00185C0F"/>
    <w:rsid w:val="00186001"/>
    <w:rsid w:val="00186905"/>
    <w:rsid w:val="0018702E"/>
    <w:rsid w:val="00187423"/>
    <w:rsid w:val="00187C8A"/>
    <w:rsid w:val="00190C1D"/>
    <w:rsid w:val="00190CBD"/>
    <w:rsid w:val="0019146B"/>
    <w:rsid w:val="001915F0"/>
    <w:rsid w:val="0019225D"/>
    <w:rsid w:val="00192888"/>
    <w:rsid w:val="00192D67"/>
    <w:rsid w:val="0019364A"/>
    <w:rsid w:val="00193F8D"/>
    <w:rsid w:val="00194398"/>
    <w:rsid w:val="001944C1"/>
    <w:rsid w:val="00194701"/>
    <w:rsid w:val="0019698B"/>
    <w:rsid w:val="00196AC7"/>
    <w:rsid w:val="00197839"/>
    <w:rsid w:val="00197A34"/>
    <w:rsid w:val="00197E28"/>
    <w:rsid w:val="001A015B"/>
    <w:rsid w:val="001A0B6C"/>
    <w:rsid w:val="001A1FE6"/>
    <w:rsid w:val="001A224D"/>
    <w:rsid w:val="001A23D3"/>
    <w:rsid w:val="001A2C0D"/>
    <w:rsid w:val="001A3A1F"/>
    <w:rsid w:val="001A4B34"/>
    <w:rsid w:val="001A4F7D"/>
    <w:rsid w:val="001A530B"/>
    <w:rsid w:val="001A5691"/>
    <w:rsid w:val="001A589C"/>
    <w:rsid w:val="001A5914"/>
    <w:rsid w:val="001A5B5F"/>
    <w:rsid w:val="001A5C1B"/>
    <w:rsid w:val="001A5F22"/>
    <w:rsid w:val="001A5F4A"/>
    <w:rsid w:val="001A6559"/>
    <w:rsid w:val="001A6BB6"/>
    <w:rsid w:val="001A7A8F"/>
    <w:rsid w:val="001A7D2A"/>
    <w:rsid w:val="001B0BBF"/>
    <w:rsid w:val="001B0EAB"/>
    <w:rsid w:val="001B14CE"/>
    <w:rsid w:val="001B18B4"/>
    <w:rsid w:val="001B1B75"/>
    <w:rsid w:val="001B24EE"/>
    <w:rsid w:val="001B2DA1"/>
    <w:rsid w:val="001B41F6"/>
    <w:rsid w:val="001B4C0C"/>
    <w:rsid w:val="001B524A"/>
    <w:rsid w:val="001B574C"/>
    <w:rsid w:val="001B587B"/>
    <w:rsid w:val="001B58A3"/>
    <w:rsid w:val="001B59F5"/>
    <w:rsid w:val="001B5DEC"/>
    <w:rsid w:val="001B6CF4"/>
    <w:rsid w:val="001B7FE4"/>
    <w:rsid w:val="001C07CF"/>
    <w:rsid w:val="001C0838"/>
    <w:rsid w:val="001C0AF9"/>
    <w:rsid w:val="001C0C81"/>
    <w:rsid w:val="001C155A"/>
    <w:rsid w:val="001C2574"/>
    <w:rsid w:val="001C2B30"/>
    <w:rsid w:val="001C345A"/>
    <w:rsid w:val="001C3574"/>
    <w:rsid w:val="001C4888"/>
    <w:rsid w:val="001C48C0"/>
    <w:rsid w:val="001C50D7"/>
    <w:rsid w:val="001C633D"/>
    <w:rsid w:val="001C6369"/>
    <w:rsid w:val="001C6421"/>
    <w:rsid w:val="001C7299"/>
    <w:rsid w:val="001D010B"/>
    <w:rsid w:val="001D03CA"/>
    <w:rsid w:val="001D0D57"/>
    <w:rsid w:val="001D26D9"/>
    <w:rsid w:val="001D2D0C"/>
    <w:rsid w:val="001D381C"/>
    <w:rsid w:val="001D4530"/>
    <w:rsid w:val="001D4F20"/>
    <w:rsid w:val="001D5138"/>
    <w:rsid w:val="001D6726"/>
    <w:rsid w:val="001D6D14"/>
    <w:rsid w:val="001D6F69"/>
    <w:rsid w:val="001D7554"/>
    <w:rsid w:val="001D7578"/>
    <w:rsid w:val="001E0737"/>
    <w:rsid w:val="001E1868"/>
    <w:rsid w:val="001E2296"/>
    <w:rsid w:val="001E23CB"/>
    <w:rsid w:val="001E252B"/>
    <w:rsid w:val="001E3318"/>
    <w:rsid w:val="001E4498"/>
    <w:rsid w:val="001E48A5"/>
    <w:rsid w:val="001E4C82"/>
    <w:rsid w:val="001E4D2B"/>
    <w:rsid w:val="001E546F"/>
    <w:rsid w:val="001E5B02"/>
    <w:rsid w:val="001E5B0F"/>
    <w:rsid w:val="001E6DE8"/>
    <w:rsid w:val="001E75C1"/>
    <w:rsid w:val="001E7E81"/>
    <w:rsid w:val="001F03E8"/>
    <w:rsid w:val="001F0A7A"/>
    <w:rsid w:val="001F0C1C"/>
    <w:rsid w:val="001F12B5"/>
    <w:rsid w:val="001F13F7"/>
    <w:rsid w:val="001F1FA2"/>
    <w:rsid w:val="001F2CCD"/>
    <w:rsid w:val="001F3107"/>
    <w:rsid w:val="001F325F"/>
    <w:rsid w:val="001F3347"/>
    <w:rsid w:val="001F43F0"/>
    <w:rsid w:val="001F4440"/>
    <w:rsid w:val="001F4F9E"/>
    <w:rsid w:val="001F5EF3"/>
    <w:rsid w:val="001F60E7"/>
    <w:rsid w:val="001F69E4"/>
    <w:rsid w:val="00201FFC"/>
    <w:rsid w:val="00202D20"/>
    <w:rsid w:val="00203776"/>
    <w:rsid w:val="00203BB3"/>
    <w:rsid w:val="00203DA3"/>
    <w:rsid w:val="00203F3C"/>
    <w:rsid w:val="002047B4"/>
    <w:rsid w:val="00204918"/>
    <w:rsid w:val="00204F14"/>
    <w:rsid w:val="00205558"/>
    <w:rsid w:val="00205EAB"/>
    <w:rsid w:val="00205F4E"/>
    <w:rsid w:val="002060FA"/>
    <w:rsid w:val="00206A65"/>
    <w:rsid w:val="00207093"/>
    <w:rsid w:val="00207A23"/>
    <w:rsid w:val="00207F6A"/>
    <w:rsid w:val="00207FDD"/>
    <w:rsid w:val="002102A2"/>
    <w:rsid w:val="00210573"/>
    <w:rsid w:val="00210809"/>
    <w:rsid w:val="00210CED"/>
    <w:rsid w:val="002113A5"/>
    <w:rsid w:val="00211892"/>
    <w:rsid w:val="0021191E"/>
    <w:rsid w:val="00211C7C"/>
    <w:rsid w:val="002121A2"/>
    <w:rsid w:val="00212286"/>
    <w:rsid w:val="00212702"/>
    <w:rsid w:val="00212D31"/>
    <w:rsid w:val="00212FA2"/>
    <w:rsid w:val="00212FEB"/>
    <w:rsid w:val="002130C7"/>
    <w:rsid w:val="00213C0B"/>
    <w:rsid w:val="00215FDC"/>
    <w:rsid w:val="0021628D"/>
    <w:rsid w:val="002162BA"/>
    <w:rsid w:val="00216ECB"/>
    <w:rsid w:val="00217658"/>
    <w:rsid w:val="00220122"/>
    <w:rsid w:val="00220250"/>
    <w:rsid w:val="002208D4"/>
    <w:rsid w:val="00220BF2"/>
    <w:rsid w:val="00220FC2"/>
    <w:rsid w:val="002218A8"/>
    <w:rsid w:val="002227A2"/>
    <w:rsid w:val="00222CC3"/>
    <w:rsid w:val="00222F1F"/>
    <w:rsid w:val="0022306D"/>
    <w:rsid w:val="00223177"/>
    <w:rsid w:val="002234F7"/>
    <w:rsid w:val="00223706"/>
    <w:rsid w:val="00223A42"/>
    <w:rsid w:val="00223AED"/>
    <w:rsid w:val="00223C63"/>
    <w:rsid w:val="002244DB"/>
    <w:rsid w:val="00224B15"/>
    <w:rsid w:val="00224CD4"/>
    <w:rsid w:val="00224E4F"/>
    <w:rsid w:val="00224F29"/>
    <w:rsid w:val="00225079"/>
    <w:rsid w:val="0022507B"/>
    <w:rsid w:val="002251F0"/>
    <w:rsid w:val="00226127"/>
    <w:rsid w:val="002261D1"/>
    <w:rsid w:val="00226574"/>
    <w:rsid w:val="002272FE"/>
    <w:rsid w:val="002273F7"/>
    <w:rsid w:val="002278EC"/>
    <w:rsid w:val="00230265"/>
    <w:rsid w:val="00230938"/>
    <w:rsid w:val="00230F40"/>
    <w:rsid w:val="0023120D"/>
    <w:rsid w:val="00231214"/>
    <w:rsid w:val="0023190A"/>
    <w:rsid w:val="00231FE9"/>
    <w:rsid w:val="002321CA"/>
    <w:rsid w:val="00232257"/>
    <w:rsid w:val="002325D2"/>
    <w:rsid w:val="0023281C"/>
    <w:rsid w:val="0023351C"/>
    <w:rsid w:val="00233747"/>
    <w:rsid w:val="00233D01"/>
    <w:rsid w:val="00233F7D"/>
    <w:rsid w:val="00234E34"/>
    <w:rsid w:val="002357C7"/>
    <w:rsid w:val="002366B2"/>
    <w:rsid w:val="002367C4"/>
    <w:rsid w:val="00236925"/>
    <w:rsid w:val="00236E09"/>
    <w:rsid w:val="002372EA"/>
    <w:rsid w:val="0023787B"/>
    <w:rsid w:val="00237C6E"/>
    <w:rsid w:val="0024053D"/>
    <w:rsid w:val="00241116"/>
    <w:rsid w:val="002415A2"/>
    <w:rsid w:val="00241DAD"/>
    <w:rsid w:val="00241F96"/>
    <w:rsid w:val="00242F02"/>
    <w:rsid w:val="00243258"/>
    <w:rsid w:val="002432D2"/>
    <w:rsid w:val="0024338C"/>
    <w:rsid w:val="002438D2"/>
    <w:rsid w:val="00243AA9"/>
    <w:rsid w:val="00244114"/>
    <w:rsid w:val="002452FD"/>
    <w:rsid w:val="002455D5"/>
    <w:rsid w:val="00245715"/>
    <w:rsid w:val="00245DAF"/>
    <w:rsid w:val="002460B3"/>
    <w:rsid w:val="002460DD"/>
    <w:rsid w:val="00246646"/>
    <w:rsid w:val="00246867"/>
    <w:rsid w:val="002469CD"/>
    <w:rsid w:val="00246B93"/>
    <w:rsid w:val="00247776"/>
    <w:rsid w:val="00247A1A"/>
    <w:rsid w:val="00247E76"/>
    <w:rsid w:val="00251101"/>
    <w:rsid w:val="00251244"/>
    <w:rsid w:val="00251278"/>
    <w:rsid w:val="00251557"/>
    <w:rsid w:val="002521D3"/>
    <w:rsid w:val="0025241E"/>
    <w:rsid w:val="00252661"/>
    <w:rsid w:val="002534CB"/>
    <w:rsid w:val="00254979"/>
    <w:rsid w:val="002565D2"/>
    <w:rsid w:val="0025679E"/>
    <w:rsid w:val="002574D6"/>
    <w:rsid w:val="00257C1C"/>
    <w:rsid w:val="00257E15"/>
    <w:rsid w:val="00260502"/>
    <w:rsid w:val="00260C68"/>
    <w:rsid w:val="002626BB"/>
    <w:rsid w:val="00262978"/>
    <w:rsid w:val="00263125"/>
    <w:rsid w:val="002631F1"/>
    <w:rsid w:val="00263E33"/>
    <w:rsid w:val="002647A6"/>
    <w:rsid w:val="002648B0"/>
    <w:rsid w:val="00264D6E"/>
    <w:rsid w:val="0026539B"/>
    <w:rsid w:val="002666AB"/>
    <w:rsid w:val="00267144"/>
    <w:rsid w:val="00267F44"/>
    <w:rsid w:val="0027005F"/>
    <w:rsid w:val="0027041E"/>
    <w:rsid w:val="0027061C"/>
    <w:rsid w:val="00270DB6"/>
    <w:rsid w:val="00271814"/>
    <w:rsid w:val="0027206E"/>
    <w:rsid w:val="0027242A"/>
    <w:rsid w:val="00273E8B"/>
    <w:rsid w:val="0027429F"/>
    <w:rsid w:val="002746C0"/>
    <w:rsid w:val="00275271"/>
    <w:rsid w:val="0027535E"/>
    <w:rsid w:val="002756EC"/>
    <w:rsid w:val="0027596D"/>
    <w:rsid w:val="00275AA6"/>
    <w:rsid w:val="00275FF5"/>
    <w:rsid w:val="00275FFE"/>
    <w:rsid w:val="002775A2"/>
    <w:rsid w:val="00277A3F"/>
    <w:rsid w:val="00277E7D"/>
    <w:rsid w:val="00280635"/>
    <w:rsid w:val="002807D5"/>
    <w:rsid w:val="00280A5C"/>
    <w:rsid w:val="00280B85"/>
    <w:rsid w:val="00280CEF"/>
    <w:rsid w:val="00282B84"/>
    <w:rsid w:val="00282CCD"/>
    <w:rsid w:val="00283CA1"/>
    <w:rsid w:val="00284C02"/>
    <w:rsid w:val="00287631"/>
    <w:rsid w:val="002879C8"/>
    <w:rsid w:val="002903F0"/>
    <w:rsid w:val="00290B53"/>
    <w:rsid w:val="00291AE5"/>
    <w:rsid w:val="00292814"/>
    <w:rsid w:val="00292BBF"/>
    <w:rsid w:val="0029373B"/>
    <w:rsid w:val="00293BF8"/>
    <w:rsid w:val="00295035"/>
    <w:rsid w:val="002956CF"/>
    <w:rsid w:val="0029759D"/>
    <w:rsid w:val="002975F1"/>
    <w:rsid w:val="0029779E"/>
    <w:rsid w:val="00297CA7"/>
    <w:rsid w:val="002A04FB"/>
    <w:rsid w:val="002A0DFA"/>
    <w:rsid w:val="002A136F"/>
    <w:rsid w:val="002A14E2"/>
    <w:rsid w:val="002A168C"/>
    <w:rsid w:val="002A1810"/>
    <w:rsid w:val="002A1D0B"/>
    <w:rsid w:val="002A26E2"/>
    <w:rsid w:val="002A2C48"/>
    <w:rsid w:val="002A2F5C"/>
    <w:rsid w:val="002A3223"/>
    <w:rsid w:val="002A3291"/>
    <w:rsid w:val="002A3EED"/>
    <w:rsid w:val="002A45B6"/>
    <w:rsid w:val="002A4A39"/>
    <w:rsid w:val="002A5A17"/>
    <w:rsid w:val="002A5F1F"/>
    <w:rsid w:val="002A6425"/>
    <w:rsid w:val="002A7E3F"/>
    <w:rsid w:val="002B0D5A"/>
    <w:rsid w:val="002B11D1"/>
    <w:rsid w:val="002B194A"/>
    <w:rsid w:val="002B288E"/>
    <w:rsid w:val="002B2E7B"/>
    <w:rsid w:val="002B47AE"/>
    <w:rsid w:val="002B49E2"/>
    <w:rsid w:val="002B4BCD"/>
    <w:rsid w:val="002B5051"/>
    <w:rsid w:val="002B57D1"/>
    <w:rsid w:val="002B59A4"/>
    <w:rsid w:val="002B66C6"/>
    <w:rsid w:val="002B7143"/>
    <w:rsid w:val="002B7B00"/>
    <w:rsid w:val="002B7C44"/>
    <w:rsid w:val="002B7F53"/>
    <w:rsid w:val="002C08F9"/>
    <w:rsid w:val="002C1190"/>
    <w:rsid w:val="002C134D"/>
    <w:rsid w:val="002C1388"/>
    <w:rsid w:val="002C1762"/>
    <w:rsid w:val="002C1CC4"/>
    <w:rsid w:val="002C1FA2"/>
    <w:rsid w:val="002C2845"/>
    <w:rsid w:val="002C2AC6"/>
    <w:rsid w:val="002C36A2"/>
    <w:rsid w:val="002C3C6A"/>
    <w:rsid w:val="002C3F03"/>
    <w:rsid w:val="002C4367"/>
    <w:rsid w:val="002C451B"/>
    <w:rsid w:val="002C456B"/>
    <w:rsid w:val="002C4B53"/>
    <w:rsid w:val="002C54E0"/>
    <w:rsid w:val="002C66D3"/>
    <w:rsid w:val="002C6C7D"/>
    <w:rsid w:val="002C7024"/>
    <w:rsid w:val="002C799A"/>
    <w:rsid w:val="002D08B4"/>
    <w:rsid w:val="002D106A"/>
    <w:rsid w:val="002D14BF"/>
    <w:rsid w:val="002D16D9"/>
    <w:rsid w:val="002D2B62"/>
    <w:rsid w:val="002D34FF"/>
    <w:rsid w:val="002D420F"/>
    <w:rsid w:val="002D42DB"/>
    <w:rsid w:val="002D4AB1"/>
    <w:rsid w:val="002D53EE"/>
    <w:rsid w:val="002D5481"/>
    <w:rsid w:val="002D54F2"/>
    <w:rsid w:val="002D5568"/>
    <w:rsid w:val="002D58CE"/>
    <w:rsid w:val="002D5FA4"/>
    <w:rsid w:val="002D6138"/>
    <w:rsid w:val="002D62CE"/>
    <w:rsid w:val="002D64A5"/>
    <w:rsid w:val="002D6AF5"/>
    <w:rsid w:val="002D6FE1"/>
    <w:rsid w:val="002D78B3"/>
    <w:rsid w:val="002D79F4"/>
    <w:rsid w:val="002E0331"/>
    <w:rsid w:val="002E07D8"/>
    <w:rsid w:val="002E0E59"/>
    <w:rsid w:val="002E1365"/>
    <w:rsid w:val="002E1F3A"/>
    <w:rsid w:val="002E2067"/>
    <w:rsid w:val="002E28EB"/>
    <w:rsid w:val="002E298A"/>
    <w:rsid w:val="002E37D4"/>
    <w:rsid w:val="002E3C21"/>
    <w:rsid w:val="002E3E56"/>
    <w:rsid w:val="002E4EB8"/>
    <w:rsid w:val="002E5630"/>
    <w:rsid w:val="002E58A6"/>
    <w:rsid w:val="002E5E0B"/>
    <w:rsid w:val="002E6444"/>
    <w:rsid w:val="002E688F"/>
    <w:rsid w:val="002F0273"/>
    <w:rsid w:val="002F02A4"/>
    <w:rsid w:val="002F0455"/>
    <w:rsid w:val="002F0659"/>
    <w:rsid w:val="002F10DC"/>
    <w:rsid w:val="002F1360"/>
    <w:rsid w:val="002F1E86"/>
    <w:rsid w:val="002F272B"/>
    <w:rsid w:val="002F2DC2"/>
    <w:rsid w:val="002F3DAF"/>
    <w:rsid w:val="002F3F36"/>
    <w:rsid w:val="002F48A7"/>
    <w:rsid w:val="002F537A"/>
    <w:rsid w:val="002F5CAB"/>
    <w:rsid w:val="002F5EFD"/>
    <w:rsid w:val="002F6466"/>
    <w:rsid w:val="002F677F"/>
    <w:rsid w:val="002F7625"/>
    <w:rsid w:val="002F79E7"/>
    <w:rsid w:val="002F7C6D"/>
    <w:rsid w:val="00300035"/>
    <w:rsid w:val="003002A5"/>
    <w:rsid w:val="00300469"/>
    <w:rsid w:val="00300B7B"/>
    <w:rsid w:val="003014A1"/>
    <w:rsid w:val="00301AE2"/>
    <w:rsid w:val="00301F42"/>
    <w:rsid w:val="003024F2"/>
    <w:rsid w:val="003027E4"/>
    <w:rsid w:val="0030332C"/>
    <w:rsid w:val="0030338E"/>
    <w:rsid w:val="00303E58"/>
    <w:rsid w:val="0030408F"/>
    <w:rsid w:val="0030449D"/>
    <w:rsid w:val="00304D7A"/>
    <w:rsid w:val="00304F4E"/>
    <w:rsid w:val="003071D1"/>
    <w:rsid w:val="0031116C"/>
    <w:rsid w:val="00311603"/>
    <w:rsid w:val="00311914"/>
    <w:rsid w:val="00312296"/>
    <w:rsid w:val="0031340E"/>
    <w:rsid w:val="003136F3"/>
    <w:rsid w:val="00313F9D"/>
    <w:rsid w:val="003140BF"/>
    <w:rsid w:val="00314A20"/>
    <w:rsid w:val="00314ACA"/>
    <w:rsid w:val="00314EF8"/>
    <w:rsid w:val="0031512A"/>
    <w:rsid w:val="00316464"/>
    <w:rsid w:val="00317881"/>
    <w:rsid w:val="00320324"/>
    <w:rsid w:val="0032057D"/>
    <w:rsid w:val="003206D1"/>
    <w:rsid w:val="003206E7"/>
    <w:rsid w:val="0032073A"/>
    <w:rsid w:val="00320F2C"/>
    <w:rsid w:val="00321219"/>
    <w:rsid w:val="00321903"/>
    <w:rsid w:val="00321D8E"/>
    <w:rsid w:val="00321F3E"/>
    <w:rsid w:val="0032224C"/>
    <w:rsid w:val="00322606"/>
    <w:rsid w:val="00322E55"/>
    <w:rsid w:val="00323182"/>
    <w:rsid w:val="00323D76"/>
    <w:rsid w:val="003240D9"/>
    <w:rsid w:val="00324B7E"/>
    <w:rsid w:val="00324DF2"/>
    <w:rsid w:val="00324E9F"/>
    <w:rsid w:val="0032531F"/>
    <w:rsid w:val="00325DB2"/>
    <w:rsid w:val="003262A0"/>
    <w:rsid w:val="0032677F"/>
    <w:rsid w:val="00331D23"/>
    <w:rsid w:val="0033242D"/>
    <w:rsid w:val="00332D56"/>
    <w:rsid w:val="003334DD"/>
    <w:rsid w:val="00334996"/>
    <w:rsid w:val="00334B29"/>
    <w:rsid w:val="00334D1D"/>
    <w:rsid w:val="00335354"/>
    <w:rsid w:val="00335496"/>
    <w:rsid w:val="00335612"/>
    <w:rsid w:val="003363E1"/>
    <w:rsid w:val="00336969"/>
    <w:rsid w:val="00336C52"/>
    <w:rsid w:val="0033701C"/>
    <w:rsid w:val="0033769B"/>
    <w:rsid w:val="003400BB"/>
    <w:rsid w:val="00340A1E"/>
    <w:rsid w:val="00341426"/>
    <w:rsid w:val="003414C0"/>
    <w:rsid w:val="003417BC"/>
    <w:rsid w:val="00341B3E"/>
    <w:rsid w:val="00341B42"/>
    <w:rsid w:val="00341E5A"/>
    <w:rsid w:val="00342848"/>
    <w:rsid w:val="00342BF3"/>
    <w:rsid w:val="00342E12"/>
    <w:rsid w:val="0034304C"/>
    <w:rsid w:val="0034350D"/>
    <w:rsid w:val="003435F1"/>
    <w:rsid w:val="00343B41"/>
    <w:rsid w:val="00345154"/>
    <w:rsid w:val="003451F0"/>
    <w:rsid w:val="0034560E"/>
    <w:rsid w:val="00346559"/>
    <w:rsid w:val="00346B03"/>
    <w:rsid w:val="00346D99"/>
    <w:rsid w:val="00346FCD"/>
    <w:rsid w:val="00347083"/>
    <w:rsid w:val="00347BAE"/>
    <w:rsid w:val="00347C46"/>
    <w:rsid w:val="00347F9B"/>
    <w:rsid w:val="0035040A"/>
    <w:rsid w:val="00350523"/>
    <w:rsid w:val="00350763"/>
    <w:rsid w:val="00350818"/>
    <w:rsid w:val="00350E6A"/>
    <w:rsid w:val="00351B7A"/>
    <w:rsid w:val="003527B2"/>
    <w:rsid w:val="00352975"/>
    <w:rsid w:val="00354D85"/>
    <w:rsid w:val="003556E3"/>
    <w:rsid w:val="003566AB"/>
    <w:rsid w:val="003566C2"/>
    <w:rsid w:val="0035683C"/>
    <w:rsid w:val="00356868"/>
    <w:rsid w:val="00356890"/>
    <w:rsid w:val="00357799"/>
    <w:rsid w:val="003579D2"/>
    <w:rsid w:val="0036080B"/>
    <w:rsid w:val="00360B2B"/>
    <w:rsid w:val="00360C58"/>
    <w:rsid w:val="00361011"/>
    <w:rsid w:val="003614C4"/>
    <w:rsid w:val="003615EC"/>
    <w:rsid w:val="003618FA"/>
    <w:rsid w:val="00361F22"/>
    <w:rsid w:val="0036238F"/>
    <w:rsid w:val="003627FD"/>
    <w:rsid w:val="00362AFF"/>
    <w:rsid w:val="00364200"/>
    <w:rsid w:val="0036485B"/>
    <w:rsid w:val="00364B1B"/>
    <w:rsid w:val="00364EF2"/>
    <w:rsid w:val="00365835"/>
    <w:rsid w:val="00365F76"/>
    <w:rsid w:val="0036629D"/>
    <w:rsid w:val="003662D1"/>
    <w:rsid w:val="00366860"/>
    <w:rsid w:val="003670D3"/>
    <w:rsid w:val="00367946"/>
    <w:rsid w:val="00367D53"/>
    <w:rsid w:val="00370905"/>
    <w:rsid w:val="00370CC5"/>
    <w:rsid w:val="003716CD"/>
    <w:rsid w:val="0037178D"/>
    <w:rsid w:val="00371C57"/>
    <w:rsid w:val="003727F7"/>
    <w:rsid w:val="0037330A"/>
    <w:rsid w:val="003733CE"/>
    <w:rsid w:val="00373872"/>
    <w:rsid w:val="00373B0D"/>
    <w:rsid w:val="00373CD2"/>
    <w:rsid w:val="00374262"/>
    <w:rsid w:val="0037438F"/>
    <w:rsid w:val="0037440C"/>
    <w:rsid w:val="00374EE0"/>
    <w:rsid w:val="0037633F"/>
    <w:rsid w:val="003765A4"/>
    <w:rsid w:val="00376988"/>
    <w:rsid w:val="00376F71"/>
    <w:rsid w:val="00377226"/>
    <w:rsid w:val="00380059"/>
    <w:rsid w:val="00380797"/>
    <w:rsid w:val="003808D4"/>
    <w:rsid w:val="0038185B"/>
    <w:rsid w:val="00381A72"/>
    <w:rsid w:val="00384145"/>
    <w:rsid w:val="003843D4"/>
    <w:rsid w:val="00384991"/>
    <w:rsid w:val="00384AF9"/>
    <w:rsid w:val="00384C24"/>
    <w:rsid w:val="00384FE2"/>
    <w:rsid w:val="003855B1"/>
    <w:rsid w:val="0038662E"/>
    <w:rsid w:val="003866CD"/>
    <w:rsid w:val="00386771"/>
    <w:rsid w:val="003877C7"/>
    <w:rsid w:val="00390443"/>
    <w:rsid w:val="00390480"/>
    <w:rsid w:val="00390BDA"/>
    <w:rsid w:val="003915F2"/>
    <w:rsid w:val="00392A40"/>
    <w:rsid w:val="00392B65"/>
    <w:rsid w:val="00393649"/>
    <w:rsid w:val="00394049"/>
    <w:rsid w:val="00395FAC"/>
    <w:rsid w:val="0039735D"/>
    <w:rsid w:val="003A003E"/>
    <w:rsid w:val="003A0ACC"/>
    <w:rsid w:val="003A0F6D"/>
    <w:rsid w:val="003A1821"/>
    <w:rsid w:val="003A1948"/>
    <w:rsid w:val="003A1950"/>
    <w:rsid w:val="003A20BA"/>
    <w:rsid w:val="003A3736"/>
    <w:rsid w:val="003A3793"/>
    <w:rsid w:val="003A41B7"/>
    <w:rsid w:val="003A4DAB"/>
    <w:rsid w:val="003A50FF"/>
    <w:rsid w:val="003A51C8"/>
    <w:rsid w:val="003A5360"/>
    <w:rsid w:val="003A5947"/>
    <w:rsid w:val="003A62FA"/>
    <w:rsid w:val="003A6361"/>
    <w:rsid w:val="003A6D01"/>
    <w:rsid w:val="003A7509"/>
    <w:rsid w:val="003A778B"/>
    <w:rsid w:val="003B0300"/>
    <w:rsid w:val="003B08BF"/>
    <w:rsid w:val="003B0EA1"/>
    <w:rsid w:val="003B13C6"/>
    <w:rsid w:val="003B152A"/>
    <w:rsid w:val="003B1DD8"/>
    <w:rsid w:val="003B2DB7"/>
    <w:rsid w:val="003B2F21"/>
    <w:rsid w:val="003B3652"/>
    <w:rsid w:val="003B3DB4"/>
    <w:rsid w:val="003B4014"/>
    <w:rsid w:val="003B4117"/>
    <w:rsid w:val="003B4196"/>
    <w:rsid w:val="003B46D2"/>
    <w:rsid w:val="003B4B87"/>
    <w:rsid w:val="003B4BFF"/>
    <w:rsid w:val="003B52E3"/>
    <w:rsid w:val="003B5353"/>
    <w:rsid w:val="003B5358"/>
    <w:rsid w:val="003B545B"/>
    <w:rsid w:val="003B5655"/>
    <w:rsid w:val="003B64B4"/>
    <w:rsid w:val="003B7160"/>
    <w:rsid w:val="003B7180"/>
    <w:rsid w:val="003B7885"/>
    <w:rsid w:val="003C0F3B"/>
    <w:rsid w:val="003C137E"/>
    <w:rsid w:val="003C13F5"/>
    <w:rsid w:val="003C1C2B"/>
    <w:rsid w:val="003C215E"/>
    <w:rsid w:val="003C4C05"/>
    <w:rsid w:val="003C520C"/>
    <w:rsid w:val="003C55BF"/>
    <w:rsid w:val="003C6305"/>
    <w:rsid w:val="003C6B5A"/>
    <w:rsid w:val="003C7CC5"/>
    <w:rsid w:val="003D048E"/>
    <w:rsid w:val="003D098C"/>
    <w:rsid w:val="003D1230"/>
    <w:rsid w:val="003D13FA"/>
    <w:rsid w:val="003D162C"/>
    <w:rsid w:val="003D1B6A"/>
    <w:rsid w:val="003D211D"/>
    <w:rsid w:val="003D2DCE"/>
    <w:rsid w:val="003D36B7"/>
    <w:rsid w:val="003D3A70"/>
    <w:rsid w:val="003D3DE4"/>
    <w:rsid w:val="003D3EE9"/>
    <w:rsid w:val="003D4675"/>
    <w:rsid w:val="003D4C8D"/>
    <w:rsid w:val="003D5730"/>
    <w:rsid w:val="003D5EE0"/>
    <w:rsid w:val="003D6CBF"/>
    <w:rsid w:val="003D73B5"/>
    <w:rsid w:val="003D7C38"/>
    <w:rsid w:val="003D7F7E"/>
    <w:rsid w:val="003E16F1"/>
    <w:rsid w:val="003E20D9"/>
    <w:rsid w:val="003E21AC"/>
    <w:rsid w:val="003E22ED"/>
    <w:rsid w:val="003E2F67"/>
    <w:rsid w:val="003E2F6D"/>
    <w:rsid w:val="003E3595"/>
    <w:rsid w:val="003E410A"/>
    <w:rsid w:val="003E44B3"/>
    <w:rsid w:val="003E46CB"/>
    <w:rsid w:val="003E496C"/>
    <w:rsid w:val="003E4F30"/>
    <w:rsid w:val="003E530C"/>
    <w:rsid w:val="003E5EB4"/>
    <w:rsid w:val="003E5EB7"/>
    <w:rsid w:val="003E6507"/>
    <w:rsid w:val="003E6A15"/>
    <w:rsid w:val="003E7681"/>
    <w:rsid w:val="003E77FA"/>
    <w:rsid w:val="003F0809"/>
    <w:rsid w:val="003F083E"/>
    <w:rsid w:val="003F0A82"/>
    <w:rsid w:val="003F111B"/>
    <w:rsid w:val="003F1450"/>
    <w:rsid w:val="003F15D0"/>
    <w:rsid w:val="003F16B1"/>
    <w:rsid w:val="003F182B"/>
    <w:rsid w:val="003F1A3E"/>
    <w:rsid w:val="003F1F45"/>
    <w:rsid w:val="003F207C"/>
    <w:rsid w:val="003F31DC"/>
    <w:rsid w:val="003F35B7"/>
    <w:rsid w:val="003F3AA9"/>
    <w:rsid w:val="003F4507"/>
    <w:rsid w:val="003F56B0"/>
    <w:rsid w:val="003F611C"/>
    <w:rsid w:val="003F6202"/>
    <w:rsid w:val="003F6867"/>
    <w:rsid w:val="003F6994"/>
    <w:rsid w:val="003F7317"/>
    <w:rsid w:val="003F755C"/>
    <w:rsid w:val="003F7C07"/>
    <w:rsid w:val="003F7DED"/>
    <w:rsid w:val="00400325"/>
    <w:rsid w:val="00400B40"/>
    <w:rsid w:val="00400F6E"/>
    <w:rsid w:val="00401C18"/>
    <w:rsid w:val="00402100"/>
    <w:rsid w:val="00403B16"/>
    <w:rsid w:val="00403DB0"/>
    <w:rsid w:val="00405459"/>
    <w:rsid w:val="00405C45"/>
    <w:rsid w:val="00406143"/>
    <w:rsid w:val="00406500"/>
    <w:rsid w:val="00406F01"/>
    <w:rsid w:val="00410664"/>
    <w:rsid w:val="00410A4F"/>
    <w:rsid w:val="00410AC6"/>
    <w:rsid w:val="00410C62"/>
    <w:rsid w:val="004115BB"/>
    <w:rsid w:val="00411B36"/>
    <w:rsid w:val="004120BB"/>
    <w:rsid w:val="004121A7"/>
    <w:rsid w:val="004121D3"/>
    <w:rsid w:val="004121D7"/>
    <w:rsid w:val="0041237C"/>
    <w:rsid w:val="004124F4"/>
    <w:rsid w:val="00412A65"/>
    <w:rsid w:val="004135BB"/>
    <w:rsid w:val="004139F9"/>
    <w:rsid w:val="00414072"/>
    <w:rsid w:val="004141A1"/>
    <w:rsid w:val="004154CB"/>
    <w:rsid w:val="004156C6"/>
    <w:rsid w:val="004159C4"/>
    <w:rsid w:val="00416045"/>
    <w:rsid w:val="00416A44"/>
    <w:rsid w:val="00416AB5"/>
    <w:rsid w:val="00416D50"/>
    <w:rsid w:val="00417772"/>
    <w:rsid w:val="00417883"/>
    <w:rsid w:val="00417B68"/>
    <w:rsid w:val="0042019A"/>
    <w:rsid w:val="00420320"/>
    <w:rsid w:val="004205EA"/>
    <w:rsid w:val="00420E6A"/>
    <w:rsid w:val="00421526"/>
    <w:rsid w:val="0042174D"/>
    <w:rsid w:val="00421797"/>
    <w:rsid w:val="00422252"/>
    <w:rsid w:val="00422356"/>
    <w:rsid w:val="00423166"/>
    <w:rsid w:val="00423B29"/>
    <w:rsid w:val="00424144"/>
    <w:rsid w:val="0042416C"/>
    <w:rsid w:val="00424263"/>
    <w:rsid w:val="004243AE"/>
    <w:rsid w:val="004250B8"/>
    <w:rsid w:val="004254DC"/>
    <w:rsid w:val="004256E4"/>
    <w:rsid w:val="0042726C"/>
    <w:rsid w:val="00427C56"/>
    <w:rsid w:val="0043064B"/>
    <w:rsid w:val="00430AE1"/>
    <w:rsid w:val="00431FB3"/>
    <w:rsid w:val="004323D9"/>
    <w:rsid w:val="00432D70"/>
    <w:rsid w:val="00433B07"/>
    <w:rsid w:val="00433CA9"/>
    <w:rsid w:val="004347C7"/>
    <w:rsid w:val="00434BA8"/>
    <w:rsid w:val="004351DE"/>
    <w:rsid w:val="0043521D"/>
    <w:rsid w:val="0043559C"/>
    <w:rsid w:val="00435633"/>
    <w:rsid w:val="00435BE9"/>
    <w:rsid w:val="00435C60"/>
    <w:rsid w:val="00440EFB"/>
    <w:rsid w:val="004414E7"/>
    <w:rsid w:val="00441C75"/>
    <w:rsid w:val="00442024"/>
    <w:rsid w:val="0044254C"/>
    <w:rsid w:val="004428DC"/>
    <w:rsid w:val="00442EF6"/>
    <w:rsid w:val="00443DB0"/>
    <w:rsid w:val="00443F6A"/>
    <w:rsid w:val="004442C2"/>
    <w:rsid w:val="0044498D"/>
    <w:rsid w:val="00444CC2"/>
    <w:rsid w:val="004452C8"/>
    <w:rsid w:val="004462C4"/>
    <w:rsid w:val="0044633D"/>
    <w:rsid w:val="00447648"/>
    <w:rsid w:val="004476C3"/>
    <w:rsid w:val="004477FA"/>
    <w:rsid w:val="00450A17"/>
    <w:rsid w:val="00452039"/>
    <w:rsid w:val="004527DE"/>
    <w:rsid w:val="00452AF5"/>
    <w:rsid w:val="00452B81"/>
    <w:rsid w:val="00452B9C"/>
    <w:rsid w:val="00455516"/>
    <w:rsid w:val="00455961"/>
    <w:rsid w:val="004560B2"/>
    <w:rsid w:val="00456768"/>
    <w:rsid w:val="004567D2"/>
    <w:rsid w:val="0045693E"/>
    <w:rsid w:val="004574B2"/>
    <w:rsid w:val="00457843"/>
    <w:rsid w:val="00457883"/>
    <w:rsid w:val="00457952"/>
    <w:rsid w:val="00460764"/>
    <w:rsid w:val="00460A1D"/>
    <w:rsid w:val="00462AE9"/>
    <w:rsid w:val="00464709"/>
    <w:rsid w:val="00464CFD"/>
    <w:rsid w:val="00465F0D"/>
    <w:rsid w:val="0046605C"/>
    <w:rsid w:val="00466321"/>
    <w:rsid w:val="00466606"/>
    <w:rsid w:val="004666A2"/>
    <w:rsid w:val="00466AD9"/>
    <w:rsid w:val="004672AF"/>
    <w:rsid w:val="00467369"/>
    <w:rsid w:val="00467C0F"/>
    <w:rsid w:val="00467D7F"/>
    <w:rsid w:val="00470035"/>
    <w:rsid w:val="00470663"/>
    <w:rsid w:val="00470876"/>
    <w:rsid w:val="00470AA2"/>
    <w:rsid w:val="00470D12"/>
    <w:rsid w:val="00472414"/>
    <w:rsid w:val="004727B0"/>
    <w:rsid w:val="00472C4F"/>
    <w:rsid w:val="004739AD"/>
    <w:rsid w:val="00473CE1"/>
    <w:rsid w:val="00473D63"/>
    <w:rsid w:val="00473EE9"/>
    <w:rsid w:val="00474870"/>
    <w:rsid w:val="00474A02"/>
    <w:rsid w:val="00474B43"/>
    <w:rsid w:val="00474CAE"/>
    <w:rsid w:val="004752EA"/>
    <w:rsid w:val="00475EFC"/>
    <w:rsid w:val="004766C2"/>
    <w:rsid w:val="00476DEE"/>
    <w:rsid w:val="00476E10"/>
    <w:rsid w:val="00476FEB"/>
    <w:rsid w:val="00477643"/>
    <w:rsid w:val="0047785D"/>
    <w:rsid w:val="00477F9C"/>
    <w:rsid w:val="00480247"/>
    <w:rsid w:val="00480321"/>
    <w:rsid w:val="0048081D"/>
    <w:rsid w:val="00481070"/>
    <w:rsid w:val="0048117E"/>
    <w:rsid w:val="004824E8"/>
    <w:rsid w:val="00482B13"/>
    <w:rsid w:val="00482D61"/>
    <w:rsid w:val="0048351A"/>
    <w:rsid w:val="00483E97"/>
    <w:rsid w:val="004850D0"/>
    <w:rsid w:val="0048514A"/>
    <w:rsid w:val="00485416"/>
    <w:rsid w:val="004855F6"/>
    <w:rsid w:val="00485925"/>
    <w:rsid w:val="00485E9D"/>
    <w:rsid w:val="004863E6"/>
    <w:rsid w:val="00486F0C"/>
    <w:rsid w:val="004877E6"/>
    <w:rsid w:val="00487ABF"/>
    <w:rsid w:val="00490B19"/>
    <w:rsid w:val="0049176E"/>
    <w:rsid w:val="00492262"/>
    <w:rsid w:val="004926AC"/>
    <w:rsid w:val="00493E2E"/>
    <w:rsid w:val="00494371"/>
    <w:rsid w:val="00494670"/>
    <w:rsid w:val="00494842"/>
    <w:rsid w:val="00494D5A"/>
    <w:rsid w:val="00495457"/>
    <w:rsid w:val="004954F5"/>
    <w:rsid w:val="00495CF7"/>
    <w:rsid w:val="00496AD4"/>
    <w:rsid w:val="00497016"/>
    <w:rsid w:val="00497282"/>
    <w:rsid w:val="00497752"/>
    <w:rsid w:val="00497B34"/>
    <w:rsid w:val="004A0EB4"/>
    <w:rsid w:val="004A2370"/>
    <w:rsid w:val="004A25DD"/>
    <w:rsid w:val="004A2BC7"/>
    <w:rsid w:val="004A3078"/>
    <w:rsid w:val="004A34A6"/>
    <w:rsid w:val="004A3710"/>
    <w:rsid w:val="004A3823"/>
    <w:rsid w:val="004A3B68"/>
    <w:rsid w:val="004A4F8F"/>
    <w:rsid w:val="004A55CE"/>
    <w:rsid w:val="004A59BB"/>
    <w:rsid w:val="004A5CBC"/>
    <w:rsid w:val="004A6C9B"/>
    <w:rsid w:val="004A6E66"/>
    <w:rsid w:val="004A7271"/>
    <w:rsid w:val="004A77EC"/>
    <w:rsid w:val="004B0AEC"/>
    <w:rsid w:val="004B17F0"/>
    <w:rsid w:val="004B18DF"/>
    <w:rsid w:val="004B1C3F"/>
    <w:rsid w:val="004B1DD2"/>
    <w:rsid w:val="004B249F"/>
    <w:rsid w:val="004B2C64"/>
    <w:rsid w:val="004B31EB"/>
    <w:rsid w:val="004B37D9"/>
    <w:rsid w:val="004B43A3"/>
    <w:rsid w:val="004B44B5"/>
    <w:rsid w:val="004B4960"/>
    <w:rsid w:val="004B4C49"/>
    <w:rsid w:val="004B4F76"/>
    <w:rsid w:val="004B58A5"/>
    <w:rsid w:val="004B5A11"/>
    <w:rsid w:val="004B6267"/>
    <w:rsid w:val="004B63D9"/>
    <w:rsid w:val="004B68A8"/>
    <w:rsid w:val="004B6C2D"/>
    <w:rsid w:val="004B73CA"/>
    <w:rsid w:val="004B740E"/>
    <w:rsid w:val="004B77B6"/>
    <w:rsid w:val="004C085E"/>
    <w:rsid w:val="004C0882"/>
    <w:rsid w:val="004C1086"/>
    <w:rsid w:val="004C1198"/>
    <w:rsid w:val="004C12FD"/>
    <w:rsid w:val="004C1F4E"/>
    <w:rsid w:val="004C2713"/>
    <w:rsid w:val="004C282C"/>
    <w:rsid w:val="004C3EC8"/>
    <w:rsid w:val="004C49A9"/>
    <w:rsid w:val="004C5014"/>
    <w:rsid w:val="004C55BE"/>
    <w:rsid w:val="004C5837"/>
    <w:rsid w:val="004C6B09"/>
    <w:rsid w:val="004C6B25"/>
    <w:rsid w:val="004C72E7"/>
    <w:rsid w:val="004C74C8"/>
    <w:rsid w:val="004C79BC"/>
    <w:rsid w:val="004D06B2"/>
    <w:rsid w:val="004D0736"/>
    <w:rsid w:val="004D0EBC"/>
    <w:rsid w:val="004D10D1"/>
    <w:rsid w:val="004D1660"/>
    <w:rsid w:val="004D26CF"/>
    <w:rsid w:val="004D294F"/>
    <w:rsid w:val="004D2D05"/>
    <w:rsid w:val="004D2F5A"/>
    <w:rsid w:val="004D3505"/>
    <w:rsid w:val="004D369D"/>
    <w:rsid w:val="004D3F1D"/>
    <w:rsid w:val="004D488D"/>
    <w:rsid w:val="004D4B0B"/>
    <w:rsid w:val="004D5061"/>
    <w:rsid w:val="004D50AC"/>
    <w:rsid w:val="004D53B7"/>
    <w:rsid w:val="004D54E5"/>
    <w:rsid w:val="004D6C6E"/>
    <w:rsid w:val="004D6E4D"/>
    <w:rsid w:val="004D71CF"/>
    <w:rsid w:val="004E04B4"/>
    <w:rsid w:val="004E07DF"/>
    <w:rsid w:val="004E0F39"/>
    <w:rsid w:val="004E1B71"/>
    <w:rsid w:val="004E2271"/>
    <w:rsid w:val="004E2705"/>
    <w:rsid w:val="004E2742"/>
    <w:rsid w:val="004E378F"/>
    <w:rsid w:val="004E38E6"/>
    <w:rsid w:val="004E3BA9"/>
    <w:rsid w:val="004E4AEC"/>
    <w:rsid w:val="004E4C4E"/>
    <w:rsid w:val="004E568E"/>
    <w:rsid w:val="004E5B30"/>
    <w:rsid w:val="004E613C"/>
    <w:rsid w:val="004E6450"/>
    <w:rsid w:val="004E6AC4"/>
    <w:rsid w:val="004E7108"/>
    <w:rsid w:val="004E73F6"/>
    <w:rsid w:val="004E7DBD"/>
    <w:rsid w:val="004E7DEC"/>
    <w:rsid w:val="004F056C"/>
    <w:rsid w:val="004F0779"/>
    <w:rsid w:val="004F0A6B"/>
    <w:rsid w:val="004F0ABA"/>
    <w:rsid w:val="004F0BB4"/>
    <w:rsid w:val="004F1230"/>
    <w:rsid w:val="004F173F"/>
    <w:rsid w:val="004F177C"/>
    <w:rsid w:val="004F1B9E"/>
    <w:rsid w:val="004F2097"/>
    <w:rsid w:val="004F2755"/>
    <w:rsid w:val="004F29C9"/>
    <w:rsid w:val="004F2BE0"/>
    <w:rsid w:val="004F2DCE"/>
    <w:rsid w:val="004F3034"/>
    <w:rsid w:val="004F329A"/>
    <w:rsid w:val="004F336E"/>
    <w:rsid w:val="004F3FBC"/>
    <w:rsid w:val="004F4504"/>
    <w:rsid w:val="004F4703"/>
    <w:rsid w:val="004F4A1B"/>
    <w:rsid w:val="004F572F"/>
    <w:rsid w:val="004F5A1A"/>
    <w:rsid w:val="004F7A6D"/>
    <w:rsid w:val="004F7C84"/>
    <w:rsid w:val="004F7D48"/>
    <w:rsid w:val="004F7F79"/>
    <w:rsid w:val="00500DD0"/>
    <w:rsid w:val="00501359"/>
    <w:rsid w:val="0050159C"/>
    <w:rsid w:val="00501B17"/>
    <w:rsid w:val="00501F47"/>
    <w:rsid w:val="00502512"/>
    <w:rsid w:val="00502765"/>
    <w:rsid w:val="005039CB"/>
    <w:rsid w:val="005043AD"/>
    <w:rsid w:val="00504948"/>
    <w:rsid w:val="00504AB3"/>
    <w:rsid w:val="005053CB"/>
    <w:rsid w:val="0050558F"/>
    <w:rsid w:val="005057E0"/>
    <w:rsid w:val="0050592E"/>
    <w:rsid w:val="00506286"/>
    <w:rsid w:val="00507236"/>
    <w:rsid w:val="005073EC"/>
    <w:rsid w:val="00507415"/>
    <w:rsid w:val="00507C2F"/>
    <w:rsid w:val="00510813"/>
    <w:rsid w:val="00510890"/>
    <w:rsid w:val="00510E21"/>
    <w:rsid w:val="00511174"/>
    <w:rsid w:val="005111D1"/>
    <w:rsid w:val="0051120D"/>
    <w:rsid w:val="00511DE0"/>
    <w:rsid w:val="005123CA"/>
    <w:rsid w:val="00513E5E"/>
    <w:rsid w:val="00514576"/>
    <w:rsid w:val="005159FC"/>
    <w:rsid w:val="00515BA3"/>
    <w:rsid w:val="005161D9"/>
    <w:rsid w:val="0051624F"/>
    <w:rsid w:val="005170B5"/>
    <w:rsid w:val="00517161"/>
    <w:rsid w:val="00517749"/>
    <w:rsid w:val="005179A3"/>
    <w:rsid w:val="00517F02"/>
    <w:rsid w:val="00520472"/>
    <w:rsid w:val="00520A20"/>
    <w:rsid w:val="00521708"/>
    <w:rsid w:val="005220D7"/>
    <w:rsid w:val="00523457"/>
    <w:rsid w:val="0052353E"/>
    <w:rsid w:val="00524547"/>
    <w:rsid w:val="005258A2"/>
    <w:rsid w:val="0052615D"/>
    <w:rsid w:val="005268D8"/>
    <w:rsid w:val="00526F41"/>
    <w:rsid w:val="00527D9C"/>
    <w:rsid w:val="00527DE1"/>
    <w:rsid w:val="00530B84"/>
    <w:rsid w:val="00530F19"/>
    <w:rsid w:val="00530F7C"/>
    <w:rsid w:val="00532159"/>
    <w:rsid w:val="00532788"/>
    <w:rsid w:val="005329AB"/>
    <w:rsid w:val="00532B0A"/>
    <w:rsid w:val="00533B6D"/>
    <w:rsid w:val="00534567"/>
    <w:rsid w:val="00534CD3"/>
    <w:rsid w:val="00534F43"/>
    <w:rsid w:val="00535738"/>
    <w:rsid w:val="00535904"/>
    <w:rsid w:val="00535A84"/>
    <w:rsid w:val="005360A6"/>
    <w:rsid w:val="0053649F"/>
    <w:rsid w:val="005365A0"/>
    <w:rsid w:val="00536889"/>
    <w:rsid w:val="00536DF4"/>
    <w:rsid w:val="00536E55"/>
    <w:rsid w:val="00537354"/>
    <w:rsid w:val="00537655"/>
    <w:rsid w:val="00537BCB"/>
    <w:rsid w:val="00537D6C"/>
    <w:rsid w:val="00540146"/>
    <w:rsid w:val="00540AE4"/>
    <w:rsid w:val="00540DA7"/>
    <w:rsid w:val="00541704"/>
    <w:rsid w:val="005428EA"/>
    <w:rsid w:val="00542E07"/>
    <w:rsid w:val="0054334F"/>
    <w:rsid w:val="00543553"/>
    <w:rsid w:val="00543D87"/>
    <w:rsid w:val="00544D19"/>
    <w:rsid w:val="0054664A"/>
    <w:rsid w:val="00546A23"/>
    <w:rsid w:val="00547034"/>
    <w:rsid w:val="00547F4E"/>
    <w:rsid w:val="00550073"/>
    <w:rsid w:val="005500A3"/>
    <w:rsid w:val="005507C1"/>
    <w:rsid w:val="00550E66"/>
    <w:rsid w:val="00551150"/>
    <w:rsid w:val="00551406"/>
    <w:rsid w:val="005525FD"/>
    <w:rsid w:val="00552846"/>
    <w:rsid w:val="00553148"/>
    <w:rsid w:val="00553343"/>
    <w:rsid w:val="0055344F"/>
    <w:rsid w:val="005545EF"/>
    <w:rsid w:val="005547CE"/>
    <w:rsid w:val="00554A7B"/>
    <w:rsid w:val="005556E4"/>
    <w:rsid w:val="0055572C"/>
    <w:rsid w:val="0055642C"/>
    <w:rsid w:val="00557C7A"/>
    <w:rsid w:val="0056005B"/>
    <w:rsid w:val="0056064F"/>
    <w:rsid w:val="00560856"/>
    <w:rsid w:val="00560AEB"/>
    <w:rsid w:val="005619C8"/>
    <w:rsid w:val="00561B84"/>
    <w:rsid w:val="00562AB2"/>
    <w:rsid w:val="00563114"/>
    <w:rsid w:val="00564F93"/>
    <w:rsid w:val="005658F6"/>
    <w:rsid w:val="00566236"/>
    <w:rsid w:val="00566303"/>
    <w:rsid w:val="00567705"/>
    <w:rsid w:val="00567F4C"/>
    <w:rsid w:val="00570107"/>
    <w:rsid w:val="00570138"/>
    <w:rsid w:val="00570AF6"/>
    <w:rsid w:val="00570DE0"/>
    <w:rsid w:val="00571A75"/>
    <w:rsid w:val="00571D98"/>
    <w:rsid w:val="005720AE"/>
    <w:rsid w:val="005720EF"/>
    <w:rsid w:val="0057240D"/>
    <w:rsid w:val="00573497"/>
    <w:rsid w:val="0057351F"/>
    <w:rsid w:val="00574085"/>
    <w:rsid w:val="00574A05"/>
    <w:rsid w:val="005750FC"/>
    <w:rsid w:val="00575537"/>
    <w:rsid w:val="005755CA"/>
    <w:rsid w:val="0057596A"/>
    <w:rsid w:val="00575B55"/>
    <w:rsid w:val="00575FC7"/>
    <w:rsid w:val="0057669A"/>
    <w:rsid w:val="00576A44"/>
    <w:rsid w:val="0057724B"/>
    <w:rsid w:val="00577ECF"/>
    <w:rsid w:val="0058030D"/>
    <w:rsid w:val="005810D6"/>
    <w:rsid w:val="0058125E"/>
    <w:rsid w:val="005817DC"/>
    <w:rsid w:val="00582045"/>
    <w:rsid w:val="005821A2"/>
    <w:rsid w:val="005831B4"/>
    <w:rsid w:val="0058333F"/>
    <w:rsid w:val="00583347"/>
    <w:rsid w:val="005837AC"/>
    <w:rsid w:val="005838E1"/>
    <w:rsid w:val="005841BE"/>
    <w:rsid w:val="0058443E"/>
    <w:rsid w:val="00584637"/>
    <w:rsid w:val="0058463D"/>
    <w:rsid w:val="00584685"/>
    <w:rsid w:val="00584B60"/>
    <w:rsid w:val="00586DF8"/>
    <w:rsid w:val="00587201"/>
    <w:rsid w:val="00587368"/>
    <w:rsid w:val="00590AE3"/>
    <w:rsid w:val="00590D26"/>
    <w:rsid w:val="00590D2F"/>
    <w:rsid w:val="00590D30"/>
    <w:rsid w:val="00591427"/>
    <w:rsid w:val="005918F1"/>
    <w:rsid w:val="00591964"/>
    <w:rsid w:val="00591E9E"/>
    <w:rsid w:val="00593185"/>
    <w:rsid w:val="005931E8"/>
    <w:rsid w:val="00593654"/>
    <w:rsid w:val="00593724"/>
    <w:rsid w:val="005941DC"/>
    <w:rsid w:val="0059475A"/>
    <w:rsid w:val="005957D7"/>
    <w:rsid w:val="0059592C"/>
    <w:rsid w:val="00595A6F"/>
    <w:rsid w:val="00596A09"/>
    <w:rsid w:val="00596ADA"/>
    <w:rsid w:val="00597B2F"/>
    <w:rsid w:val="005A0031"/>
    <w:rsid w:val="005A06B7"/>
    <w:rsid w:val="005A09B1"/>
    <w:rsid w:val="005A1144"/>
    <w:rsid w:val="005A15D2"/>
    <w:rsid w:val="005A1759"/>
    <w:rsid w:val="005A1824"/>
    <w:rsid w:val="005A279E"/>
    <w:rsid w:val="005A3123"/>
    <w:rsid w:val="005A40C3"/>
    <w:rsid w:val="005A4D49"/>
    <w:rsid w:val="005A5681"/>
    <w:rsid w:val="005A6194"/>
    <w:rsid w:val="005A61F6"/>
    <w:rsid w:val="005A6680"/>
    <w:rsid w:val="005A7713"/>
    <w:rsid w:val="005A78F7"/>
    <w:rsid w:val="005A7B8E"/>
    <w:rsid w:val="005A7CF1"/>
    <w:rsid w:val="005A7D9C"/>
    <w:rsid w:val="005B0961"/>
    <w:rsid w:val="005B0A71"/>
    <w:rsid w:val="005B2223"/>
    <w:rsid w:val="005B25EC"/>
    <w:rsid w:val="005B2A94"/>
    <w:rsid w:val="005B2B18"/>
    <w:rsid w:val="005B2C5A"/>
    <w:rsid w:val="005B3344"/>
    <w:rsid w:val="005B350A"/>
    <w:rsid w:val="005B39E4"/>
    <w:rsid w:val="005B40D4"/>
    <w:rsid w:val="005B47FD"/>
    <w:rsid w:val="005B58C5"/>
    <w:rsid w:val="005B5FE7"/>
    <w:rsid w:val="005B6174"/>
    <w:rsid w:val="005B67F1"/>
    <w:rsid w:val="005B761E"/>
    <w:rsid w:val="005B77A4"/>
    <w:rsid w:val="005C0949"/>
    <w:rsid w:val="005C0DE4"/>
    <w:rsid w:val="005C1CF4"/>
    <w:rsid w:val="005C1F49"/>
    <w:rsid w:val="005C1F80"/>
    <w:rsid w:val="005C2109"/>
    <w:rsid w:val="005C22D4"/>
    <w:rsid w:val="005C24FE"/>
    <w:rsid w:val="005C319B"/>
    <w:rsid w:val="005C3775"/>
    <w:rsid w:val="005C3A82"/>
    <w:rsid w:val="005C3B62"/>
    <w:rsid w:val="005C4198"/>
    <w:rsid w:val="005C5D40"/>
    <w:rsid w:val="005C6678"/>
    <w:rsid w:val="005C6979"/>
    <w:rsid w:val="005C7047"/>
    <w:rsid w:val="005C7905"/>
    <w:rsid w:val="005C79AE"/>
    <w:rsid w:val="005D0036"/>
    <w:rsid w:val="005D0369"/>
    <w:rsid w:val="005D0466"/>
    <w:rsid w:val="005D04FB"/>
    <w:rsid w:val="005D05CC"/>
    <w:rsid w:val="005D084F"/>
    <w:rsid w:val="005D11F5"/>
    <w:rsid w:val="005D150E"/>
    <w:rsid w:val="005D2C30"/>
    <w:rsid w:val="005D2D40"/>
    <w:rsid w:val="005D3EC3"/>
    <w:rsid w:val="005D4FAC"/>
    <w:rsid w:val="005D5305"/>
    <w:rsid w:val="005D53FE"/>
    <w:rsid w:val="005D5A34"/>
    <w:rsid w:val="005D6089"/>
    <w:rsid w:val="005D695D"/>
    <w:rsid w:val="005D6BF3"/>
    <w:rsid w:val="005D755D"/>
    <w:rsid w:val="005D7A0F"/>
    <w:rsid w:val="005E031A"/>
    <w:rsid w:val="005E0438"/>
    <w:rsid w:val="005E05CE"/>
    <w:rsid w:val="005E078D"/>
    <w:rsid w:val="005E0CD2"/>
    <w:rsid w:val="005E0E49"/>
    <w:rsid w:val="005E0F95"/>
    <w:rsid w:val="005E1791"/>
    <w:rsid w:val="005E1828"/>
    <w:rsid w:val="005E21C8"/>
    <w:rsid w:val="005E22E7"/>
    <w:rsid w:val="005E2C26"/>
    <w:rsid w:val="005E2CE6"/>
    <w:rsid w:val="005E36A8"/>
    <w:rsid w:val="005E455A"/>
    <w:rsid w:val="005E5497"/>
    <w:rsid w:val="005E5B8C"/>
    <w:rsid w:val="005E6324"/>
    <w:rsid w:val="005E67DE"/>
    <w:rsid w:val="005E6A86"/>
    <w:rsid w:val="005E6B45"/>
    <w:rsid w:val="005E6DCD"/>
    <w:rsid w:val="005E73B4"/>
    <w:rsid w:val="005E74DF"/>
    <w:rsid w:val="005E7921"/>
    <w:rsid w:val="005F022D"/>
    <w:rsid w:val="005F0706"/>
    <w:rsid w:val="005F0878"/>
    <w:rsid w:val="005F228B"/>
    <w:rsid w:val="005F29CD"/>
    <w:rsid w:val="005F340C"/>
    <w:rsid w:val="005F34B7"/>
    <w:rsid w:val="005F3639"/>
    <w:rsid w:val="005F3C6C"/>
    <w:rsid w:val="005F3DF2"/>
    <w:rsid w:val="005F40B4"/>
    <w:rsid w:val="005F4184"/>
    <w:rsid w:val="005F4DFB"/>
    <w:rsid w:val="005F50AE"/>
    <w:rsid w:val="005F554F"/>
    <w:rsid w:val="005F55F0"/>
    <w:rsid w:val="005F6100"/>
    <w:rsid w:val="005F64A4"/>
    <w:rsid w:val="005F65D9"/>
    <w:rsid w:val="005F6643"/>
    <w:rsid w:val="005F6CC0"/>
    <w:rsid w:val="005F6E83"/>
    <w:rsid w:val="005F767B"/>
    <w:rsid w:val="005F7E5A"/>
    <w:rsid w:val="00600AC1"/>
    <w:rsid w:val="00601007"/>
    <w:rsid w:val="006016D9"/>
    <w:rsid w:val="00601907"/>
    <w:rsid w:val="00602E54"/>
    <w:rsid w:val="006030D2"/>
    <w:rsid w:val="006033DB"/>
    <w:rsid w:val="00603E5B"/>
    <w:rsid w:val="006043BB"/>
    <w:rsid w:val="00604BC8"/>
    <w:rsid w:val="00604FF9"/>
    <w:rsid w:val="0060537E"/>
    <w:rsid w:val="00605EB8"/>
    <w:rsid w:val="00606584"/>
    <w:rsid w:val="00607E0B"/>
    <w:rsid w:val="00607E5B"/>
    <w:rsid w:val="00610160"/>
    <w:rsid w:val="00610993"/>
    <w:rsid w:val="006109DF"/>
    <w:rsid w:val="00610B71"/>
    <w:rsid w:val="00611DFD"/>
    <w:rsid w:val="006132E6"/>
    <w:rsid w:val="006134C1"/>
    <w:rsid w:val="00613743"/>
    <w:rsid w:val="00614AF5"/>
    <w:rsid w:val="00615813"/>
    <w:rsid w:val="00615B4C"/>
    <w:rsid w:val="00615B5D"/>
    <w:rsid w:val="00615EAA"/>
    <w:rsid w:val="0061629B"/>
    <w:rsid w:val="0061629D"/>
    <w:rsid w:val="006162AB"/>
    <w:rsid w:val="00616AD7"/>
    <w:rsid w:val="006172D8"/>
    <w:rsid w:val="0061745A"/>
    <w:rsid w:val="0062037A"/>
    <w:rsid w:val="00620431"/>
    <w:rsid w:val="00620C09"/>
    <w:rsid w:val="00620E40"/>
    <w:rsid w:val="00620E70"/>
    <w:rsid w:val="0062146F"/>
    <w:rsid w:val="006216EC"/>
    <w:rsid w:val="00621FEA"/>
    <w:rsid w:val="00622555"/>
    <w:rsid w:val="00623091"/>
    <w:rsid w:val="00623279"/>
    <w:rsid w:val="00623C69"/>
    <w:rsid w:val="00623E5C"/>
    <w:rsid w:val="00624C50"/>
    <w:rsid w:val="00624C6B"/>
    <w:rsid w:val="00624D08"/>
    <w:rsid w:val="00625099"/>
    <w:rsid w:val="00625111"/>
    <w:rsid w:val="00625449"/>
    <w:rsid w:val="006254B4"/>
    <w:rsid w:val="00625965"/>
    <w:rsid w:val="00625C68"/>
    <w:rsid w:val="006269F2"/>
    <w:rsid w:val="00626A51"/>
    <w:rsid w:val="00626B11"/>
    <w:rsid w:val="00626B60"/>
    <w:rsid w:val="00627747"/>
    <w:rsid w:val="00627CA2"/>
    <w:rsid w:val="00630040"/>
    <w:rsid w:val="00630A5F"/>
    <w:rsid w:val="00630E75"/>
    <w:rsid w:val="00631924"/>
    <w:rsid w:val="00632E91"/>
    <w:rsid w:val="00632F0E"/>
    <w:rsid w:val="0063327A"/>
    <w:rsid w:val="006334C6"/>
    <w:rsid w:val="006338E4"/>
    <w:rsid w:val="00634145"/>
    <w:rsid w:val="006342B3"/>
    <w:rsid w:val="006343AF"/>
    <w:rsid w:val="00634E37"/>
    <w:rsid w:val="0063561E"/>
    <w:rsid w:val="0063634A"/>
    <w:rsid w:val="00636550"/>
    <w:rsid w:val="0063677C"/>
    <w:rsid w:val="00636989"/>
    <w:rsid w:val="00636B46"/>
    <w:rsid w:val="00636B6F"/>
    <w:rsid w:val="00637496"/>
    <w:rsid w:val="006377DF"/>
    <w:rsid w:val="0063791F"/>
    <w:rsid w:val="00640157"/>
    <w:rsid w:val="00641CB4"/>
    <w:rsid w:val="0064231C"/>
    <w:rsid w:val="0064250D"/>
    <w:rsid w:val="0064342F"/>
    <w:rsid w:val="00643538"/>
    <w:rsid w:val="00643FEE"/>
    <w:rsid w:val="0064454F"/>
    <w:rsid w:val="00644682"/>
    <w:rsid w:val="006453DD"/>
    <w:rsid w:val="006462F3"/>
    <w:rsid w:val="00650209"/>
    <w:rsid w:val="006507C0"/>
    <w:rsid w:val="00650F3F"/>
    <w:rsid w:val="0065182F"/>
    <w:rsid w:val="0065226C"/>
    <w:rsid w:val="00652843"/>
    <w:rsid w:val="00653020"/>
    <w:rsid w:val="0065318D"/>
    <w:rsid w:val="006535EB"/>
    <w:rsid w:val="006539DF"/>
    <w:rsid w:val="00654400"/>
    <w:rsid w:val="00655260"/>
    <w:rsid w:val="006556D5"/>
    <w:rsid w:val="0065573E"/>
    <w:rsid w:val="00657795"/>
    <w:rsid w:val="0066033F"/>
    <w:rsid w:val="00660979"/>
    <w:rsid w:val="00660CB3"/>
    <w:rsid w:val="00662342"/>
    <w:rsid w:val="006626E5"/>
    <w:rsid w:val="00662820"/>
    <w:rsid w:val="00663016"/>
    <w:rsid w:val="006630E3"/>
    <w:rsid w:val="006646DF"/>
    <w:rsid w:val="006649B1"/>
    <w:rsid w:val="00664AB8"/>
    <w:rsid w:val="00664C18"/>
    <w:rsid w:val="0066500B"/>
    <w:rsid w:val="006655E0"/>
    <w:rsid w:val="00665727"/>
    <w:rsid w:val="00665BE6"/>
    <w:rsid w:val="00665DA2"/>
    <w:rsid w:val="0066610A"/>
    <w:rsid w:val="006661FD"/>
    <w:rsid w:val="00666B3F"/>
    <w:rsid w:val="006678F8"/>
    <w:rsid w:val="00670E9F"/>
    <w:rsid w:val="00671864"/>
    <w:rsid w:val="006720D7"/>
    <w:rsid w:val="0067239F"/>
    <w:rsid w:val="006729C0"/>
    <w:rsid w:val="00672E48"/>
    <w:rsid w:val="00673316"/>
    <w:rsid w:val="0067362A"/>
    <w:rsid w:val="006737DB"/>
    <w:rsid w:val="00674281"/>
    <w:rsid w:val="00674431"/>
    <w:rsid w:val="00674605"/>
    <w:rsid w:val="00674698"/>
    <w:rsid w:val="0067477E"/>
    <w:rsid w:val="006748B8"/>
    <w:rsid w:val="00674938"/>
    <w:rsid w:val="006753BB"/>
    <w:rsid w:val="00675857"/>
    <w:rsid w:val="00675A17"/>
    <w:rsid w:val="00677543"/>
    <w:rsid w:val="00677F22"/>
    <w:rsid w:val="006805C9"/>
    <w:rsid w:val="00681297"/>
    <w:rsid w:val="00681915"/>
    <w:rsid w:val="00681950"/>
    <w:rsid w:val="00681D8A"/>
    <w:rsid w:val="00682653"/>
    <w:rsid w:val="00682789"/>
    <w:rsid w:val="00682C67"/>
    <w:rsid w:val="00682E2C"/>
    <w:rsid w:val="00683BB1"/>
    <w:rsid w:val="006840A9"/>
    <w:rsid w:val="00684803"/>
    <w:rsid w:val="00684E7F"/>
    <w:rsid w:val="00684F0F"/>
    <w:rsid w:val="0068535B"/>
    <w:rsid w:val="00685D1F"/>
    <w:rsid w:val="00685DD9"/>
    <w:rsid w:val="0068736E"/>
    <w:rsid w:val="00687713"/>
    <w:rsid w:val="00690451"/>
    <w:rsid w:val="00690E2F"/>
    <w:rsid w:val="0069290A"/>
    <w:rsid w:val="00693619"/>
    <w:rsid w:val="00693973"/>
    <w:rsid w:val="00694233"/>
    <w:rsid w:val="0069505D"/>
    <w:rsid w:val="00695199"/>
    <w:rsid w:val="0069535C"/>
    <w:rsid w:val="00695E43"/>
    <w:rsid w:val="0069664E"/>
    <w:rsid w:val="00697032"/>
    <w:rsid w:val="006975AC"/>
    <w:rsid w:val="00697918"/>
    <w:rsid w:val="006A135E"/>
    <w:rsid w:val="006A15FB"/>
    <w:rsid w:val="006A1952"/>
    <w:rsid w:val="006A1A07"/>
    <w:rsid w:val="006A3B8C"/>
    <w:rsid w:val="006A424A"/>
    <w:rsid w:val="006A4D54"/>
    <w:rsid w:val="006A54F6"/>
    <w:rsid w:val="006A5B5D"/>
    <w:rsid w:val="006A60FD"/>
    <w:rsid w:val="006A6319"/>
    <w:rsid w:val="006A72BF"/>
    <w:rsid w:val="006A7BD6"/>
    <w:rsid w:val="006B0374"/>
    <w:rsid w:val="006B0DF1"/>
    <w:rsid w:val="006B0EC8"/>
    <w:rsid w:val="006B1201"/>
    <w:rsid w:val="006B16C7"/>
    <w:rsid w:val="006B235F"/>
    <w:rsid w:val="006B332A"/>
    <w:rsid w:val="006B33BD"/>
    <w:rsid w:val="006B36E1"/>
    <w:rsid w:val="006B4659"/>
    <w:rsid w:val="006B5711"/>
    <w:rsid w:val="006B5F4B"/>
    <w:rsid w:val="006B6C60"/>
    <w:rsid w:val="006B717D"/>
    <w:rsid w:val="006B753D"/>
    <w:rsid w:val="006B783C"/>
    <w:rsid w:val="006B7A47"/>
    <w:rsid w:val="006C1CEB"/>
    <w:rsid w:val="006C1DAB"/>
    <w:rsid w:val="006C2223"/>
    <w:rsid w:val="006C2E4B"/>
    <w:rsid w:val="006C3105"/>
    <w:rsid w:val="006C32DE"/>
    <w:rsid w:val="006C3F75"/>
    <w:rsid w:val="006C4544"/>
    <w:rsid w:val="006C4DF3"/>
    <w:rsid w:val="006C52A9"/>
    <w:rsid w:val="006C6133"/>
    <w:rsid w:val="006C645F"/>
    <w:rsid w:val="006C6B88"/>
    <w:rsid w:val="006C6E10"/>
    <w:rsid w:val="006C74D9"/>
    <w:rsid w:val="006C75D2"/>
    <w:rsid w:val="006C766C"/>
    <w:rsid w:val="006C776C"/>
    <w:rsid w:val="006C7CE6"/>
    <w:rsid w:val="006D0748"/>
    <w:rsid w:val="006D09C1"/>
    <w:rsid w:val="006D0A65"/>
    <w:rsid w:val="006D12CC"/>
    <w:rsid w:val="006D170E"/>
    <w:rsid w:val="006D1922"/>
    <w:rsid w:val="006D1AFC"/>
    <w:rsid w:val="006D2AE2"/>
    <w:rsid w:val="006D3758"/>
    <w:rsid w:val="006D39A9"/>
    <w:rsid w:val="006D4503"/>
    <w:rsid w:val="006D4FC0"/>
    <w:rsid w:val="006D57DB"/>
    <w:rsid w:val="006D5914"/>
    <w:rsid w:val="006D6056"/>
    <w:rsid w:val="006D630E"/>
    <w:rsid w:val="006D757E"/>
    <w:rsid w:val="006E06AF"/>
    <w:rsid w:val="006E0A54"/>
    <w:rsid w:val="006E0A9C"/>
    <w:rsid w:val="006E14A3"/>
    <w:rsid w:val="006E16C4"/>
    <w:rsid w:val="006E1792"/>
    <w:rsid w:val="006E1827"/>
    <w:rsid w:val="006E1890"/>
    <w:rsid w:val="006E193E"/>
    <w:rsid w:val="006E1A3E"/>
    <w:rsid w:val="006E1D1B"/>
    <w:rsid w:val="006E1EB0"/>
    <w:rsid w:val="006E33AA"/>
    <w:rsid w:val="006E3424"/>
    <w:rsid w:val="006E37B0"/>
    <w:rsid w:val="006E3C74"/>
    <w:rsid w:val="006E52A5"/>
    <w:rsid w:val="006E5926"/>
    <w:rsid w:val="006E5FB3"/>
    <w:rsid w:val="006E6508"/>
    <w:rsid w:val="006E6DA9"/>
    <w:rsid w:val="006E71DE"/>
    <w:rsid w:val="006E71E7"/>
    <w:rsid w:val="006E7494"/>
    <w:rsid w:val="006E7921"/>
    <w:rsid w:val="006F0C26"/>
    <w:rsid w:val="006F0D5B"/>
    <w:rsid w:val="006F0FD8"/>
    <w:rsid w:val="006F1789"/>
    <w:rsid w:val="006F1C4E"/>
    <w:rsid w:val="006F2000"/>
    <w:rsid w:val="006F418E"/>
    <w:rsid w:val="006F438B"/>
    <w:rsid w:val="006F4E5F"/>
    <w:rsid w:val="006F53E9"/>
    <w:rsid w:val="006F5D29"/>
    <w:rsid w:val="006F6D47"/>
    <w:rsid w:val="006F7082"/>
    <w:rsid w:val="006F736F"/>
    <w:rsid w:val="006F79B3"/>
    <w:rsid w:val="006F7BEA"/>
    <w:rsid w:val="0070098D"/>
    <w:rsid w:val="00700AE5"/>
    <w:rsid w:val="00700B00"/>
    <w:rsid w:val="0070152C"/>
    <w:rsid w:val="007024A0"/>
    <w:rsid w:val="00702530"/>
    <w:rsid w:val="00702661"/>
    <w:rsid w:val="00702852"/>
    <w:rsid w:val="00702F63"/>
    <w:rsid w:val="007030D6"/>
    <w:rsid w:val="00703660"/>
    <w:rsid w:val="007037A6"/>
    <w:rsid w:val="00703C07"/>
    <w:rsid w:val="00703F54"/>
    <w:rsid w:val="00704827"/>
    <w:rsid w:val="00704AF2"/>
    <w:rsid w:val="00704FF0"/>
    <w:rsid w:val="00705360"/>
    <w:rsid w:val="00705519"/>
    <w:rsid w:val="00705FFE"/>
    <w:rsid w:val="00706C5D"/>
    <w:rsid w:val="00707B34"/>
    <w:rsid w:val="007102CD"/>
    <w:rsid w:val="007104C7"/>
    <w:rsid w:val="00711136"/>
    <w:rsid w:val="007114A0"/>
    <w:rsid w:val="007118E6"/>
    <w:rsid w:val="00711954"/>
    <w:rsid w:val="00711989"/>
    <w:rsid w:val="00712388"/>
    <w:rsid w:val="00712660"/>
    <w:rsid w:val="00712723"/>
    <w:rsid w:val="007130F5"/>
    <w:rsid w:val="00714718"/>
    <w:rsid w:val="00714FC5"/>
    <w:rsid w:val="00715013"/>
    <w:rsid w:val="007150C3"/>
    <w:rsid w:val="0071525A"/>
    <w:rsid w:val="00715911"/>
    <w:rsid w:val="00716908"/>
    <w:rsid w:val="00716F0F"/>
    <w:rsid w:val="0071707E"/>
    <w:rsid w:val="00717B50"/>
    <w:rsid w:val="00717F2B"/>
    <w:rsid w:val="00720577"/>
    <w:rsid w:val="00720EF7"/>
    <w:rsid w:val="00721BC8"/>
    <w:rsid w:val="00721FF2"/>
    <w:rsid w:val="0072256A"/>
    <w:rsid w:val="007225C9"/>
    <w:rsid w:val="00722865"/>
    <w:rsid w:val="00722937"/>
    <w:rsid w:val="00722E21"/>
    <w:rsid w:val="00723427"/>
    <w:rsid w:val="00723D06"/>
    <w:rsid w:val="00723F93"/>
    <w:rsid w:val="00724E1C"/>
    <w:rsid w:val="007252FB"/>
    <w:rsid w:val="00727097"/>
    <w:rsid w:val="00727BEF"/>
    <w:rsid w:val="007305C4"/>
    <w:rsid w:val="00732617"/>
    <w:rsid w:val="00732A65"/>
    <w:rsid w:val="0073308A"/>
    <w:rsid w:val="00733819"/>
    <w:rsid w:val="00733BE7"/>
    <w:rsid w:val="007341CC"/>
    <w:rsid w:val="007344BA"/>
    <w:rsid w:val="00735CD7"/>
    <w:rsid w:val="00736097"/>
    <w:rsid w:val="00736A82"/>
    <w:rsid w:val="00736B83"/>
    <w:rsid w:val="0073739B"/>
    <w:rsid w:val="007401EB"/>
    <w:rsid w:val="0074038B"/>
    <w:rsid w:val="00740BB5"/>
    <w:rsid w:val="00740F9D"/>
    <w:rsid w:val="007435BD"/>
    <w:rsid w:val="0074438A"/>
    <w:rsid w:val="00744416"/>
    <w:rsid w:val="007448EB"/>
    <w:rsid w:val="007451EB"/>
    <w:rsid w:val="00745B7D"/>
    <w:rsid w:val="00745E6E"/>
    <w:rsid w:val="00746297"/>
    <w:rsid w:val="0074745B"/>
    <w:rsid w:val="00747769"/>
    <w:rsid w:val="00750F3D"/>
    <w:rsid w:val="00751AB3"/>
    <w:rsid w:val="0075221E"/>
    <w:rsid w:val="00753039"/>
    <w:rsid w:val="007535D7"/>
    <w:rsid w:val="00754034"/>
    <w:rsid w:val="00754BF1"/>
    <w:rsid w:val="00755A30"/>
    <w:rsid w:val="00755CE4"/>
    <w:rsid w:val="00755E1C"/>
    <w:rsid w:val="00756397"/>
    <w:rsid w:val="00756556"/>
    <w:rsid w:val="00756B32"/>
    <w:rsid w:val="00756DF9"/>
    <w:rsid w:val="007570F2"/>
    <w:rsid w:val="0075730D"/>
    <w:rsid w:val="007576DD"/>
    <w:rsid w:val="00757E36"/>
    <w:rsid w:val="00760EDB"/>
    <w:rsid w:val="00760F8D"/>
    <w:rsid w:val="00761256"/>
    <w:rsid w:val="0076131F"/>
    <w:rsid w:val="0076132B"/>
    <w:rsid w:val="00761CF0"/>
    <w:rsid w:val="00761FC7"/>
    <w:rsid w:val="00762380"/>
    <w:rsid w:val="007623AE"/>
    <w:rsid w:val="00762861"/>
    <w:rsid w:val="007637DB"/>
    <w:rsid w:val="00763BFB"/>
    <w:rsid w:val="00763F5D"/>
    <w:rsid w:val="00763F91"/>
    <w:rsid w:val="0076437C"/>
    <w:rsid w:val="00765874"/>
    <w:rsid w:val="0076648B"/>
    <w:rsid w:val="0076743D"/>
    <w:rsid w:val="00767A64"/>
    <w:rsid w:val="00767B80"/>
    <w:rsid w:val="00770605"/>
    <w:rsid w:val="00770B19"/>
    <w:rsid w:val="00771237"/>
    <w:rsid w:val="00771C34"/>
    <w:rsid w:val="00771CEE"/>
    <w:rsid w:val="00773305"/>
    <w:rsid w:val="00773AFC"/>
    <w:rsid w:val="00773BE1"/>
    <w:rsid w:val="00774C14"/>
    <w:rsid w:val="00774DD6"/>
    <w:rsid w:val="00774FA0"/>
    <w:rsid w:val="00775427"/>
    <w:rsid w:val="00775BFD"/>
    <w:rsid w:val="00776620"/>
    <w:rsid w:val="007766C5"/>
    <w:rsid w:val="007767F5"/>
    <w:rsid w:val="00776C38"/>
    <w:rsid w:val="00776E28"/>
    <w:rsid w:val="00777B6D"/>
    <w:rsid w:val="00777FC0"/>
    <w:rsid w:val="00780206"/>
    <w:rsid w:val="00780353"/>
    <w:rsid w:val="00780382"/>
    <w:rsid w:val="00780457"/>
    <w:rsid w:val="00780B7A"/>
    <w:rsid w:val="00780F8E"/>
    <w:rsid w:val="00782219"/>
    <w:rsid w:val="007830C0"/>
    <w:rsid w:val="00783664"/>
    <w:rsid w:val="00784855"/>
    <w:rsid w:val="00784F39"/>
    <w:rsid w:val="0078545C"/>
    <w:rsid w:val="00785E8C"/>
    <w:rsid w:val="00786172"/>
    <w:rsid w:val="00786DFD"/>
    <w:rsid w:val="00786ECC"/>
    <w:rsid w:val="007872EF"/>
    <w:rsid w:val="00787699"/>
    <w:rsid w:val="007906B4"/>
    <w:rsid w:val="007906C4"/>
    <w:rsid w:val="00790D85"/>
    <w:rsid w:val="0079125E"/>
    <w:rsid w:val="007916C9"/>
    <w:rsid w:val="00792A10"/>
    <w:rsid w:val="00793478"/>
    <w:rsid w:val="00793843"/>
    <w:rsid w:val="00793B77"/>
    <w:rsid w:val="007940EA"/>
    <w:rsid w:val="00794BBC"/>
    <w:rsid w:val="007951F2"/>
    <w:rsid w:val="0079595A"/>
    <w:rsid w:val="00795C32"/>
    <w:rsid w:val="00795E33"/>
    <w:rsid w:val="007967E8"/>
    <w:rsid w:val="00796CA9"/>
    <w:rsid w:val="00796EA7"/>
    <w:rsid w:val="00796EFE"/>
    <w:rsid w:val="00797449"/>
    <w:rsid w:val="007979C8"/>
    <w:rsid w:val="007A083E"/>
    <w:rsid w:val="007A11D8"/>
    <w:rsid w:val="007A1C01"/>
    <w:rsid w:val="007A1CAF"/>
    <w:rsid w:val="007A22D2"/>
    <w:rsid w:val="007A2AB9"/>
    <w:rsid w:val="007A43C9"/>
    <w:rsid w:val="007A4931"/>
    <w:rsid w:val="007A496B"/>
    <w:rsid w:val="007A49B3"/>
    <w:rsid w:val="007A5099"/>
    <w:rsid w:val="007A5288"/>
    <w:rsid w:val="007A5A0B"/>
    <w:rsid w:val="007A63F2"/>
    <w:rsid w:val="007A74B4"/>
    <w:rsid w:val="007B0B38"/>
    <w:rsid w:val="007B1243"/>
    <w:rsid w:val="007B1626"/>
    <w:rsid w:val="007B258E"/>
    <w:rsid w:val="007B2696"/>
    <w:rsid w:val="007B2C51"/>
    <w:rsid w:val="007B3741"/>
    <w:rsid w:val="007B404A"/>
    <w:rsid w:val="007B4311"/>
    <w:rsid w:val="007B4643"/>
    <w:rsid w:val="007B5556"/>
    <w:rsid w:val="007B56F3"/>
    <w:rsid w:val="007B68DE"/>
    <w:rsid w:val="007B721D"/>
    <w:rsid w:val="007B7972"/>
    <w:rsid w:val="007B7FAB"/>
    <w:rsid w:val="007C1578"/>
    <w:rsid w:val="007C1769"/>
    <w:rsid w:val="007C1857"/>
    <w:rsid w:val="007C19C9"/>
    <w:rsid w:val="007C1EA6"/>
    <w:rsid w:val="007C27E1"/>
    <w:rsid w:val="007C2A42"/>
    <w:rsid w:val="007C2D9F"/>
    <w:rsid w:val="007C3A87"/>
    <w:rsid w:val="007C3FA9"/>
    <w:rsid w:val="007C43A4"/>
    <w:rsid w:val="007C4E9D"/>
    <w:rsid w:val="007C514F"/>
    <w:rsid w:val="007C6514"/>
    <w:rsid w:val="007C6F1E"/>
    <w:rsid w:val="007C6FEA"/>
    <w:rsid w:val="007C79E9"/>
    <w:rsid w:val="007C7C29"/>
    <w:rsid w:val="007D0B97"/>
    <w:rsid w:val="007D0F09"/>
    <w:rsid w:val="007D0F95"/>
    <w:rsid w:val="007D1064"/>
    <w:rsid w:val="007D10E0"/>
    <w:rsid w:val="007D1E0B"/>
    <w:rsid w:val="007D20F8"/>
    <w:rsid w:val="007D219A"/>
    <w:rsid w:val="007D224E"/>
    <w:rsid w:val="007D24AB"/>
    <w:rsid w:val="007D3520"/>
    <w:rsid w:val="007D35EB"/>
    <w:rsid w:val="007D4397"/>
    <w:rsid w:val="007D5A0B"/>
    <w:rsid w:val="007D5BBF"/>
    <w:rsid w:val="007D5ED1"/>
    <w:rsid w:val="007D67BE"/>
    <w:rsid w:val="007D6998"/>
    <w:rsid w:val="007D6ACA"/>
    <w:rsid w:val="007D6E9C"/>
    <w:rsid w:val="007D729E"/>
    <w:rsid w:val="007D76CE"/>
    <w:rsid w:val="007D7ECB"/>
    <w:rsid w:val="007E03B3"/>
    <w:rsid w:val="007E0E31"/>
    <w:rsid w:val="007E184A"/>
    <w:rsid w:val="007E25A1"/>
    <w:rsid w:val="007E2861"/>
    <w:rsid w:val="007E2DE5"/>
    <w:rsid w:val="007E30F4"/>
    <w:rsid w:val="007E314A"/>
    <w:rsid w:val="007E38D7"/>
    <w:rsid w:val="007E3F14"/>
    <w:rsid w:val="007E4364"/>
    <w:rsid w:val="007E4A62"/>
    <w:rsid w:val="007E4BD2"/>
    <w:rsid w:val="007E4C05"/>
    <w:rsid w:val="007E7145"/>
    <w:rsid w:val="007E7A69"/>
    <w:rsid w:val="007E7C53"/>
    <w:rsid w:val="007E7D99"/>
    <w:rsid w:val="007E7E2E"/>
    <w:rsid w:val="007F0DC8"/>
    <w:rsid w:val="007F2297"/>
    <w:rsid w:val="007F29B1"/>
    <w:rsid w:val="007F2C35"/>
    <w:rsid w:val="007F2FA1"/>
    <w:rsid w:val="007F367F"/>
    <w:rsid w:val="007F3916"/>
    <w:rsid w:val="007F393A"/>
    <w:rsid w:val="007F395F"/>
    <w:rsid w:val="007F3CF9"/>
    <w:rsid w:val="007F40A3"/>
    <w:rsid w:val="007F4600"/>
    <w:rsid w:val="007F5CB6"/>
    <w:rsid w:val="007F61CA"/>
    <w:rsid w:val="007F7569"/>
    <w:rsid w:val="007F7893"/>
    <w:rsid w:val="007F79FC"/>
    <w:rsid w:val="00801179"/>
    <w:rsid w:val="008012D7"/>
    <w:rsid w:val="0080133E"/>
    <w:rsid w:val="00801A76"/>
    <w:rsid w:val="00802479"/>
    <w:rsid w:val="00802C0B"/>
    <w:rsid w:val="008030F0"/>
    <w:rsid w:val="00805372"/>
    <w:rsid w:val="0080564B"/>
    <w:rsid w:val="00805A03"/>
    <w:rsid w:val="00805B7B"/>
    <w:rsid w:val="0080639A"/>
    <w:rsid w:val="00807654"/>
    <w:rsid w:val="008108A3"/>
    <w:rsid w:val="00810997"/>
    <w:rsid w:val="00811609"/>
    <w:rsid w:val="00811E7C"/>
    <w:rsid w:val="008121B9"/>
    <w:rsid w:val="0081263B"/>
    <w:rsid w:val="0081282D"/>
    <w:rsid w:val="0081293E"/>
    <w:rsid w:val="00812D71"/>
    <w:rsid w:val="008133EB"/>
    <w:rsid w:val="00813E14"/>
    <w:rsid w:val="00814598"/>
    <w:rsid w:val="0081497F"/>
    <w:rsid w:val="00814C7E"/>
    <w:rsid w:val="00814FFB"/>
    <w:rsid w:val="0081542C"/>
    <w:rsid w:val="00815A6B"/>
    <w:rsid w:val="0081764B"/>
    <w:rsid w:val="00817EC9"/>
    <w:rsid w:val="00817F1E"/>
    <w:rsid w:val="00820348"/>
    <w:rsid w:val="00820568"/>
    <w:rsid w:val="00821243"/>
    <w:rsid w:val="008233EC"/>
    <w:rsid w:val="008235C3"/>
    <w:rsid w:val="0082503A"/>
    <w:rsid w:val="00825292"/>
    <w:rsid w:val="008259A8"/>
    <w:rsid w:val="008259AF"/>
    <w:rsid w:val="00825A9F"/>
    <w:rsid w:val="00825FA8"/>
    <w:rsid w:val="008261F7"/>
    <w:rsid w:val="0082629D"/>
    <w:rsid w:val="00826C6D"/>
    <w:rsid w:val="00826D46"/>
    <w:rsid w:val="00827336"/>
    <w:rsid w:val="0082780D"/>
    <w:rsid w:val="00827A5D"/>
    <w:rsid w:val="00827D54"/>
    <w:rsid w:val="008307C1"/>
    <w:rsid w:val="00830D67"/>
    <w:rsid w:val="00831A80"/>
    <w:rsid w:val="00831AD8"/>
    <w:rsid w:val="00831F34"/>
    <w:rsid w:val="00831F84"/>
    <w:rsid w:val="008324A2"/>
    <w:rsid w:val="0083265C"/>
    <w:rsid w:val="00832A69"/>
    <w:rsid w:val="008332C8"/>
    <w:rsid w:val="00833743"/>
    <w:rsid w:val="00833882"/>
    <w:rsid w:val="00833F5A"/>
    <w:rsid w:val="008340A4"/>
    <w:rsid w:val="008345A5"/>
    <w:rsid w:val="00834EF8"/>
    <w:rsid w:val="008356D6"/>
    <w:rsid w:val="00836799"/>
    <w:rsid w:val="00837028"/>
    <w:rsid w:val="00837131"/>
    <w:rsid w:val="0083775A"/>
    <w:rsid w:val="008377F3"/>
    <w:rsid w:val="008378B1"/>
    <w:rsid w:val="00837F7B"/>
    <w:rsid w:val="0084022F"/>
    <w:rsid w:val="00841150"/>
    <w:rsid w:val="008412E0"/>
    <w:rsid w:val="00841716"/>
    <w:rsid w:val="00841946"/>
    <w:rsid w:val="00842270"/>
    <w:rsid w:val="008423FA"/>
    <w:rsid w:val="00842421"/>
    <w:rsid w:val="00842B0F"/>
    <w:rsid w:val="00842CE0"/>
    <w:rsid w:val="00843C85"/>
    <w:rsid w:val="008441AD"/>
    <w:rsid w:val="00844734"/>
    <w:rsid w:val="00844A6C"/>
    <w:rsid w:val="0084555E"/>
    <w:rsid w:val="00845979"/>
    <w:rsid w:val="00845F57"/>
    <w:rsid w:val="00846D97"/>
    <w:rsid w:val="0084755E"/>
    <w:rsid w:val="008477D9"/>
    <w:rsid w:val="00847E80"/>
    <w:rsid w:val="0085048E"/>
    <w:rsid w:val="00850C86"/>
    <w:rsid w:val="00851003"/>
    <w:rsid w:val="00851137"/>
    <w:rsid w:val="00851CCB"/>
    <w:rsid w:val="00851CEF"/>
    <w:rsid w:val="008521E0"/>
    <w:rsid w:val="008525B0"/>
    <w:rsid w:val="00852959"/>
    <w:rsid w:val="00854781"/>
    <w:rsid w:val="008549C7"/>
    <w:rsid w:val="00854C1B"/>
    <w:rsid w:val="00854CFB"/>
    <w:rsid w:val="0085672E"/>
    <w:rsid w:val="00856C16"/>
    <w:rsid w:val="00856C67"/>
    <w:rsid w:val="008570A7"/>
    <w:rsid w:val="008573AF"/>
    <w:rsid w:val="00857C32"/>
    <w:rsid w:val="008602EC"/>
    <w:rsid w:val="00861640"/>
    <w:rsid w:val="0086244D"/>
    <w:rsid w:val="008625B0"/>
    <w:rsid w:val="00862858"/>
    <w:rsid w:val="0086392F"/>
    <w:rsid w:val="0086419E"/>
    <w:rsid w:val="00864419"/>
    <w:rsid w:val="008648A3"/>
    <w:rsid w:val="00864C05"/>
    <w:rsid w:val="00865059"/>
    <w:rsid w:val="00865191"/>
    <w:rsid w:val="008664B5"/>
    <w:rsid w:val="00867A51"/>
    <w:rsid w:val="00867BA6"/>
    <w:rsid w:val="00867CBC"/>
    <w:rsid w:val="00870376"/>
    <w:rsid w:val="0087053A"/>
    <w:rsid w:val="00871725"/>
    <w:rsid w:val="00871E17"/>
    <w:rsid w:val="008726E2"/>
    <w:rsid w:val="0087270C"/>
    <w:rsid w:val="00873094"/>
    <w:rsid w:val="008731BD"/>
    <w:rsid w:val="00873701"/>
    <w:rsid w:val="0087430D"/>
    <w:rsid w:val="00875716"/>
    <w:rsid w:val="0087593D"/>
    <w:rsid w:val="00875E20"/>
    <w:rsid w:val="008767D6"/>
    <w:rsid w:val="00876C30"/>
    <w:rsid w:val="00877017"/>
    <w:rsid w:val="008773C0"/>
    <w:rsid w:val="00880364"/>
    <w:rsid w:val="0088069E"/>
    <w:rsid w:val="0088114A"/>
    <w:rsid w:val="008816DD"/>
    <w:rsid w:val="00881E40"/>
    <w:rsid w:val="00882B38"/>
    <w:rsid w:val="00882B82"/>
    <w:rsid w:val="00882ED0"/>
    <w:rsid w:val="00883156"/>
    <w:rsid w:val="00883254"/>
    <w:rsid w:val="008833F6"/>
    <w:rsid w:val="00885D87"/>
    <w:rsid w:val="00886952"/>
    <w:rsid w:val="00886C4C"/>
    <w:rsid w:val="00886FFF"/>
    <w:rsid w:val="0088711C"/>
    <w:rsid w:val="008879EE"/>
    <w:rsid w:val="00890551"/>
    <w:rsid w:val="008907B2"/>
    <w:rsid w:val="00890B77"/>
    <w:rsid w:val="0089115D"/>
    <w:rsid w:val="00891758"/>
    <w:rsid w:val="00891FBE"/>
    <w:rsid w:val="00892403"/>
    <w:rsid w:val="00892411"/>
    <w:rsid w:val="0089286F"/>
    <w:rsid w:val="00892ECF"/>
    <w:rsid w:val="00892F06"/>
    <w:rsid w:val="0089303D"/>
    <w:rsid w:val="008931B3"/>
    <w:rsid w:val="008931C5"/>
    <w:rsid w:val="00893C8C"/>
    <w:rsid w:val="0089413F"/>
    <w:rsid w:val="00894150"/>
    <w:rsid w:val="0089425A"/>
    <w:rsid w:val="00894285"/>
    <w:rsid w:val="0089490C"/>
    <w:rsid w:val="00894F3A"/>
    <w:rsid w:val="00895080"/>
    <w:rsid w:val="008958C3"/>
    <w:rsid w:val="0089650A"/>
    <w:rsid w:val="00896898"/>
    <w:rsid w:val="00896A3D"/>
    <w:rsid w:val="00896C58"/>
    <w:rsid w:val="008A0279"/>
    <w:rsid w:val="008A07A5"/>
    <w:rsid w:val="008A12D0"/>
    <w:rsid w:val="008A173F"/>
    <w:rsid w:val="008A204B"/>
    <w:rsid w:val="008A20B9"/>
    <w:rsid w:val="008A4050"/>
    <w:rsid w:val="008A40AE"/>
    <w:rsid w:val="008A40DB"/>
    <w:rsid w:val="008A48D7"/>
    <w:rsid w:val="008A4D45"/>
    <w:rsid w:val="008A4E19"/>
    <w:rsid w:val="008A5124"/>
    <w:rsid w:val="008A59BF"/>
    <w:rsid w:val="008A5AFF"/>
    <w:rsid w:val="008A5FD0"/>
    <w:rsid w:val="008A65CE"/>
    <w:rsid w:val="008A67C5"/>
    <w:rsid w:val="008A6E92"/>
    <w:rsid w:val="008B0251"/>
    <w:rsid w:val="008B11C2"/>
    <w:rsid w:val="008B1474"/>
    <w:rsid w:val="008B1496"/>
    <w:rsid w:val="008B1B02"/>
    <w:rsid w:val="008B1CA2"/>
    <w:rsid w:val="008B1D8D"/>
    <w:rsid w:val="008B2027"/>
    <w:rsid w:val="008B212B"/>
    <w:rsid w:val="008B22A0"/>
    <w:rsid w:val="008B22BD"/>
    <w:rsid w:val="008B22E1"/>
    <w:rsid w:val="008B281F"/>
    <w:rsid w:val="008B2B41"/>
    <w:rsid w:val="008B35AD"/>
    <w:rsid w:val="008B3C78"/>
    <w:rsid w:val="008B3D16"/>
    <w:rsid w:val="008B41E8"/>
    <w:rsid w:val="008B46ED"/>
    <w:rsid w:val="008B47E5"/>
    <w:rsid w:val="008B4AE9"/>
    <w:rsid w:val="008B570B"/>
    <w:rsid w:val="008B6223"/>
    <w:rsid w:val="008B6567"/>
    <w:rsid w:val="008B7337"/>
    <w:rsid w:val="008B7809"/>
    <w:rsid w:val="008C01E9"/>
    <w:rsid w:val="008C17CD"/>
    <w:rsid w:val="008C26FA"/>
    <w:rsid w:val="008C2986"/>
    <w:rsid w:val="008C2A26"/>
    <w:rsid w:val="008C30AD"/>
    <w:rsid w:val="008C3923"/>
    <w:rsid w:val="008C39D6"/>
    <w:rsid w:val="008C3FD8"/>
    <w:rsid w:val="008C4070"/>
    <w:rsid w:val="008C4272"/>
    <w:rsid w:val="008C4841"/>
    <w:rsid w:val="008C4AAB"/>
    <w:rsid w:val="008C4E14"/>
    <w:rsid w:val="008C57AC"/>
    <w:rsid w:val="008C58BA"/>
    <w:rsid w:val="008C5A8A"/>
    <w:rsid w:val="008C5FD0"/>
    <w:rsid w:val="008C65BC"/>
    <w:rsid w:val="008C729D"/>
    <w:rsid w:val="008C78A3"/>
    <w:rsid w:val="008D068E"/>
    <w:rsid w:val="008D0D49"/>
    <w:rsid w:val="008D0F7A"/>
    <w:rsid w:val="008D17B9"/>
    <w:rsid w:val="008D19A2"/>
    <w:rsid w:val="008D1F8C"/>
    <w:rsid w:val="008D2595"/>
    <w:rsid w:val="008D284F"/>
    <w:rsid w:val="008D29B5"/>
    <w:rsid w:val="008D2D72"/>
    <w:rsid w:val="008D2F60"/>
    <w:rsid w:val="008D3132"/>
    <w:rsid w:val="008D3677"/>
    <w:rsid w:val="008D3A52"/>
    <w:rsid w:val="008D4DFC"/>
    <w:rsid w:val="008D4E11"/>
    <w:rsid w:val="008D4F25"/>
    <w:rsid w:val="008D4F5A"/>
    <w:rsid w:val="008D5108"/>
    <w:rsid w:val="008D54FE"/>
    <w:rsid w:val="008D5977"/>
    <w:rsid w:val="008D5EF2"/>
    <w:rsid w:val="008D6117"/>
    <w:rsid w:val="008D63BE"/>
    <w:rsid w:val="008E0187"/>
    <w:rsid w:val="008E0824"/>
    <w:rsid w:val="008E0CFF"/>
    <w:rsid w:val="008E0D3C"/>
    <w:rsid w:val="008E10FC"/>
    <w:rsid w:val="008E17A5"/>
    <w:rsid w:val="008E1AE7"/>
    <w:rsid w:val="008E1F00"/>
    <w:rsid w:val="008E2059"/>
    <w:rsid w:val="008E2714"/>
    <w:rsid w:val="008E3757"/>
    <w:rsid w:val="008E3863"/>
    <w:rsid w:val="008E3E01"/>
    <w:rsid w:val="008E4D76"/>
    <w:rsid w:val="008E5A48"/>
    <w:rsid w:val="008E5D6B"/>
    <w:rsid w:val="008E689B"/>
    <w:rsid w:val="008E713E"/>
    <w:rsid w:val="008E7391"/>
    <w:rsid w:val="008E75E6"/>
    <w:rsid w:val="008E76F0"/>
    <w:rsid w:val="008E7EBD"/>
    <w:rsid w:val="008F030E"/>
    <w:rsid w:val="008F105A"/>
    <w:rsid w:val="008F12F2"/>
    <w:rsid w:val="008F15FE"/>
    <w:rsid w:val="008F22B4"/>
    <w:rsid w:val="008F25E6"/>
    <w:rsid w:val="008F2601"/>
    <w:rsid w:val="008F27B1"/>
    <w:rsid w:val="008F2A94"/>
    <w:rsid w:val="008F2F3B"/>
    <w:rsid w:val="008F33E8"/>
    <w:rsid w:val="008F3454"/>
    <w:rsid w:val="008F3465"/>
    <w:rsid w:val="008F34C3"/>
    <w:rsid w:val="008F3811"/>
    <w:rsid w:val="008F3857"/>
    <w:rsid w:val="008F39DD"/>
    <w:rsid w:val="008F4396"/>
    <w:rsid w:val="008F4EBF"/>
    <w:rsid w:val="008F5187"/>
    <w:rsid w:val="008F5609"/>
    <w:rsid w:val="008F58E1"/>
    <w:rsid w:val="008F690D"/>
    <w:rsid w:val="008F6CEF"/>
    <w:rsid w:val="008F6ED5"/>
    <w:rsid w:val="008F7084"/>
    <w:rsid w:val="008F709C"/>
    <w:rsid w:val="008F72DB"/>
    <w:rsid w:val="008F7A5F"/>
    <w:rsid w:val="00900A83"/>
    <w:rsid w:val="009012C8"/>
    <w:rsid w:val="0090198A"/>
    <w:rsid w:val="00902A84"/>
    <w:rsid w:val="00902B1C"/>
    <w:rsid w:val="00902D61"/>
    <w:rsid w:val="0090312B"/>
    <w:rsid w:val="0090389F"/>
    <w:rsid w:val="0090396A"/>
    <w:rsid w:val="00903C20"/>
    <w:rsid w:val="009041DB"/>
    <w:rsid w:val="00904812"/>
    <w:rsid w:val="00904961"/>
    <w:rsid w:val="00904E34"/>
    <w:rsid w:val="009050EE"/>
    <w:rsid w:val="009051A9"/>
    <w:rsid w:val="0090567B"/>
    <w:rsid w:val="0090617E"/>
    <w:rsid w:val="00906866"/>
    <w:rsid w:val="00906A9C"/>
    <w:rsid w:val="00906C27"/>
    <w:rsid w:val="009075F4"/>
    <w:rsid w:val="00907601"/>
    <w:rsid w:val="00910B62"/>
    <w:rsid w:val="00911424"/>
    <w:rsid w:val="00911EF8"/>
    <w:rsid w:val="00912DB1"/>
    <w:rsid w:val="00913C11"/>
    <w:rsid w:val="00914726"/>
    <w:rsid w:val="00914986"/>
    <w:rsid w:val="0091500C"/>
    <w:rsid w:val="0091540B"/>
    <w:rsid w:val="009158FE"/>
    <w:rsid w:val="009166D5"/>
    <w:rsid w:val="0091736D"/>
    <w:rsid w:val="009204F4"/>
    <w:rsid w:val="00920E03"/>
    <w:rsid w:val="00921103"/>
    <w:rsid w:val="009211DF"/>
    <w:rsid w:val="00921549"/>
    <w:rsid w:val="009216C2"/>
    <w:rsid w:val="00921D2A"/>
    <w:rsid w:val="00922439"/>
    <w:rsid w:val="0092272D"/>
    <w:rsid w:val="00922DD1"/>
    <w:rsid w:val="00924483"/>
    <w:rsid w:val="00924F42"/>
    <w:rsid w:val="0092686E"/>
    <w:rsid w:val="009269D8"/>
    <w:rsid w:val="009272D7"/>
    <w:rsid w:val="00931001"/>
    <w:rsid w:val="00931462"/>
    <w:rsid w:val="00931863"/>
    <w:rsid w:val="00931F3E"/>
    <w:rsid w:val="00932A89"/>
    <w:rsid w:val="009334C0"/>
    <w:rsid w:val="00933524"/>
    <w:rsid w:val="009338EE"/>
    <w:rsid w:val="00933C11"/>
    <w:rsid w:val="00933C3D"/>
    <w:rsid w:val="0093473F"/>
    <w:rsid w:val="00934CAC"/>
    <w:rsid w:val="00935FC7"/>
    <w:rsid w:val="00936093"/>
    <w:rsid w:val="00936182"/>
    <w:rsid w:val="009364B9"/>
    <w:rsid w:val="0093667B"/>
    <w:rsid w:val="00936A8E"/>
    <w:rsid w:val="00940504"/>
    <w:rsid w:val="00940E1D"/>
    <w:rsid w:val="009411B3"/>
    <w:rsid w:val="00941357"/>
    <w:rsid w:val="009419B8"/>
    <w:rsid w:val="00941EB2"/>
    <w:rsid w:val="0094278D"/>
    <w:rsid w:val="009438DB"/>
    <w:rsid w:val="00944782"/>
    <w:rsid w:val="009451D5"/>
    <w:rsid w:val="00945BC7"/>
    <w:rsid w:val="00945DF0"/>
    <w:rsid w:val="00945F5E"/>
    <w:rsid w:val="00946D65"/>
    <w:rsid w:val="00946F28"/>
    <w:rsid w:val="00947578"/>
    <w:rsid w:val="009476DF"/>
    <w:rsid w:val="0095089C"/>
    <w:rsid w:val="00950B9B"/>
    <w:rsid w:val="00951078"/>
    <w:rsid w:val="009511AF"/>
    <w:rsid w:val="00951944"/>
    <w:rsid w:val="00952D9C"/>
    <w:rsid w:val="00952E66"/>
    <w:rsid w:val="00952E91"/>
    <w:rsid w:val="00952FC2"/>
    <w:rsid w:val="0095308A"/>
    <w:rsid w:val="00953309"/>
    <w:rsid w:val="00953EAB"/>
    <w:rsid w:val="00953EBB"/>
    <w:rsid w:val="00954893"/>
    <w:rsid w:val="00955156"/>
    <w:rsid w:val="00955332"/>
    <w:rsid w:val="009554D0"/>
    <w:rsid w:val="00955809"/>
    <w:rsid w:val="00955AEE"/>
    <w:rsid w:val="00956048"/>
    <w:rsid w:val="009563AE"/>
    <w:rsid w:val="00956F14"/>
    <w:rsid w:val="0095746B"/>
    <w:rsid w:val="00957C20"/>
    <w:rsid w:val="00960BAC"/>
    <w:rsid w:val="009614B4"/>
    <w:rsid w:val="009620FD"/>
    <w:rsid w:val="0096247A"/>
    <w:rsid w:val="009625DF"/>
    <w:rsid w:val="009627D0"/>
    <w:rsid w:val="00962BD0"/>
    <w:rsid w:val="00964907"/>
    <w:rsid w:val="00964933"/>
    <w:rsid w:val="009651B9"/>
    <w:rsid w:val="009654E4"/>
    <w:rsid w:val="00965F4B"/>
    <w:rsid w:val="00965FCA"/>
    <w:rsid w:val="009662F7"/>
    <w:rsid w:val="00966C6A"/>
    <w:rsid w:val="00967348"/>
    <w:rsid w:val="009678A4"/>
    <w:rsid w:val="00967B77"/>
    <w:rsid w:val="00967C86"/>
    <w:rsid w:val="009700AD"/>
    <w:rsid w:val="00970A73"/>
    <w:rsid w:val="00970C64"/>
    <w:rsid w:val="00970D90"/>
    <w:rsid w:val="00970F8A"/>
    <w:rsid w:val="009719F4"/>
    <w:rsid w:val="00971FB5"/>
    <w:rsid w:val="00972D2A"/>
    <w:rsid w:val="00973AEF"/>
    <w:rsid w:val="00973C82"/>
    <w:rsid w:val="00975CC5"/>
    <w:rsid w:val="00976328"/>
    <w:rsid w:val="009765FA"/>
    <w:rsid w:val="00976689"/>
    <w:rsid w:val="0097676F"/>
    <w:rsid w:val="00976B4E"/>
    <w:rsid w:val="0098024E"/>
    <w:rsid w:val="00981084"/>
    <w:rsid w:val="00981127"/>
    <w:rsid w:val="009818C1"/>
    <w:rsid w:val="00981AF0"/>
    <w:rsid w:val="00981F7C"/>
    <w:rsid w:val="00982297"/>
    <w:rsid w:val="00982B15"/>
    <w:rsid w:val="00983052"/>
    <w:rsid w:val="009831D3"/>
    <w:rsid w:val="00984075"/>
    <w:rsid w:val="009841B6"/>
    <w:rsid w:val="00984458"/>
    <w:rsid w:val="009850A7"/>
    <w:rsid w:val="00985283"/>
    <w:rsid w:val="00985912"/>
    <w:rsid w:val="00985CD0"/>
    <w:rsid w:val="00986841"/>
    <w:rsid w:val="00986ED7"/>
    <w:rsid w:val="00987322"/>
    <w:rsid w:val="009875E4"/>
    <w:rsid w:val="00987E59"/>
    <w:rsid w:val="00990CD8"/>
    <w:rsid w:val="00991082"/>
    <w:rsid w:val="009910C4"/>
    <w:rsid w:val="00991236"/>
    <w:rsid w:val="00991E0B"/>
    <w:rsid w:val="00992EAD"/>
    <w:rsid w:val="00993052"/>
    <w:rsid w:val="009949D0"/>
    <w:rsid w:val="009956A3"/>
    <w:rsid w:val="00995FD0"/>
    <w:rsid w:val="00996049"/>
    <w:rsid w:val="009979DF"/>
    <w:rsid w:val="00997E91"/>
    <w:rsid w:val="009A03F9"/>
    <w:rsid w:val="009A0ACA"/>
    <w:rsid w:val="009A0F3B"/>
    <w:rsid w:val="009A1CDB"/>
    <w:rsid w:val="009A1D0D"/>
    <w:rsid w:val="009A1EF0"/>
    <w:rsid w:val="009A2422"/>
    <w:rsid w:val="009A29FA"/>
    <w:rsid w:val="009A34DF"/>
    <w:rsid w:val="009A3725"/>
    <w:rsid w:val="009A415E"/>
    <w:rsid w:val="009A4476"/>
    <w:rsid w:val="009A533F"/>
    <w:rsid w:val="009A5C3D"/>
    <w:rsid w:val="009A6277"/>
    <w:rsid w:val="009A687F"/>
    <w:rsid w:val="009A6F14"/>
    <w:rsid w:val="009A72C7"/>
    <w:rsid w:val="009A76E6"/>
    <w:rsid w:val="009B0897"/>
    <w:rsid w:val="009B1E58"/>
    <w:rsid w:val="009B21C0"/>
    <w:rsid w:val="009B2B88"/>
    <w:rsid w:val="009B2C10"/>
    <w:rsid w:val="009B3241"/>
    <w:rsid w:val="009B39EC"/>
    <w:rsid w:val="009B3AE7"/>
    <w:rsid w:val="009B3CEC"/>
    <w:rsid w:val="009B533F"/>
    <w:rsid w:val="009B6319"/>
    <w:rsid w:val="009B66AE"/>
    <w:rsid w:val="009C0121"/>
    <w:rsid w:val="009C03D9"/>
    <w:rsid w:val="009C0D7C"/>
    <w:rsid w:val="009C1141"/>
    <w:rsid w:val="009C13C0"/>
    <w:rsid w:val="009C14AA"/>
    <w:rsid w:val="009C1AD7"/>
    <w:rsid w:val="009C1C15"/>
    <w:rsid w:val="009C28D8"/>
    <w:rsid w:val="009C4006"/>
    <w:rsid w:val="009C422E"/>
    <w:rsid w:val="009C44DF"/>
    <w:rsid w:val="009C4760"/>
    <w:rsid w:val="009C5421"/>
    <w:rsid w:val="009C568A"/>
    <w:rsid w:val="009C5716"/>
    <w:rsid w:val="009C6565"/>
    <w:rsid w:val="009C683B"/>
    <w:rsid w:val="009C6895"/>
    <w:rsid w:val="009C6E51"/>
    <w:rsid w:val="009C762A"/>
    <w:rsid w:val="009D0852"/>
    <w:rsid w:val="009D0DBA"/>
    <w:rsid w:val="009D1E71"/>
    <w:rsid w:val="009D1F06"/>
    <w:rsid w:val="009D1FBF"/>
    <w:rsid w:val="009D22B3"/>
    <w:rsid w:val="009D374C"/>
    <w:rsid w:val="009D37B7"/>
    <w:rsid w:val="009D37DD"/>
    <w:rsid w:val="009D420A"/>
    <w:rsid w:val="009D43A3"/>
    <w:rsid w:val="009D55AD"/>
    <w:rsid w:val="009D5800"/>
    <w:rsid w:val="009D5A6C"/>
    <w:rsid w:val="009D5AC7"/>
    <w:rsid w:val="009D6275"/>
    <w:rsid w:val="009D632D"/>
    <w:rsid w:val="009D65D2"/>
    <w:rsid w:val="009D6D67"/>
    <w:rsid w:val="009D73ED"/>
    <w:rsid w:val="009D7D9B"/>
    <w:rsid w:val="009D7F2B"/>
    <w:rsid w:val="009E1A7D"/>
    <w:rsid w:val="009E2157"/>
    <w:rsid w:val="009E2827"/>
    <w:rsid w:val="009E329B"/>
    <w:rsid w:val="009E3445"/>
    <w:rsid w:val="009E3648"/>
    <w:rsid w:val="009E399C"/>
    <w:rsid w:val="009E43C1"/>
    <w:rsid w:val="009E5379"/>
    <w:rsid w:val="009E5EB0"/>
    <w:rsid w:val="009E635F"/>
    <w:rsid w:val="009E6D8D"/>
    <w:rsid w:val="009E7453"/>
    <w:rsid w:val="009E7460"/>
    <w:rsid w:val="009E7E95"/>
    <w:rsid w:val="009F0A74"/>
    <w:rsid w:val="009F0E12"/>
    <w:rsid w:val="009F0E65"/>
    <w:rsid w:val="009F116F"/>
    <w:rsid w:val="009F1225"/>
    <w:rsid w:val="009F1B88"/>
    <w:rsid w:val="009F2222"/>
    <w:rsid w:val="009F2335"/>
    <w:rsid w:val="009F31D5"/>
    <w:rsid w:val="009F329E"/>
    <w:rsid w:val="009F32ED"/>
    <w:rsid w:val="009F3316"/>
    <w:rsid w:val="009F3403"/>
    <w:rsid w:val="009F361C"/>
    <w:rsid w:val="009F44DC"/>
    <w:rsid w:val="009F471E"/>
    <w:rsid w:val="009F480C"/>
    <w:rsid w:val="009F5B9E"/>
    <w:rsid w:val="009F65BE"/>
    <w:rsid w:val="009F6FFF"/>
    <w:rsid w:val="009F715C"/>
    <w:rsid w:val="009F7ED3"/>
    <w:rsid w:val="00A00259"/>
    <w:rsid w:val="00A00957"/>
    <w:rsid w:val="00A00D3F"/>
    <w:rsid w:val="00A014CC"/>
    <w:rsid w:val="00A02257"/>
    <w:rsid w:val="00A025E6"/>
    <w:rsid w:val="00A032C5"/>
    <w:rsid w:val="00A03607"/>
    <w:rsid w:val="00A03BA2"/>
    <w:rsid w:val="00A047FF"/>
    <w:rsid w:val="00A04FEF"/>
    <w:rsid w:val="00A051D8"/>
    <w:rsid w:val="00A060ED"/>
    <w:rsid w:val="00A066A8"/>
    <w:rsid w:val="00A06B86"/>
    <w:rsid w:val="00A07AD4"/>
    <w:rsid w:val="00A1005A"/>
    <w:rsid w:val="00A100D3"/>
    <w:rsid w:val="00A10CCA"/>
    <w:rsid w:val="00A10E46"/>
    <w:rsid w:val="00A111B6"/>
    <w:rsid w:val="00A114FF"/>
    <w:rsid w:val="00A11B59"/>
    <w:rsid w:val="00A12089"/>
    <w:rsid w:val="00A122CD"/>
    <w:rsid w:val="00A1245C"/>
    <w:rsid w:val="00A128AB"/>
    <w:rsid w:val="00A12A1C"/>
    <w:rsid w:val="00A12A32"/>
    <w:rsid w:val="00A12A81"/>
    <w:rsid w:val="00A12EF3"/>
    <w:rsid w:val="00A13427"/>
    <w:rsid w:val="00A1378E"/>
    <w:rsid w:val="00A138A0"/>
    <w:rsid w:val="00A1394D"/>
    <w:rsid w:val="00A13E1E"/>
    <w:rsid w:val="00A14192"/>
    <w:rsid w:val="00A14248"/>
    <w:rsid w:val="00A145CB"/>
    <w:rsid w:val="00A14947"/>
    <w:rsid w:val="00A14AE8"/>
    <w:rsid w:val="00A14D19"/>
    <w:rsid w:val="00A14F2F"/>
    <w:rsid w:val="00A152B1"/>
    <w:rsid w:val="00A163C5"/>
    <w:rsid w:val="00A16DB8"/>
    <w:rsid w:val="00A1785A"/>
    <w:rsid w:val="00A17B1E"/>
    <w:rsid w:val="00A17C99"/>
    <w:rsid w:val="00A2092A"/>
    <w:rsid w:val="00A20F43"/>
    <w:rsid w:val="00A21135"/>
    <w:rsid w:val="00A21151"/>
    <w:rsid w:val="00A211A2"/>
    <w:rsid w:val="00A21960"/>
    <w:rsid w:val="00A23D73"/>
    <w:rsid w:val="00A23DC5"/>
    <w:rsid w:val="00A23E7E"/>
    <w:rsid w:val="00A241C2"/>
    <w:rsid w:val="00A250AE"/>
    <w:rsid w:val="00A2579C"/>
    <w:rsid w:val="00A2686A"/>
    <w:rsid w:val="00A26B68"/>
    <w:rsid w:val="00A27397"/>
    <w:rsid w:val="00A27C3B"/>
    <w:rsid w:val="00A27F14"/>
    <w:rsid w:val="00A305AA"/>
    <w:rsid w:val="00A30D98"/>
    <w:rsid w:val="00A31128"/>
    <w:rsid w:val="00A311E1"/>
    <w:rsid w:val="00A31AD0"/>
    <w:rsid w:val="00A31CDA"/>
    <w:rsid w:val="00A3297C"/>
    <w:rsid w:val="00A32F66"/>
    <w:rsid w:val="00A3313A"/>
    <w:rsid w:val="00A33B5C"/>
    <w:rsid w:val="00A34028"/>
    <w:rsid w:val="00A34148"/>
    <w:rsid w:val="00A35568"/>
    <w:rsid w:val="00A35B14"/>
    <w:rsid w:val="00A35C77"/>
    <w:rsid w:val="00A36330"/>
    <w:rsid w:val="00A36CC5"/>
    <w:rsid w:val="00A36E53"/>
    <w:rsid w:val="00A37056"/>
    <w:rsid w:val="00A4018A"/>
    <w:rsid w:val="00A4071F"/>
    <w:rsid w:val="00A40F05"/>
    <w:rsid w:val="00A41714"/>
    <w:rsid w:val="00A42278"/>
    <w:rsid w:val="00A42D19"/>
    <w:rsid w:val="00A432DD"/>
    <w:rsid w:val="00A4358F"/>
    <w:rsid w:val="00A43F35"/>
    <w:rsid w:val="00A443F3"/>
    <w:rsid w:val="00A45400"/>
    <w:rsid w:val="00A46F67"/>
    <w:rsid w:val="00A4725C"/>
    <w:rsid w:val="00A47F2E"/>
    <w:rsid w:val="00A50038"/>
    <w:rsid w:val="00A5075D"/>
    <w:rsid w:val="00A510F1"/>
    <w:rsid w:val="00A51CF6"/>
    <w:rsid w:val="00A5256A"/>
    <w:rsid w:val="00A53227"/>
    <w:rsid w:val="00A53DB8"/>
    <w:rsid w:val="00A53F68"/>
    <w:rsid w:val="00A54A65"/>
    <w:rsid w:val="00A54AA1"/>
    <w:rsid w:val="00A54BF5"/>
    <w:rsid w:val="00A55258"/>
    <w:rsid w:val="00A5536B"/>
    <w:rsid w:val="00A55BFD"/>
    <w:rsid w:val="00A55E2E"/>
    <w:rsid w:val="00A56580"/>
    <w:rsid w:val="00A5662B"/>
    <w:rsid w:val="00A56807"/>
    <w:rsid w:val="00A568FF"/>
    <w:rsid w:val="00A5770E"/>
    <w:rsid w:val="00A57D38"/>
    <w:rsid w:val="00A57F00"/>
    <w:rsid w:val="00A57F29"/>
    <w:rsid w:val="00A600D6"/>
    <w:rsid w:val="00A609D5"/>
    <w:rsid w:val="00A60C93"/>
    <w:rsid w:val="00A60D91"/>
    <w:rsid w:val="00A61496"/>
    <w:rsid w:val="00A61833"/>
    <w:rsid w:val="00A620F8"/>
    <w:rsid w:val="00A624C6"/>
    <w:rsid w:val="00A62527"/>
    <w:rsid w:val="00A62AA2"/>
    <w:rsid w:val="00A63C13"/>
    <w:rsid w:val="00A63CEC"/>
    <w:rsid w:val="00A6446A"/>
    <w:rsid w:val="00A648D2"/>
    <w:rsid w:val="00A65471"/>
    <w:rsid w:val="00A65531"/>
    <w:rsid w:val="00A655C9"/>
    <w:rsid w:val="00A65F46"/>
    <w:rsid w:val="00A664DD"/>
    <w:rsid w:val="00A668E2"/>
    <w:rsid w:val="00A66A39"/>
    <w:rsid w:val="00A677BA"/>
    <w:rsid w:val="00A7031E"/>
    <w:rsid w:val="00A7059F"/>
    <w:rsid w:val="00A709D1"/>
    <w:rsid w:val="00A70DD8"/>
    <w:rsid w:val="00A7130C"/>
    <w:rsid w:val="00A718A8"/>
    <w:rsid w:val="00A71A1A"/>
    <w:rsid w:val="00A71B5E"/>
    <w:rsid w:val="00A72396"/>
    <w:rsid w:val="00A728B1"/>
    <w:rsid w:val="00A731D6"/>
    <w:rsid w:val="00A73303"/>
    <w:rsid w:val="00A7377F"/>
    <w:rsid w:val="00A740CC"/>
    <w:rsid w:val="00A74201"/>
    <w:rsid w:val="00A74C78"/>
    <w:rsid w:val="00A7531C"/>
    <w:rsid w:val="00A75580"/>
    <w:rsid w:val="00A755D8"/>
    <w:rsid w:val="00A75DB7"/>
    <w:rsid w:val="00A763DE"/>
    <w:rsid w:val="00A7717F"/>
    <w:rsid w:val="00A773AD"/>
    <w:rsid w:val="00A7751F"/>
    <w:rsid w:val="00A803D6"/>
    <w:rsid w:val="00A81282"/>
    <w:rsid w:val="00A81D67"/>
    <w:rsid w:val="00A82A46"/>
    <w:rsid w:val="00A82FBA"/>
    <w:rsid w:val="00A83695"/>
    <w:rsid w:val="00A83CC2"/>
    <w:rsid w:val="00A83EA0"/>
    <w:rsid w:val="00A840B0"/>
    <w:rsid w:val="00A85146"/>
    <w:rsid w:val="00A85213"/>
    <w:rsid w:val="00A85348"/>
    <w:rsid w:val="00A85E46"/>
    <w:rsid w:val="00A863A1"/>
    <w:rsid w:val="00A8661B"/>
    <w:rsid w:val="00A86927"/>
    <w:rsid w:val="00A86A35"/>
    <w:rsid w:val="00A86E40"/>
    <w:rsid w:val="00A8713F"/>
    <w:rsid w:val="00A876B0"/>
    <w:rsid w:val="00A9081E"/>
    <w:rsid w:val="00A91167"/>
    <w:rsid w:val="00A913B7"/>
    <w:rsid w:val="00A9171C"/>
    <w:rsid w:val="00A91876"/>
    <w:rsid w:val="00A91AED"/>
    <w:rsid w:val="00A92418"/>
    <w:rsid w:val="00A92E70"/>
    <w:rsid w:val="00A92FFD"/>
    <w:rsid w:val="00A9320F"/>
    <w:rsid w:val="00A935B7"/>
    <w:rsid w:val="00A93709"/>
    <w:rsid w:val="00A93744"/>
    <w:rsid w:val="00A9459C"/>
    <w:rsid w:val="00A94847"/>
    <w:rsid w:val="00A94C04"/>
    <w:rsid w:val="00A94F5F"/>
    <w:rsid w:val="00A95975"/>
    <w:rsid w:val="00A95FCA"/>
    <w:rsid w:val="00A9708D"/>
    <w:rsid w:val="00A97ABE"/>
    <w:rsid w:val="00AA056E"/>
    <w:rsid w:val="00AA14DD"/>
    <w:rsid w:val="00AA211B"/>
    <w:rsid w:val="00AA2C17"/>
    <w:rsid w:val="00AA2FA3"/>
    <w:rsid w:val="00AA385E"/>
    <w:rsid w:val="00AA3F7C"/>
    <w:rsid w:val="00AA40A3"/>
    <w:rsid w:val="00AA4172"/>
    <w:rsid w:val="00AA49BD"/>
    <w:rsid w:val="00AA51BF"/>
    <w:rsid w:val="00AA6185"/>
    <w:rsid w:val="00AA62F0"/>
    <w:rsid w:val="00AA64BC"/>
    <w:rsid w:val="00AA6C7E"/>
    <w:rsid w:val="00AA6FB3"/>
    <w:rsid w:val="00AA6FD0"/>
    <w:rsid w:val="00AA7337"/>
    <w:rsid w:val="00AA7E36"/>
    <w:rsid w:val="00AB07D9"/>
    <w:rsid w:val="00AB0C84"/>
    <w:rsid w:val="00AB0CD7"/>
    <w:rsid w:val="00AB1118"/>
    <w:rsid w:val="00AB1914"/>
    <w:rsid w:val="00AB1ACC"/>
    <w:rsid w:val="00AB1ADB"/>
    <w:rsid w:val="00AB1B49"/>
    <w:rsid w:val="00AB1F59"/>
    <w:rsid w:val="00AB278A"/>
    <w:rsid w:val="00AB27E4"/>
    <w:rsid w:val="00AB4F51"/>
    <w:rsid w:val="00AB5193"/>
    <w:rsid w:val="00AB5221"/>
    <w:rsid w:val="00AB5330"/>
    <w:rsid w:val="00AB5539"/>
    <w:rsid w:val="00AB577F"/>
    <w:rsid w:val="00AB5810"/>
    <w:rsid w:val="00AB7747"/>
    <w:rsid w:val="00AC0076"/>
    <w:rsid w:val="00AC218D"/>
    <w:rsid w:val="00AC2532"/>
    <w:rsid w:val="00AC2CC7"/>
    <w:rsid w:val="00AC3139"/>
    <w:rsid w:val="00AC31D5"/>
    <w:rsid w:val="00AC3CC1"/>
    <w:rsid w:val="00AC4222"/>
    <w:rsid w:val="00AC4B41"/>
    <w:rsid w:val="00AC4DBA"/>
    <w:rsid w:val="00AC579E"/>
    <w:rsid w:val="00AC696F"/>
    <w:rsid w:val="00AC7801"/>
    <w:rsid w:val="00AC7B03"/>
    <w:rsid w:val="00AD06CF"/>
    <w:rsid w:val="00AD0BB2"/>
    <w:rsid w:val="00AD1507"/>
    <w:rsid w:val="00AD2848"/>
    <w:rsid w:val="00AD3271"/>
    <w:rsid w:val="00AD38B9"/>
    <w:rsid w:val="00AD3F07"/>
    <w:rsid w:val="00AD5248"/>
    <w:rsid w:val="00AD5A70"/>
    <w:rsid w:val="00AD5CEF"/>
    <w:rsid w:val="00AD5D17"/>
    <w:rsid w:val="00AD643A"/>
    <w:rsid w:val="00AD6E7E"/>
    <w:rsid w:val="00AD738B"/>
    <w:rsid w:val="00AD74D6"/>
    <w:rsid w:val="00AD7714"/>
    <w:rsid w:val="00AD7FC5"/>
    <w:rsid w:val="00AE0078"/>
    <w:rsid w:val="00AE02E1"/>
    <w:rsid w:val="00AE06AE"/>
    <w:rsid w:val="00AE0921"/>
    <w:rsid w:val="00AE0959"/>
    <w:rsid w:val="00AE11F2"/>
    <w:rsid w:val="00AE161E"/>
    <w:rsid w:val="00AE1AA4"/>
    <w:rsid w:val="00AE1BF4"/>
    <w:rsid w:val="00AE2354"/>
    <w:rsid w:val="00AE2F0D"/>
    <w:rsid w:val="00AE32D5"/>
    <w:rsid w:val="00AE3D45"/>
    <w:rsid w:val="00AE48BC"/>
    <w:rsid w:val="00AE4DEB"/>
    <w:rsid w:val="00AE51DF"/>
    <w:rsid w:val="00AE580F"/>
    <w:rsid w:val="00AE5D97"/>
    <w:rsid w:val="00AE6794"/>
    <w:rsid w:val="00AE6FF2"/>
    <w:rsid w:val="00AE7106"/>
    <w:rsid w:val="00AE7C4D"/>
    <w:rsid w:val="00AF0743"/>
    <w:rsid w:val="00AF0F6F"/>
    <w:rsid w:val="00AF103C"/>
    <w:rsid w:val="00AF175E"/>
    <w:rsid w:val="00AF189B"/>
    <w:rsid w:val="00AF2440"/>
    <w:rsid w:val="00AF382C"/>
    <w:rsid w:val="00AF3914"/>
    <w:rsid w:val="00AF3DED"/>
    <w:rsid w:val="00AF3FE1"/>
    <w:rsid w:val="00AF6011"/>
    <w:rsid w:val="00AF6EDD"/>
    <w:rsid w:val="00AF7A29"/>
    <w:rsid w:val="00B002D6"/>
    <w:rsid w:val="00B0069C"/>
    <w:rsid w:val="00B01110"/>
    <w:rsid w:val="00B01F5C"/>
    <w:rsid w:val="00B02262"/>
    <w:rsid w:val="00B02DB5"/>
    <w:rsid w:val="00B02E57"/>
    <w:rsid w:val="00B031BB"/>
    <w:rsid w:val="00B0339A"/>
    <w:rsid w:val="00B03CEC"/>
    <w:rsid w:val="00B04026"/>
    <w:rsid w:val="00B05BBA"/>
    <w:rsid w:val="00B05CC8"/>
    <w:rsid w:val="00B0609D"/>
    <w:rsid w:val="00B06123"/>
    <w:rsid w:val="00B0666F"/>
    <w:rsid w:val="00B06671"/>
    <w:rsid w:val="00B07001"/>
    <w:rsid w:val="00B07622"/>
    <w:rsid w:val="00B078DF"/>
    <w:rsid w:val="00B105CA"/>
    <w:rsid w:val="00B10C14"/>
    <w:rsid w:val="00B11A0C"/>
    <w:rsid w:val="00B11ED3"/>
    <w:rsid w:val="00B11FDD"/>
    <w:rsid w:val="00B1209F"/>
    <w:rsid w:val="00B128E9"/>
    <w:rsid w:val="00B12987"/>
    <w:rsid w:val="00B12AD0"/>
    <w:rsid w:val="00B132B1"/>
    <w:rsid w:val="00B133AC"/>
    <w:rsid w:val="00B13C71"/>
    <w:rsid w:val="00B14046"/>
    <w:rsid w:val="00B14D99"/>
    <w:rsid w:val="00B15235"/>
    <w:rsid w:val="00B1559E"/>
    <w:rsid w:val="00B159CB"/>
    <w:rsid w:val="00B15AC2"/>
    <w:rsid w:val="00B160FB"/>
    <w:rsid w:val="00B16CF8"/>
    <w:rsid w:val="00B17146"/>
    <w:rsid w:val="00B21246"/>
    <w:rsid w:val="00B21CD2"/>
    <w:rsid w:val="00B22FA1"/>
    <w:rsid w:val="00B23215"/>
    <w:rsid w:val="00B23954"/>
    <w:rsid w:val="00B23981"/>
    <w:rsid w:val="00B23FF8"/>
    <w:rsid w:val="00B24E77"/>
    <w:rsid w:val="00B24F30"/>
    <w:rsid w:val="00B25960"/>
    <w:rsid w:val="00B25AD2"/>
    <w:rsid w:val="00B26481"/>
    <w:rsid w:val="00B268AF"/>
    <w:rsid w:val="00B26F2E"/>
    <w:rsid w:val="00B273EF"/>
    <w:rsid w:val="00B27E26"/>
    <w:rsid w:val="00B3033F"/>
    <w:rsid w:val="00B3052D"/>
    <w:rsid w:val="00B305E9"/>
    <w:rsid w:val="00B3071C"/>
    <w:rsid w:val="00B31147"/>
    <w:rsid w:val="00B31A21"/>
    <w:rsid w:val="00B31ABF"/>
    <w:rsid w:val="00B3326F"/>
    <w:rsid w:val="00B3342B"/>
    <w:rsid w:val="00B335AE"/>
    <w:rsid w:val="00B33669"/>
    <w:rsid w:val="00B339F6"/>
    <w:rsid w:val="00B33F14"/>
    <w:rsid w:val="00B34043"/>
    <w:rsid w:val="00B340BD"/>
    <w:rsid w:val="00B34245"/>
    <w:rsid w:val="00B34764"/>
    <w:rsid w:val="00B34926"/>
    <w:rsid w:val="00B3492E"/>
    <w:rsid w:val="00B355C5"/>
    <w:rsid w:val="00B35E3D"/>
    <w:rsid w:val="00B36C0A"/>
    <w:rsid w:val="00B36F4C"/>
    <w:rsid w:val="00B3713D"/>
    <w:rsid w:val="00B377AD"/>
    <w:rsid w:val="00B37981"/>
    <w:rsid w:val="00B37CE1"/>
    <w:rsid w:val="00B37D90"/>
    <w:rsid w:val="00B40586"/>
    <w:rsid w:val="00B406A8"/>
    <w:rsid w:val="00B40A74"/>
    <w:rsid w:val="00B40ACF"/>
    <w:rsid w:val="00B40BBF"/>
    <w:rsid w:val="00B40E39"/>
    <w:rsid w:val="00B412FD"/>
    <w:rsid w:val="00B4178A"/>
    <w:rsid w:val="00B41C04"/>
    <w:rsid w:val="00B41EDB"/>
    <w:rsid w:val="00B42CBA"/>
    <w:rsid w:val="00B434EC"/>
    <w:rsid w:val="00B437D2"/>
    <w:rsid w:val="00B43C4D"/>
    <w:rsid w:val="00B44424"/>
    <w:rsid w:val="00B4467F"/>
    <w:rsid w:val="00B4554F"/>
    <w:rsid w:val="00B457C7"/>
    <w:rsid w:val="00B45EBA"/>
    <w:rsid w:val="00B46BAA"/>
    <w:rsid w:val="00B504C8"/>
    <w:rsid w:val="00B507D6"/>
    <w:rsid w:val="00B50B5F"/>
    <w:rsid w:val="00B50DFA"/>
    <w:rsid w:val="00B50FAA"/>
    <w:rsid w:val="00B51A5B"/>
    <w:rsid w:val="00B527C6"/>
    <w:rsid w:val="00B52B1A"/>
    <w:rsid w:val="00B52B79"/>
    <w:rsid w:val="00B53164"/>
    <w:rsid w:val="00B5321E"/>
    <w:rsid w:val="00B53407"/>
    <w:rsid w:val="00B5355A"/>
    <w:rsid w:val="00B54128"/>
    <w:rsid w:val="00B5456B"/>
    <w:rsid w:val="00B5496B"/>
    <w:rsid w:val="00B54F1E"/>
    <w:rsid w:val="00B55548"/>
    <w:rsid w:val="00B5564A"/>
    <w:rsid w:val="00B55826"/>
    <w:rsid w:val="00B60235"/>
    <w:rsid w:val="00B6032B"/>
    <w:rsid w:val="00B60426"/>
    <w:rsid w:val="00B6061C"/>
    <w:rsid w:val="00B60870"/>
    <w:rsid w:val="00B60987"/>
    <w:rsid w:val="00B60B09"/>
    <w:rsid w:val="00B61824"/>
    <w:rsid w:val="00B61B27"/>
    <w:rsid w:val="00B622DD"/>
    <w:rsid w:val="00B622E2"/>
    <w:rsid w:val="00B62A51"/>
    <w:rsid w:val="00B62EC7"/>
    <w:rsid w:val="00B63522"/>
    <w:rsid w:val="00B63E10"/>
    <w:rsid w:val="00B6470E"/>
    <w:rsid w:val="00B64C07"/>
    <w:rsid w:val="00B65408"/>
    <w:rsid w:val="00B657DE"/>
    <w:rsid w:val="00B65914"/>
    <w:rsid w:val="00B67215"/>
    <w:rsid w:val="00B67940"/>
    <w:rsid w:val="00B679E8"/>
    <w:rsid w:val="00B67AA2"/>
    <w:rsid w:val="00B67EE1"/>
    <w:rsid w:val="00B70187"/>
    <w:rsid w:val="00B705B4"/>
    <w:rsid w:val="00B706F1"/>
    <w:rsid w:val="00B70BCD"/>
    <w:rsid w:val="00B70E0D"/>
    <w:rsid w:val="00B71A94"/>
    <w:rsid w:val="00B7254E"/>
    <w:rsid w:val="00B733E3"/>
    <w:rsid w:val="00B740F4"/>
    <w:rsid w:val="00B74168"/>
    <w:rsid w:val="00B74618"/>
    <w:rsid w:val="00B74758"/>
    <w:rsid w:val="00B75031"/>
    <w:rsid w:val="00B75311"/>
    <w:rsid w:val="00B7552D"/>
    <w:rsid w:val="00B75720"/>
    <w:rsid w:val="00B7646A"/>
    <w:rsid w:val="00B76F1D"/>
    <w:rsid w:val="00B808A5"/>
    <w:rsid w:val="00B813FA"/>
    <w:rsid w:val="00B81510"/>
    <w:rsid w:val="00B81FC2"/>
    <w:rsid w:val="00B822F0"/>
    <w:rsid w:val="00B8283B"/>
    <w:rsid w:val="00B82878"/>
    <w:rsid w:val="00B82E31"/>
    <w:rsid w:val="00B8305B"/>
    <w:rsid w:val="00B835F1"/>
    <w:rsid w:val="00B84076"/>
    <w:rsid w:val="00B84F0A"/>
    <w:rsid w:val="00B85467"/>
    <w:rsid w:val="00B85D9D"/>
    <w:rsid w:val="00B86931"/>
    <w:rsid w:val="00B86D78"/>
    <w:rsid w:val="00B87498"/>
    <w:rsid w:val="00B8784B"/>
    <w:rsid w:val="00B878C1"/>
    <w:rsid w:val="00B91872"/>
    <w:rsid w:val="00B92679"/>
    <w:rsid w:val="00B92A19"/>
    <w:rsid w:val="00B92AC2"/>
    <w:rsid w:val="00B92FBB"/>
    <w:rsid w:val="00B937A4"/>
    <w:rsid w:val="00B938A9"/>
    <w:rsid w:val="00B942CA"/>
    <w:rsid w:val="00B94D4C"/>
    <w:rsid w:val="00B9544C"/>
    <w:rsid w:val="00B954D9"/>
    <w:rsid w:val="00B95EBF"/>
    <w:rsid w:val="00B970D2"/>
    <w:rsid w:val="00B97209"/>
    <w:rsid w:val="00B97445"/>
    <w:rsid w:val="00BA0DD5"/>
    <w:rsid w:val="00BA1528"/>
    <w:rsid w:val="00BA1ADF"/>
    <w:rsid w:val="00BA2472"/>
    <w:rsid w:val="00BA2826"/>
    <w:rsid w:val="00BA289E"/>
    <w:rsid w:val="00BA29E9"/>
    <w:rsid w:val="00BA36FE"/>
    <w:rsid w:val="00BA4295"/>
    <w:rsid w:val="00BA4549"/>
    <w:rsid w:val="00BA47A3"/>
    <w:rsid w:val="00BA54A0"/>
    <w:rsid w:val="00BA54FC"/>
    <w:rsid w:val="00BA5A37"/>
    <w:rsid w:val="00BA66C3"/>
    <w:rsid w:val="00BA6DB6"/>
    <w:rsid w:val="00BA7AAE"/>
    <w:rsid w:val="00BB00DB"/>
    <w:rsid w:val="00BB09B0"/>
    <w:rsid w:val="00BB0BF7"/>
    <w:rsid w:val="00BB1A5C"/>
    <w:rsid w:val="00BB1B9B"/>
    <w:rsid w:val="00BB2281"/>
    <w:rsid w:val="00BB2293"/>
    <w:rsid w:val="00BB2D29"/>
    <w:rsid w:val="00BB2DEE"/>
    <w:rsid w:val="00BB3137"/>
    <w:rsid w:val="00BB3618"/>
    <w:rsid w:val="00BB47B0"/>
    <w:rsid w:val="00BB54C8"/>
    <w:rsid w:val="00BB59DB"/>
    <w:rsid w:val="00BB7B18"/>
    <w:rsid w:val="00BC087E"/>
    <w:rsid w:val="00BC0C9E"/>
    <w:rsid w:val="00BC18D0"/>
    <w:rsid w:val="00BC32DC"/>
    <w:rsid w:val="00BC3316"/>
    <w:rsid w:val="00BC3447"/>
    <w:rsid w:val="00BC4C2E"/>
    <w:rsid w:val="00BC6FE3"/>
    <w:rsid w:val="00BC7470"/>
    <w:rsid w:val="00BC7AFD"/>
    <w:rsid w:val="00BD13C2"/>
    <w:rsid w:val="00BD19E5"/>
    <w:rsid w:val="00BD1B51"/>
    <w:rsid w:val="00BD1C24"/>
    <w:rsid w:val="00BD2CFB"/>
    <w:rsid w:val="00BD38D7"/>
    <w:rsid w:val="00BD3A47"/>
    <w:rsid w:val="00BD47F6"/>
    <w:rsid w:val="00BD4D0A"/>
    <w:rsid w:val="00BD50EE"/>
    <w:rsid w:val="00BD5839"/>
    <w:rsid w:val="00BD5B4D"/>
    <w:rsid w:val="00BD65CF"/>
    <w:rsid w:val="00BD6E15"/>
    <w:rsid w:val="00BD74AC"/>
    <w:rsid w:val="00BD756F"/>
    <w:rsid w:val="00BD7A53"/>
    <w:rsid w:val="00BD7ADD"/>
    <w:rsid w:val="00BE050C"/>
    <w:rsid w:val="00BE099B"/>
    <w:rsid w:val="00BE111B"/>
    <w:rsid w:val="00BE1F00"/>
    <w:rsid w:val="00BE312D"/>
    <w:rsid w:val="00BE3786"/>
    <w:rsid w:val="00BE3936"/>
    <w:rsid w:val="00BE3FCA"/>
    <w:rsid w:val="00BE4EC4"/>
    <w:rsid w:val="00BE4F87"/>
    <w:rsid w:val="00BE501C"/>
    <w:rsid w:val="00BE5148"/>
    <w:rsid w:val="00BE5253"/>
    <w:rsid w:val="00BE5B05"/>
    <w:rsid w:val="00BE6414"/>
    <w:rsid w:val="00BE6C57"/>
    <w:rsid w:val="00BF039E"/>
    <w:rsid w:val="00BF0ABC"/>
    <w:rsid w:val="00BF127C"/>
    <w:rsid w:val="00BF18DC"/>
    <w:rsid w:val="00BF1C78"/>
    <w:rsid w:val="00BF253D"/>
    <w:rsid w:val="00BF2701"/>
    <w:rsid w:val="00BF3427"/>
    <w:rsid w:val="00BF3983"/>
    <w:rsid w:val="00BF3D8C"/>
    <w:rsid w:val="00BF43A5"/>
    <w:rsid w:val="00BF4436"/>
    <w:rsid w:val="00BF5622"/>
    <w:rsid w:val="00BF575A"/>
    <w:rsid w:val="00BF666F"/>
    <w:rsid w:val="00BF781E"/>
    <w:rsid w:val="00BF7A68"/>
    <w:rsid w:val="00BF7BA9"/>
    <w:rsid w:val="00BF7D22"/>
    <w:rsid w:val="00C00C4C"/>
    <w:rsid w:val="00C01F89"/>
    <w:rsid w:val="00C0264D"/>
    <w:rsid w:val="00C02B3D"/>
    <w:rsid w:val="00C032CD"/>
    <w:rsid w:val="00C038DF"/>
    <w:rsid w:val="00C040D7"/>
    <w:rsid w:val="00C04112"/>
    <w:rsid w:val="00C04417"/>
    <w:rsid w:val="00C05719"/>
    <w:rsid w:val="00C07576"/>
    <w:rsid w:val="00C100DB"/>
    <w:rsid w:val="00C10578"/>
    <w:rsid w:val="00C112BE"/>
    <w:rsid w:val="00C12720"/>
    <w:rsid w:val="00C12C01"/>
    <w:rsid w:val="00C13137"/>
    <w:rsid w:val="00C131D5"/>
    <w:rsid w:val="00C13953"/>
    <w:rsid w:val="00C139F3"/>
    <w:rsid w:val="00C14757"/>
    <w:rsid w:val="00C1558C"/>
    <w:rsid w:val="00C156EE"/>
    <w:rsid w:val="00C15B3C"/>
    <w:rsid w:val="00C16916"/>
    <w:rsid w:val="00C16DF9"/>
    <w:rsid w:val="00C1720B"/>
    <w:rsid w:val="00C178CA"/>
    <w:rsid w:val="00C17D62"/>
    <w:rsid w:val="00C20FF3"/>
    <w:rsid w:val="00C2187D"/>
    <w:rsid w:val="00C21A04"/>
    <w:rsid w:val="00C21FDC"/>
    <w:rsid w:val="00C22409"/>
    <w:rsid w:val="00C22D37"/>
    <w:rsid w:val="00C23462"/>
    <w:rsid w:val="00C23D06"/>
    <w:rsid w:val="00C249ED"/>
    <w:rsid w:val="00C24AEC"/>
    <w:rsid w:val="00C24EE7"/>
    <w:rsid w:val="00C2596A"/>
    <w:rsid w:val="00C25B98"/>
    <w:rsid w:val="00C271BE"/>
    <w:rsid w:val="00C27425"/>
    <w:rsid w:val="00C27B0F"/>
    <w:rsid w:val="00C30C21"/>
    <w:rsid w:val="00C314C7"/>
    <w:rsid w:val="00C31CF5"/>
    <w:rsid w:val="00C31CF9"/>
    <w:rsid w:val="00C328FE"/>
    <w:rsid w:val="00C32EA5"/>
    <w:rsid w:val="00C32F9D"/>
    <w:rsid w:val="00C32FB1"/>
    <w:rsid w:val="00C3375B"/>
    <w:rsid w:val="00C33A05"/>
    <w:rsid w:val="00C33B68"/>
    <w:rsid w:val="00C33CCE"/>
    <w:rsid w:val="00C33D43"/>
    <w:rsid w:val="00C35708"/>
    <w:rsid w:val="00C35A49"/>
    <w:rsid w:val="00C365DE"/>
    <w:rsid w:val="00C36AFB"/>
    <w:rsid w:val="00C36BB8"/>
    <w:rsid w:val="00C37D15"/>
    <w:rsid w:val="00C408EE"/>
    <w:rsid w:val="00C4113D"/>
    <w:rsid w:val="00C414A5"/>
    <w:rsid w:val="00C41640"/>
    <w:rsid w:val="00C41E15"/>
    <w:rsid w:val="00C42500"/>
    <w:rsid w:val="00C42D2C"/>
    <w:rsid w:val="00C42F31"/>
    <w:rsid w:val="00C43B6B"/>
    <w:rsid w:val="00C4409D"/>
    <w:rsid w:val="00C447EB"/>
    <w:rsid w:val="00C449AC"/>
    <w:rsid w:val="00C44DC4"/>
    <w:rsid w:val="00C455BE"/>
    <w:rsid w:val="00C45B5E"/>
    <w:rsid w:val="00C4684E"/>
    <w:rsid w:val="00C4770D"/>
    <w:rsid w:val="00C47833"/>
    <w:rsid w:val="00C47AC4"/>
    <w:rsid w:val="00C47E35"/>
    <w:rsid w:val="00C47E77"/>
    <w:rsid w:val="00C502F0"/>
    <w:rsid w:val="00C50AC4"/>
    <w:rsid w:val="00C50D83"/>
    <w:rsid w:val="00C511EC"/>
    <w:rsid w:val="00C51486"/>
    <w:rsid w:val="00C516A3"/>
    <w:rsid w:val="00C5193A"/>
    <w:rsid w:val="00C51E5F"/>
    <w:rsid w:val="00C51E62"/>
    <w:rsid w:val="00C52794"/>
    <w:rsid w:val="00C544E8"/>
    <w:rsid w:val="00C54F92"/>
    <w:rsid w:val="00C55B7A"/>
    <w:rsid w:val="00C5646C"/>
    <w:rsid w:val="00C5701C"/>
    <w:rsid w:val="00C60275"/>
    <w:rsid w:val="00C606C2"/>
    <w:rsid w:val="00C60D9D"/>
    <w:rsid w:val="00C61CBF"/>
    <w:rsid w:val="00C61E4B"/>
    <w:rsid w:val="00C6200B"/>
    <w:rsid w:val="00C62130"/>
    <w:rsid w:val="00C6250D"/>
    <w:rsid w:val="00C628DC"/>
    <w:rsid w:val="00C62A05"/>
    <w:rsid w:val="00C62B1D"/>
    <w:rsid w:val="00C62E3A"/>
    <w:rsid w:val="00C63070"/>
    <w:rsid w:val="00C64503"/>
    <w:rsid w:val="00C64955"/>
    <w:rsid w:val="00C64A1F"/>
    <w:rsid w:val="00C64BFF"/>
    <w:rsid w:val="00C650FA"/>
    <w:rsid w:val="00C65ACF"/>
    <w:rsid w:val="00C65D47"/>
    <w:rsid w:val="00C65FD1"/>
    <w:rsid w:val="00C664CC"/>
    <w:rsid w:val="00C66550"/>
    <w:rsid w:val="00C66A05"/>
    <w:rsid w:val="00C66DF3"/>
    <w:rsid w:val="00C70256"/>
    <w:rsid w:val="00C71917"/>
    <w:rsid w:val="00C71A56"/>
    <w:rsid w:val="00C71CE7"/>
    <w:rsid w:val="00C7216C"/>
    <w:rsid w:val="00C723F7"/>
    <w:rsid w:val="00C72504"/>
    <w:rsid w:val="00C732AA"/>
    <w:rsid w:val="00C7335E"/>
    <w:rsid w:val="00C739F3"/>
    <w:rsid w:val="00C73B17"/>
    <w:rsid w:val="00C74085"/>
    <w:rsid w:val="00C75E37"/>
    <w:rsid w:val="00C763C9"/>
    <w:rsid w:val="00C76759"/>
    <w:rsid w:val="00C771DB"/>
    <w:rsid w:val="00C77F64"/>
    <w:rsid w:val="00C80057"/>
    <w:rsid w:val="00C808FD"/>
    <w:rsid w:val="00C811B6"/>
    <w:rsid w:val="00C8162D"/>
    <w:rsid w:val="00C82C79"/>
    <w:rsid w:val="00C82F0E"/>
    <w:rsid w:val="00C82FE8"/>
    <w:rsid w:val="00C8329E"/>
    <w:rsid w:val="00C83BC3"/>
    <w:rsid w:val="00C84753"/>
    <w:rsid w:val="00C84B02"/>
    <w:rsid w:val="00C84D82"/>
    <w:rsid w:val="00C85389"/>
    <w:rsid w:val="00C85F41"/>
    <w:rsid w:val="00C85F96"/>
    <w:rsid w:val="00C864A7"/>
    <w:rsid w:val="00C86E2A"/>
    <w:rsid w:val="00C87506"/>
    <w:rsid w:val="00C9063D"/>
    <w:rsid w:val="00C9110F"/>
    <w:rsid w:val="00C913C9"/>
    <w:rsid w:val="00C91611"/>
    <w:rsid w:val="00C9169E"/>
    <w:rsid w:val="00C9181A"/>
    <w:rsid w:val="00C91D38"/>
    <w:rsid w:val="00C9346E"/>
    <w:rsid w:val="00C937E7"/>
    <w:rsid w:val="00C939B0"/>
    <w:rsid w:val="00C93B75"/>
    <w:rsid w:val="00C93C77"/>
    <w:rsid w:val="00C95930"/>
    <w:rsid w:val="00C95B23"/>
    <w:rsid w:val="00C95D53"/>
    <w:rsid w:val="00C95FA9"/>
    <w:rsid w:val="00C9607A"/>
    <w:rsid w:val="00C96762"/>
    <w:rsid w:val="00C96A61"/>
    <w:rsid w:val="00CA0105"/>
    <w:rsid w:val="00CA0A37"/>
    <w:rsid w:val="00CA0AB0"/>
    <w:rsid w:val="00CA0B21"/>
    <w:rsid w:val="00CA1348"/>
    <w:rsid w:val="00CA29BF"/>
    <w:rsid w:val="00CA34D8"/>
    <w:rsid w:val="00CA3585"/>
    <w:rsid w:val="00CA3D5A"/>
    <w:rsid w:val="00CA4A7C"/>
    <w:rsid w:val="00CA4C7C"/>
    <w:rsid w:val="00CA4F9E"/>
    <w:rsid w:val="00CA517C"/>
    <w:rsid w:val="00CA550F"/>
    <w:rsid w:val="00CA5CD7"/>
    <w:rsid w:val="00CA6949"/>
    <w:rsid w:val="00CA7896"/>
    <w:rsid w:val="00CA7BD5"/>
    <w:rsid w:val="00CB0183"/>
    <w:rsid w:val="00CB0706"/>
    <w:rsid w:val="00CB0BEB"/>
    <w:rsid w:val="00CB1836"/>
    <w:rsid w:val="00CB1EA3"/>
    <w:rsid w:val="00CB2407"/>
    <w:rsid w:val="00CB259C"/>
    <w:rsid w:val="00CB2E2F"/>
    <w:rsid w:val="00CB2ED5"/>
    <w:rsid w:val="00CB388F"/>
    <w:rsid w:val="00CB3E06"/>
    <w:rsid w:val="00CB3E0A"/>
    <w:rsid w:val="00CB4144"/>
    <w:rsid w:val="00CB4D3E"/>
    <w:rsid w:val="00CB4EA5"/>
    <w:rsid w:val="00CB4F27"/>
    <w:rsid w:val="00CB552C"/>
    <w:rsid w:val="00CB586F"/>
    <w:rsid w:val="00CB5FB7"/>
    <w:rsid w:val="00CB63E8"/>
    <w:rsid w:val="00CB6A9E"/>
    <w:rsid w:val="00CB6B99"/>
    <w:rsid w:val="00CB6C7B"/>
    <w:rsid w:val="00CB6E7B"/>
    <w:rsid w:val="00CB7690"/>
    <w:rsid w:val="00CB7A4C"/>
    <w:rsid w:val="00CB7B1F"/>
    <w:rsid w:val="00CC0957"/>
    <w:rsid w:val="00CC17C3"/>
    <w:rsid w:val="00CC1FF2"/>
    <w:rsid w:val="00CC3051"/>
    <w:rsid w:val="00CC33B0"/>
    <w:rsid w:val="00CC3D36"/>
    <w:rsid w:val="00CC4A8D"/>
    <w:rsid w:val="00CC5093"/>
    <w:rsid w:val="00CC5293"/>
    <w:rsid w:val="00CC5BF9"/>
    <w:rsid w:val="00CC616A"/>
    <w:rsid w:val="00CC6181"/>
    <w:rsid w:val="00CC63B9"/>
    <w:rsid w:val="00CC6945"/>
    <w:rsid w:val="00CC77EB"/>
    <w:rsid w:val="00CC7C3A"/>
    <w:rsid w:val="00CD0FF2"/>
    <w:rsid w:val="00CD12E8"/>
    <w:rsid w:val="00CD2197"/>
    <w:rsid w:val="00CD24A5"/>
    <w:rsid w:val="00CD25A1"/>
    <w:rsid w:val="00CD25FD"/>
    <w:rsid w:val="00CD295C"/>
    <w:rsid w:val="00CD2BCD"/>
    <w:rsid w:val="00CD360E"/>
    <w:rsid w:val="00CD3646"/>
    <w:rsid w:val="00CD36AA"/>
    <w:rsid w:val="00CD3791"/>
    <w:rsid w:val="00CD464A"/>
    <w:rsid w:val="00CD5159"/>
    <w:rsid w:val="00CD520A"/>
    <w:rsid w:val="00CD5650"/>
    <w:rsid w:val="00CD5F66"/>
    <w:rsid w:val="00CD6164"/>
    <w:rsid w:val="00CD65B0"/>
    <w:rsid w:val="00CD6610"/>
    <w:rsid w:val="00CD6998"/>
    <w:rsid w:val="00CD6E3A"/>
    <w:rsid w:val="00CD78D0"/>
    <w:rsid w:val="00CD79F7"/>
    <w:rsid w:val="00CD7C4C"/>
    <w:rsid w:val="00CD7EBB"/>
    <w:rsid w:val="00CE0200"/>
    <w:rsid w:val="00CE021A"/>
    <w:rsid w:val="00CE02CD"/>
    <w:rsid w:val="00CE02EB"/>
    <w:rsid w:val="00CE05CC"/>
    <w:rsid w:val="00CE0A21"/>
    <w:rsid w:val="00CE0F6F"/>
    <w:rsid w:val="00CE1025"/>
    <w:rsid w:val="00CE10E9"/>
    <w:rsid w:val="00CE11A0"/>
    <w:rsid w:val="00CE1D4A"/>
    <w:rsid w:val="00CE2279"/>
    <w:rsid w:val="00CE24A9"/>
    <w:rsid w:val="00CE2626"/>
    <w:rsid w:val="00CE2A70"/>
    <w:rsid w:val="00CE3593"/>
    <w:rsid w:val="00CE38F9"/>
    <w:rsid w:val="00CE3C68"/>
    <w:rsid w:val="00CE4E28"/>
    <w:rsid w:val="00CE5186"/>
    <w:rsid w:val="00CE519A"/>
    <w:rsid w:val="00CE519C"/>
    <w:rsid w:val="00CE525D"/>
    <w:rsid w:val="00CE5616"/>
    <w:rsid w:val="00CE5DF3"/>
    <w:rsid w:val="00CE6029"/>
    <w:rsid w:val="00CE6068"/>
    <w:rsid w:val="00CE632D"/>
    <w:rsid w:val="00CE64F3"/>
    <w:rsid w:val="00CE6523"/>
    <w:rsid w:val="00CE6BF9"/>
    <w:rsid w:val="00CE7FF5"/>
    <w:rsid w:val="00CF07A1"/>
    <w:rsid w:val="00CF0913"/>
    <w:rsid w:val="00CF09CA"/>
    <w:rsid w:val="00CF1619"/>
    <w:rsid w:val="00CF1764"/>
    <w:rsid w:val="00CF2000"/>
    <w:rsid w:val="00CF21BB"/>
    <w:rsid w:val="00CF4695"/>
    <w:rsid w:val="00CF4B6D"/>
    <w:rsid w:val="00CF5DF3"/>
    <w:rsid w:val="00CF5FE2"/>
    <w:rsid w:val="00CF6B97"/>
    <w:rsid w:val="00CF6DEC"/>
    <w:rsid w:val="00CF73BB"/>
    <w:rsid w:val="00CF7EC2"/>
    <w:rsid w:val="00D0072E"/>
    <w:rsid w:val="00D013B4"/>
    <w:rsid w:val="00D0188F"/>
    <w:rsid w:val="00D01988"/>
    <w:rsid w:val="00D02103"/>
    <w:rsid w:val="00D02658"/>
    <w:rsid w:val="00D0299D"/>
    <w:rsid w:val="00D036D1"/>
    <w:rsid w:val="00D03B8A"/>
    <w:rsid w:val="00D04754"/>
    <w:rsid w:val="00D066F7"/>
    <w:rsid w:val="00D06C55"/>
    <w:rsid w:val="00D10B8E"/>
    <w:rsid w:val="00D12E61"/>
    <w:rsid w:val="00D132C0"/>
    <w:rsid w:val="00D1438F"/>
    <w:rsid w:val="00D14F90"/>
    <w:rsid w:val="00D15727"/>
    <w:rsid w:val="00D159BD"/>
    <w:rsid w:val="00D15A05"/>
    <w:rsid w:val="00D15AE6"/>
    <w:rsid w:val="00D15DD3"/>
    <w:rsid w:val="00D16332"/>
    <w:rsid w:val="00D167EF"/>
    <w:rsid w:val="00D16DB2"/>
    <w:rsid w:val="00D17441"/>
    <w:rsid w:val="00D20A5B"/>
    <w:rsid w:val="00D226EF"/>
    <w:rsid w:val="00D2295C"/>
    <w:rsid w:val="00D239B5"/>
    <w:rsid w:val="00D24972"/>
    <w:rsid w:val="00D2515E"/>
    <w:rsid w:val="00D25183"/>
    <w:rsid w:val="00D25608"/>
    <w:rsid w:val="00D25EEF"/>
    <w:rsid w:val="00D262E6"/>
    <w:rsid w:val="00D2636D"/>
    <w:rsid w:val="00D26C6F"/>
    <w:rsid w:val="00D308ED"/>
    <w:rsid w:val="00D3233E"/>
    <w:rsid w:val="00D32350"/>
    <w:rsid w:val="00D323D9"/>
    <w:rsid w:val="00D331F3"/>
    <w:rsid w:val="00D33520"/>
    <w:rsid w:val="00D335CA"/>
    <w:rsid w:val="00D336ED"/>
    <w:rsid w:val="00D339FC"/>
    <w:rsid w:val="00D33B22"/>
    <w:rsid w:val="00D3407E"/>
    <w:rsid w:val="00D34C1C"/>
    <w:rsid w:val="00D357A1"/>
    <w:rsid w:val="00D35E22"/>
    <w:rsid w:val="00D35EC2"/>
    <w:rsid w:val="00D3619E"/>
    <w:rsid w:val="00D36AE5"/>
    <w:rsid w:val="00D371B3"/>
    <w:rsid w:val="00D37CEC"/>
    <w:rsid w:val="00D402A7"/>
    <w:rsid w:val="00D40377"/>
    <w:rsid w:val="00D404DE"/>
    <w:rsid w:val="00D40911"/>
    <w:rsid w:val="00D411F1"/>
    <w:rsid w:val="00D42132"/>
    <w:rsid w:val="00D42633"/>
    <w:rsid w:val="00D43269"/>
    <w:rsid w:val="00D4334E"/>
    <w:rsid w:val="00D43F7B"/>
    <w:rsid w:val="00D44698"/>
    <w:rsid w:val="00D44FF5"/>
    <w:rsid w:val="00D45ED2"/>
    <w:rsid w:val="00D45FF2"/>
    <w:rsid w:val="00D4665B"/>
    <w:rsid w:val="00D46A34"/>
    <w:rsid w:val="00D46D1D"/>
    <w:rsid w:val="00D470F2"/>
    <w:rsid w:val="00D47D45"/>
    <w:rsid w:val="00D5039E"/>
    <w:rsid w:val="00D50C14"/>
    <w:rsid w:val="00D5154D"/>
    <w:rsid w:val="00D51644"/>
    <w:rsid w:val="00D51A60"/>
    <w:rsid w:val="00D52151"/>
    <w:rsid w:val="00D52487"/>
    <w:rsid w:val="00D5294E"/>
    <w:rsid w:val="00D5357A"/>
    <w:rsid w:val="00D53E05"/>
    <w:rsid w:val="00D54E5F"/>
    <w:rsid w:val="00D54F2E"/>
    <w:rsid w:val="00D551C5"/>
    <w:rsid w:val="00D552D1"/>
    <w:rsid w:val="00D552F0"/>
    <w:rsid w:val="00D55A00"/>
    <w:rsid w:val="00D56174"/>
    <w:rsid w:val="00D56178"/>
    <w:rsid w:val="00D563AB"/>
    <w:rsid w:val="00D56483"/>
    <w:rsid w:val="00D56CF0"/>
    <w:rsid w:val="00D56F5C"/>
    <w:rsid w:val="00D57561"/>
    <w:rsid w:val="00D579EC"/>
    <w:rsid w:val="00D57BEC"/>
    <w:rsid w:val="00D60136"/>
    <w:rsid w:val="00D601A6"/>
    <w:rsid w:val="00D6057C"/>
    <w:rsid w:val="00D63005"/>
    <w:rsid w:val="00D639F9"/>
    <w:rsid w:val="00D6404D"/>
    <w:rsid w:val="00D6477C"/>
    <w:rsid w:val="00D648AD"/>
    <w:rsid w:val="00D64E2E"/>
    <w:rsid w:val="00D64EDB"/>
    <w:rsid w:val="00D654C3"/>
    <w:rsid w:val="00D6573E"/>
    <w:rsid w:val="00D666EE"/>
    <w:rsid w:val="00D66D35"/>
    <w:rsid w:val="00D70038"/>
    <w:rsid w:val="00D704B1"/>
    <w:rsid w:val="00D70638"/>
    <w:rsid w:val="00D70B63"/>
    <w:rsid w:val="00D70BFC"/>
    <w:rsid w:val="00D712AE"/>
    <w:rsid w:val="00D71747"/>
    <w:rsid w:val="00D7239C"/>
    <w:rsid w:val="00D72B92"/>
    <w:rsid w:val="00D72ED4"/>
    <w:rsid w:val="00D7313D"/>
    <w:rsid w:val="00D73431"/>
    <w:rsid w:val="00D73E70"/>
    <w:rsid w:val="00D73F61"/>
    <w:rsid w:val="00D74679"/>
    <w:rsid w:val="00D747D8"/>
    <w:rsid w:val="00D754C0"/>
    <w:rsid w:val="00D75C51"/>
    <w:rsid w:val="00D77348"/>
    <w:rsid w:val="00D776A2"/>
    <w:rsid w:val="00D778EF"/>
    <w:rsid w:val="00D8007E"/>
    <w:rsid w:val="00D801C4"/>
    <w:rsid w:val="00D80625"/>
    <w:rsid w:val="00D8075B"/>
    <w:rsid w:val="00D807E3"/>
    <w:rsid w:val="00D82016"/>
    <w:rsid w:val="00D83309"/>
    <w:rsid w:val="00D83401"/>
    <w:rsid w:val="00D834A9"/>
    <w:rsid w:val="00D834FF"/>
    <w:rsid w:val="00D8357B"/>
    <w:rsid w:val="00D8362A"/>
    <w:rsid w:val="00D84397"/>
    <w:rsid w:val="00D8486B"/>
    <w:rsid w:val="00D84E2C"/>
    <w:rsid w:val="00D85CF1"/>
    <w:rsid w:val="00D861C1"/>
    <w:rsid w:val="00D86728"/>
    <w:rsid w:val="00D8682B"/>
    <w:rsid w:val="00D86A80"/>
    <w:rsid w:val="00D86C10"/>
    <w:rsid w:val="00D86CBC"/>
    <w:rsid w:val="00D87ABB"/>
    <w:rsid w:val="00D902A2"/>
    <w:rsid w:val="00D903BA"/>
    <w:rsid w:val="00D90836"/>
    <w:rsid w:val="00D910A8"/>
    <w:rsid w:val="00D91726"/>
    <w:rsid w:val="00D9259B"/>
    <w:rsid w:val="00D93C72"/>
    <w:rsid w:val="00D94799"/>
    <w:rsid w:val="00D94DFD"/>
    <w:rsid w:val="00D95187"/>
    <w:rsid w:val="00D95896"/>
    <w:rsid w:val="00D95CA2"/>
    <w:rsid w:val="00D95CC6"/>
    <w:rsid w:val="00D95E05"/>
    <w:rsid w:val="00D96373"/>
    <w:rsid w:val="00D967EA"/>
    <w:rsid w:val="00D9761E"/>
    <w:rsid w:val="00DA2DA3"/>
    <w:rsid w:val="00DA3231"/>
    <w:rsid w:val="00DA4F00"/>
    <w:rsid w:val="00DA4FDC"/>
    <w:rsid w:val="00DA50D3"/>
    <w:rsid w:val="00DA6615"/>
    <w:rsid w:val="00DA68FB"/>
    <w:rsid w:val="00DA692D"/>
    <w:rsid w:val="00DA7422"/>
    <w:rsid w:val="00DA76AE"/>
    <w:rsid w:val="00DA7B9B"/>
    <w:rsid w:val="00DB0905"/>
    <w:rsid w:val="00DB181E"/>
    <w:rsid w:val="00DB1C4F"/>
    <w:rsid w:val="00DB1C7A"/>
    <w:rsid w:val="00DB2983"/>
    <w:rsid w:val="00DB29C4"/>
    <w:rsid w:val="00DB343D"/>
    <w:rsid w:val="00DB41BB"/>
    <w:rsid w:val="00DB5579"/>
    <w:rsid w:val="00DB5CFE"/>
    <w:rsid w:val="00DB5DDA"/>
    <w:rsid w:val="00DB6A77"/>
    <w:rsid w:val="00DB6B6C"/>
    <w:rsid w:val="00DB6D53"/>
    <w:rsid w:val="00DB710B"/>
    <w:rsid w:val="00DB785A"/>
    <w:rsid w:val="00DC0D1C"/>
    <w:rsid w:val="00DC1354"/>
    <w:rsid w:val="00DC1F6F"/>
    <w:rsid w:val="00DC2221"/>
    <w:rsid w:val="00DC2977"/>
    <w:rsid w:val="00DC3295"/>
    <w:rsid w:val="00DC36C5"/>
    <w:rsid w:val="00DC4425"/>
    <w:rsid w:val="00DC50F5"/>
    <w:rsid w:val="00DC5A7E"/>
    <w:rsid w:val="00DC6849"/>
    <w:rsid w:val="00DC68D2"/>
    <w:rsid w:val="00DC72A6"/>
    <w:rsid w:val="00DC72B0"/>
    <w:rsid w:val="00DD0189"/>
    <w:rsid w:val="00DD0D90"/>
    <w:rsid w:val="00DD119E"/>
    <w:rsid w:val="00DD1847"/>
    <w:rsid w:val="00DD2113"/>
    <w:rsid w:val="00DD212E"/>
    <w:rsid w:val="00DD265E"/>
    <w:rsid w:val="00DD26C1"/>
    <w:rsid w:val="00DD278D"/>
    <w:rsid w:val="00DD2F46"/>
    <w:rsid w:val="00DD3009"/>
    <w:rsid w:val="00DD33E5"/>
    <w:rsid w:val="00DD3B54"/>
    <w:rsid w:val="00DD4B0E"/>
    <w:rsid w:val="00DD5319"/>
    <w:rsid w:val="00DD55DC"/>
    <w:rsid w:val="00DD6BA5"/>
    <w:rsid w:val="00DD73C0"/>
    <w:rsid w:val="00DD7A2E"/>
    <w:rsid w:val="00DD7DED"/>
    <w:rsid w:val="00DE01EB"/>
    <w:rsid w:val="00DE0682"/>
    <w:rsid w:val="00DE0965"/>
    <w:rsid w:val="00DE0C90"/>
    <w:rsid w:val="00DE0D4B"/>
    <w:rsid w:val="00DE18D4"/>
    <w:rsid w:val="00DE1FDB"/>
    <w:rsid w:val="00DE241A"/>
    <w:rsid w:val="00DE27CC"/>
    <w:rsid w:val="00DE2AC1"/>
    <w:rsid w:val="00DE413A"/>
    <w:rsid w:val="00DE4149"/>
    <w:rsid w:val="00DE41A4"/>
    <w:rsid w:val="00DE491A"/>
    <w:rsid w:val="00DE4CA3"/>
    <w:rsid w:val="00DE55C1"/>
    <w:rsid w:val="00DE5844"/>
    <w:rsid w:val="00DE7951"/>
    <w:rsid w:val="00DE7A95"/>
    <w:rsid w:val="00DE7AF6"/>
    <w:rsid w:val="00DE7F81"/>
    <w:rsid w:val="00DF05D4"/>
    <w:rsid w:val="00DF1350"/>
    <w:rsid w:val="00DF1930"/>
    <w:rsid w:val="00DF2E9F"/>
    <w:rsid w:val="00DF40B2"/>
    <w:rsid w:val="00DF43D0"/>
    <w:rsid w:val="00DF5019"/>
    <w:rsid w:val="00DF514A"/>
    <w:rsid w:val="00DF5B59"/>
    <w:rsid w:val="00DF6124"/>
    <w:rsid w:val="00DF65FE"/>
    <w:rsid w:val="00DF6AB4"/>
    <w:rsid w:val="00DF6D88"/>
    <w:rsid w:val="00DF7F8A"/>
    <w:rsid w:val="00E012E4"/>
    <w:rsid w:val="00E0138B"/>
    <w:rsid w:val="00E022EE"/>
    <w:rsid w:val="00E0358D"/>
    <w:rsid w:val="00E0365D"/>
    <w:rsid w:val="00E036CE"/>
    <w:rsid w:val="00E03A87"/>
    <w:rsid w:val="00E04884"/>
    <w:rsid w:val="00E051BC"/>
    <w:rsid w:val="00E051F4"/>
    <w:rsid w:val="00E052CC"/>
    <w:rsid w:val="00E05B77"/>
    <w:rsid w:val="00E06327"/>
    <w:rsid w:val="00E0632C"/>
    <w:rsid w:val="00E0687D"/>
    <w:rsid w:val="00E07569"/>
    <w:rsid w:val="00E105A8"/>
    <w:rsid w:val="00E1124C"/>
    <w:rsid w:val="00E11B1F"/>
    <w:rsid w:val="00E1275C"/>
    <w:rsid w:val="00E128ED"/>
    <w:rsid w:val="00E12B1C"/>
    <w:rsid w:val="00E13EB8"/>
    <w:rsid w:val="00E1419E"/>
    <w:rsid w:val="00E14382"/>
    <w:rsid w:val="00E15026"/>
    <w:rsid w:val="00E15A9F"/>
    <w:rsid w:val="00E17CA3"/>
    <w:rsid w:val="00E2044C"/>
    <w:rsid w:val="00E205C1"/>
    <w:rsid w:val="00E20601"/>
    <w:rsid w:val="00E2064B"/>
    <w:rsid w:val="00E208C7"/>
    <w:rsid w:val="00E2096C"/>
    <w:rsid w:val="00E20CC4"/>
    <w:rsid w:val="00E20E5F"/>
    <w:rsid w:val="00E20E77"/>
    <w:rsid w:val="00E21521"/>
    <w:rsid w:val="00E2170D"/>
    <w:rsid w:val="00E22ACE"/>
    <w:rsid w:val="00E234F7"/>
    <w:rsid w:val="00E2355F"/>
    <w:rsid w:val="00E235A8"/>
    <w:rsid w:val="00E24AEB"/>
    <w:rsid w:val="00E25239"/>
    <w:rsid w:val="00E25EAC"/>
    <w:rsid w:val="00E2614A"/>
    <w:rsid w:val="00E265B1"/>
    <w:rsid w:val="00E26BEC"/>
    <w:rsid w:val="00E26C53"/>
    <w:rsid w:val="00E270DA"/>
    <w:rsid w:val="00E271AD"/>
    <w:rsid w:val="00E275B0"/>
    <w:rsid w:val="00E2770A"/>
    <w:rsid w:val="00E30A54"/>
    <w:rsid w:val="00E31550"/>
    <w:rsid w:val="00E3177D"/>
    <w:rsid w:val="00E31813"/>
    <w:rsid w:val="00E31AD0"/>
    <w:rsid w:val="00E31E28"/>
    <w:rsid w:val="00E32424"/>
    <w:rsid w:val="00E32DBA"/>
    <w:rsid w:val="00E336E6"/>
    <w:rsid w:val="00E33D96"/>
    <w:rsid w:val="00E347AB"/>
    <w:rsid w:val="00E34FCE"/>
    <w:rsid w:val="00E35D65"/>
    <w:rsid w:val="00E37032"/>
    <w:rsid w:val="00E37164"/>
    <w:rsid w:val="00E3778C"/>
    <w:rsid w:val="00E4013A"/>
    <w:rsid w:val="00E412D0"/>
    <w:rsid w:val="00E4179B"/>
    <w:rsid w:val="00E41A08"/>
    <w:rsid w:val="00E41A87"/>
    <w:rsid w:val="00E41ADB"/>
    <w:rsid w:val="00E423D3"/>
    <w:rsid w:val="00E42A30"/>
    <w:rsid w:val="00E42DB4"/>
    <w:rsid w:val="00E4325B"/>
    <w:rsid w:val="00E4342B"/>
    <w:rsid w:val="00E437EB"/>
    <w:rsid w:val="00E44C76"/>
    <w:rsid w:val="00E4626A"/>
    <w:rsid w:val="00E46532"/>
    <w:rsid w:val="00E465BD"/>
    <w:rsid w:val="00E47CC5"/>
    <w:rsid w:val="00E47CDB"/>
    <w:rsid w:val="00E501D2"/>
    <w:rsid w:val="00E50E2D"/>
    <w:rsid w:val="00E50E2F"/>
    <w:rsid w:val="00E51BCD"/>
    <w:rsid w:val="00E51E54"/>
    <w:rsid w:val="00E528B1"/>
    <w:rsid w:val="00E53A99"/>
    <w:rsid w:val="00E53FAF"/>
    <w:rsid w:val="00E5445F"/>
    <w:rsid w:val="00E54AB4"/>
    <w:rsid w:val="00E54C0D"/>
    <w:rsid w:val="00E550E8"/>
    <w:rsid w:val="00E556A7"/>
    <w:rsid w:val="00E55A33"/>
    <w:rsid w:val="00E5640D"/>
    <w:rsid w:val="00E566BC"/>
    <w:rsid w:val="00E56D74"/>
    <w:rsid w:val="00E57FD3"/>
    <w:rsid w:val="00E601C1"/>
    <w:rsid w:val="00E605AB"/>
    <w:rsid w:val="00E60982"/>
    <w:rsid w:val="00E60A4E"/>
    <w:rsid w:val="00E60C8D"/>
    <w:rsid w:val="00E60CED"/>
    <w:rsid w:val="00E60FDF"/>
    <w:rsid w:val="00E6162F"/>
    <w:rsid w:val="00E62549"/>
    <w:rsid w:val="00E6311B"/>
    <w:rsid w:val="00E63DB0"/>
    <w:rsid w:val="00E64AC3"/>
    <w:rsid w:val="00E6553F"/>
    <w:rsid w:val="00E65674"/>
    <w:rsid w:val="00E65A17"/>
    <w:rsid w:val="00E65D97"/>
    <w:rsid w:val="00E65E4E"/>
    <w:rsid w:val="00E65EEF"/>
    <w:rsid w:val="00E66191"/>
    <w:rsid w:val="00E66846"/>
    <w:rsid w:val="00E66862"/>
    <w:rsid w:val="00E66895"/>
    <w:rsid w:val="00E66FB6"/>
    <w:rsid w:val="00E67EFD"/>
    <w:rsid w:val="00E7007E"/>
    <w:rsid w:val="00E702DC"/>
    <w:rsid w:val="00E705AD"/>
    <w:rsid w:val="00E70978"/>
    <w:rsid w:val="00E710AD"/>
    <w:rsid w:val="00E718B6"/>
    <w:rsid w:val="00E71BA5"/>
    <w:rsid w:val="00E71D4C"/>
    <w:rsid w:val="00E71FFB"/>
    <w:rsid w:val="00E725FC"/>
    <w:rsid w:val="00E728AC"/>
    <w:rsid w:val="00E72EFF"/>
    <w:rsid w:val="00E73B32"/>
    <w:rsid w:val="00E74915"/>
    <w:rsid w:val="00E75888"/>
    <w:rsid w:val="00E75BBF"/>
    <w:rsid w:val="00E75D45"/>
    <w:rsid w:val="00E7682E"/>
    <w:rsid w:val="00E76D1D"/>
    <w:rsid w:val="00E806F8"/>
    <w:rsid w:val="00E81702"/>
    <w:rsid w:val="00E81A67"/>
    <w:rsid w:val="00E81D5D"/>
    <w:rsid w:val="00E81F51"/>
    <w:rsid w:val="00E832EE"/>
    <w:rsid w:val="00E83706"/>
    <w:rsid w:val="00E83894"/>
    <w:rsid w:val="00E84031"/>
    <w:rsid w:val="00E848DF"/>
    <w:rsid w:val="00E84F9B"/>
    <w:rsid w:val="00E85A15"/>
    <w:rsid w:val="00E85F11"/>
    <w:rsid w:val="00E8659F"/>
    <w:rsid w:val="00E869D7"/>
    <w:rsid w:val="00E87752"/>
    <w:rsid w:val="00E8793B"/>
    <w:rsid w:val="00E909BC"/>
    <w:rsid w:val="00E90F81"/>
    <w:rsid w:val="00E90FDD"/>
    <w:rsid w:val="00E9153E"/>
    <w:rsid w:val="00E915E3"/>
    <w:rsid w:val="00E91869"/>
    <w:rsid w:val="00E91A6D"/>
    <w:rsid w:val="00E9242D"/>
    <w:rsid w:val="00E9247A"/>
    <w:rsid w:val="00E92922"/>
    <w:rsid w:val="00E92A46"/>
    <w:rsid w:val="00E93273"/>
    <w:rsid w:val="00E934FD"/>
    <w:rsid w:val="00E9395E"/>
    <w:rsid w:val="00E93A7E"/>
    <w:rsid w:val="00E93DAF"/>
    <w:rsid w:val="00E93FD8"/>
    <w:rsid w:val="00E9483B"/>
    <w:rsid w:val="00E948D4"/>
    <w:rsid w:val="00E94A89"/>
    <w:rsid w:val="00E94BDD"/>
    <w:rsid w:val="00E96273"/>
    <w:rsid w:val="00E9709F"/>
    <w:rsid w:val="00E97B06"/>
    <w:rsid w:val="00E97B4E"/>
    <w:rsid w:val="00E97DAC"/>
    <w:rsid w:val="00EA005F"/>
    <w:rsid w:val="00EA03E8"/>
    <w:rsid w:val="00EA25AA"/>
    <w:rsid w:val="00EA262D"/>
    <w:rsid w:val="00EA32B7"/>
    <w:rsid w:val="00EA3985"/>
    <w:rsid w:val="00EA4371"/>
    <w:rsid w:val="00EA4B48"/>
    <w:rsid w:val="00EA4CC6"/>
    <w:rsid w:val="00EA527A"/>
    <w:rsid w:val="00EA5354"/>
    <w:rsid w:val="00EA537C"/>
    <w:rsid w:val="00EA56D5"/>
    <w:rsid w:val="00EA5E9A"/>
    <w:rsid w:val="00EB014F"/>
    <w:rsid w:val="00EB041C"/>
    <w:rsid w:val="00EB0473"/>
    <w:rsid w:val="00EB0F9E"/>
    <w:rsid w:val="00EB2685"/>
    <w:rsid w:val="00EB2D29"/>
    <w:rsid w:val="00EB2F22"/>
    <w:rsid w:val="00EB34D6"/>
    <w:rsid w:val="00EB3CE3"/>
    <w:rsid w:val="00EB3D88"/>
    <w:rsid w:val="00EB3ECC"/>
    <w:rsid w:val="00EB416F"/>
    <w:rsid w:val="00EB5206"/>
    <w:rsid w:val="00EB6AC3"/>
    <w:rsid w:val="00EB713C"/>
    <w:rsid w:val="00EB74C7"/>
    <w:rsid w:val="00EC067F"/>
    <w:rsid w:val="00EC09C8"/>
    <w:rsid w:val="00EC0D10"/>
    <w:rsid w:val="00EC1257"/>
    <w:rsid w:val="00EC190D"/>
    <w:rsid w:val="00EC20BB"/>
    <w:rsid w:val="00EC22B4"/>
    <w:rsid w:val="00EC38E3"/>
    <w:rsid w:val="00EC4ADC"/>
    <w:rsid w:val="00EC5417"/>
    <w:rsid w:val="00EC5874"/>
    <w:rsid w:val="00EC5D0E"/>
    <w:rsid w:val="00EC5FFD"/>
    <w:rsid w:val="00EC6D53"/>
    <w:rsid w:val="00EC784C"/>
    <w:rsid w:val="00ED13AB"/>
    <w:rsid w:val="00ED144C"/>
    <w:rsid w:val="00ED192D"/>
    <w:rsid w:val="00ED2B03"/>
    <w:rsid w:val="00ED2B1E"/>
    <w:rsid w:val="00ED30B4"/>
    <w:rsid w:val="00ED3156"/>
    <w:rsid w:val="00ED31F5"/>
    <w:rsid w:val="00ED3317"/>
    <w:rsid w:val="00ED386D"/>
    <w:rsid w:val="00ED3942"/>
    <w:rsid w:val="00ED435F"/>
    <w:rsid w:val="00ED48A5"/>
    <w:rsid w:val="00ED53A8"/>
    <w:rsid w:val="00ED568A"/>
    <w:rsid w:val="00ED5DDA"/>
    <w:rsid w:val="00ED5E79"/>
    <w:rsid w:val="00ED6701"/>
    <w:rsid w:val="00ED67B9"/>
    <w:rsid w:val="00ED73C5"/>
    <w:rsid w:val="00ED7641"/>
    <w:rsid w:val="00ED7AEF"/>
    <w:rsid w:val="00ED7B3B"/>
    <w:rsid w:val="00ED7C21"/>
    <w:rsid w:val="00EE024F"/>
    <w:rsid w:val="00EE0837"/>
    <w:rsid w:val="00EE0AC4"/>
    <w:rsid w:val="00EE0EC6"/>
    <w:rsid w:val="00EE15A2"/>
    <w:rsid w:val="00EE174F"/>
    <w:rsid w:val="00EE22D8"/>
    <w:rsid w:val="00EE2BAA"/>
    <w:rsid w:val="00EE2DC1"/>
    <w:rsid w:val="00EE30A6"/>
    <w:rsid w:val="00EE4076"/>
    <w:rsid w:val="00EE51AF"/>
    <w:rsid w:val="00EE55B6"/>
    <w:rsid w:val="00EE5DE0"/>
    <w:rsid w:val="00EE6413"/>
    <w:rsid w:val="00EE66E5"/>
    <w:rsid w:val="00EE6996"/>
    <w:rsid w:val="00EE6BCD"/>
    <w:rsid w:val="00EE7012"/>
    <w:rsid w:val="00EE7CCE"/>
    <w:rsid w:val="00EF0582"/>
    <w:rsid w:val="00EF1664"/>
    <w:rsid w:val="00EF1D53"/>
    <w:rsid w:val="00EF2759"/>
    <w:rsid w:val="00EF2A7E"/>
    <w:rsid w:val="00EF3F96"/>
    <w:rsid w:val="00EF45DE"/>
    <w:rsid w:val="00EF45EB"/>
    <w:rsid w:val="00EF48AC"/>
    <w:rsid w:val="00EF5099"/>
    <w:rsid w:val="00EF57F3"/>
    <w:rsid w:val="00EF5E33"/>
    <w:rsid w:val="00EF6290"/>
    <w:rsid w:val="00EF64BC"/>
    <w:rsid w:val="00EF69BC"/>
    <w:rsid w:val="00EF6B4C"/>
    <w:rsid w:val="00EF6BA5"/>
    <w:rsid w:val="00EF6FE6"/>
    <w:rsid w:val="00F00075"/>
    <w:rsid w:val="00F00356"/>
    <w:rsid w:val="00F0065F"/>
    <w:rsid w:val="00F00DCC"/>
    <w:rsid w:val="00F00E4B"/>
    <w:rsid w:val="00F026F3"/>
    <w:rsid w:val="00F02730"/>
    <w:rsid w:val="00F03001"/>
    <w:rsid w:val="00F032FF"/>
    <w:rsid w:val="00F052C5"/>
    <w:rsid w:val="00F06053"/>
    <w:rsid w:val="00F07798"/>
    <w:rsid w:val="00F07822"/>
    <w:rsid w:val="00F1071C"/>
    <w:rsid w:val="00F11AC9"/>
    <w:rsid w:val="00F12CB4"/>
    <w:rsid w:val="00F1312F"/>
    <w:rsid w:val="00F13252"/>
    <w:rsid w:val="00F142CA"/>
    <w:rsid w:val="00F14BCF"/>
    <w:rsid w:val="00F15305"/>
    <w:rsid w:val="00F155E8"/>
    <w:rsid w:val="00F15C95"/>
    <w:rsid w:val="00F17173"/>
    <w:rsid w:val="00F17CE4"/>
    <w:rsid w:val="00F17E3B"/>
    <w:rsid w:val="00F21022"/>
    <w:rsid w:val="00F224E0"/>
    <w:rsid w:val="00F22985"/>
    <w:rsid w:val="00F232F5"/>
    <w:rsid w:val="00F2350D"/>
    <w:rsid w:val="00F23B04"/>
    <w:rsid w:val="00F23C45"/>
    <w:rsid w:val="00F23DAF"/>
    <w:rsid w:val="00F241AB"/>
    <w:rsid w:val="00F24A0B"/>
    <w:rsid w:val="00F24FA3"/>
    <w:rsid w:val="00F25D62"/>
    <w:rsid w:val="00F25FB0"/>
    <w:rsid w:val="00F30044"/>
    <w:rsid w:val="00F302B1"/>
    <w:rsid w:val="00F30B76"/>
    <w:rsid w:val="00F3101E"/>
    <w:rsid w:val="00F31202"/>
    <w:rsid w:val="00F31292"/>
    <w:rsid w:val="00F31382"/>
    <w:rsid w:val="00F31A3E"/>
    <w:rsid w:val="00F31C32"/>
    <w:rsid w:val="00F321E7"/>
    <w:rsid w:val="00F32322"/>
    <w:rsid w:val="00F33116"/>
    <w:rsid w:val="00F332F3"/>
    <w:rsid w:val="00F33E77"/>
    <w:rsid w:val="00F34823"/>
    <w:rsid w:val="00F34C2D"/>
    <w:rsid w:val="00F34DB3"/>
    <w:rsid w:val="00F35829"/>
    <w:rsid w:val="00F36565"/>
    <w:rsid w:val="00F37379"/>
    <w:rsid w:val="00F37716"/>
    <w:rsid w:val="00F40361"/>
    <w:rsid w:val="00F4054B"/>
    <w:rsid w:val="00F4069D"/>
    <w:rsid w:val="00F41730"/>
    <w:rsid w:val="00F41C71"/>
    <w:rsid w:val="00F41D70"/>
    <w:rsid w:val="00F420A7"/>
    <w:rsid w:val="00F42232"/>
    <w:rsid w:val="00F42868"/>
    <w:rsid w:val="00F42A6B"/>
    <w:rsid w:val="00F42C20"/>
    <w:rsid w:val="00F43534"/>
    <w:rsid w:val="00F4367A"/>
    <w:rsid w:val="00F43729"/>
    <w:rsid w:val="00F4466A"/>
    <w:rsid w:val="00F44939"/>
    <w:rsid w:val="00F44CC6"/>
    <w:rsid w:val="00F44E10"/>
    <w:rsid w:val="00F465A7"/>
    <w:rsid w:val="00F465EF"/>
    <w:rsid w:val="00F4672D"/>
    <w:rsid w:val="00F46926"/>
    <w:rsid w:val="00F47A6E"/>
    <w:rsid w:val="00F506DB"/>
    <w:rsid w:val="00F50B7C"/>
    <w:rsid w:val="00F50D57"/>
    <w:rsid w:val="00F51DA7"/>
    <w:rsid w:val="00F5202D"/>
    <w:rsid w:val="00F52CF6"/>
    <w:rsid w:val="00F52E16"/>
    <w:rsid w:val="00F5324C"/>
    <w:rsid w:val="00F533EE"/>
    <w:rsid w:val="00F53977"/>
    <w:rsid w:val="00F53B44"/>
    <w:rsid w:val="00F542B7"/>
    <w:rsid w:val="00F54496"/>
    <w:rsid w:val="00F5490A"/>
    <w:rsid w:val="00F54C6B"/>
    <w:rsid w:val="00F54FA1"/>
    <w:rsid w:val="00F55468"/>
    <w:rsid w:val="00F556DB"/>
    <w:rsid w:val="00F55982"/>
    <w:rsid w:val="00F56940"/>
    <w:rsid w:val="00F5739D"/>
    <w:rsid w:val="00F5792A"/>
    <w:rsid w:val="00F57FA7"/>
    <w:rsid w:val="00F60252"/>
    <w:rsid w:val="00F60549"/>
    <w:rsid w:val="00F60EBD"/>
    <w:rsid w:val="00F61097"/>
    <w:rsid w:val="00F614BE"/>
    <w:rsid w:val="00F62637"/>
    <w:rsid w:val="00F62B27"/>
    <w:rsid w:val="00F62C20"/>
    <w:rsid w:val="00F62DBF"/>
    <w:rsid w:val="00F630FD"/>
    <w:rsid w:val="00F63395"/>
    <w:rsid w:val="00F63BEF"/>
    <w:rsid w:val="00F64159"/>
    <w:rsid w:val="00F644EF"/>
    <w:rsid w:val="00F65BA0"/>
    <w:rsid w:val="00F6637A"/>
    <w:rsid w:val="00F665FD"/>
    <w:rsid w:val="00F6745A"/>
    <w:rsid w:val="00F703FD"/>
    <w:rsid w:val="00F708D0"/>
    <w:rsid w:val="00F70FDF"/>
    <w:rsid w:val="00F71F19"/>
    <w:rsid w:val="00F7305C"/>
    <w:rsid w:val="00F73685"/>
    <w:rsid w:val="00F73BD3"/>
    <w:rsid w:val="00F74345"/>
    <w:rsid w:val="00F74441"/>
    <w:rsid w:val="00F748E4"/>
    <w:rsid w:val="00F752FA"/>
    <w:rsid w:val="00F765B7"/>
    <w:rsid w:val="00F77256"/>
    <w:rsid w:val="00F77A13"/>
    <w:rsid w:val="00F77A86"/>
    <w:rsid w:val="00F77F30"/>
    <w:rsid w:val="00F80F64"/>
    <w:rsid w:val="00F817E4"/>
    <w:rsid w:val="00F8190D"/>
    <w:rsid w:val="00F81ACD"/>
    <w:rsid w:val="00F81C6B"/>
    <w:rsid w:val="00F82008"/>
    <w:rsid w:val="00F824D8"/>
    <w:rsid w:val="00F82589"/>
    <w:rsid w:val="00F829A0"/>
    <w:rsid w:val="00F82B19"/>
    <w:rsid w:val="00F8323F"/>
    <w:rsid w:val="00F83862"/>
    <w:rsid w:val="00F83880"/>
    <w:rsid w:val="00F841EC"/>
    <w:rsid w:val="00F84B41"/>
    <w:rsid w:val="00F84BDF"/>
    <w:rsid w:val="00F85199"/>
    <w:rsid w:val="00F8616A"/>
    <w:rsid w:val="00F867D3"/>
    <w:rsid w:val="00F905DC"/>
    <w:rsid w:val="00F90AA7"/>
    <w:rsid w:val="00F915D6"/>
    <w:rsid w:val="00F9212D"/>
    <w:rsid w:val="00F922FE"/>
    <w:rsid w:val="00F92801"/>
    <w:rsid w:val="00F92E55"/>
    <w:rsid w:val="00F9306A"/>
    <w:rsid w:val="00F93335"/>
    <w:rsid w:val="00F93951"/>
    <w:rsid w:val="00F94414"/>
    <w:rsid w:val="00F94638"/>
    <w:rsid w:val="00F94E94"/>
    <w:rsid w:val="00F960FD"/>
    <w:rsid w:val="00F96642"/>
    <w:rsid w:val="00F97308"/>
    <w:rsid w:val="00F9731C"/>
    <w:rsid w:val="00F978A5"/>
    <w:rsid w:val="00F978E7"/>
    <w:rsid w:val="00F97E63"/>
    <w:rsid w:val="00FA0D75"/>
    <w:rsid w:val="00FA0FF6"/>
    <w:rsid w:val="00FA124D"/>
    <w:rsid w:val="00FA185E"/>
    <w:rsid w:val="00FA25D6"/>
    <w:rsid w:val="00FA301A"/>
    <w:rsid w:val="00FA3E7F"/>
    <w:rsid w:val="00FA406A"/>
    <w:rsid w:val="00FA41FA"/>
    <w:rsid w:val="00FA43A0"/>
    <w:rsid w:val="00FA53FD"/>
    <w:rsid w:val="00FA5BE7"/>
    <w:rsid w:val="00FA5CB6"/>
    <w:rsid w:val="00FA6129"/>
    <w:rsid w:val="00FA6130"/>
    <w:rsid w:val="00FA69D3"/>
    <w:rsid w:val="00FA6C7F"/>
    <w:rsid w:val="00FA7B2F"/>
    <w:rsid w:val="00FA7CAC"/>
    <w:rsid w:val="00FB0310"/>
    <w:rsid w:val="00FB0472"/>
    <w:rsid w:val="00FB1EF0"/>
    <w:rsid w:val="00FB23FC"/>
    <w:rsid w:val="00FB28EE"/>
    <w:rsid w:val="00FB2BA6"/>
    <w:rsid w:val="00FB3746"/>
    <w:rsid w:val="00FB3BA8"/>
    <w:rsid w:val="00FB44EE"/>
    <w:rsid w:val="00FB604A"/>
    <w:rsid w:val="00FB75AC"/>
    <w:rsid w:val="00FC0350"/>
    <w:rsid w:val="00FC0C9C"/>
    <w:rsid w:val="00FC0DD3"/>
    <w:rsid w:val="00FC0DF7"/>
    <w:rsid w:val="00FC1031"/>
    <w:rsid w:val="00FC103D"/>
    <w:rsid w:val="00FC1602"/>
    <w:rsid w:val="00FC1802"/>
    <w:rsid w:val="00FC2110"/>
    <w:rsid w:val="00FC21A5"/>
    <w:rsid w:val="00FC313F"/>
    <w:rsid w:val="00FC32C4"/>
    <w:rsid w:val="00FC366C"/>
    <w:rsid w:val="00FC422D"/>
    <w:rsid w:val="00FC4753"/>
    <w:rsid w:val="00FC496D"/>
    <w:rsid w:val="00FC4AB9"/>
    <w:rsid w:val="00FC4CBB"/>
    <w:rsid w:val="00FC4F7C"/>
    <w:rsid w:val="00FC57E8"/>
    <w:rsid w:val="00FC594E"/>
    <w:rsid w:val="00FC60D5"/>
    <w:rsid w:val="00FC61E6"/>
    <w:rsid w:val="00FC633D"/>
    <w:rsid w:val="00FC635B"/>
    <w:rsid w:val="00FC66AC"/>
    <w:rsid w:val="00FC68D3"/>
    <w:rsid w:val="00FC77AB"/>
    <w:rsid w:val="00FC79A5"/>
    <w:rsid w:val="00FD00EC"/>
    <w:rsid w:val="00FD14D1"/>
    <w:rsid w:val="00FD151A"/>
    <w:rsid w:val="00FD18F4"/>
    <w:rsid w:val="00FD1B43"/>
    <w:rsid w:val="00FD231D"/>
    <w:rsid w:val="00FD2E3B"/>
    <w:rsid w:val="00FD316A"/>
    <w:rsid w:val="00FD37B3"/>
    <w:rsid w:val="00FD41C4"/>
    <w:rsid w:val="00FD4E59"/>
    <w:rsid w:val="00FD5A6A"/>
    <w:rsid w:val="00FD60FC"/>
    <w:rsid w:val="00FD62FC"/>
    <w:rsid w:val="00FD68CE"/>
    <w:rsid w:val="00FD6A9F"/>
    <w:rsid w:val="00FD74B4"/>
    <w:rsid w:val="00FD7E30"/>
    <w:rsid w:val="00FE0762"/>
    <w:rsid w:val="00FE15F0"/>
    <w:rsid w:val="00FE1AE6"/>
    <w:rsid w:val="00FE2058"/>
    <w:rsid w:val="00FE2BD1"/>
    <w:rsid w:val="00FE32A2"/>
    <w:rsid w:val="00FE3A37"/>
    <w:rsid w:val="00FE4051"/>
    <w:rsid w:val="00FE4207"/>
    <w:rsid w:val="00FE4A34"/>
    <w:rsid w:val="00FE4BC8"/>
    <w:rsid w:val="00FE5D58"/>
    <w:rsid w:val="00FE6064"/>
    <w:rsid w:val="00FE678F"/>
    <w:rsid w:val="00FE6842"/>
    <w:rsid w:val="00FE6D0A"/>
    <w:rsid w:val="00FE7160"/>
    <w:rsid w:val="00FE71DD"/>
    <w:rsid w:val="00FE76FE"/>
    <w:rsid w:val="00FF00FC"/>
    <w:rsid w:val="00FF0384"/>
    <w:rsid w:val="00FF052B"/>
    <w:rsid w:val="00FF1130"/>
    <w:rsid w:val="00FF19D6"/>
    <w:rsid w:val="00FF275C"/>
    <w:rsid w:val="00FF3643"/>
    <w:rsid w:val="00FF4237"/>
    <w:rsid w:val="00FF42D9"/>
    <w:rsid w:val="00FF4687"/>
    <w:rsid w:val="00FF4E63"/>
    <w:rsid w:val="00FF5300"/>
    <w:rsid w:val="00FF535B"/>
    <w:rsid w:val="00FF562C"/>
    <w:rsid w:val="00FF64BF"/>
    <w:rsid w:val="00FF66A0"/>
    <w:rsid w:val="00FF6FCE"/>
    <w:rsid w:val="00FF7518"/>
    <w:rsid w:val="00FF7871"/>
    <w:rsid w:val="00FF7D62"/>
    <w:rsid w:val="00FF7D7C"/>
    <w:rsid w:val="00FF7FD8"/>
    <w:rsid w:val="01AE1B76"/>
    <w:rsid w:val="02181F31"/>
    <w:rsid w:val="022048A4"/>
    <w:rsid w:val="04B84CAD"/>
    <w:rsid w:val="054E06FE"/>
    <w:rsid w:val="05742AC8"/>
    <w:rsid w:val="05B40BE9"/>
    <w:rsid w:val="06352F05"/>
    <w:rsid w:val="063E7D85"/>
    <w:rsid w:val="070875E0"/>
    <w:rsid w:val="07293586"/>
    <w:rsid w:val="07295285"/>
    <w:rsid w:val="07770C56"/>
    <w:rsid w:val="08B14213"/>
    <w:rsid w:val="092217DD"/>
    <w:rsid w:val="093A7294"/>
    <w:rsid w:val="0BD27BF6"/>
    <w:rsid w:val="0E110D06"/>
    <w:rsid w:val="0F13775A"/>
    <w:rsid w:val="0F9A112B"/>
    <w:rsid w:val="106D2F64"/>
    <w:rsid w:val="10B63710"/>
    <w:rsid w:val="111C2F7A"/>
    <w:rsid w:val="112524C4"/>
    <w:rsid w:val="113013DE"/>
    <w:rsid w:val="117E698A"/>
    <w:rsid w:val="11C7649F"/>
    <w:rsid w:val="122B06C2"/>
    <w:rsid w:val="133E2D43"/>
    <w:rsid w:val="13951726"/>
    <w:rsid w:val="14396509"/>
    <w:rsid w:val="1447165C"/>
    <w:rsid w:val="17735226"/>
    <w:rsid w:val="1A1C66C0"/>
    <w:rsid w:val="1A42393B"/>
    <w:rsid w:val="1B046F80"/>
    <w:rsid w:val="1B3267B5"/>
    <w:rsid w:val="1BC25DC8"/>
    <w:rsid w:val="1C5E7925"/>
    <w:rsid w:val="1C887FC8"/>
    <w:rsid w:val="1D5F6196"/>
    <w:rsid w:val="1D6132A5"/>
    <w:rsid w:val="1D726BDC"/>
    <w:rsid w:val="1D8E56D5"/>
    <w:rsid w:val="1E4E38A3"/>
    <w:rsid w:val="1E7A43DA"/>
    <w:rsid w:val="1EB277FE"/>
    <w:rsid w:val="1FE7539E"/>
    <w:rsid w:val="20647E63"/>
    <w:rsid w:val="20963CB8"/>
    <w:rsid w:val="20B07FB6"/>
    <w:rsid w:val="213B74B1"/>
    <w:rsid w:val="215A2310"/>
    <w:rsid w:val="21DE318A"/>
    <w:rsid w:val="21EF5B80"/>
    <w:rsid w:val="22576990"/>
    <w:rsid w:val="229C4EAB"/>
    <w:rsid w:val="252D53FE"/>
    <w:rsid w:val="25EC2D81"/>
    <w:rsid w:val="264528BD"/>
    <w:rsid w:val="27D15DD1"/>
    <w:rsid w:val="28A76295"/>
    <w:rsid w:val="28BE7E3F"/>
    <w:rsid w:val="29206EB8"/>
    <w:rsid w:val="29597BE2"/>
    <w:rsid w:val="299951AE"/>
    <w:rsid w:val="29E325E0"/>
    <w:rsid w:val="2A452503"/>
    <w:rsid w:val="2A586DF0"/>
    <w:rsid w:val="2AB64F13"/>
    <w:rsid w:val="2BA936A8"/>
    <w:rsid w:val="2C315A5A"/>
    <w:rsid w:val="2D4B36A0"/>
    <w:rsid w:val="2D9E56F5"/>
    <w:rsid w:val="2E667F96"/>
    <w:rsid w:val="2E8226AB"/>
    <w:rsid w:val="2F592981"/>
    <w:rsid w:val="2F832C79"/>
    <w:rsid w:val="2FEF2D58"/>
    <w:rsid w:val="30580BC9"/>
    <w:rsid w:val="311E2ED7"/>
    <w:rsid w:val="315C449C"/>
    <w:rsid w:val="31B82709"/>
    <w:rsid w:val="32400B34"/>
    <w:rsid w:val="329E6876"/>
    <w:rsid w:val="33D934D4"/>
    <w:rsid w:val="33FE2F6A"/>
    <w:rsid w:val="36074A7F"/>
    <w:rsid w:val="36923549"/>
    <w:rsid w:val="36B75FBF"/>
    <w:rsid w:val="36FB4891"/>
    <w:rsid w:val="38F12CD3"/>
    <w:rsid w:val="38F94775"/>
    <w:rsid w:val="392971ED"/>
    <w:rsid w:val="3B3763D1"/>
    <w:rsid w:val="3CDA245A"/>
    <w:rsid w:val="3CEE0A37"/>
    <w:rsid w:val="3F345914"/>
    <w:rsid w:val="3F660E74"/>
    <w:rsid w:val="407A6407"/>
    <w:rsid w:val="423A3BCC"/>
    <w:rsid w:val="433A6FE6"/>
    <w:rsid w:val="4350713C"/>
    <w:rsid w:val="436653E0"/>
    <w:rsid w:val="43C532B8"/>
    <w:rsid w:val="44CD14E0"/>
    <w:rsid w:val="458946E9"/>
    <w:rsid w:val="45DD6A53"/>
    <w:rsid w:val="46D955A7"/>
    <w:rsid w:val="47133957"/>
    <w:rsid w:val="4779329E"/>
    <w:rsid w:val="47A07E0C"/>
    <w:rsid w:val="4870272E"/>
    <w:rsid w:val="49DC7715"/>
    <w:rsid w:val="4A023139"/>
    <w:rsid w:val="4A7B576F"/>
    <w:rsid w:val="4C4A0649"/>
    <w:rsid w:val="4CE470D3"/>
    <w:rsid w:val="4DEC4FB0"/>
    <w:rsid w:val="4E075D8A"/>
    <w:rsid w:val="4FC62A8C"/>
    <w:rsid w:val="4FE20F0D"/>
    <w:rsid w:val="50504C4B"/>
    <w:rsid w:val="509C6E7C"/>
    <w:rsid w:val="5162104E"/>
    <w:rsid w:val="520A75F0"/>
    <w:rsid w:val="53A039CC"/>
    <w:rsid w:val="53A1505A"/>
    <w:rsid w:val="54063E08"/>
    <w:rsid w:val="543437E8"/>
    <w:rsid w:val="559B174B"/>
    <w:rsid w:val="55CE0CF4"/>
    <w:rsid w:val="56B22A9C"/>
    <w:rsid w:val="5722490D"/>
    <w:rsid w:val="57B72A76"/>
    <w:rsid w:val="5A3C747D"/>
    <w:rsid w:val="5ABE2233"/>
    <w:rsid w:val="5B276D18"/>
    <w:rsid w:val="5BDF5D95"/>
    <w:rsid w:val="5DF87A0F"/>
    <w:rsid w:val="5F1A2B43"/>
    <w:rsid w:val="5FB837BB"/>
    <w:rsid w:val="62364782"/>
    <w:rsid w:val="62585454"/>
    <w:rsid w:val="63D40BE9"/>
    <w:rsid w:val="63E0211F"/>
    <w:rsid w:val="65373578"/>
    <w:rsid w:val="65923358"/>
    <w:rsid w:val="662A45E0"/>
    <w:rsid w:val="673F2C7A"/>
    <w:rsid w:val="681F6961"/>
    <w:rsid w:val="68610A2F"/>
    <w:rsid w:val="68643EED"/>
    <w:rsid w:val="68805514"/>
    <w:rsid w:val="694E2071"/>
    <w:rsid w:val="697A3B33"/>
    <w:rsid w:val="699E2456"/>
    <w:rsid w:val="6B322639"/>
    <w:rsid w:val="6C636C38"/>
    <w:rsid w:val="6DB34098"/>
    <w:rsid w:val="6DB545B6"/>
    <w:rsid w:val="6E4375A0"/>
    <w:rsid w:val="6E514CED"/>
    <w:rsid w:val="6E79491A"/>
    <w:rsid w:val="6EB563D5"/>
    <w:rsid w:val="6F225983"/>
    <w:rsid w:val="6FFC5590"/>
    <w:rsid w:val="70301DA3"/>
    <w:rsid w:val="706D1DD0"/>
    <w:rsid w:val="70856B87"/>
    <w:rsid w:val="709A4579"/>
    <w:rsid w:val="70D527EE"/>
    <w:rsid w:val="71141580"/>
    <w:rsid w:val="715B5300"/>
    <w:rsid w:val="715F4BD7"/>
    <w:rsid w:val="71D27F8A"/>
    <w:rsid w:val="71F744C6"/>
    <w:rsid w:val="71F960CF"/>
    <w:rsid w:val="731F5D5E"/>
    <w:rsid w:val="741E793C"/>
    <w:rsid w:val="758869BB"/>
    <w:rsid w:val="758D75E2"/>
    <w:rsid w:val="77762421"/>
    <w:rsid w:val="780F09F4"/>
    <w:rsid w:val="789C4F47"/>
    <w:rsid w:val="78A90480"/>
    <w:rsid w:val="795E7CA0"/>
    <w:rsid w:val="79811327"/>
    <w:rsid w:val="79CD0345"/>
    <w:rsid w:val="7A364017"/>
    <w:rsid w:val="7A8265E1"/>
    <w:rsid w:val="7B686D42"/>
    <w:rsid w:val="7B841746"/>
    <w:rsid w:val="7D0239FF"/>
    <w:rsid w:val="7D5E40CD"/>
    <w:rsid w:val="7D693BED"/>
    <w:rsid w:val="7FDA4A64"/>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ocked="1"/>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Times New Roman" w:hAnsi="Times New Roman" w:eastAsia="宋体" w:cs="Times New Roman"/>
      <w:snapToGrid w:val="0"/>
      <w:sz w:val="24"/>
      <w:szCs w:val="24"/>
      <w:lang w:val="en-US" w:eastAsia="zh-CN" w:bidi="ar-SA"/>
    </w:rPr>
  </w:style>
  <w:style w:type="paragraph" w:styleId="2">
    <w:name w:val="heading 1"/>
    <w:basedOn w:val="1"/>
    <w:next w:val="1"/>
    <w:link w:val="44"/>
    <w:qFormat/>
    <w:uiPriority w:val="0"/>
    <w:pPr>
      <w:keepNext/>
      <w:overflowPunct w:val="0"/>
      <w:ind w:firstLine="0" w:firstLineChars="0"/>
      <w:jc w:val="center"/>
      <w:outlineLvl w:val="0"/>
    </w:pPr>
    <w:rPr>
      <w:b/>
      <w:bCs/>
      <w:color w:val="000000"/>
      <w:szCs w:val="30"/>
    </w:rPr>
  </w:style>
  <w:style w:type="paragraph" w:styleId="3">
    <w:name w:val="heading 3"/>
    <w:basedOn w:val="1"/>
    <w:next w:val="1"/>
    <w:link w:val="56"/>
    <w:semiHidden/>
    <w:unhideWhenUsed/>
    <w:qFormat/>
    <w:locked/>
    <w:uiPriority w:val="0"/>
    <w:pPr>
      <w:keepNext/>
      <w:keepLines/>
      <w:spacing w:before="260" w:after="260" w:line="416" w:lineRule="atLeast"/>
      <w:outlineLvl w:val="2"/>
    </w:pPr>
    <w:rPr>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qFormat/>
    <w:uiPriority w:val="99"/>
    <w:pPr>
      <w:jc w:val="left"/>
    </w:pPr>
  </w:style>
  <w:style w:type="paragraph" w:styleId="5">
    <w:name w:val="Body Text"/>
    <w:basedOn w:val="1"/>
    <w:link w:val="22"/>
    <w:qFormat/>
    <w:uiPriority w:val="0"/>
    <w:pPr>
      <w:widowControl/>
      <w:snapToGrid w:val="0"/>
      <w:spacing w:before="60" w:after="160" w:line="259" w:lineRule="auto"/>
      <w:ind w:right="113"/>
    </w:pPr>
    <w:rPr>
      <w:sz w:val="18"/>
      <w:szCs w:val="18"/>
    </w:rPr>
  </w:style>
  <w:style w:type="paragraph" w:styleId="6">
    <w:name w:val="Body Text Indent"/>
    <w:basedOn w:val="1"/>
    <w:link w:val="36"/>
    <w:semiHidden/>
    <w:qFormat/>
    <w:uiPriority w:val="0"/>
    <w:pPr>
      <w:spacing w:after="120"/>
      <w:ind w:left="420" w:leftChars="200"/>
    </w:pPr>
  </w:style>
  <w:style w:type="paragraph" w:styleId="7">
    <w:name w:val="Date"/>
    <w:basedOn w:val="1"/>
    <w:next w:val="1"/>
    <w:link w:val="27"/>
    <w:qFormat/>
    <w:uiPriority w:val="0"/>
    <w:pPr>
      <w:ind w:left="100" w:leftChars="2500"/>
    </w:pPr>
    <w:rPr>
      <w:sz w:val="20"/>
    </w:rPr>
  </w:style>
  <w:style w:type="paragraph" w:styleId="8">
    <w:name w:val="Balloon Text"/>
    <w:basedOn w:val="1"/>
    <w:link w:val="33"/>
    <w:semiHidden/>
    <w:qFormat/>
    <w:uiPriority w:val="0"/>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39"/>
  </w:style>
  <w:style w:type="paragraph" w:styleId="12">
    <w:name w:val="Normal (Web)"/>
    <w:basedOn w:val="1"/>
    <w:link w:val="29"/>
    <w:qFormat/>
    <w:uiPriority w:val="99"/>
    <w:pPr>
      <w:widowControl/>
      <w:spacing w:before="100" w:beforeAutospacing="1" w:after="100" w:afterAutospacing="1"/>
      <w:jc w:val="left"/>
    </w:pPr>
    <w:rPr>
      <w:rFonts w:ascii="宋体" w:hAnsi="宋体"/>
    </w:rPr>
  </w:style>
  <w:style w:type="paragraph" w:styleId="13">
    <w:name w:val="Title"/>
    <w:basedOn w:val="1"/>
    <w:next w:val="1"/>
    <w:link w:val="39"/>
    <w:qFormat/>
    <w:locked/>
    <w:uiPriority w:val="0"/>
    <w:pPr>
      <w:adjustRightInd w:val="0"/>
      <w:snapToGrid w:val="0"/>
      <w:spacing w:line="240" w:lineRule="auto"/>
      <w:ind w:firstLine="0" w:firstLineChars="0"/>
      <w:jc w:val="center"/>
    </w:pPr>
    <w:rPr>
      <w:bCs/>
      <w:sz w:val="21"/>
      <w:szCs w:val="32"/>
    </w:rPr>
  </w:style>
  <w:style w:type="paragraph" w:styleId="14">
    <w:name w:val="annotation subject"/>
    <w:basedOn w:val="4"/>
    <w:next w:val="4"/>
    <w:link w:val="32"/>
    <w:semiHidden/>
    <w:qFormat/>
    <w:uiPriority w:val="0"/>
    <w:rPr>
      <w:b/>
      <w:bCs/>
    </w:rPr>
  </w:style>
  <w:style w:type="paragraph" w:styleId="15">
    <w:name w:val="Body Text First Indent"/>
    <w:basedOn w:val="5"/>
    <w:link w:val="72"/>
    <w:qFormat/>
    <w:uiPriority w:val="0"/>
    <w:pPr>
      <w:widowControl w:val="0"/>
      <w:snapToGrid/>
      <w:spacing w:before="0" w:after="120" w:line="460" w:lineRule="exact"/>
      <w:ind w:right="0" w:firstLine="420" w:firstLineChars="100"/>
    </w:pPr>
    <w:rPr>
      <w:sz w:val="24"/>
      <w:szCs w:val="24"/>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unhideWhenUsed/>
    <w:qFormat/>
    <w:uiPriority w:val="99"/>
    <w:rPr>
      <w:color w:val="0563C1"/>
      <w:u w:val="single"/>
    </w:rPr>
  </w:style>
  <w:style w:type="character" w:styleId="21">
    <w:name w:val="annotation reference"/>
    <w:qFormat/>
    <w:uiPriority w:val="99"/>
    <w:rPr>
      <w:sz w:val="21"/>
    </w:rPr>
  </w:style>
  <w:style w:type="character" w:customStyle="1" w:styleId="22">
    <w:name w:val="正文文本 字符"/>
    <w:link w:val="5"/>
    <w:qFormat/>
    <w:locked/>
    <w:uiPriority w:val="0"/>
    <w:rPr>
      <w:sz w:val="18"/>
    </w:rPr>
  </w:style>
  <w:style w:type="character" w:customStyle="1" w:styleId="23">
    <w:name w:val="页眉 字符"/>
    <w:link w:val="10"/>
    <w:qFormat/>
    <w:locked/>
    <w:uiPriority w:val="0"/>
    <w:rPr>
      <w:rFonts w:cs="Times New Roman"/>
      <w:sz w:val="18"/>
      <w:szCs w:val="18"/>
    </w:rPr>
  </w:style>
  <w:style w:type="character" w:customStyle="1" w:styleId="24">
    <w:name w:val="表格 Char"/>
    <w:link w:val="25"/>
    <w:qFormat/>
    <w:locked/>
    <w:uiPriority w:val="0"/>
    <w:rPr>
      <w:rFonts w:ascii="宋体"/>
      <w:sz w:val="21"/>
    </w:rPr>
  </w:style>
  <w:style w:type="paragraph" w:customStyle="1" w:styleId="25">
    <w:name w:val="表格"/>
    <w:basedOn w:val="1"/>
    <w:next w:val="1"/>
    <w:link w:val="24"/>
    <w:uiPriority w:val="0"/>
    <w:pPr>
      <w:adjustRightInd w:val="0"/>
      <w:snapToGrid w:val="0"/>
      <w:spacing w:beforeLines="10" w:afterLines="10" w:line="259" w:lineRule="auto"/>
      <w:jc w:val="center"/>
    </w:pPr>
    <w:rPr>
      <w:rFonts w:ascii="宋体"/>
      <w:sz w:val="20"/>
      <w:szCs w:val="21"/>
    </w:rPr>
  </w:style>
  <w:style w:type="character" w:customStyle="1" w:styleId="26">
    <w:name w:val="批注文字 字符"/>
    <w:link w:val="4"/>
    <w:qFormat/>
    <w:locked/>
    <w:uiPriority w:val="99"/>
    <w:rPr>
      <w:rFonts w:ascii="Times New Roman" w:hAnsi="Times New Roman" w:eastAsia="宋体"/>
      <w:sz w:val="24"/>
    </w:rPr>
  </w:style>
  <w:style w:type="character" w:customStyle="1" w:styleId="27">
    <w:name w:val="日期 字符1"/>
    <w:link w:val="7"/>
    <w:qFormat/>
    <w:locked/>
    <w:uiPriority w:val="0"/>
    <w:rPr>
      <w:rFonts w:ascii="Times New Roman" w:hAnsi="Times New Roman" w:eastAsia="宋体"/>
      <w:sz w:val="24"/>
    </w:rPr>
  </w:style>
  <w:style w:type="character" w:customStyle="1" w:styleId="28">
    <w:name w:val="批注文字 字符1"/>
    <w:semiHidden/>
    <w:qFormat/>
    <w:uiPriority w:val="0"/>
    <w:rPr>
      <w:rFonts w:ascii="Times New Roman" w:hAnsi="Times New Roman" w:eastAsia="宋体" w:cs="Times New Roman"/>
      <w:sz w:val="24"/>
      <w:szCs w:val="24"/>
    </w:rPr>
  </w:style>
  <w:style w:type="character" w:customStyle="1" w:styleId="29">
    <w:name w:val="普通(网站) 字符"/>
    <w:link w:val="12"/>
    <w:qFormat/>
    <w:locked/>
    <w:uiPriority w:val="0"/>
    <w:rPr>
      <w:rFonts w:ascii="宋体" w:hAnsi="宋体" w:eastAsia="宋体"/>
      <w:sz w:val="24"/>
    </w:rPr>
  </w:style>
  <w:style w:type="character" w:customStyle="1" w:styleId="30">
    <w:name w:val="普通(网站) Char"/>
    <w:qFormat/>
    <w:locked/>
    <w:uiPriority w:val="0"/>
    <w:rPr>
      <w:rFonts w:ascii="宋体" w:hAnsi="宋体" w:eastAsia="宋体"/>
      <w:sz w:val="24"/>
    </w:rPr>
  </w:style>
  <w:style w:type="character" w:customStyle="1" w:styleId="31">
    <w:name w:val="页脚 字符"/>
    <w:link w:val="9"/>
    <w:qFormat/>
    <w:locked/>
    <w:uiPriority w:val="99"/>
    <w:rPr>
      <w:rFonts w:cs="Times New Roman"/>
      <w:sz w:val="18"/>
      <w:szCs w:val="18"/>
    </w:rPr>
  </w:style>
  <w:style w:type="character" w:customStyle="1" w:styleId="32">
    <w:name w:val="批注主题 字符"/>
    <w:link w:val="14"/>
    <w:semiHidden/>
    <w:qFormat/>
    <w:locked/>
    <w:uiPriority w:val="0"/>
    <w:rPr>
      <w:rFonts w:ascii="Times New Roman" w:hAnsi="Times New Roman" w:eastAsia="宋体" w:cs="Times New Roman"/>
      <w:b/>
      <w:bCs/>
      <w:kern w:val="2"/>
      <w:sz w:val="24"/>
      <w:szCs w:val="24"/>
    </w:rPr>
  </w:style>
  <w:style w:type="character" w:customStyle="1" w:styleId="33">
    <w:name w:val="批注框文本 字符"/>
    <w:link w:val="8"/>
    <w:semiHidden/>
    <w:qFormat/>
    <w:locked/>
    <w:uiPriority w:val="0"/>
    <w:rPr>
      <w:rFonts w:ascii="Times New Roman" w:hAnsi="Times New Roman" w:eastAsia="宋体" w:cs="Times New Roman"/>
      <w:sz w:val="18"/>
      <w:szCs w:val="18"/>
    </w:rPr>
  </w:style>
  <w:style w:type="character" w:customStyle="1" w:styleId="34">
    <w:name w:val="日期 字符"/>
    <w:semiHidden/>
    <w:qFormat/>
    <w:uiPriority w:val="0"/>
    <w:rPr>
      <w:rFonts w:ascii="Times New Roman" w:hAnsi="Times New Roman" w:eastAsia="宋体" w:cs="Times New Roman"/>
      <w:sz w:val="24"/>
      <w:szCs w:val="24"/>
    </w:rPr>
  </w:style>
  <w:style w:type="character" w:customStyle="1" w:styleId="35">
    <w:name w:val="正文文本 字符1"/>
    <w:semiHidden/>
    <w:qFormat/>
    <w:uiPriority w:val="0"/>
    <w:rPr>
      <w:rFonts w:ascii="Times New Roman" w:hAnsi="Times New Roman" w:eastAsia="宋体" w:cs="Times New Roman"/>
      <w:sz w:val="24"/>
      <w:szCs w:val="24"/>
    </w:rPr>
  </w:style>
  <w:style w:type="character" w:customStyle="1" w:styleId="36">
    <w:name w:val="正文文本缩进 字符"/>
    <w:link w:val="6"/>
    <w:semiHidden/>
    <w:qFormat/>
    <w:locked/>
    <w:uiPriority w:val="0"/>
    <w:rPr>
      <w:rFonts w:ascii="Times New Roman" w:hAnsi="Times New Roman" w:eastAsia="宋体" w:cs="Times New Roman"/>
      <w:sz w:val="24"/>
      <w:szCs w:val="24"/>
    </w:rPr>
  </w:style>
  <w:style w:type="paragraph" w:customStyle="1" w:styleId="37">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38">
    <w:name w:val="TOC 标题1"/>
    <w:basedOn w:val="2"/>
    <w:next w:val="1"/>
    <w:unhideWhenUsed/>
    <w:qFormat/>
    <w:uiPriority w:val="39"/>
    <w:pPr>
      <w:keepLines/>
      <w:widowControl/>
      <w:overflowPunct/>
      <w:spacing w:before="240"/>
      <w:jc w:val="left"/>
      <w:outlineLvl w:val="9"/>
    </w:pPr>
    <w:rPr>
      <w:rFonts w:ascii="等线 Light" w:hAnsi="等线 Light" w:eastAsia="等线 Light"/>
      <w:b w:val="0"/>
      <w:bCs w:val="0"/>
      <w:color w:val="2F5496"/>
      <w:sz w:val="32"/>
      <w:szCs w:val="32"/>
    </w:rPr>
  </w:style>
  <w:style w:type="character" w:customStyle="1" w:styleId="39">
    <w:name w:val="标题 字符"/>
    <w:link w:val="13"/>
    <w:qFormat/>
    <w:uiPriority w:val="0"/>
    <w:rPr>
      <w:rFonts w:ascii="Times New Roman" w:hAnsi="Times New Roman" w:eastAsia="宋体" w:cs="Times New Roman"/>
      <w:bCs/>
      <w:snapToGrid w:val="0"/>
      <w:sz w:val="21"/>
      <w:szCs w:val="32"/>
    </w:rPr>
  </w:style>
  <w:style w:type="paragraph" w:customStyle="1" w:styleId="40">
    <w:name w:val="报告表格"/>
    <w:uiPriority w:val="0"/>
    <w:pPr>
      <w:widowControl w:val="0"/>
      <w:adjustRightInd w:val="0"/>
      <w:snapToGrid w:val="0"/>
      <w:jc w:val="center"/>
    </w:pPr>
    <w:rPr>
      <w:rFonts w:ascii="Times New Roman" w:hAnsi="Times New Roman" w:eastAsia="宋体" w:cs="Cambria Math"/>
      <w:snapToGrid w:val="0"/>
      <w:color w:val="000000"/>
      <w:sz w:val="21"/>
      <w:szCs w:val="21"/>
      <w:lang w:val="en-US" w:eastAsia="zh-CN" w:bidi="ar-SA"/>
    </w:rPr>
  </w:style>
  <w:style w:type="paragraph" w:styleId="41">
    <w:name w:val="List Paragraph"/>
    <w:basedOn w:val="1"/>
    <w:link w:val="50"/>
    <w:qFormat/>
    <w:uiPriority w:val="34"/>
    <w:pPr>
      <w:spacing w:line="240" w:lineRule="auto"/>
      <w:ind w:firstLine="0" w:firstLineChars="0"/>
      <w:jc w:val="center"/>
    </w:pPr>
    <w:rPr>
      <w:snapToGrid/>
      <w:kern w:val="2"/>
      <w:sz w:val="18"/>
      <w:szCs w:val="22"/>
    </w:rPr>
  </w:style>
  <w:style w:type="paragraph" w:customStyle="1" w:styleId="42">
    <w:name w:val="表格后空格"/>
    <w:basedOn w:val="1"/>
    <w:qFormat/>
    <w:uiPriority w:val="0"/>
    <w:pPr>
      <w:spacing w:line="240" w:lineRule="auto"/>
      <w:ind w:firstLine="0" w:firstLineChars="0"/>
    </w:pPr>
    <w:rPr>
      <w:sz w:val="21"/>
    </w:rPr>
  </w:style>
  <w:style w:type="paragraph" w:customStyle="1" w:styleId="43">
    <w:name w:val="Table Paragraph"/>
    <w:basedOn w:val="1"/>
    <w:qFormat/>
    <w:uiPriority w:val="1"/>
    <w:pPr>
      <w:autoSpaceDE w:val="0"/>
      <w:autoSpaceDN w:val="0"/>
      <w:spacing w:line="240" w:lineRule="auto"/>
      <w:ind w:firstLine="0" w:firstLineChars="0"/>
      <w:jc w:val="center"/>
    </w:pPr>
    <w:rPr>
      <w:rFonts w:ascii="@创艺简老宋" w:hAnsi="@创艺简老宋" w:eastAsia="@创艺简老宋" w:cs="@创艺简老宋"/>
      <w:snapToGrid/>
      <w:sz w:val="22"/>
      <w:szCs w:val="22"/>
      <w:lang w:val="zh-CN" w:bidi="zh-CN"/>
    </w:rPr>
  </w:style>
  <w:style w:type="character" w:customStyle="1" w:styleId="44">
    <w:name w:val="标题 1 字符"/>
    <w:link w:val="2"/>
    <w:qFormat/>
    <w:uiPriority w:val="0"/>
    <w:rPr>
      <w:rFonts w:ascii="Times New Roman" w:hAnsi="Times New Roman" w:eastAsia="宋体"/>
      <w:b/>
      <w:bCs/>
      <w:snapToGrid w:val="0"/>
      <w:color w:val="000000"/>
      <w:sz w:val="24"/>
      <w:szCs w:val="30"/>
    </w:rPr>
  </w:style>
  <w:style w:type="character" w:customStyle="1" w:styleId="45">
    <w:name w:val="明显强调1"/>
    <w:qFormat/>
    <w:uiPriority w:val="21"/>
    <w:rPr>
      <w:i/>
      <w:iCs/>
      <w:color w:val="4472C4"/>
    </w:rPr>
  </w:style>
  <w:style w:type="character" w:styleId="46">
    <w:name w:val="Placeholder Text"/>
    <w:basedOn w:val="18"/>
    <w:unhideWhenUsed/>
    <w:qFormat/>
    <w:uiPriority w:val="99"/>
    <w:rPr>
      <w:color w:val="808080"/>
    </w:rPr>
  </w:style>
  <w:style w:type="paragraph" w:customStyle="1" w:styleId="47">
    <w:name w:val="1正文"/>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48">
    <w:name w:val="文本正文"/>
    <w:basedOn w:val="1"/>
    <w:qFormat/>
    <w:uiPriority w:val="0"/>
    <w:pPr>
      <w:widowControl/>
      <w:spacing w:line="360" w:lineRule="auto"/>
      <w:ind w:firstLine="480"/>
      <w:jc w:val="left"/>
    </w:pPr>
    <w:rPr>
      <w:snapToGrid/>
      <w:kern w:val="2"/>
    </w:rPr>
  </w:style>
  <w:style w:type="character" w:customStyle="1" w:styleId="49">
    <w:name w:val="表头 Char"/>
    <w:qFormat/>
    <w:uiPriority w:val="0"/>
    <w:rPr>
      <w:rFonts w:ascii="宋体" w:hAnsi="宋体"/>
      <w:kern w:val="2"/>
    </w:rPr>
  </w:style>
  <w:style w:type="character" w:customStyle="1" w:styleId="50">
    <w:name w:val="列表段落 字符"/>
    <w:link w:val="41"/>
    <w:qFormat/>
    <w:uiPriority w:val="34"/>
    <w:rPr>
      <w:rFonts w:ascii="Times New Roman" w:hAnsi="Times New Roman" w:eastAsia="宋体"/>
      <w:kern w:val="2"/>
      <w:sz w:val="18"/>
      <w:szCs w:val="22"/>
    </w:rPr>
  </w:style>
  <w:style w:type="character" w:customStyle="1" w:styleId="51">
    <w:name w:val="表格 字符"/>
    <w:qFormat/>
    <w:uiPriority w:val="0"/>
    <w:rPr>
      <w:rFonts w:ascii="Times New Roman" w:hAnsi="Times New Roman"/>
      <w:kern w:val="2"/>
      <w:sz w:val="21"/>
      <w:szCs w:val="22"/>
    </w:rPr>
  </w:style>
  <w:style w:type="paragraph" w:customStyle="1" w:styleId="52">
    <w:name w:val="修订1"/>
    <w:hidden/>
    <w:unhideWhenUsed/>
    <w:qFormat/>
    <w:uiPriority w:val="99"/>
    <w:rPr>
      <w:rFonts w:ascii="Times New Roman" w:hAnsi="Times New Roman" w:eastAsia="宋体" w:cs="Times New Roman"/>
      <w:snapToGrid w:val="0"/>
      <w:sz w:val="24"/>
      <w:szCs w:val="24"/>
      <w:lang w:val="en-US" w:eastAsia="zh-CN" w:bidi="ar-SA"/>
    </w:rPr>
  </w:style>
  <w:style w:type="character" w:customStyle="1" w:styleId="53">
    <w:name w:val="fontstyle01"/>
    <w:basedOn w:val="18"/>
    <w:qFormat/>
    <w:uiPriority w:val="0"/>
    <w:rPr>
      <w:rFonts w:ascii="仿宋" w:hAnsi="仿宋" w:eastAsia="仿宋" w:cs="仿宋"/>
      <w:color w:val="000000"/>
      <w:sz w:val="30"/>
      <w:szCs w:val="30"/>
    </w:rPr>
  </w:style>
  <w:style w:type="paragraph" w:customStyle="1" w:styleId="54">
    <w:name w:val="修订2"/>
    <w:hidden/>
    <w:semiHidden/>
    <w:qFormat/>
    <w:uiPriority w:val="99"/>
    <w:rPr>
      <w:rFonts w:ascii="Times New Roman" w:hAnsi="Times New Roman" w:eastAsia="宋体" w:cs="Times New Roman"/>
      <w:snapToGrid w:val="0"/>
      <w:sz w:val="24"/>
      <w:szCs w:val="24"/>
      <w:lang w:val="en-US" w:eastAsia="zh-CN" w:bidi="ar-SA"/>
    </w:rPr>
  </w:style>
  <w:style w:type="character" w:customStyle="1" w:styleId="55">
    <w:name w:val="列出段落 Char"/>
    <w:qFormat/>
    <w:uiPriority w:val="99"/>
  </w:style>
  <w:style w:type="character" w:customStyle="1" w:styleId="56">
    <w:name w:val="标题 3 字符"/>
    <w:basedOn w:val="18"/>
    <w:link w:val="3"/>
    <w:semiHidden/>
    <w:qFormat/>
    <w:uiPriority w:val="0"/>
    <w:rPr>
      <w:b/>
      <w:bCs/>
      <w:snapToGrid w:val="0"/>
      <w:sz w:val="32"/>
      <w:szCs w:val="32"/>
    </w:rPr>
  </w:style>
  <w:style w:type="paragraph" w:customStyle="1" w:styleId="57">
    <w:name w:val="lh-正文-报告表"/>
    <w:basedOn w:val="1"/>
    <w:link w:val="58"/>
    <w:qFormat/>
    <w:uiPriority w:val="0"/>
    <w:pPr>
      <w:spacing w:line="360" w:lineRule="auto"/>
    </w:pPr>
    <w:rPr>
      <w:rFonts w:cstheme="minorBidi"/>
      <w:snapToGrid/>
      <w:szCs w:val="21"/>
    </w:rPr>
  </w:style>
  <w:style w:type="character" w:customStyle="1" w:styleId="58">
    <w:name w:val="lh-正文-报告表 Char"/>
    <w:basedOn w:val="18"/>
    <w:link w:val="57"/>
    <w:qFormat/>
    <w:uiPriority w:val="0"/>
    <w:rPr>
      <w:rFonts w:cstheme="minorBidi"/>
      <w:sz w:val="24"/>
      <w:szCs w:val="21"/>
    </w:rPr>
  </w:style>
  <w:style w:type="paragraph" w:customStyle="1" w:styleId="59">
    <w:name w:val="lh-表格文字-报告表"/>
    <w:basedOn w:val="1"/>
    <w:link w:val="60"/>
    <w:uiPriority w:val="0"/>
    <w:pPr>
      <w:spacing w:line="240" w:lineRule="auto"/>
      <w:ind w:firstLine="0" w:firstLineChars="0"/>
      <w:jc w:val="center"/>
    </w:pPr>
    <w:rPr>
      <w:rFonts w:cstheme="minorBidi"/>
      <w:snapToGrid/>
      <w:sz w:val="21"/>
    </w:rPr>
  </w:style>
  <w:style w:type="character" w:customStyle="1" w:styleId="60">
    <w:name w:val="lh-表格文字-报告表 Char"/>
    <w:basedOn w:val="18"/>
    <w:link w:val="59"/>
    <w:qFormat/>
    <w:uiPriority w:val="0"/>
    <w:rPr>
      <w:rFonts w:cstheme="minorBidi"/>
      <w:sz w:val="21"/>
      <w:szCs w:val="24"/>
    </w:rPr>
  </w:style>
  <w:style w:type="paragraph" w:customStyle="1" w:styleId="61">
    <w:name w:val="表格文本"/>
    <w:basedOn w:val="1"/>
    <w:qFormat/>
    <w:uiPriority w:val="0"/>
    <w:pPr>
      <w:spacing w:line="240" w:lineRule="auto"/>
      <w:ind w:firstLine="0" w:firstLineChars="0"/>
      <w:jc w:val="center"/>
    </w:pPr>
    <w:rPr>
      <w:snapToGrid/>
      <w:kern w:val="2"/>
      <w:sz w:val="21"/>
      <w:szCs w:val="21"/>
    </w:rPr>
  </w:style>
  <w:style w:type="paragraph" w:customStyle="1" w:styleId="62">
    <w:name w:val="Default2"/>
    <w:qFormat/>
    <w:uiPriority w:val="0"/>
    <w:pPr>
      <w:widowControl w:val="0"/>
      <w:autoSpaceDE w:val="0"/>
      <w:autoSpaceDN w:val="0"/>
      <w:adjustRightInd w:val="0"/>
    </w:pPr>
    <w:rPr>
      <w:rFonts w:ascii="宋体" w:hAnsi="Calibri" w:eastAsia="宋体" w:cs="Calibri"/>
      <w:color w:val="000000"/>
      <w:sz w:val="24"/>
      <w:lang w:val="en-US" w:eastAsia="zh-CN" w:bidi="ar-SA"/>
    </w:rPr>
  </w:style>
  <w:style w:type="table" w:customStyle="1" w:styleId="63">
    <w:name w:val="Table Normal"/>
    <w:semiHidden/>
    <w:qFormat/>
    <w:uiPriority w:val="2"/>
    <w:pPr>
      <w:widowControl w:val="0"/>
      <w:autoSpaceDE w:val="0"/>
      <w:autoSpaceDN w:val="0"/>
    </w:pPr>
    <w:rPr>
      <w:rFonts w:eastAsia="Times New Roman" w:asciiTheme="minorHAnsi" w:hAnsiTheme="minorHAnsi" w:cstheme="minorBidi"/>
      <w:sz w:val="22"/>
      <w:szCs w:val="22"/>
      <w:lang w:eastAsia="en-US"/>
    </w:rPr>
    <w:tblPr>
      <w:tblCellMar>
        <w:top w:w="0" w:type="dxa"/>
        <w:left w:w="0" w:type="dxa"/>
        <w:bottom w:w="0" w:type="dxa"/>
        <w:right w:w="0" w:type="dxa"/>
      </w:tblCellMar>
    </w:tblPr>
  </w:style>
  <w:style w:type="character" w:customStyle="1" w:styleId="64">
    <w:name w:val="表格标题 Char"/>
    <w:link w:val="65"/>
    <w:qFormat/>
    <w:uiPriority w:val="0"/>
    <w:rPr>
      <w:rFonts w:eastAsia="黑体"/>
      <w:kern w:val="2"/>
      <w:sz w:val="24"/>
    </w:rPr>
  </w:style>
  <w:style w:type="paragraph" w:customStyle="1" w:styleId="65">
    <w:name w:val="表格标题"/>
    <w:basedOn w:val="5"/>
    <w:link w:val="64"/>
    <w:qFormat/>
    <w:uiPriority w:val="0"/>
    <w:pPr>
      <w:widowControl w:val="0"/>
      <w:snapToGrid/>
      <w:spacing w:before="0" w:after="0" w:line="240" w:lineRule="auto"/>
      <w:ind w:right="0" w:firstLine="0" w:firstLineChars="0"/>
      <w:jc w:val="center"/>
    </w:pPr>
    <w:rPr>
      <w:rFonts w:eastAsia="黑体"/>
      <w:snapToGrid/>
      <w:kern w:val="2"/>
      <w:sz w:val="24"/>
      <w:szCs w:val="20"/>
    </w:rPr>
  </w:style>
  <w:style w:type="paragraph" w:customStyle="1" w:styleId="66">
    <w:name w:val="表格内容"/>
    <w:basedOn w:val="1"/>
    <w:qFormat/>
    <w:uiPriority w:val="1"/>
    <w:pPr>
      <w:widowControl/>
      <w:autoSpaceDE w:val="0"/>
      <w:autoSpaceDN w:val="0"/>
      <w:adjustRightInd w:val="0"/>
      <w:snapToGrid w:val="0"/>
      <w:spacing w:line="240" w:lineRule="atLeast"/>
      <w:ind w:firstLine="0" w:firstLineChars="0"/>
      <w:jc w:val="center"/>
    </w:pPr>
    <w:rPr>
      <w:snapToGrid/>
      <w:kern w:val="24"/>
      <w:sz w:val="21"/>
      <w:szCs w:val="21"/>
    </w:rPr>
  </w:style>
  <w:style w:type="paragraph" w:customStyle="1" w:styleId="67">
    <w:name w:val="表格1"/>
    <w:basedOn w:val="1"/>
    <w:qFormat/>
    <w:uiPriority w:val="0"/>
    <w:pPr>
      <w:adjustRightInd w:val="0"/>
      <w:snapToGrid w:val="0"/>
      <w:spacing w:line="240" w:lineRule="auto"/>
      <w:ind w:firstLine="0" w:firstLineChars="0"/>
      <w:jc w:val="center"/>
    </w:pPr>
    <w:rPr>
      <w:rFonts w:cs="宋体"/>
      <w:bCs/>
      <w:snapToGrid/>
      <w:color w:val="000000"/>
      <w:sz w:val="21"/>
      <w:szCs w:val="19"/>
    </w:rPr>
  </w:style>
  <w:style w:type="table" w:customStyle="1" w:styleId="68">
    <w:name w:val="文字表格"/>
    <w:basedOn w:val="16"/>
    <w:qFormat/>
    <w:uiPriority w:val="99"/>
    <w:pPr>
      <w:jc w:val="center"/>
    </w:p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left w:w="0" w:type="dxa"/>
        <w:right w:w="0" w:type="dxa"/>
      </w:tblCellMar>
    </w:tblPr>
    <w:trPr>
      <w:jc w:val="center"/>
    </w:trPr>
    <w:tcPr>
      <w:vAlign w:val="center"/>
    </w:tcPr>
  </w:style>
  <w:style w:type="paragraph" w:customStyle="1" w:styleId="69">
    <w:name w:val="z工可正文"/>
    <w:basedOn w:val="1"/>
    <w:qFormat/>
    <w:uiPriority w:val="0"/>
    <w:pPr>
      <w:spacing w:afterLines="20" w:line="360" w:lineRule="auto"/>
      <w:ind w:firstLine="560"/>
    </w:pPr>
    <w:rPr>
      <w:snapToGrid/>
      <w:kern w:val="2"/>
      <w:sz w:val="28"/>
      <w:szCs w:val="28"/>
    </w:rPr>
  </w:style>
  <w:style w:type="table" w:customStyle="1" w:styleId="70">
    <w:name w:val="网格型1"/>
    <w:basedOn w:val="16"/>
    <w:uiPriority w:val="39"/>
    <w:rPr>
      <w:rFonts w:eastAsia="等线"/>
      <w:kern w:val="2"/>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1">
    <w:name w:val="Revision"/>
    <w:hidden/>
    <w:semiHidden/>
    <w:qFormat/>
    <w:uiPriority w:val="99"/>
    <w:rPr>
      <w:rFonts w:ascii="Times New Roman" w:hAnsi="Times New Roman" w:eastAsia="宋体" w:cs="Times New Roman"/>
      <w:snapToGrid w:val="0"/>
      <w:sz w:val="24"/>
      <w:szCs w:val="24"/>
      <w:lang w:val="en-US" w:eastAsia="zh-CN" w:bidi="ar-SA"/>
    </w:rPr>
  </w:style>
  <w:style w:type="character" w:customStyle="1" w:styleId="72">
    <w:name w:val="正文文本首行缩进 字符"/>
    <w:basedOn w:val="22"/>
    <w:link w:val="15"/>
    <w:qFormat/>
    <w:uiPriority w:val="0"/>
    <w:rPr>
      <w:snapToGrid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jpeg"/><Relationship Id="rId20" Type="http://schemas.openxmlformats.org/officeDocument/2006/relationships/image" Target="media/image5.jpeg"/><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emf"/><Relationship Id="rId17" Type="http://schemas.openxmlformats.org/officeDocument/2006/relationships/package" Target="embeddings/Microsoft_Visio___2.vsdx"/><Relationship Id="rId16" Type="http://schemas.openxmlformats.org/officeDocument/2006/relationships/image" Target="media/image2.emf"/><Relationship Id="rId15" Type="http://schemas.openxmlformats.org/officeDocument/2006/relationships/package" Target="embeddings/Microsoft_Visio___1.vsdx"/><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01C87-BD64-4213-89FF-EB28CFDAAC84}">
  <ds:schemaRefs/>
</ds:datastoreItem>
</file>

<file path=docProps/app.xml><?xml version="1.0" encoding="utf-8"?>
<Properties xmlns="http://schemas.openxmlformats.org/officeDocument/2006/extended-properties" xmlns:vt="http://schemas.openxmlformats.org/officeDocument/2006/docPropsVTypes">
  <Template>Normal</Template>
  <Pages>130</Pages>
  <Words>15019</Words>
  <Characters>85611</Characters>
  <Lines>713</Lines>
  <Paragraphs>200</Paragraphs>
  <TotalTime>8104</TotalTime>
  <ScaleCrop>false</ScaleCrop>
  <LinksUpToDate>false</LinksUpToDate>
  <CharactersWithSpaces>100430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2023-02-10T06:34:00Z</dcterms:created>
  <dc:creator>LJ</dc:creator>
  <cp:lastModifiedBy>钟雷</cp:lastModifiedBy>
  <cp:lastPrinted>2023-05-22T04:49:00Z</cp:lastPrinted>
  <dcterms:modified xsi:type="dcterms:W3CDTF">2023-05-22T07:33:30Z</dcterms:modified>
  <dc:title>郁南县桂圩镇冲旺岭矿区建筑用花岗岩与变质砂岩矿建设项目环境影响报告表</dc:title>
  <cp:revision>875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C0987F047D94453F8B022AD05792B420</vt:lpwstr>
  </property>
</Properties>
</file>