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highlight w:val="none"/>
        </w:rPr>
      </w:pPr>
      <w:bookmarkStart w:id="0" w:name="_Hlk57883707"/>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1" w:name="_Toc27588"/>
      <w:r>
        <w:rPr>
          <w:rFonts w:hint="default" w:ascii="Times New Roman" w:hAnsi="Times New Roman" w:eastAsia="方正小标宋_GBK" w:cs="Times New Roman"/>
          <w:bCs/>
          <w:color w:val="auto"/>
          <w:sz w:val="72"/>
          <w:szCs w:val="72"/>
          <w:highlight w:val="none"/>
        </w:rPr>
        <w:t>建设项目环境影响报告表</w:t>
      </w:r>
      <w:bookmarkEnd w:id="1"/>
    </w:p>
    <w:p>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w:t>
      </w:r>
      <w:r>
        <w:rPr>
          <w:rFonts w:hint="eastAsia" w:ascii="Times New Roman" w:hAnsi="Times New Roman" w:eastAsia="楷体_GB2312" w:cs="Times New Roman"/>
          <w:bCs/>
          <w:color w:val="auto"/>
          <w:sz w:val="48"/>
          <w:szCs w:val="48"/>
          <w:highlight w:val="none"/>
          <w:lang w:val="en-US" w:eastAsia="zh-CN"/>
        </w:rPr>
        <w:t>生态</w:t>
      </w:r>
      <w:r>
        <w:rPr>
          <w:rFonts w:hint="default" w:ascii="Times New Roman" w:hAnsi="Times New Roman" w:eastAsia="楷体_GB2312" w:cs="Times New Roman"/>
          <w:bCs/>
          <w:color w:val="auto"/>
          <w:sz w:val="48"/>
          <w:szCs w:val="48"/>
          <w:highlight w:val="none"/>
        </w:rPr>
        <w:t>影响类）</w:t>
      </w:r>
    </w:p>
    <w:p>
      <w:pPr>
        <w:adjustRightInd w:val="0"/>
        <w:snapToGrid w:val="0"/>
        <w:spacing w:line="288" w:lineRule="auto"/>
        <w:jc w:val="center"/>
        <w:rPr>
          <w:rFonts w:hint="default" w:ascii="Times New Roman" w:hAnsi="Times New Roman" w:eastAsia="华文仿宋" w:cs="Times New Roman"/>
          <w:color w:val="auto"/>
          <w:kern w:val="44"/>
          <w:sz w:val="44"/>
          <w:szCs w:val="44"/>
          <w:highlight w:val="none"/>
          <w:lang w:val="en-US" w:eastAsia="zh-CN"/>
        </w:rPr>
      </w:pPr>
    </w:p>
    <w:p>
      <w:pPr>
        <w:jc w:val="center"/>
        <w:rPr>
          <w:rFonts w:hint="default" w:ascii="Times New Roman" w:hAnsi="Times New Roman" w:eastAsia="仿宋" w:cs="Times New Roman"/>
          <w:color w:val="auto"/>
          <w:sz w:val="52"/>
          <w:szCs w:val="52"/>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adjustRightInd w:val="0"/>
        <w:snapToGrid w:val="0"/>
        <w:spacing w:line="288" w:lineRule="auto"/>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项目名称：</w:t>
      </w:r>
      <w:r>
        <w:rPr>
          <w:rFonts w:hint="default" w:ascii="Times New Roman" w:hAnsi="Times New Roman" w:eastAsia="仿宋_GB2312" w:cs="Times New Roman"/>
          <w:color w:val="auto"/>
          <w:sz w:val="36"/>
          <w:szCs w:val="36"/>
          <w:highlight w:val="none"/>
          <w:u w:val="single"/>
        </w:rPr>
        <w:t xml:space="preserve"> 湘阴县农村内河内湖功能修复工程（白泥湖、</w:t>
      </w:r>
    </w:p>
    <w:p>
      <w:pPr>
        <w:adjustRightInd w:val="0"/>
        <w:snapToGrid w:val="0"/>
        <w:spacing w:line="288" w:lineRule="auto"/>
        <w:ind w:firstLine="1800" w:firstLineChars="500"/>
        <w:rPr>
          <w:rFonts w:hint="default" w:ascii="Times New Roman" w:hAnsi="Times New Roman" w:eastAsia="仿宋_GB2312" w:cs="Times New Roman"/>
          <w:color w:val="auto"/>
          <w:sz w:val="36"/>
          <w:szCs w:val="36"/>
          <w:highlight w:val="none"/>
          <w:u w:val="single"/>
          <w:lang w:val="en-US" w:eastAsia="zh-CN"/>
        </w:rPr>
      </w:pPr>
      <w:r>
        <w:rPr>
          <w:rFonts w:hint="default" w:ascii="Times New Roman" w:hAnsi="Times New Roman" w:eastAsia="仿宋_GB2312" w:cs="Times New Roman"/>
          <w:color w:val="auto"/>
          <w:sz w:val="36"/>
          <w:szCs w:val="36"/>
          <w:highlight w:val="none"/>
          <w:u w:val="single"/>
        </w:rPr>
        <w:t xml:space="preserve">范家坝湖及三汊港湖）  </w:t>
      </w:r>
      <w:r>
        <w:rPr>
          <w:rFonts w:hint="eastAsia" w:ascii="Times New Roman" w:hAnsi="Times New Roman" w:eastAsia="仿宋_GB2312" w:cs="Times New Roman"/>
          <w:color w:val="auto"/>
          <w:sz w:val="36"/>
          <w:szCs w:val="36"/>
          <w:highlight w:val="none"/>
          <w:u w:val="single"/>
          <w:lang w:val="en-US" w:eastAsia="zh-CN"/>
        </w:rPr>
        <w:t xml:space="preserve">                 </w:t>
      </w:r>
    </w:p>
    <w:p>
      <w:pPr>
        <w:adjustRightInd w:val="0"/>
        <w:snapToGrid w:val="0"/>
        <w:spacing w:line="288" w:lineRule="auto"/>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建设单位（盖章）：</w:t>
      </w:r>
      <w:r>
        <w:rPr>
          <w:rFonts w:hint="eastAsia" w:ascii="Times New Roman" w:hAnsi="Times New Roman" w:eastAsia="仿宋_GB2312" w:cs="Times New Roman"/>
          <w:color w:val="auto"/>
          <w:sz w:val="36"/>
          <w:szCs w:val="36"/>
          <w:highlight w:val="none"/>
          <w:u w:val="single"/>
          <w:lang w:val="en-US" w:eastAsia="zh-CN"/>
        </w:rPr>
        <w:t xml:space="preserve">     湖南首伦建设有限公司       </w:t>
      </w:r>
    </w:p>
    <w:p>
      <w:pPr>
        <w:adjustRightInd w:val="0"/>
        <w:snapToGrid w:val="0"/>
        <w:spacing w:line="288" w:lineRule="auto"/>
        <w:rPr>
          <w:rFonts w:hint="default" w:ascii="Times New Roman" w:hAnsi="Times New Roman" w:eastAsia="仿宋_GB2312" w:cs="Times New Roman"/>
          <w:color w:val="auto"/>
          <w:sz w:val="36"/>
          <w:szCs w:val="36"/>
          <w:highlight w:val="none"/>
          <w:u w:val="single"/>
          <w:lang w:val="en-US" w:eastAsia="zh-CN"/>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u w:val="single"/>
        </w:rPr>
        <w:t xml:space="preserve">         </w:t>
      </w:r>
      <w:r>
        <w:rPr>
          <w:rFonts w:hint="eastAsia" w:ascii="Times New Roman" w:hAnsi="Times New Roman" w:eastAsia="仿宋_GB2312" w:cs="Times New Roman"/>
          <w:color w:val="auto"/>
          <w:sz w:val="36"/>
          <w:szCs w:val="36"/>
          <w:highlight w:val="none"/>
          <w:u w:val="single"/>
          <w:lang w:val="en-US" w:eastAsia="zh-CN"/>
        </w:rPr>
        <w:t xml:space="preserve">        </w:t>
      </w:r>
      <w:r>
        <w:rPr>
          <w:rFonts w:hint="default" w:ascii="Times New Roman" w:hAnsi="Times New Roman" w:eastAsia="仿宋_GB2312" w:cs="Times New Roman"/>
          <w:color w:val="auto"/>
          <w:sz w:val="36"/>
          <w:szCs w:val="36"/>
          <w:highlight w:val="none"/>
          <w:u w:val="single"/>
        </w:rPr>
        <w:t>202</w:t>
      </w:r>
      <w:r>
        <w:rPr>
          <w:rFonts w:hint="eastAsia" w:ascii="Times New Roman" w:hAnsi="Times New Roman" w:eastAsia="仿宋_GB2312" w:cs="Times New Roman"/>
          <w:color w:val="auto"/>
          <w:sz w:val="36"/>
          <w:szCs w:val="36"/>
          <w:highlight w:val="none"/>
          <w:u w:val="single"/>
          <w:lang w:val="en-US" w:eastAsia="zh-CN"/>
        </w:rPr>
        <w:t>3</w:t>
      </w:r>
      <w:r>
        <w:rPr>
          <w:rFonts w:hint="default" w:ascii="Times New Roman" w:hAnsi="Times New Roman" w:eastAsia="仿宋_GB2312" w:cs="Times New Roman"/>
          <w:color w:val="auto"/>
          <w:sz w:val="36"/>
          <w:szCs w:val="36"/>
          <w:highlight w:val="none"/>
          <w:u w:val="single"/>
        </w:rPr>
        <w:t>年</w:t>
      </w:r>
      <w:r>
        <w:rPr>
          <w:rFonts w:hint="eastAsia" w:ascii="Times New Roman" w:hAnsi="Times New Roman" w:eastAsia="仿宋_GB2312" w:cs="Times New Roman"/>
          <w:color w:val="auto"/>
          <w:sz w:val="36"/>
          <w:szCs w:val="36"/>
          <w:highlight w:val="none"/>
          <w:u w:val="single"/>
          <w:lang w:val="en-US" w:eastAsia="zh-CN"/>
        </w:rPr>
        <w:t>7</w:t>
      </w:r>
      <w:r>
        <w:rPr>
          <w:rFonts w:hint="default" w:ascii="Times New Roman" w:hAnsi="Times New Roman" w:eastAsia="仿宋_GB2312" w:cs="Times New Roman"/>
          <w:color w:val="auto"/>
          <w:sz w:val="36"/>
          <w:szCs w:val="36"/>
          <w:highlight w:val="none"/>
          <w:u w:val="single"/>
        </w:rPr>
        <w:t xml:space="preserve">月           </w:t>
      </w:r>
      <w:r>
        <w:rPr>
          <w:rFonts w:hint="eastAsia" w:ascii="Times New Roman" w:hAnsi="Times New Roman" w:eastAsia="仿宋_GB2312" w:cs="Times New Roman"/>
          <w:color w:val="auto"/>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2"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2"/>
    <w:p>
      <w:pPr>
        <w:adjustRightInd w:val="0"/>
        <w:snapToGrid w:val="0"/>
        <w:spacing w:line="288" w:lineRule="auto"/>
        <w:jc w:val="center"/>
        <w:outlineLvl w:val="0"/>
        <w:rPr>
          <w:rFonts w:hint="default" w:ascii="Times New Roman" w:hAnsi="Times New Roman" w:eastAsia="楷体_GB2312" w:cs="Times New Roman"/>
          <w:color w:val="auto"/>
          <w:sz w:val="36"/>
          <w:szCs w:val="36"/>
          <w:highlight w:val="none"/>
        </w:rPr>
      </w:pPr>
      <w:bookmarkStart w:id="3" w:name="_Toc30914"/>
      <w:r>
        <w:rPr>
          <w:rFonts w:hint="default" w:ascii="Times New Roman" w:hAnsi="Times New Roman" w:eastAsia="楷体_GB2312" w:cs="Times New Roman"/>
          <w:color w:val="auto"/>
          <w:sz w:val="36"/>
          <w:szCs w:val="36"/>
          <w:highlight w:val="none"/>
        </w:rPr>
        <w:t>中华人民共和国生态环境部制</w:t>
      </w:r>
      <w:bookmarkEnd w:id="3"/>
    </w:p>
    <w:p>
      <w:pPr>
        <w:adjustRightInd w:val="0"/>
        <w:snapToGrid w:val="0"/>
        <w:spacing w:line="288" w:lineRule="auto"/>
        <w:jc w:val="center"/>
        <w:rPr>
          <w:rFonts w:hint="default" w:ascii="Times New Roman" w:hAnsi="Times New Roman" w:eastAsia="楷体_GB2312" w:cs="Times New Roman"/>
          <w:color w:val="auto"/>
          <w:sz w:val="36"/>
          <w:szCs w:val="36"/>
          <w:highlight w:val="none"/>
        </w:rPr>
      </w:pPr>
    </w:p>
    <w:bookmarkEnd w:id="0"/>
    <w:p>
      <w:pPr>
        <w:adjustRightInd w:val="0"/>
        <w:snapToGrid w:val="0"/>
        <w:spacing w:line="288" w:lineRule="auto"/>
        <w:ind w:firstLine="1040"/>
        <w:rPr>
          <w:rFonts w:ascii="Times New Roman" w:hAnsi="Times New Roman" w:eastAsia="仿宋_GB2312"/>
          <w:color w:val="auto"/>
          <w:sz w:val="36"/>
          <w:szCs w:val="36"/>
        </w:rPr>
      </w:pPr>
    </w:p>
    <w:p>
      <w:pPr>
        <w:pStyle w:val="14"/>
        <w:rPr>
          <w:rFonts w:ascii="Times New Roman" w:hAnsi="Times New Roman"/>
          <w:color w:val="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21"/>
          <w:cols w:space="720" w:num="1"/>
          <w:docGrid w:linePitch="312" w:charSpace="0"/>
        </w:sectPr>
      </w:pPr>
    </w:p>
    <w:p>
      <w:pPr>
        <w:pStyle w:val="73"/>
        <w:tabs>
          <w:tab w:val="right" w:leader="dot" w:pos="8844"/>
        </w:tabs>
        <w:jc w:val="center"/>
        <w:rPr>
          <w:rFonts w:hint="eastAsia" w:eastAsia="宋体"/>
          <w:b/>
          <w:bCs/>
          <w:color w:val="auto"/>
          <w:sz w:val="30"/>
          <w:szCs w:val="30"/>
          <w:lang w:val="en-US" w:eastAsia="zh-CN"/>
        </w:rPr>
      </w:pPr>
      <w:bookmarkStart w:id="89" w:name="_GoBack"/>
      <w:bookmarkEnd w:id="89"/>
      <w:r>
        <w:rPr>
          <w:rFonts w:hint="eastAsia"/>
          <w:b/>
          <w:bCs/>
          <w:color w:val="auto"/>
          <w:sz w:val="30"/>
          <w:szCs w:val="30"/>
          <w:lang w:val="en-US" w:eastAsia="zh-CN"/>
        </w:rPr>
        <w:t>目  录</w:t>
      </w:r>
    </w:p>
    <w:p>
      <w:pPr>
        <w:pStyle w:val="73"/>
        <w:tabs>
          <w:tab w:val="right" w:leader="dot" w:pos="8844"/>
        </w:tabs>
        <w:rPr>
          <w:b/>
          <w:bCs/>
          <w:color w:val="auto"/>
          <w:sz w:val="30"/>
          <w:szCs w:val="30"/>
        </w:rPr>
      </w:pPr>
    </w:p>
    <w:p>
      <w:pPr>
        <w:pStyle w:val="73"/>
        <w:tabs>
          <w:tab w:val="right" w:leader="dot" w:pos="8844"/>
        </w:tabs>
        <w:rPr>
          <w:b/>
          <w:bCs/>
          <w:color w:val="auto"/>
        </w:rPr>
      </w:pPr>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default" w:ascii="Times New Roman" w:hAnsi="Times New Roman" w:eastAsia="仿宋_GB2312" w:cs="Times New Roman"/>
          <w:b/>
          <w:bCs/>
          <w:color w:val="auto"/>
          <w:sz w:val="24"/>
          <w:szCs w:val="24"/>
          <w:highlight w:val="none"/>
        </w:rPr>
      </w:pPr>
      <w:bookmarkStart w:id="4" w:name="_Toc11047"/>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HYPERLINK \l _Toc18314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一、建设项目基本情况</w:t>
      </w:r>
      <w:r>
        <w:rPr>
          <w:rFonts w:hint="default" w:ascii="Times New Roman" w:hAnsi="Times New Roman" w:eastAsia="仿宋_GB2312" w:cs="Times New Roman"/>
          <w:b/>
          <w:bCs/>
          <w:color w:val="auto"/>
          <w:sz w:val="24"/>
          <w:szCs w:val="24"/>
          <w:highlight w:val="none"/>
        </w:rPr>
        <w:tab/>
      </w: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fldChar w:fldCharType="end"/>
      </w:r>
      <w:bookmarkEnd w:id="4"/>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eastAsia"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HYPERLINK \l _Toc17836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二、建设内容</w:t>
      </w:r>
      <w:r>
        <w:rPr>
          <w:rFonts w:hint="default" w:ascii="Times New Roman" w:hAnsi="Times New Roman" w:eastAsia="仿宋_GB2312" w:cs="Times New Roman"/>
          <w:b/>
          <w:bCs/>
          <w:color w:val="auto"/>
          <w:sz w:val="24"/>
          <w:szCs w:val="24"/>
          <w:highlight w:val="none"/>
        </w:rPr>
        <w:tab/>
      </w: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fldChar w:fldCharType="end"/>
      </w:r>
      <w:r>
        <w:rPr>
          <w:rFonts w:hint="eastAsia" w:ascii="Times New Roman" w:hAnsi="Times New Roman" w:eastAsia="仿宋_GB2312" w:cs="Times New Roman"/>
          <w:b/>
          <w:bCs/>
          <w:color w:val="auto"/>
          <w:sz w:val="24"/>
          <w:szCs w:val="24"/>
          <w:highlight w:val="none"/>
          <w:lang w:val="en-US" w:eastAsia="zh-CN"/>
        </w:rPr>
        <w:t>3</w:t>
      </w:r>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eastAsia"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HYPERLINK \l _Toc1210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三、生态环境现状、保护目标及评价标准</w:t>
      </w:r>
      <w:r>
        <w:rPr>
          <w:rFonts w:hint="default" w:ascii="Times New Roman" w:hAnsi="Times New Roman" w:eastAsia="仿宋_GB2312" w:cs="Times New Roman"/>
          <w:b/>
          <w:bCs/>
          <w:color w:val="auto"/>
          <w:sz w:val="24"/>
          <w:szCs w:val="24"/>
          <w:highlight w:val="none"/>
        </w:rPr>
        <w:tab/>
      </w:r>
      <w:r>
        <w:rPr>
          <w:rFonts w:hint="eastAsia" w:ascii="Times New Roman" w:hAnsi="Times New Roman" w:eastAsia="仿宋_GB2312" w:cs="Times New Roman"/>
          <w:b/>
          <w:bCs/>
          <w:color w:val="auto"/>
          <w:sz w:val="24"/>
          <w:szCs w:val="24"/>
          <w:highlight w:val="none"/>
          <w:lang w:val="en-US" w:eastAsia="zh-CN"/>
        </w:rPr>
        <w:t>4</w:t>
      </w:r>
      <w:r>
        <w:rPr>
          <w:rFonts w:hint="default" w:ascii="Times New Roman" w:hAnsi="Times New Roman" w:eastAsia="仿宋_GB2312" w:cs="Times New Roman"/>
          <w:b/>
          <w:bCs/>
          <w:color w:val="auto"/>
          <w:sz w:val="24"/>
          <w:szCs w:val="24"/>
          <w:highlight w:val="none"/>
        </w:rPr>
        <w:fldChar w:fldCharType="end"/>
      </w:r>
      <w:r>
        <w:rPr>
          <w:rFonts w:hint="eastAsia" w:ascii="Times New Roman" w:hAnsi="Times New Roman" w:eastAsia="仿宋_GB2312" w:cs="Times New Roman"/>
          <w:b/>
          <w:bCs/>
          <w:color w:val="auto"/>
          <w:sz w:val="24"/>
          <w:szCs w:val="24"/>
          <w:highlight w:val="none"/>
          <w:lang w:val="en-US" w:eastAsia="zh-CN"/>
        </w:rPr>
        <w:t>9</w:t>
      </w:r>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eastAsia"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HYPERLINK \l _Toc29999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四、生态环境影响分析</w:t>
      </w:r>
      <w:r>
        <w:rPr>
          <w:rFonts w:hint="default" w:ascii="Times New Roman" w:hAnsi="Times New Roman" w:eastAsia="仿宋_GB2312" w:cs="Times New Roman"/>
          <w:b/>
          <w:bCs/>
          <w:color w:val="auto"/>
          <w:sz w:val="24"/>
          <w:szCs w:val="24"/>
          <w:highlight w:val="none"/>
        </w:rPr>
        <w:tab/>
      </w:r>
      <w:r>
        <w:rPr>
          <w:rFonts w:hint="eastAsia" w:ascii="Times New Roman" w:hAnsi="Times New Roman" w:eastAsia="仿宋_GB2312" w:cs="Times New Roman"/>
          <w:b/>
          <w:bCs/>
          <w:color w:val="auto"/>
          <w:sz w:val="24"/>
          <w:szCs w:val="24"/>
          <w:highlight w:val="none"/>
          <w:lang w:val="en-US" w:eastAsia="zh-CN"/>
        </w:rPr>
        <w:t>8</w:t>
      </w:r>
      <w:r>
        <w:rPr>
          <w:rFonts w:hint="default" w:ascii="Times New Roman" w:hAnsi="Times New Roman" w:eastAsia="仿宋_GB2312" w:cs="Times New Roman"/>
          <w:b/>
          <w:bCs/>
          <w:color w:val="auto"/>
          <w:sz w:val="24"/>
          <w:szCs w:val="24"/>
          <w:highlight w:val="none"/>
        </w:rPr>
        <w:fldChar w:fldCharType="end"/>
      </w:r>
      <w:r>
        <w:rPr>
          <w:rFonts w:hint="eastAsia" w:ascii="Times New Roman" w:hAnsi="Times New Roman" w:eastAsia="仿宋_GB2312" w:cs="Times New Roman"/>
          <w:b/>
          <w:bCs/>
          <w:color w:val="auto"/>
          <w:sz w:val="24"/>
          <w:szCs w:val="24"/>
          <w:highlight w:val="none"/>
          <w:lang w:val="en-US" w:eastAsia="zh-CN"/>
        </w:rPr>
        <w:t>9</w:t>
      </w:r>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HYPERLINK \l _Toc11210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五、主要生态环境保护措施</w:t>
      </w:r>
      <w:r>
        <w:rPr>
          <w:rFonts w:hint="default" w:ascii="Times New Roman" w:hAnsi="Times New Roman" w:eastAsia="仿宋_GB2312" w:cs="Times New Roman"/>
          <w:b/>
          <w:bCs/>
          <w:color w:val="auto"/>
          <w:sz w:val="24"/>
          <w:szCs w:val="24"/>
          <w:highlight w:val="none"/>
        </w:rPr>
        <w:tab/>
      </w:r>
      <w:r>
        <w:rPr>
          <w:rFonts w:hint="eastAsia" w:ascii="Times New Roman" w:hAnsi="Times New Roman" w:eastAsia="仿宋_GB2312" w:cs="Times New Roman"/>
          <w:b/>
          <w:bCs/>
          <w:color w:val="auto"/>
          <w:sz w:val="24"/>
          <w:szCs w:val="24"/>
          <w:highlight w:val="none"/>
          <w:lang w:val="en-US" w:eastAsia="zh-CN"/>
        </w:rPr>
        <w:t>1</w:t>
      </w:r>
      <w:r>
        <w:rPr>
          <w:rFonts w:hint="default" w:ascii="Times New Roman" w:hAnsi="Times New Roman" w:eastAsia="仿宋_GB2312" w:cs="Times New Roman"/>
          <w:b/>
          <w:bCs/>
          <w:color w:val="auto"/>
          <w:sz w:val="24"/>
          <w:szCs w:val="24"/>
          <w:highlight w:val="none"/>
        </w:rPr>
        <w:fldChar w:fldCharType="end"/>
      </w:r>
      <w:r>
        <w:rPr>
          <w:rFonts w:hint="eastAsia" w:ascii="Times New Roman" w:hAnsi="Times New Roman" w:eastAsia="仿宋_GB2312" w:cs="Times New Roman"/>
          <w:b/>
          <w:bCs/>
          <w:color w:val="auto"/>
          <w:sz w:val="24"/>
          <w:szCs w:val="24"/>
          <w:highlight w:val="none"/>
          <w:lang w:val="en-US" w:eastAsia="zh-CN"/>
        </w:rPr>
        <w:t>07</w:t>
      </w:r>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eastAsia"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HYPERLINK \l _Toc10774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六、生态环境保护措施监督检查清单</w:t>
      </w:r>
      <w:r>
        <w:rPr>
          <w:rFonts w:hint="default" w:ascii="Times New Roman" w:hAnsi="Times New Roman" w:eastAsia="仿宋_GB2312" w:cs="Times New Roman"/>
          <w:b/>
          <w:bCs/>
          <w:color w:val="auto"/>
          <w:sz w:val="24"/>
          <w:szCs w:val="24"/>
          <w:highlight w:val="none"/>
        </w:rPr>
        <w:tab/>
      </w:r>
      <w:r>
        <w:rPr>
          <w:rFonts w:hint="eastAsia" w:ascii="Times New Roman" w:hAnsi="Times New Roman" w:eastAsia="仿宋_GB2312" w:cs="Times New Roman"/>
          <w:b/>
          <w:bCs/>
          <w:color w:val="auto"/>
          <w:sz w:val="24"/>
          <w:szCs w:val="24"/>
          <w:highlight w:val="none"/>
          <w:lang w:val="en-US" w:eastAsia="zh-CN"/>
        </w:rPr>
        <w:t>12</w:t>
      </w:r>
      <w:r>
        <w:rPr>
          <w:rFonts w:hint="default" w:ascii="Times New Roman" w:hAnsi="Times New Roman" w:eastAsia="仿宋_GB2312" w:cs="Times New Roman"/>
          <w:b/>
          <w:bCs/>
          <w:color w:val="auto"/>
          <w:sz w:val="24"/>
          <w:szCs w:val="24"/>
          <w:highlight w:val="none"/>
        </w:rPr>
        <w:fldChar w:fldCharType="end"/>
      </w:r>
      <w:r>
        <w:rPr>
          <w:rFonts w:hint="eastAsia" w:ascii="Times New Roman" w:hAnsi="Times New Roman" w:eastAsia="仿宋_GB2312" w:cs="Times New Roman"/>
          <w:b/>
          <w:bCs/>
          <w:color w:val="auto"/>
          <w:sz w:val="24"/>
          <w:szCs w:val="24"/>
          <w:highlight w:val="none"/>
          <w:lang w:val="en-US" w:eastAsia="zh-CN"/>
        </w:rPr>
        <w:t>1</w:t>
      </w:r>
    </w:p>
    <w:p>
      <w:pPr>
        <w:rPr>
          <w:rFonts w:hint="default" w:eastAsia="仿宋_GB2312"/>
          <w:color w:val="auto"/>
          <w:lang w:val="en-US" w:eastAsia="zh-CN"/>
        </w:rPr>
      </w:pPr>
      <w:r>
        <w:rPr>
          <w:rFonts w:hint="eastAsia" w:ascii="Times New Roman" w:hAnsi="Times New Roman" w:eastAsia="仿宋_GB2312" w:cs="Times New Roman"/>
          <w:b/>
          <w:bCs/>
          <w:color w:val="auto"/>
          <w:sz w:val="24"/>
          <w:szCs w:val="24"/>
          <w:highlight w:val="none"/>
          <w:lang w:val="en-US" w:eastAsia="zh-CN"/>
        </w:rPr>
        <w:t>七、结论...............................................................................................................................123</w:t>
      </w:r>
    </w:p>
    <w:p>
      <w:pPr>
        <w:pStyle w:val="5"/>
        <w:keepNext w:val="0"/>
        <w:keepLines w:val="0"/>
        <w:pageBreakBefore w:val="0"/>
        <w:widowControl w:val="0"/>
        <w:tabs>
          <w:tab w:val="right" w:leader="dot" w:pos="8844"/>
        </w:tabs>
        <w:kinsoku/>
        <w:wordWrap/>
        <w:overflowPunct/>
        <w:topLinePunct w:val="0"/>
        <w:autoSpaceDE/>
        <w:autoSpaceDN/>
        <w:bidi w:val="0"/>
        <w:snapToGrid/>
        <w:spacing w:line="360" w:lineRule="auto"/>
        <w:textAlignment w:val="auto"/>
        <w:rPr>
          <w:rFonts w:hint="default" w:ascii="Times New Roman" w:hAnsi="Times New Roman" w:eastAsia="仿宋_GB2312" w:cs="Times New Roman"/>
          <w:b/>
          <w:bCs/>
          <w:color w:val="auto"/>
          <w:sz w:val="24"/>
          <w:szCs w:val="24"/>
          <w:highlight w:val="none"/>
        </w:rPr>
      </w:pPr>
    </w:p>
    <w:p>
      <w:pPr>
        <w:rPr>
          <w:rFonts w:hint="default" w:ascii="Times New Roman" w:hAnsi="Times New Roman" w:eastAsia="仿宋_GB2312" w:cs="Times New Roman"/>
          <w:b/>
          <w:bCs/>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附图：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 xml:space="preserve">附图1  项目地理位置图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附图2  项目总平面布置图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u w:val="single"/>
          <w:lang w:val="en-US" w:eastAsia="zh-CN" w:bidi="ar"/>
        </w:rPr>
      </w:pPr>
      <w:r>
        <w:rPr>
          <w:rFonts w:hint="default" w:ascii="Times New Roman" w:hAnsi="Times New Roman" w:eastAsia="宋体" w:cs="Times New Roman"/>
          <w:b w:val="0"/>
          <w:bCs w:val="0"/>
          <w:color w:val="auto"/>
          <w:kern w:val="2"/>
          <w:sz w:val="21"/>
          <w:szCs w:val="21"/>
          <w:u w:val="single"/>
          <w:lang w:val="en-US" w:eastAsia="zh-CN" w:bidi="ar"/>
        </w:rPr>
        <w:t>附图3  环境保护目标分布图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cs="Times New Roman"/>
          <w:b w:val="0"/>
          <w:bCs w:val="0"/>
          <w:color w:val="auto"/>
          <w:kern w:val="2"/>
          <w:sz w:val="21"/>
          <w:szCs w:val="21"/>
          <w:u w:val="single"/>
          <w:lang w:val="en-US" w:eastAsia="zh-CN" w:bidi="ar"/>
        </w:rPr>
        <w:t>附图4  临时堆场位置示意图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cs="Times New Roman"/>
          <w:b w:val="0"/>
          <w:bCs w:val="0"/>
          <w:color w:val="auto"/>
          <w:kern w:val="2"/>
          <w:sz w:val="21"/>
          <w:szCs w:val="21"/>
          <w:u w:val="single"/>
          <w:lang w:val="en-US" w:eastAsia="zh-CN" w:bidi="ar"/>
        </w:rPr>
        <w:t xml:space="preserve">附图5 </w:t>
      </w:r>
      <w:r>
        <w:rPr>
          <w:rFonts w:hint="eastAsia" w:ascii="Times New Roman" w:hAnsi="Times New Roman" w:eastAsia="宋体" w:cs="Times New Roman"/>
          <w:b w:val="0"/>
          <w:bCs w:val="0"/>
          <w:color w:val="auto"/>
          <w:kern w:val="2"/>
          <w:sz w:val="21"/>
          <w:szCs w:val="21"/>
          <w:u w:val="single"/>
          <w:lang w:val="en-US" w:eastAsia="zh-CN" w:bidi="ar"/>
        </w:rPr>
        <w:t>“三区三线”划定成果查询结果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eastAsia="宋体" w:cs="Times New Roman"/>
          <w:b w:val="0"/>
          <w:bCs w:val="0"/>
          <w:color w:val="auto"/>
          <w:kern w:val="2"/>
          <w:sz w:val="21"/>
          <w:szCs w:val="21"/>
          <w:u w:val="single"/>
          <w:lang w:val="en-US" w:eastAsia="zh-CN" w:bidi="ar"/>
        </w:rPr>
        <w:t>附图6  区域水系图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eastAsia="宋体" w:cs="Times New Roman"/>
          <w:b w:val="0"/>
          <w:bCs w:val="0"/>
          <w:color w:val="auto"/>
          <w:kern w:val="2"/>
          <w:sz w:val="21"/>
          <w:szCs w:val="21"/>
          <w:u w:val="single"/>
          <w:lang w:val="en-US" w:eastAsia="zh-CN" w:bidi="ar"/>
        </w:rPr>
        <w:t xml:space="preserve">附图7 </w:t>
      </w:r>
      <w:r>
        <w:rPr>
          <w:rFonts w:hint="eastAsia" w:ascii="Times New Roman" w:hAnsi="Times New Roman" w:cs="Times New Roman"/>
          <w:b w:val="0"/>
          <w:bCs w:val="0"/>
          <w:color w:val="auto"/>
          <w:kern w:val="2"/>
          <w:sz w:val="21"/>
          <w:szCs w:val="21"/>
          <w:u w:val="single"/>
          <w:lang w:val="en-US" w:eastAsia="zh-CN" w:bidi="ar"/>
        </w:rPr>
        <w:t xml:space="preserve"> </w:t>
      </w:r>
      <w:r>
        <w:rPr>
          <w:rFonts w:hint="eastAsia" w:ascii="Times New Roman" w:hAnsi="Times New Roman" w:eastAsia="宋体" w:cs="Times New Roman"/>
          <w:b w:val="0"/>
          <w:bCs w:val="0"/>
          <w:color w:val="auto"/>
          <w:kern w:val="2"/>
          <w:sz w:val="21"/>
          <w:szCs w:val="21"/>
          <w:u w:val="single"/>
          <w:lang w:val="en-US" w:eastAsia="zh-CN" w:bidi="ar"/>
        </w:rPr>
        <w:t>施工便道水保措施典型设计图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eastAsia="宋体" w:cs="Times New Roman"/>
          <w:b w:val="0"/>
          <w:bCs w:val="0"/>
          <w:color w:val="auto"/>
          <w:kern w:val="2"/>
          <w:sz w:val="21"/>
          <w:szCs w:val="21"/>
          <w:u w:val="single"/>
          <w:lang w:val="en-US" w:eastAsia="zh-CN" w:bidi="ar"/>
        </w:rPr>
        <w:t>附图8  临时堆场水保措施典型设计图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u w:val="single"/>
          <w:lang w:val="en-US" w:eastAsia="zh-CN" w:bidi="ar"/>
        </w:rPr>
      </w:pPr>
      <w:r>
        <w:rPr>
          <w:rFonts w:hint="default" w:ascii="Times New Roman" w:hAnsi="Times New Roman" w:eastAsia="宋体" w:cs="Times New Roman"/>
          <w:b w:val="0"/>
          <w:bCs w:val="0"/>
          <w:color w:val="auto"/>
          <w:kern w:val="2"/>
          <w:sz w:val="21"/>
          <w:szCs w:val="21"/>
          <w:u w:val="single"/>
          <w:lang w:val="en-US" w:eastAsia="zh-CN" w:bidi="ar"/>
        </w:rPr>
        <w:t xml:space="preserve">附图9 </w:t>
      </w:r>
      <w:r>
        <w:rPr>
          <w:rFonts w:hint="eastAsia" w:ascii="Times New Roman" w:hAnsi="Times New Roman" w:cs="Times New Roman"/>
          <w:b w:val="0"/>
          <w:bCs w:val="0"/>
          <w:color w:val="auto"/>
          <w:kern w:val="2"/>
          <w:sz w:val="21"/>
          <w:szCs w:val="21"/>
          <w:u w:val="single"/>
          <w:lang w:val="en-US" w:eastAsia="zh-CN" w:bidi="ar"/>
        </w:rPr>
        <w:t xml:space="preserve"> </w:t>
      </w:r>
      <w:r>
        <w:rPr>
          <w:rFonts w:hint="default" w:ascii="Times New Roman" w:hAnsi="Times New Roman" w:eastAsia="宋体" w:cs="Times New Roman"/>
          <w:b w:val="0"/>
          <w:bCs w:val="0"/>
          <w:color w:val="auto"/>
          <w:kern w:val="2"/>
          <w:sz w:val="21"/>
          <w:szCs w:val="21"/>
          <w:u w:val="single"/>
          <w:lang w:val="en-US" w:eastAsia="zh-CN" w:bidi="ar"/>
        </w:rPr>
        <w:t>水保措施标准设计图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cs="Times New Roman"/>
          <w:b w:val="0"/>
          <w:bCs w:val="0"/>
          <w:color w:val="auto"/>
          <w:kern w:val="2"/>
          <w:sz w:val="21"/>
          <w:szCs w:val="21"/>
          <w:u w:val="single"/>
          <w:lang w:val="en-US" w:eastAsia="zh-CN" w:bidi="ar"/>
        </w:rPr>
        <w:t>附图10  监测布点图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eastAsia="宋体" w:cs="Times New Roman"/>
          <w:b w:val="0"/>
          <w:bCs w:val="0"/>
          <w:color w:val="auto"/>
          <w:kern w:val="2"/>
          <w:sz w:val="21"/>
          <w:szCs w:val="21"/>
          <w:u w:val="single"/>
          <w:lang w:val="en-US" w:eastAsia="zh-CN" w:bidi="ar"/>
        </w:rPr>
        <w:t>附图11  生态环境保护措施平面布置示意图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附图</w:t>
      </w:r>
      <w:r>
        <w:rPr>
          <w:rFonts w:hint="eastAsia" w:ascii="Times New Roman" w:hAnsi="Times New Roman" w:eastAsia="宋体" w:cs="Times New Roman"/>
          <w:b w:val="0"/>
          <w:bCs w:val="0"/>
          <w:color w:val="auto"/>
          <w:kern w:val="2"/>
          <w:sz w:val="21"/>
          <w:szCs w:val="21"/>
          <w:lang w:val="en-US" w:eastAsia="zh-CN" w:bidi="ar"/>
        </w:rPr>
        <w:t>12</w:t>
      </w:r>
      <w:r>
        <w:rPr>
          <w:rFonts w:hint="default" w:ascii="Times New Roman" w:hAnsi="Times New Roman" w:eastAsia="宋体" w:cs="Times New Roman"/>
          <w:b w:val="0"/>
          <w:bCs w:val="0"/>
          <w:color w:val="auto"/>
          <w:kern w:val="2"/>
          <w:sz w:val="21"/>
          <w:szCs w:val="21"/>
          <w:lang w:val="en-US" w:eastAsia="zh-CN" w:bidi="ar"/>
        </w:rPr>
        <w:t xml:space="preserve">  项目现场照片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color w:val="auto"/>
          <w:kern w:val="2"/>
          <w:sz w:val="21"/>
          <w:szCs w:val="21"/>
          <w:lang w:val="en-US" w:eastAsia="zh-CN" w:bidi="ar"/>
        </w:rPr>
      </w:pPr>
      <w:r>
        <w:rPr>
          <w:rFonts w:hint="eastAsia" w:ascii="Times New Roman" w:hAnsi="Times New Roman" w:eastAsia="宋体" w:cs="Times New Roman"/>
          <w:b w:val="0"/>
          <w:bCs w:val="0"/>
          <w:color w:val="auto"/>
          <w:kern w:val="2"/>
          <w:sz w:val="21"/>
          <w:szCs w:val="21"/>
          <w:lang w:val="en-US" w:eastAsia="zh-CN" w:bidi="ar"/>
        </w:rPr>
        <w:t>附图13  工程师踏勘现场照片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sz w:val="21"/>
          <w:szCs w:val="21"/>
          <w:lang w:val="en-US"/>
        </w:rPr>
      </w:pPr>
    </w:p>
    <w:p>
      <w:pPr>
        <w:pStyle w:val="14"/>
        <w:keepNext w:val="0"/>
        <w:keepLines w:val="0"/>
        <w:pageBreakBefore w:val="0"/>
        <w:kinsoku/>
        <w:wordWrap/>
        <w:overflowPunct/>
        <w:topLinePunct w:val="0"/>
        <w:autoSpaceDE/>
        <w:autoSpaceDN/>
        <w:bidi w:val="0"/>
        <w:adjustRightInd/>
        <w:snapToGrid/>
        <w:spacing w:line="240" w:lineRule="auto"/>
        <w:ind w:right="0"/>
        <w:textAlignment w:val="auto"/>
        <w:rPr>
          <w:rFonts w:hint="default" w:ascii="Times New Roman" w:hAnsi="Times New Roman" w:eastAsia="宋体" w:cs="Times New Roman"/>
          <w:b w:val="0"/>
          <w:bCs w:val="0"/>
          <w:color w:val="auto"/>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 xml:space="preserve">附件1  </w:t>
      </w:r>
      <w:r>
        <w:rPr>
          <w:rFonts w:hint="eastAsia" w:ascii="Times New Roman" w:hAnsi="Times New Roman" w:cs="Times New Roman"/>
          <w:b w:val="0"/>
          <w:bCs w:val="0"/>
          <w:color w:val="auto"/>
          <w:kern w:val="2"/>
          <w:sz w:val="21"/>
          <w:szCs w:val="21"/>
          <w:lang w:val="en-US" w:eastAsia="zh-CN" w:bidi="ar"/>
        </w:rPr>
        <w:t>环评</w:t>
      </w:r>
      <w:r>
        <w:rPr>
          <w:rFonts w:hint="default" w:ascii="Times New Roman" w:hAnsi="Times New Roman" w:eastAsia="宋体" w:cs="Times New Roman"/>
          <w:b w:val="0"/>
          <w:bCs w:val="0"/>
          <w:color w:val="auto"/>
          <w:kern w:val="2"/>
          <w:sz w:val="21"/>
          <w:szCs w:val="21"/>
          <w:lang w:val="en-US" w:eastAsia="zh-CN" w:bidi="ar"/>
        </w:rPr>
        <w:t>委托书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附件</w:t>
      </w:r>
      <w:r>
        <w:rPr>
          <w:rFonts w:hint="eastAsia" w:ascii="Times New Roman" w:hAnsi="Times New Roman" w:eastAsia="宋体" w:cs="Times New Roman"/>
          <w:b w:val="0"/>
          <w:bCs w:val="0"/>
          <w:color w:val="auto"/>
          <w:kern w:val="2"/>
          <w:sz w:val="21"/>
          <w:szCs w:val="21"/>
          <w:lang w:val="en-US" w:eastAsia="zh-CN" w:bidi="ar"/>
        </w:rPr>
        <w:t>2</w:t>
      </w:r>
      <w:r>
        <w:rPr>
          <w:rFonts w:hint="default" w:ascii="Times New Roman" w:hAnsi="Times New Roman" w:eastAsia="宋体" w:cs="Times New Roman"/>
          <w:b w:val="0"/>
          <w:bCs w:val="0"/>
          <w:color w:val="auto"/>
          <w:kern w:val="2"/>
          <w:sz w:val="21"/>
          <w:szCs w:val="21"/>
          <w:lang w:val="en-US" w:eastAsia="zh-CN" w:bidi="ar"/>
        </w:rPr>
        <w:t xml:space="preserve">  </w:t>
      </w:r>
      <w:r>
        <w:rPr>
          <w:rFonts w:hint="eastAsia" w:ascii="Times New Roman" w:hAnsi="Times New Roman" w:eastAsia="宋体" w:cs="Times New Roman"/>
          <w:b w:val="0"/>
          <w:bCs w:val="0"/>
          <w:color w:val="auto"/>
          <w:kern w:val="2"/>
          <w:sz w:val="21"/>
          <w:szCs w:val="21"/>
          <w:lang w:val="en-US" w:eastAsia="zh-CN" w:bidi="ar"/>
        </w:rPr>
        <w:t>发改委</w:t>
      </w:r>
      <w:r>
        <w:rPr>
          <w:rFonts w:hint="eastAsia" w:ascii="Times New Roman" w:hAnsi="Times New Roman" w:cs="Times New Roman"/>
          <w:b w:val="0"/>
          <w:bCs w:val="0"/>
          <w:color w:val="auto"/>
          <w:kern w:val="2"/>
          <w:sz w:val="21"/>
          <w:szCs w:val="21"/>
          <w:lang w:val="en-US" w:eastAsia="zh-CN" w:bidi="ar"/>
        </w:rPr>
        <w:t>批复</w:t>
      </w:r>
      <w:r>
        <w:rPr>
          <w:rFonts w:hint="eastAsia" w:ascii="Times New Roman" w:hAnsi="Times New Roman" w:eastAsia="宋体" w:cs="Times New Roman"/>
          <w:b w:val="0"/>
          <w:bCs w:val="0"/>
          <w:color w:val="auto"/>
          <w:kern w:val="2"/>
          <w:sz w:val="21"/>
          <w:szCs w:val="21"/>
          <w:lang w:val="en-US" w:eastAsia="zh-CN" w:bidi="ar"/>
        </w:rPr>
        <w:t>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kern w:val="2"/>
          <w:sz w:val="21"/>
          <w:szCs w:val="21"/>
          <w:lang w:val="en-US" w:eastAsia="zh-CN" w:bidi="ar"/>
        </w:rPr>
        <w:t>附件</w:t>
      </w:r>
      <w:r>
        <w:rPr>
          <w:rFonts w:hint="eastAsia" w:ascii="Times New Roman" w:hAnsi="Times New Roman" w:eastAsia="宋体" w:cs="Times New Roman"/>
          <w:b w:val="0"/>
          <w:bCs w:val="0"/>
          <w:color w:val="auto"/>
          <w:kern w:val="2"/>
          <w:sz w:val="21"/>
          <w:szCs w:val="21"/>
          <w:lang w:val="en-US" w:eastAsia="zh-CN" w:bidi="ar"/>
        </w:rPr>
        <w:t>3</w:t>
      </w:r>
      <w:r>
        <w:rPr>
          <w:rFonts w:hint="default" w:ascii="Times New Roman" w:hAnsi="Times New Roman" w:eastAsia="宋体" w:cs="Times New Roman"/>
          <w:b w:val="0"/>
          <w:bCs w:val="0"/>
          <w:color w:val="auto"/>
          <w:kern w:val="2"/>
          <w:sz w:val="21"/>
          <w:szCs w:val="21"/>
          <w:lang w:val="en-US" w:eastAsia="zh-CN" w:bidi="ar"/>
        </w:rPr>
        <w:t xml:space="preserve">  </w:t>
      </w:r>
      <w:r>
        <w:rPr>
          <w:rFonts w:hint="eastAsia" w:ascii="Times New Roman" w:hAnsi="Times New Roman" w:cs="Times New Roman"/>
          <w:b w:val="0"/>
          <w:bCs w:val="0"/>
          <w:color w:val="auto"/>
          <w:kern w:val="2"/>
          <w:sz w:val="21"/>
          <w:szCs w:val="21"/>
          <w:lang w:val="en-US" w:eastAsia="zh-CN" w:bidi="ar"/>
        </w:rPr>
        <w:t>建设单位</w:t>
      </w:r>
      <w:r>
        <w:rPr>
          <w:rFonts w:hint="default" w:ascii="Times New Roman" w:hAnsi="Times New Roman" w:eastAsia="宋体" w:cs="Times New Roman"/>
          <w:b w:val="0"/>
          <w:bCs w:val="0"/>
          <w:color w:val="auto"/>
          <w:kern w:val="2"/>
          <w:sz w:val="21"/>
          <w:szCs w:val="21"/>
          <w:lang w:val="en-US" w:eastAsia="zh-CN" w:bidi="ar"/>
        </w:rPr>
        <w:t>营业执照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cs="Times New Roman"/>
          <w:b w:val="0"/>
          <w:bCs w:val="0"/>
          <w:color w:val="auto"/>
          <w:kern w:val="2"/>
          <w:sz w:val="21"/>
          <w:szCs w:val="21"/>
          <w:u w:val="single"/>
          <w:lang w:val="en-US" w:eastAsia="zh-CN" w:bidi="ar"/>
        </w:rPr>
      </w:pPr>
      <w:r>
        <w:rPr>
          <w:rFonts w:hint="eastAsia" w:ascii="Times New Roman" w:hAnsi="Times New Roman" w:cs="Times New Roman"/>
          <w:b w:val="0"/>
          <w:bCs w:val="0"/>
          <w:color w:val="auto"/>
          <w:kern w:val="2"/>
          <w:sz w:val="21"/>
          <w:szCs w:val="21"/>
          <w:u w:val="single"/>
          <w:lang w:val="en-US" w:eastAsia="zh-CN" w:bidi="ar"/>
        </w:rPr>
        <w:t>附件4  项目初设批复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eastAsia="宋体" w:cs="Times New Roman"/>
          <w:b w:val="0"/>
          <w:bCs w:val="0"/>
          <w:color w:val="auto"/>
          <w:kern w:val="2"/>
          <w:sz w:val="21"/>
          <w:szCs w:val="21"/>
          <w:u w:val="single"/>
          <w:lang w:val="en-US" w:eastAsia="zh-CN" w:bidi="ar"/>
        </w:rPr>
      </w:pPr>
      <w:r>
        <w:rPr>
          <w:rFonts w:hint="eastAsia" w:ascii="Times New Roman" w:hAnsi="Times New Roman" w:eastAsia="宋体" w:cs="Times New Roman"/>
          <w:b w:val="0"/>
          <w:bCs w:val="0"/>
          <w:color w:val="auto"/>
          <w:kern w:val="2"/>
          <w:sz w:val="21"/>
          <w:szCs w:val="21"/>
          <w:u w:val="single"/>
          <w:lang w:val="en-US" w:eastAsia="zh-CN" w:bidi="ar"/>
        </w:rPr>
        <w:t>附件</w:t>
      </w:r>
      <w:r>
        <w:rPr>
          <w:rFonts w:hint="eastAsia" w:ascii="Times New Roman" w:hAnsi="Times New Roman" w:cs="Times New Roman"/>
          <w:b w:val="0"/>
          <w:bCs w:val="0"/>
          <w:color w:val="auto"/>
          <w:kern w:val="2"/>
          <w:sz w:val="21"/>
          <w:szCs w:val="21"/>
          <w:u w:val="single"/>
          <w:lang w:val="en-US" w:eastAsia="zh-CN" w:bidi="ar"/>
        </w:rPr>
        <w:t>5</w:t>
      </w:r>
      <w:r>
        <w:rPr>
          <w:rFonts w:hint="eastAsia" w:ascii="Times New Roman" w:hAnsi="Times New Roman" w:eastAsia="宋体" w:cs="Times New Roman"/>
          <w:b w:val="0"/>
          <w:bCs w:val="0"/>
          <w:color w:val="auto"/>
          <w:kern w:val="2"/>
          <w:sz w:val="21"/>
          <w:szCs w:val="21"/>
          <w:u w:val="single"/>
          <w:lang w:val="en-US" w:eastAsia="zh-CN" w:bidi="ar"/>
        </w:rPr>
        <w:t xml:space="preserve">  湘阴县水利局关于农村内河内湖功能修复工程三汊港湖的情况说明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Times New Roman" w:hAnsi="Times New Roman" w:cs="Times New Roman"/>
          <w:b w:val="0"/>
          <w:bCs w:val="0"/>
          <w:color w:val="auto"/>
          <w:kern w:val="2"/>
          <w:sz w:val="21"/>
          <w:szCs w:val="21"/>
          <w:u w:val="single"/>
          <w:lang w:val="en-US" w:eastAsia="zh-CN" w:bidi="ar"/>
        </w:rPr>
      </w:pPr>
      <w:r>
        <w:rPr>
          <w:rFonts w:hint="eastAsia" w:ascii="Times New Roman" w:hAnsi="Times New Roman" w:cs="Times New Roman"/>
          <w:b w:val="0"/>
          <w:bCs w:val="0"/>
          <w:color w:val="auto"/>
          <w:kern w:val="2"/>
          <w:sz w:val="21"/>
          <w:szCs w:val="21"/>
          <w:u w:val="single"/>
          <w:lang w:val="en-US" w:eastAsia="zh-CN" w:bidi="ar"/>
        </w:rPr>
        <w:t>附件6  湘阴县人民政府常务会议纪要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color w:val="auto"/>
          <w:u w:val="single"/>
          <w:lang w:val="en-US" w:eastAsia="zh-CN"/>
        </w:rPr>
      </w:pPr>
      <w:r>
        <w:rPr>
          <w:rFonts w:hint="eastAsia" w:ascii="Times New Roman" w:hAnsi="Times New Roman" w:cs="Times New Roman"/>
          <w:b w:val="0"/>
          <w:bCs w:val="0"/>
          <w:color w:val="auto"/>
          <w:kern w:val="2"/>
          <w:sz w:val="21"/>
          <w:szCs w:val="21"/>
          <w:u w:val="single"/>
          <w:lang w:val="en-US" w:eastAsia="zh-CN" w:bidi="ar"/>
        </w:rPr>
        <w:t>附件7  专家评审意见</w:t>
      </w:r>
    </w:p>
    <w:p>
      <w:pPr>
        <w:rPr>
          <w:rFonts w:hint="default" w:ascii="Times New Roman" w:hAnsi="Times New Roman" w:eastAsia="仿宋_GB2312" w:cs="Times New Roman"/>
          <w:b/>
          <w:bCs/>
          <w:color w:val="auto"/>
          <w:sz w:val="24"/>
          <w:szCs w:val="24"/>
          <w:highlight w:val="none"/>
        </w:rPr>
      </w:pPr>
    </w:p>
    <w:p>
      <w:pPr>
        <w:pStyle w:val="6"/>
        <w:outlineLvl w:val="9"/>
        <w:rPr>
          <w:rFonts w:hint="default"/>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2"/>
        <w:jc w:val="center"/>
        <w:outlineLvl w:val="0"/>
        <w:rPr>
          <w:rFonts w:ascii="Times New Roman" w:hAnsi="Times New Roman" w:eastAsia="黑体"/>
          <w:snapToGrid w:val="0"/>
          <w:color w:val="auto"/>
          <w:sz w:val="30"/>
          <w:szCs w:val="30"/>
        </w:rPr>
      </w:pPr>
      <w:bookmarkStart w:id="5" w:name="_Toc1994"/>
      <w:r>
        <w:rPr>
          <w:rFonts w:ascii="Times New Roman" w:hAnsi="Times New Roman" w:eastAsia="黑体"/>
          <w:snapToGrid w:val="0"/>
          <w:color w:val="auto"/>
          <w:sz w:val="30"/>
          <w:szCs w:val="30"/>
        </w:rPr>
        <w:t>一、建设项目基本情况</w:t>
      </w:r>
      <w:bookmarkEnd w:id="5"/>
    </w:p>
    <w:tbl>
      <w:tblPr>
        <w:tblStyle w:val="25"/>
        <w:tblW w:w="498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3"/>
        <w:gridCol w:w="1920"/>
        <w:gridCol w:w="313"/>
        <w:gridCol w:w="1961"/>
        <w:gridCol w:w="2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建设项目名称</w:t>
            </w:r>
          </w:p>
        </w:tc>
        <w:tc>
          <w:tcPr>
            <w:tcW w:w="3952" w:type="pct"/>
            <w:gridSpan w:val="4"/>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湘阴县农村内河内湖功能修复工程（白泥湖、范家坝湖及三汊港湖）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项目代码</w:t>
            </w:r>
          </w:p>
        </w:tc>
        <w:tc>
          <w:tcPr>
            <w:tcW w:w="3952" w:type="pct"/>
            <w:gridSpan w:val="4"/>
            <w:vAlign w:val="center"/>
          </w:tcPr>
          <w:p>
            <w:pPr>
              <w:pStyle w:val="22"/>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建设单位联系人</w:t>
            </w:r>
          </w:p>
        </w:tc>
        <w:tc>
          <w:tcPr>
            <w:tcW w:w="1085" w:type="pct"/>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1285" w:type="pct"/>
            <w:gridSpan w:val="2"/>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联系方式</w:t>
            </w:r>
          </w:p>
        </w:tc>
        <w:tc>
          <w:tcPr>
            <w:tcW w:w="1582" w:type="pct"/>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bCs/>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w:t>
            </w:r>
          </w:p>
        </w:tc>
        <w:tc>
          <w:tcPr>
            <w:tcW w:w="3952" w:type="pct"/>
            <w:gridSpan w:val="4"/>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湖南省岳阳市湘阴县石塘镇、东塘镇和三塘镇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地理坐标</w:t>
            </w:r>
          </w:p>
        </w:tc>
        <w:tc>
          <w:tcPr>
            <w:tcW w:w="3952" w:type="pct"/>
            <w:gridSpan w:val="4"/>
            <w:vAlign w:val="center"/>
          </w:tcPr>
          <w:p>
            <w:pPr>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白泥湖</w:t>
            </w:r>
            <w:r>
              <w:rPr>
                <w:rFonts w:hint="default" w:ascii="Times New Roman" w:hAnsi="Times New Roman" w:cs="Times New Roman"/>
                <w:color w:val="auto"/>
                <w:sz w:val="24"/>
                <w:szCs w:val="24"/>
              </w:rPr>
              <w:t>（112 度</w:t>
            </w:r>
            <w:r>
              <w:rPr>
                <w:rFonts w:hint="default" w:ascii="Times New Roman" w:hAnsi="Times New Roman" w:cs="Times New Roman"/>
                <w:color w:val="auto"/>
                <w:sz w:val="24"/>
                <w:szCs w:val="24"/>
                <w:lang w:val="en-US" w:eastAsia="zh-CN"/>
              </w:rPr>
              <w:t>52</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lang w:val="en-US" w:eastAsia="zh-CN"/>
              </w:rPr>
              <w:t>35.232</w:t>
            </w:r>
            <w:r>
              <w:rPr>
                <w:rFonts w:hint="default" w:ascii="Times New Roman" w:hAnsi="Times New Roman" w:cs="Times New Roman"/>
                <w:color w:val="auto"/>
                <w:sz w:val="24"/>
                <w:szCs w:val="24"/>
              </w:rPr>
              <w:t>秒，28 度</w:t>
            </w:r>
            <w:r>
              <w:rPr>
                <w:rFonts w:hint="default" w:ascii="Times New Roman" w:hAnsi="Times New Roman" w:cs="Times New Roman"/>
                <w:color w:val="auto"/>
                <w:sz w:val="24"/>
                <w:szCs w:val="24"/>
                <w:lang w:val="en-US" w:eastAsia="zh-CN"/>
              </w:rPr>
              <w:t>45</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lang w:val="en-US" w:eastAsia="zh-CN"/>
              </w:rPr>
              <w:t>0.068</w:t>
            </w:r>
            <w:r>
              <w:rPr>
                <w:rFonts w:hint="default" w:ascii="Times New Roman" w:hAnsi="Times New Roman" w:cs="Times New Roman"/>
                <w:color w:val="auto"/>
                <w:sz w:val="24"/>
                <w:szCs w:val="24"/>
              </w:rPr>
              <w:t>秒）</w:t>
            </w:r>
          </w:p>
          <w:p>
            <w:pPr>
              <w:pStyle w:val="14"/>
              <w:snapToGrid/>
              <w:spacing w:before="0" w:after="0" w:line="240" w:lineRule="auto"/>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范家坝湖</w:t>
            </w:r>
            <w:r>
              <w:rPr>
                <w:rFonts w:hint="default" w:ascii="Times New Roman" w:hAnsi="Times New Roman" w:cs="Times New Roman"/>
                <w:color w:val="auto"/>
                <w:sz w:val="24"/>
                <w:szCs w:val="24"/>
              </w:rPr>
              <w:t>（112 度</w:t>
            </w:r>
            <w:r>
              <w:rPr>
                <w:rFonts w:hint="default" w:ascii="Times New Roman" w:hAnsi="Times New Roman" w:cs="Times New Roman"/>
                <w:color w:val="auto"/>
                <w:sz w:val="24"/>
                <w:szCs w:val="24"/>
                <w:lang w:val="en-US" w:eastAsia="zh-CN"/>
              </w:rPr>
              <w:t>53</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lang w:val="en-US" w:eastAsia="zh-CN"/>
              </w:rPr>
              <w:t>29.614</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lang w:val="en-US" w:eastAsia="zh-CN"/>
              </w:rPr>
              <w:t>28</w:t>
            </w:r>
            <w:r>
              <w:rPr>
                <w:rFonts w:hint="default" w:ascii="Times New Roman" w:hAnsi="Times New Roman" w:cs="Times New Roman"/>
                <w:color w:val="auto"/>
                <w:sz w:val="24"/>
                <w:szCs w:val="24"/>
              </w:rPr>
              <w:t>度 46 分</w:t>
            </w:r>
            <w:r>
              <w:rPr>
                <w:rFonts w:hint="default" w:ascii="Times New Roman" w:hAnsi="Times New Roman" w:cs="Times New Roman"/>
                <w:color w:val="auto"/>
                <w:sz w:val="24"/>
                <w:szCs w:val="24"/>
                <w:lang w:val="en-US" w:eastAsia="zh-CN"/>
              </w:rPr>
              <w:t>9.901</w:t>
            </w:r>
            <w:r>
              <w:rPr>
                <w:rFonts w:hint="default" w:ascii="Times New Roman" w:hAnsi="Times New Roman" w:cs="Times New Roman"/>
                <w:color w:val="auto"/>
                <w:sz w:val="24"/>
                <w:szCs w:val="24"/>
              </w:rPr>
              <w:t>秒）</w:t>
            </w:r>
          </w:p>
          <w:p>
            <w:pPr>
              <w:pStyle w:val="14"/>
              <w:snapToGrid/>
              <w:spacing w:before="0" w:after="0" w:line="240" w:lineRule="auto"/>
              <w:ind w:left="63" w:leftChars="30" w:right="63" w:rightChars="3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三汊港湖</w:t>
            </w:r>
            <w:r>
              <w:rPr>
                <w:rFonts w:hint="default" w:ascii="Times New Roman" w:hAnsi="Times New Roman" w:cs="Times New Roman"/>
                <w:color w:val="auto"/>
                <w:sz w:val="24"/>
                <w:szCs w:val="24"/>
              </w:rPr>
              <w:t>（112 度</w:t>
            </w:r>
            <w:r>
              <w:rPr>
                <w:rFonts w:hint="default" w:ascii="Times New Roman" w:hAnsi="Times New Roman" w:cs="Times New Roman"/>
                <w:color w:val="auto"/>
                <w:sz w:val="24"/>
                <w:szCs w:val="24"/>
                <w:lang w:val="en-US" w:eastAsia="zh-CN"/>
              </w:rPr>
              <w:t>54</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lang w:val="en-US" w:eastAsia="zh-CN"/>
              </w:rPr>
              <w:t>10.401</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lang w:val="en-US" w:eastAsia="zh-CN"/>
              </w:rPr>
              <w:t>28</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lang w:val="en-US" w:eastAsia="zh-CN"/>
              </w:rPr>
              <w:t>48</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lang w:val="en-US" w:eastAsia="zh-CN"/>
              </w:rPr>
              <w:t>11.024</w:t>
            </w:r>
            <w:r>
              <w:rPr>
                <w:rFonts w:hint="default" w:ascii="Times New Roman" w:hAnsi="Times New Roman"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w:t>
            </w:r>
          </w:p>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行业类别</w:t>
            </w:r>
          </w:p>
        </w:tc>
        <w:tc>
          <w:tcPr>
            <w:tcW w:w="1262" w:type="pct"/>
            <w:gridSpan w:val="2"/>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五十一、水利</w:t>
            </w:r>
          </w:p>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河湖整治（不含农村塘堰、水渠）</w:t>
            </w:r>
          </w:p>
        </w:tc>
        <w:tc>
          <w:tcPr>
            <w:tcW w:w="1107" w:type="pct"/>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用地面积（m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w:t>
            </w:r>
          </w:p>
        </w:tc>
        <w:tc>
          <w:tcPr>
            <w:tcW w:w="1582" w:type="pct"/>
            <w:vAlign w:val="center"/>
          </w:tcPr>
          <w:p>
            <w:pPr>
              <w:adjustRightInd w:val="0"/>
              <w:snapToGrid w:val="0"/>
              <w:ind w:left="63" w:leftChars="30" w:right="63" w:rightChars="30"/>
              <w:jc w:val="center"/>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277186.6</w:t>
            </w:r>
            <w:r>
              <w:rPr>
                <w:rFonts w:hint="eastAsia" w:ascii="Times New Roman" w:hAnsi="Times New Roman" w:cs="Times New Roman"/>
                <w:color w:val="auto"/>
                <w:sz w:val="24"/>
                <w:szCs w:val="24"/>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5"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建设性质</w:t>
            </w:r>
          </w:p>
        </w:tc>
        <w:tc>
          <w:tcPr>
            <w:tcW w:w="1262" w:type="pct"/>
            <w:gridSpan w:val="2"/>
            <w:vAlign w:val="center"/>
          </w:tcPr>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新建（迁建）</w:t>
            </w:r>
          </w:p>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□改建</w:t>
            </w:r>
          </w:p>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□扩建</w:t>
            </w:r>
          </w:p>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□技术改造</w:t>
            </w:r>
          </w:p>
        </w:tc>
        <w:tc>
          <w:tcPr>
            <w:tcW w:w="1107" w:type="pct"/>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建设项目</w:t>
            </w:r>
          </w:p>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申报情形</w:t>
            </w:r>
          </w:p>
        </w:tc>
        <w:tc>
          <w:tcPr>
            <w:tcW w:w="1582" w:type="pct"/>
            <w:vAlign w:val="center"/>
          </w:tcPr>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首次申报项目</w:t>
            </w:r>
          </w:p>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□不予批准后再次申报项目</w:t>
            </w:r>
          </w:p>
          <w:p>
            <w:pPr>
              <w:adjustRightInd w:val="0"/>
              <w:snapToGrid w:val="0"/>
              <w:ind w:left="63" w:leftChars="30"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□超五年重新审核项目</w:t>
            </w:r>
          </w:p>
          <w:p>
            <w:pPr>
              <w:adjustRightInd w:val="0"/>
              <w:snapToGrid w:val="0"/>
              <w:ind w:left="63" w:leftChars="30" w:right="63" w:rightChars="3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备案）部门（选填）</w:t>
            </w:r>
          </w:p>
        </w:tc>
        <w:tc>
          <w:tcPr>
            <w:tcW w:w="1262" w:type="pct"/>
            <w:gridSpan w:val="2"/>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rPr>
              <w:t>湘阴县发展和改革局</w:t>
            </w:r>
          </w:p>
        </w:tc>
        <w:tc>
          <w:tcPr>
            <w:tcW w:w="1107" w:type="pct"/>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项目审批（核准/</w:t>
            </w:r>
          </w:p>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备案）文号（选填）</w:t>
            </w:r>
          </w:p>
        </w:tc>
        <w:tc>
          <w:tcPr>
            <w:tcW w:w="1582" w:type="pct"/>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rPr>
              <w:t>湘阴发改审</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202</w:t>
            </w:r>
            <w:r>
              <w:rPr>
                <w:rFonts w:hint="default" w:ascii="Times New Roman" w:hAnsi="Times New Roman" w:cs="Times New Roman"/>
                <w:color w:val="auto"/>
                <w:sz w:val="24"/>
                <w:lang w:val="en-US" w:eastAsia="zh-CN"/>
              </w:rPr>
              <w:t>3]5</w:t>
            </w:r>
            <w:r>
              <w:rPr>
                <w:rFonts w:hint="default" w:ascii="Times New Roman" w:hAnsi="Times New Roman" w:cs="Times New Roman"/>
                <w:color w:val="auto"/>
                <w:sz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总投资（万元）</w:t>
            </w:r>
          </w:p>
        </w:tc>
        <w:tc>
          <w:tcPr>
            <w:tcW w:w="1262" w:type="pct"/>
            <w:gridSpan w:val="2"/>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32801.28</w:t>
            </w:r>
          </w:p>
        </w:tc>
        <w:tc>
          <w:tcPr>
            <w:tcW w:w="110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环保投资（万元）</w:t>
            </w:r>
          </w:p>
        </w:tc>
        <w:tc>
          <w:tcPr>
            <w:tcW w:w="1582" w:type="pct"/>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u w:val="single"/>
                <w:lang w:val="en-US" w:eastAsia="zh-CN"/>
              </w:rPr>
            </w:pPr>
            <w:r>
              <w:rPr>
                <w:rFonts w:hint="eastAsia" w:ascii="Times New Roman" w:hAnsi="Times New Roman" w:cs="Times New Roman"/>
                <w:color w:val="auto"/>
                <w:sz w:val="24"/>
                <w:szCs w:val="24"/>
                <w:u w:val="single"/>
                <w:lang w:val="en-US" w:eastAsia="zh-CN"/>
              </w:rPr>
              <w:t>236.75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环保投资占比（%）</w:t>
            </w:r>
          </w:p>
        </w:tc>
        <w:tc>
          <w:tcPr>
            <w:tcW w:w="1262" w:type="pct"/>
            <w:gridSpan w:val="2"/>
            <w:vAlign w:val="center"/>
          </w:tcPr>
          <w:p>
            <w:pPr>
              <w:adjustRightInd w:val="0"/>
              <w:snapToGrid w:val="0"/>
              <w:ind w:left="63" w:leftChars="30" w:right="63" w:rightChars="30"/>
              <w:jc w:val="center"/>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0.</w:t>
            </w:r>
            <w:r>
              <w:rPr>
                <w:rFonts w:hint="eastAsia" w:ascii="Times New Roman" w:hAnsi="Times New Roman" w:cs="Times New Roman"/>
                <w:color w:val="auto"/>
                <w:sz w:val="24"/>
                <w:szCs w:val="24"/>
                <w:u w:val="single"/>
                <w:lang w:val="en-US" w:eastAsia="zh-CN"/>
              </w:rPr>
              <w:t>72</w:t>
            </w:r>
          </w:p>
        </w:tc>
        <w:tc>
          <w:tcPr>
            <w:tcW w:w="110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施工工期</w:t>
            </w:r>
          </w:p>
        </w:tc>
        <w:tc>
          <w:tcPr>
            <w:tcW w:w="1582" w:type="pct"/>
            <w:vAlign w:val="center"/>
          </w:tcPr>
          <w:p>
            <w:pPr>
              <w:adjustRightInd w:val="0"/>
              <w:snapToGrid w:val="0"/>
              <w:ind w:left="63" w:leftChars="30" w:right="63" w:rightChars="30"/>
              <w:jc w:val="center"/>
              <w:rPr>
                <w:rFonts w:hint="default" w:ascii="Times New Roman" w:hAnsi="Times New Roman" w:eastAsia="Calibri" w:cs="Times New Roman"/>
                <w:color w:val="auto"/>
                <w:sz w:val="24"/>
                <w:szCs w:val="24"/>
              </w:rPr>
            </w:pPr>
            <w:r>
              <w:rPr>
                <w:rFonts w:hint="default" w:ascii="Times New Roman" w:hAnsi="Times New Roman" w:cs="Times New Roman"/>
                <w:color w:val="auto"/>
                <w:sz w:val="24"/>
                <w:szCs w:val="24"/>
                <w:lang w:val="en-US" w:eastAsia="zh-CN"/>
              </w:rPr>
              <w:t>24</w:t>
            </w:r>
            <w:r>
              <w:rPr>
                <w:rFonts w:hint="default" w:ascii="Times New Roman" w:hAnsi="Times New Roman" w:cs="Times New Roman"/>
                <w:color w:val="auto"/>
                <w:sz w:val="24"/>
                <w:szCs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1047" w:type="pct"/>
            <w:tcMar>
              <w:top w:w="16" w:type="dxa"/>
              <w:left w:w="16" w:type="dxa"/>
              <w:right w:w="16" w:type="dxa"/>
            </w:tcMar>
            <w:vAlign w:val="center"/>
          </w:tcPr>
          <w:p>
            <w:pPr>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是否开工建设</w:t>
            </w:r>
          </w:p>
        </w:tc>
        <w:tc>
          <w:tcPr>
            <w:tcW w:w="3952" w:type="pct"/>
            <w:gridSpan w:val="4"/>
            <w:vAlign w:val="center"/>
          </w:tcPr>
          <w:p>
            <w:pPr>
              <w:keepNext w:val="0"/>
              <w:keepLines w:val="0"/>
              <w:pageBreakBefore w:val="0"/>
              <w:widowControl w:val="0"/>
              <w:kinsoku/>
              <w:wordWrap/>
              <w:overflowPunct/>
              <w:topLinePunct w:val="0"/>
              <w:bidi w:val="0"/>
              <w:adjustRightInd w:val="0"/>
              <w:snapToGrid/>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sym w:font="Wingdings 2" w:char="0052"/>
            </w:r>
            <w:r>
              <w:rPr>
                <w:rFonts w:hint="default" w:ascii="Times New Roman" w:hAnsi="Times New Roman" w:cs="Times New Roman"/>
                <w:color w:val="auto"/>
                <w:sz w:val="24"/>
                <w:szCs w:val="24"/>
                <w:highlight w:val="none"/>
              </w:rPr>
              <w:t>否</w:t>
            </w:r>
          </w:p>
          <w:p>
            <w:pPr>
              <w:ind w:right="63" w:rightChars="3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sym w:font="Wingdings 2" w:char="00A3"/>
            </w:r>
            <w:r>
              <w:rPr>
                <w:rFonts w:hint="default" w:ascii="Times New Roman" w:hAnsi="Times New Roman" w:cs="Times New Roman"/>
                <w:color w:val="auto"/>
                <w:sz w:val="24"/>
                <w:szCs w:val="24"/>
                <w:highlight w:val="none"/>
              </w:rPr>
              <w:t>是：</w:t>
            </w:r>
            <w:r>
              <w:rPr>
                <w:rFonts w:hint="default" w:ascii="Times New Roman" w:hAnsi="Times New Roman" w:cs="Times New Roman"/>
                <w:color w:val="auto"/>
                <w:sz w:val="24"/>
                <w:szCs w:val="24"/>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1047" w:type="pct"/>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专项评价设置情况</w:t>
            </w:r>
          </w:p>
        </w:tc>
        <w:tc>
          <w:tcPr>
            <w:tcW w:w="3952" w:type="pct"/>
            <w:gridSpan w:val="4"/>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8" w:hRule="atLeast"/>
        </w:trPr>
        <w:tc>
          <w:tcPr>
            <w:tcW w:w="1047" w:type="pct"/>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规划情况</w:t>
            </w:r>
          </w:p>
        </w:tc>
        <w:tc>
          <w:tcPr>
            <w:tcW w:w="3952" w:type="pct"/>
            <w:gridSpan w:val="4"/>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1047" w:type="pct"/>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规划环境影响</w:t>
            </w:r>
          </w:p>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评价情况</w:t>
            </w:r>
          </w:p>
        </w:tc>
        <w:tc>
          <w:tcPr>
            <w:tcW w:w="3952" w:type="pct"/>
            <w:gridSpan w:val="4"/>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47" w:type="pct"/>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规划及</w:t>
            </w:r>
            <w:r>
              <w:rPr>
                <w:rFonts w:hint="default" w:ascii="Times New Roman" w:hAnsi="Times New Roman" w:cs="Times New Roman"/>
                <w:color w:val="auto"/>
                <w:sz w:val="24"/>
                <w:szCs w:val="24"/>
              </w:rPr>
              <w:t>规划环境影响评价</w:t>
            </w:r>
            <w:r>
              <w:rPr>
                <w:rFonts w:hint="default" w:ascii="Times New Roman" w:hAnsi="Times New Roman" w:cs="Times New Roman"/>
                <w:color w:val="auto"/>
                <w:kern w:val="0"/>
                <w:sz w:val="24"/>
                <w:szCs w:val="24"/>
              </w:rPr>
              <w:t>符合性分析</w:t>
            </w:r>
          </w:p>
        </w:tc>
        <w:tc>
          <w:tcPr>
            <w:tcW w:w="3952" w:type="pct"/>
            <w:gridSpan w:val="4"/>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1047" w:type="pct"/>
            <w:tcMar>
              <w:top w:w="16" w:type="dxa"/>
              <w:left w:w="16" w:type="dxa"/>
              <w:right w:w="16" w:type="dxa"/>
            </w:tcMar>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bookmarkStart w:id="6" w:name="_Hlk56690880"/>
            <w:r>
              <w:rPr>
                <w:rFonts w:hint="default" w:ascii="Times New Roman" w:hAnsi="Times New Roman" w:cs="Times New Roman"/>
                <w:color w:val="auto"/>
                <w:kern w:val="0"/>
                <w:szCs w:val="21"/>
              </w:rPr>
              <w:t>其他符合性分析</w:t>
            </w:r>
            <w:bookmarkEnd w:id="6"/>
          </w:p>
        </w:tc>
        <w:tc>
          <w:tcPr>
            <w:tcW w:w="3952" w:type="pct"/>
            <w:gridSpan w:val="4"/>
            <w:tcMar>
              <w:top w:w="16" w:type="dxa"/>
              <w:left w:w="16" w:type="dxa"/>
              <w:right w:w="16" w:type="dxa"/>
            </w:tcMar>
            <w:vAlign w:val="center"/>
          </w:tcPr>
          <w:p>
            <w:pPr>
              <w:pStyle w:val="62"/>
              <w:keepNext w:val="0"/>
              <w:keepLines w:val="0"/>
              <w:pageBreakBefore w:val="0"/>
              <w:numPr>
                <w:ilvl w:val="0"/>
                <w:numId w:val="0"/>
              </w:numPr>
              <w:tabs>
                <w:tab w:val="left" w:pos="860"/>
              </w:tabs>
              <w:kinsoku/>
              <w:wordWrap/>
              <w:topLinePunct w:val="0"/>
              <w:bidi w:val="0"/>
              <w:spacing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rPr>
              <w:t>产业政策符合性分析</w:t>
            </w:r>
          </w:p>
          <w:p>
            <w:pPr>
              <w:keepNext w:val="0"/>
              <w:keepLines w:val="0"/>
              <w:pageBreakBefore w:val="0"/>
              <w:kinsoku/>
              <w:wordWrap/>
              <w:topLinePunct w:val="0"/>
              <w:bidi w:val="0"/>
              <w:spacing w:line="360" w:lineRule="auto"/>
              <w:ind w:left="63" w:leftChars="30" w:right="63" w:rightChars="3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根据《产业结构调整指导目录(2019年本)》（2021年修改），本项目为鼓励类中</w:t>
            </w:r>
            <w:r>
              <w:rPr>
                <w:rFonts w:hint="default" w:ascii="Times New Roman" w:hAnsi="Times New Roman" w:eastAsia="宋体" w:cs="Times New Roman"/>
                <w:color w:val="auto"/>
                <w:sz w:val="24"/>
                <w:szCs w:val="24"/>
                <w:lang w:val="en-US"/>
              </w:rPr>
              <w:t>“二、</w:t>
            </w:r>
            <w:r>
              <w:rPr>
                <w:rFonts w:hint="default" w:ascii="Times New Roman" w:hAnsi="Times New Roman" w:eastAsia="宋体" w:cs="Times New Roman"/>
                <w:color w:val="auto"/>
                <w:sz w:val="24"/>
                <w:szCs w:val="24"/>
              </w:rPr>
              <w:t>水利</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江河湖库清淤疏浚工程”，</w:t>
            </w:r>
            <w:r>
              <w:rPr>
                <w:rFonts w:hint="default" w:ascii="Times New Roman" w:hAnsi="Times New Roman" w:eastAsia="宋体" w:cs="Times New Roman"/>
                <w:color w:val="auto"/>
                <w:sz w:val="24"/>
                <w:szCs w:val="24"/>
                <w:lang w:val="en-US" w:eastAsia="zh-CN"/>
              </w:rPr>
              <w:t>因此，本项目符合国家产业政策</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eastAsia="zh-CN"/>
              </w:rPr>
              <w:t>。</w:t>
            </w:r>
          </w:p>
          <w:p>
            <w:pPr>
              <w:pStyle w:val="56"/>
              <w:keepNext w:val="0"/>
              <w:keepLines w:val="0"/>
              <w:pageBreakBefore w:val="0"/>
              <w:kinsoku/>
              <w:wordWrap/>
              <w:topLinePunct w:val="0"/>
              <w:bidi w:val="0"/>
              <w:snapToGrid w:val="0"/>
              <w:spacing w:line="360" w:lineRule="auto"/>
              <w:ind w:right="63" w:rightChars="30"/>
              <w:jc w:val="left"/>
              <w:rPr>
                <w:rStyle w:val="42"/>
                <w:rFonts w:hint="default" w:ascii="Times New Roman" w:hAnsi="Times New Roman" w:eastAsia="宋体" w:cs="Times New Roman"/>
                <w:bCs w:val="0"/>
                <w:color w:val="auto"/>
                <w:sz w:val="24"/>
                <w:szCs w:val="24"/>
              </w:rPr>
            </w:pPr>
            <w:bookmarkStart w:id="7" w:name="_Toc22172"/>
            <w:r>
              <w:rPr>
                <w:rStyle w:val="42"/>
                <w:rFonts w:hint="default" w:ascii="Times New Roman" w:hAnsi="Times New Roman" w:cs="Times New Roman"/>
                <w:bCs w:val="0"/>
                <w:color w:val="auto"/>
                <w:sz w:val="24"/>
                <w:szCs w:val="24"/>
                <w:lang w:val="en-US" w:eastAsia="zh-CN"/>
              </w:rPr>
              <w:t>2、</w:t>
            </w:r>
            <w:r>
              <w:rPr>
                <w:rStyle w:val="42"/>
                <w:rFonts w:hint="default" w:ascii="Times New Roman" w:hAnsi="Times New Roman" w:eastAsia="宋体" w:cs="Times New Roman"/>
                <w:bCs w:val="0"/>
                <w:color w:val="auto"/>
                <w:sz w:val="24"/>
                <w:szCs w:val="24"/>
              </w:rPr>
              <w:t>“三线一单”符合性分析</w:t>
            </w:r>
          </w:p>
          <w:bookmarkEnd w:id="7"/>
          <w:p>
            <w:pPr>
              <w:keepNext w:val="0"/>
              <w:keepLines w:val="0"/>
              <w:pageBreakBefore w:val="0"/>
              <w:kinsoku/>
              <w:wordWrap/>
              <w:topLinePunct w:val="0"/>
              <w:bidi w:val="0"/>
              <w:spacing w:line="360" w:lineRule="auto"/>
              <w:ind w:right="63" w:rightChars="30"/>
              <w:jc w:val="left"/>
              <w:rPr>
                <w:rStyle w:val="42"/>
                <w:rFonts w:hint="default" w:ascii="Times New Roman" w:hAnsi="Times New Roman" w:eastAsia="宋体" w:cs="Times New Roman"/>
                <w:b/>
                <w:bCs w:val="0"/>
                <w:color w:val="auto"/>
                <w:sz w:val="24"/>
                <w:szCs w:val="24"/>
                <w:u w:val="single"/>
              </w:rPr>
            </w:pPr>
            <w:bookmarkStart w:id="8" w:name="_Toc15210"/>
            <w:r>
              <w:rPr>
                <w:rStyle w:val="42"/>
                <w:rFonts w:hint="default" w:ascii="Times New Roman" w:hAnsi="Times New Roman" w:cs="Times New Roman"/>
                <w:b/>
                <w:bCs w:val="0"/>
                <w:color w:val="auto"/>
                <w:sz w:val="24"/>
                <w:szCs w:val="24"/>
                <w:u w:val="single"/>
                <w:lang w:val="en-US" w:eastAsia="zh-CN"/>
              </w:rPr>
              <w:t>2.1、</w:t>
            </w:r>
            <w:r>
              <w:rPr>
                <w:rStyle w:val="42"/>
                <w:rFonts w:hint="default" w:ascii="Times New Roman" w:hAnsi="Times New Roman" w:eastAsia="宋体" w:cs="Times New Roman"/>
                <w:b/>
                <w:bCs w:val="0"/>
                <w:color w:val="auto"/>
                <w:sz w:val="24"/>
                <w:szCs w:val="24"/>
                <w:u w:val="single"/>
              </w:rPr>
              <w:t>生态保护红线</w:t>
            </w:r>
          </w:p>
          <w:bookmarkEnd w:id="8"/>
          <w:p>
            <w:pPr>
              <w:keepNext w:val="0"/>
              <w:keepLines w:val="0"/>
              <w:pageBreakBefore w:val="0"/>
              <w:kinsoku/>
              <w:wordWrap/>
              <w:topLinePunct w:val="0"/>
              <w:bidi w:val="0"/>
              <w:spacing w:line="360" w:lineRule="auto"/>
              <w:ind w:left="63" w:leftChars="30" w:right="63" w:rightChars="30" w:firstLine="480" w:firstLineChars="200"/>
              <w:jc w:val="left"/>
              <w:rPr>
                <w:rFonts w:hint="default" w:ascii="Times New Roman" w:hAnsi="Times New Roman" w:eastAsia="宋体" w:cs="Times New Roman"/>
                <w:color w:val="auto"/>
                <w:sz w:val="24"/>
                <w:szCs w:val="24"/>
                <w:u w:val="single"/>
              </w:rPr>
            </w:pPr>
            <w:r>
              <w:rPr>
                <w:rFonts w:hint="default" w:ascii="Times New Roman" w:hAnsi="Times New Roman" w:cs="Times New Roman"/>
                <w:color w:val="auto"/>
                <w:kern w:val="0"/>
                <w:sz w:val="24"/>
                <w:u w:val="single"/>
              </w:rPr>
              <w:t>本项目位于</w:t>
            </w:r>
            <w:r>
              <w:rPr>
                <w:rFonts w:hint="default" w:ascii="Times New Roman" w:hAnsi="Times New Roman" w:eastAsia="宋体" w:cs="Times New Roman"/>
                <w:color w:val="auto"/>
                <w:sz w:val="24"/>
                <w:szCs w:val="24"/>
                <w:u w:val="single"/>
              </w:rPr>
              <w:t>岳阳市湘阴县</w:t>
            </w:r>
            <w:r>
              <w:rPr>
                <w:rFonts w:hint="default" w:ascii="Times New Roman" w:hAnsi="Times New Roman" w:cs="Times New Roman"/>
                <w:color w:val="auto"/>
                <w:sz w:val="24"/>
                <w:szCs w:val="24"/>
                <w:u w:val="single"/>
              </w:rPr>
              <w:t>石塘镇、东塘镇和三塘镇</w:t>
            </w:r>
            <w:r>
              <w:rPr>
                <w:rFonts w:hint="default" w:ascii="Times New Roman" w:hAnsi="Times New Roman" w:eastAsia="宋体" w:cs="Times New Roman"/>
                <w:color w:val="auto"/>
                <w:sz w:val="24"/>
                <w:szCs w:val="24"/>
                <w:u w:val="single"/>
              </w:rPr>
              <w:t>，</w:t>
            </w:r>
            <w:r>
              <w:rPr>
                <w:rFonts w:hint="default" w:ascii="Times New Roman" w:hAnsi="Times New Roman" w:cs="Times New Roman"/>
                <w:color w:val="auto"/>
                <w:kern w:val="0"/>
                <w:sz w:val="24"/>
                <w:u w:val="single"/>
              </w:rPr>
              <w:t>不在湘阴县划定的生态红线范围</w:t>
            </w:r>
            <w:r>
              <w:rPr>
                <w:rFonts w:hint="eastAsia" w:ascii="Times New Roman" w:hAnsi="Times New Roman" w:cs="Times New Roman"/>
                <w:color w:val="auto"/>
                <w:kern w:val="0"/>
                <w:sz w:val="24"/>
                <w:u w:val="single"/>
                <w:lang w:val="en-US" w:eastAsia="zh-CN"/>
              </w:rPr>
              <w:t>内</w:t>
            </w:r>
            <w:r>
              <w:rPr>
                <w:rFonts w:hint="default" w:ascii="Times New Roman" w:hAnsi="Times New Roman" w:cs="Times New Roman"/>
                <w:color w:val="auto"/>
                <w:kern w:val="0"/>
                <w:sz w:val="24"/>
                <w:u w:val="single"/>
              </w:rPr>
              <w:t>。项目不在自然保护区、饮用水源保护区等敏感区域内</w:t>
            </w:r>
            <w:r>
              <w:rPr>
                <w:rFonts w:hint="eastAsia" w:ascii="Times New Roman" w:hAnsi="Times New Roman" w:cs="Times New Roman"/>
                <w:color w:val="auto"/>
                <w:kern w:val="0"/>
                <w:sz w:val="24"/>
                <w:u w:val="single"/>
                <w:lang w:eastAsia="zh-CN"/>
              </w:rPr>
              <w:t>；</w:t>
            </w:r>
            <w:r>
              <w:rPr>
                <w:rFonts w:hint="eastAsia" w:ascii="Times New Roman" w:hAnsi="Times New Roman" w:cs="Times New Roman"/>
                <w:color w:val="auto"/>
                <w:kern w:val="0"/>
                <w:sz w:val="24"/>
                <w:u w:val="single"/>
                <w:lang w:val="en-US" w:eastAsia="zh-CN"/>
              </w:rPr>
              <w:t>本项目设置5个临时堆场，根据湘阴县自然资源局“三区三线”划定成果查询结果（见附图5），项目临时用地未占用基本农田。因此，本项目</w:t>
            </w:r>
            <w:r>
              <w:rPr>
                <w:rFonts w:hint="default" w:ascii="Times New Roman" w:hAnsi="Times New Roman" w:cs="Times New Roman"/>
                <w:color w:val="auto"/>
                <w:kern w:val="0"/>
                <w:sz w:val="24"/>
                <w:u w:val="single"/>
              </w:rPr>
              <w:t>符合生态保护红线要求。</w:t>
            </w:r>
          </w:p>
          <w:p>
            <w:pPr>
              <w:keepNext w:val="0"/>
              <w:keepLines w:val="0"/>
              <w:pageBreakBefore w:val="0"/>
              <w:kinsoku/>
              <w:wordWrap/>
              <w:topLinePunct w:val="0"/>
              <w:bidi w:val="0"/>
              <w:spacing w:line="360" w:lineRule="auto"/>
              <w:ind w:right="63" w:rightChars="30"/>
              <w:jc w:val="left"/>
              <w:rPr>
                <w:rStyle w:val="42"/>
                <w:rFonts w:hint="default" w:ascii="Times New Roman" w:hAnsi="Times New Roman" w:eastAsia="宋体" w:cs="Times New Roman"/>
                <w:b/>
                <w:bCs w:val="0"/>
                <w:color w:val="auto"/>
                <w:sz w:val="24"/>
                <w:szCs w:val="24"/>
              </w:rPr>
            </w:pPr>
            <w:bookmarkStart w:id="9" w:name="_Toc23266"/>
            <w:r>
              <w:rPr>
                <w:rStyle w:val="42"/>
                <w:rFonts w:hint="default" w:ascii="Times New Roman" w:hAnsi="Times New Roman" w:cs="Times New Roman"/>
                <w:b/>
                <w:bCs w:val="0"/>
                <w:color w:val="auto"/>
                <w:sz w:val="24"/>
                <w:szCs w:val="24"/>
                <w:lang w:val="en-US" w:eastAsia="zh-CN"/>
              </w:rPr>
              <w:t>2.2、</w:t>
            </w:r>
            <w:r>
              <w:rPr>
                <w:rStyle w:val="42"/>
                <w:rFonts w:hint="default" w:ascii="Times New Roman" w:hAnsi="Times New Roman" w:eastAsia="宋体" w:cs="Times New Roman"/>
                <w:b/>
                <w:bCs w:val="0"/>
                <w:color w:val="auto"/>
                <w:sz w:val="24"/>
                <w:szCs w:val="24"/>
              </w:rPr>
              <w:t>环境质量底线</w:t>
            </w:r>
          </w:p>
          <w:bookmarkEnd w:id="9"/>
          <w:p>
            <w:pPr>
              <w:pStyle w:val="14"/>
              <w:keepNext w:val="0"/>
              <w:keepLines w:val="0"/>
              <w:pageBreakBefore w:val="0"/>
              <w:kinsoku/>
              <w:wordWrap/>
              <w:overflowPunct/>
              <w:topLinePunct w:val="0"/>
              <w:bidi w:val="0"/>
              <w:spacing w:before="0" w:after="0" w:line="360" w:lineRule="auto"/>
              <w:ind w:right="0" w:firstLine="480" w:firstLineChars="200"/>
              <w:textAlignment w:val="auto"/>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lang w:val="en-US" w:eastAsia="zh-CN"/>
              </w:rPr>
              <w:t>根据</w:t>
            </w:r>
            <w:r>
              <w:rPr>
                <w:rFonts w:hint="default" w:ascii="Times New Roman" w:hAnsi="Times New Roman" w:cs="Times New Roman"/>
                <w:color w:val="auto"/>
                <w:sz w:val="24"/>
                <w:szCs w:val="24"/>
              </w:rPr>
              <w:t>岳阳市生态环境局湘阴分局发布的《202</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1月--</w:t>
            </w:r>
            <w:r>
              <w:rPr>
                <w:rFonts w:hint="default" w:ascii="Times New Roman" w:hAnsi="Times New Roman" w:cs="Times New Roman"/>
                <w:color w:val="auto"/>
                <w:sz w:val="24"/>
                <w:szCs w:val="24"/>
              </w:rPr>
              <w:t>12月空气</w:t>
            </w:r>
            <w:r>
              <w:rPr>
                <w:rFonts w:hint="default" w:ascii="Times New Roman" w:hAnsi="Times New Roman" w:cs="Times New Roman"/>
                <w:color w:val="auto"/>
                <w:sz w:val="24"/>
                <w:szCs w:val="24"/>
                <w:lang w:val="en-US" w:eastAsia="zh-CN"/>
              </w:rPr>
              <w:t>质量</w:t>
            </w:r>
            <w:r>
              <w:rPr>
                <w:rFonts w:hint="default" w:ascii="Times New Roman" w:hAnsi="Times New Roman" w:cs="Times New Roman"/>
                <w:color w:val="auto"/>
                <w:sz w:val="24"/>
                <w:szCs w:val="24"/>
              </w:rPr>
              <w:t>报表》</w:t>
            </w:r>
            <w:r>
              <w:rPr>
                <w:rFonts w:hint="default" w:ascii="Times New Roman" w:hAnsi="Times New Roman" w:eastAsia="宋体" w:cs="Times New Roman"/>
                <w:color w:val="auto"/>
                <w:sz w:val="24"/>
                <w:szCs w:val="24"/>
                <w:u w:val="none"/>
                <w:lang w:val="en-US" w:eastAsia="zh-CN"/>
              </w:rPr>
              <w:t>，</w:t>
            </w:r>
            <w:r>
              <w:rPr>
                <w:rFonts w:hint="default" w:ascii="Times New Roman" w:hAnsi="Times New Roman" w:cs="Times New Roman"/>
                <w:color w:val="auto"/>
                <w:sz w:val="24"/>
                <w:szCs w:val="24"/>
                <w:u w:val="none"/>
              </w:rPr>
              <w:t>项目</w:t>
            </w:r>
            <w:r>
              <w:rPr>
                <w:rFonts w:hint="eastAsia" w:ascii="Times New Roman" w:hAnsi="Times New Roman" w:cs="Times New Roman"/>
                <w:color w:val="auto"/>
                <w:sz w:val="24"/>
                <w:szCs w:val="24"/>
                <w:u w:val="none"/>
                <w:lang w:val="en-US" w:eastAsia="zh-CN"/>
              </w:rPr>
              <w:t>区</w:t>
            </w:r>
            <w:r>
              <w:rPr>
                <w:rFonts w:hint="default" w:ascii="Times New Roman" w:hAnsi="Times New Roman" w:cs="Times New Roman"/>
                <w:color w:val="auto"/>
                <w:sz w:val="24"/>
                <w:szCs w:val="24"/>
                <w:u w:val="none"/>
              </w:rPr>
              <w:t>二氧化硫、二氧化氮、O</w:t>
            </w:r>
            <w:r>
              <w:rPr>
                <w:rFonts w:hint="default" w:ascii="Times New Roman" w:hAnsi="Times New Roman" w:cs="Times New Roman"/>
                <w:color w:val="auto"/>
                <w:sz w:val="24"/>
                <w:szCs w:val="24"/>
                <w:u w:val="none"/>
                <w:vertAlign w:val="subscript"/>
              </w:rPr>
              <w:t>3</w:t>
            </w:r>
            <w:r>
              <w:rPr>
                <w:rFonts w:hint="default" w:ascii="Times New Roman" w:hAnsi="Times New Roman" w:cs="Times New Roman"/>
                <w:color w:val="auto"/>
                <w:sz w:val="24"/>
                <w:szCs w:val="24"/>
                <w:u w:val="none"/>
              </w:rPr>
              <w:t>、CO、PM</w:t>
            </w:r>
            <w:r>
              <w:rPr>
                <w:rFonts w:hint="default" w:ascii="Times New Roman" w:hAnsi="Times New Roman" w:cs="Times New Roman"/>
                <w:color w:val="auto"/>
                <w:sz w:val="24"/>
                <w:szCs w:val="24"/>
                <w:u w:val="none"/>
                <w:vertAlign w:val="subscript"/>
              </w:rPr>
              <w:t>2.5</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PM</w:t>
            </w:r>
            <w:r>
              <w:rPr>
                <w:rFonts w:hint="default" w:ascii="Times New Roman" w:hAnsi="Times New Roman" w:cs="Times New Roman"/>
                <w:color w:val="auto"/>
                <w:sz w:val="24"/>
                <w:szCs w:val="24"/>
                <w:u w:val="none"/>
                <w:vertAlign w:val="subscript"/>
              </w:rPr>
              <w:t>10</w:t>
            </w:r>
            <w:r>
              <w:rPr>
                <w:rFonts w:hint="default" w:ascii="Times New Roman" w:hAnsi="Times New Roman" w:cs="Times New Roman"/>
                <w:color w:val="auto"/>
                <w:sz w:val="24"/>
                <w:szCs w:val="24"/>
                <w:u w:val="none"/>
              </w:rPr>
              <w:t>均能满足《环境空气质量标准》（GB3095-2012）</w:t>
            </w:r>
            <w:r>
              <w:rPr>
                <w:rFonts w:hint="default" w:ascii="Times New Roman" w:hAnsi="Times New Roman" w:eastAsia="宋体" w:cs="Times New Roman"/>
                <w:color w:val="auto"/>
                <w:sz w:val="24"/>
                <w:szCs w:val="24"/>
              </w:rPr>
              <w:t>二级标准</w:t>
            </w:r>
            <w:r>
              <w:rPr>
                <w:rFonts w:hint="default" w:ascii="Times New Roman" w:hAnsi="Times New Roman" w:cs="Times New Roman"/>
                <w:color w:val="auto"/>
                <w:sz w:val="24"/>
                <w:szCs w:val="24"/>
                <w:u w:val="none"/>
              </w:rPr>
              <w:t>的要求，属于达标区</w:t>
            </w:r>
            <w:r>
              <w:rPr>
                <w:rFonts w:hint="default" w:ascii="Times New Roman" w:hAnsi="Times New Roman" w:cs="Times New Roman"/>
                <w:color w:val="auto"/>
                <w:sz w:val="24"/>
                <w:szCs w:val="24"/>
                <w:u w:val="none"/>
                <w:lang w:eastAsia="zh-CN"/>
              </w:rPr>
              <w:t>。</w:t>
            </w:r>
          </w:p>
          <w:p>
            <w:pPr>
              <w:keepNext w:val="0"/>
              <w:keepLines w:val="0"/>
              <w:pageBreakBefore w:val="0"/>
              <w:kinsoku/>
              <w:wordWrap/>
              <w:topLinePunct w:val="0"/>
              <w:bidi w:val="0"/>
              <w:spacing w:line="360" w:lineRule="auto"/>
              <w:ind w:left="63" w:leftChars="30" w:right="63" w:rightChars="3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地表水体主要为湘阴县白泥湖、范家坝、三汊港南湖，由现状监测数据可知，W1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白泥湖</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范家坝湖</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、W3</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范家坝湖</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三汊港湖</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监测断面中化学需氧量、总氮、悬浮物、五日生化需氧量均超标，W1监测断面中阴离子表面活性剂超标，W2监测断面中总氮、总磷超标，其余监测因子均满足《地表水环境质量标准》(GB3838-2002) Ⅲ类标准的要求。</w:t>
            </w:r>
          </w:p>
          <w:p>
            <w:pPr>
              <w:keepNext w:val="0"/>
              <w:keepLines w:val="0"/>
              <w:pageBreakBefore w:val="0"/>
              <w:kinsoku/>
              <w:wordWrap/>
              <w:topLinePunct w:val="0"/>
              <w:bidi w:val="0"/>
              <w:spacing w:line="360" w:lineRule="auto"/>
              <w:ind w:left="63" w:leftChars="30" w:right="63" w:rightChars="3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项目各噪声监测点噪声监测指标均符合《声环境质量标准》（GB3096-2008）2类标准要求。</w:t>
            </w:r>
          </w:p>
          <w:p>
            <w:pPr>
              <w:keepNext w:val="0"/>
              <w:keepLines w:val="0"/>
              <w:pageBreakBefore w:val="0"/>
              <w:kinsoku/>
              <w:wordWrap/>
              <w:topLinePunct w:val="0"/>
              <w:bidi w:val="0"/>
              <w:spacing w:line="360" w:lineRule="auto"/>
              <w:ind w:right="63" w:rightChars="3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由底泥现状监测数据可知，各项监测因子均能满足《土壤环境质量标准 农用地土壤污染风险管控标准(试行)》</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GB15618-2018</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表</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中的筛选值，当地底泥土壤环境总体良好。</w:t>
            </w:r>
          </w:p>
          <w:p>
            <w:pPr>
              <w:keepNext w:val="0"/>
              <w:keepLines w:val="0"/>
              <w:pageBreakBefore w:val="0"/>
              <w:kinsoku/>
              <w:wordWrap/>
              <w:topLinePunct w:val="0"/>
              <w:bidi w:val="0"/>
              <w:spacing w:line="360" w:lineRule="auto"/>
              <w:ind w:left="63" w:leftChars="30" w:right="63" w:rightChars="3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本项目属于生态影响型项目，营运期工程本身不产生污染物，本项目建设后有利于改善范家坝湖、白泥湖</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三汊港湖的</w:t>
            </w:r>
            <w:r>
              <w:rPr>
                <w:rFonts w:hint="default" w:ascii="Times New Roman" w:hAnsi="Times New Roman" w:eastAsia="宋体" w:cs="Times New Roman"/>
                <w:color w:val="auto"/>
                <w:sz w:val="24"/>
                <w:szCs w:val="24"/>
              </w:rPr>
              <w:t>水环境质量，改善人居环境和促进范家坝湖、白泥湖</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三汊港湖</w:t>
            </w:r>
            <w:r>
              <w:rPr>
                <w:rFonts w:hint="default" w:ascii="Times New Roman" w:hAnsi="Times New Roman" w:eastAsia="宋体" w:cs="Times New Roman"/>
                <w:color w:val="auto"/>
                <w:sz w:val="24"/>
                <w:szCs w:val="24"/>
              </w:rPr>
              <w:t>生态健康发展，能够有效截留污染物入河、增强湖区水系连通，改善湖区水质，推进湘江水环境治理与生态保护，落实长江经济带绿色发展，为乡镇经济与社会发展奠定了良好的基础，具有良好的社会效益。</w:t>
            </w:r>
          </w:p>
          <w:p>
            <w:pPr>
              <w:keepNext w:val="0"/>
              <w:keepLines w:val="0"/>
              <w:pageBreakBefore w:val="0"/>
              <w:kinsoku/>
              <w:wordWrap/>
              <w:topLinePunct w:val="0"/>
              <w:bidi w:val="0"/>
              <w:spacing w:line="360" w:lineRule="auto"/>
              <w:ind w:right="63" w:rightChars="30"/>
              <w:jc w:val="left"/>
              <w:rPr>
                <w:rStyle w:val="42"/>
                <w:rFonts w:hint="default" w:ascii="Times New Roman" w:hAnsi="Times New Roman" w:eastAsia="宋体" w:cs="Times New Roman"/>
                <w:b/>
                <w:bCs w:val="0"/>
                <w:color w:val="auto"/>
                <w:sz w:val="24"/>
                <w:szCs w:val="24"/>
              </w:rPr>
            </w:pPr>
            <w:bookmarkStart w:id="10" w:name="_Toc3522"/>
            <w:r>
              <w:rPr>
                <w:rStyle w:val="42"/>
                <w:rFonts w:hint="default" w:ascii="Times New Roman" w:hAnsi="Times New Roman" w:cs="Times New Roman"/>
                <w:b/>
                <w:bCs w:val="0"/>
                <w:color w:val="auto"/>
                <w:sz w:val="24"/>
                <w:szCs w:val="24"/>
                <w:lang w:val="en-US" w:eastAsia="zh-CN"/>
              </w:rPr>
              <w:t>2.3、</w:t>
            </w:r>
            <w:r>
              <w:rPr>
                <w:rStyle w:val="42"/>
                <w:rFonts w:hint="default" w:ascii="Times New Roman" w:hAnsi="Times New Roman" w:eastAsia="宋体" w:cs="Times New Roman"/>
                <w:b/>
                <w:bCs w:val="0"/>
                <w:color w:val="auto"/>
                <w:sz w:val="24"/>
                <w:szCs w:val="24"/>
              </w:rPr>
              <w:t>资源利用上线</w:t>
            </w:r>
          </w:p>
          <w:bookmarkEnd w:id="10"/>
          <w:p>
            <w:pPr>
              <w:keepNext w:val="0"/>
              <w:keepLines w:val="0"/>
              <w:pageBreakBefore w:val="0"/>
              <w:kinsoku/>
              <w:wordWrap/>
              <w:topLinePunct w:val="0"/>
              <w:bidi w:val="0"/>
              <w:spacing w:line="360" w:lineRule="auto"/>
              <w:ind w:left="63" w:leftChars="30" w:right="63" w:rightChars="3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本项目为</w:t>
            </w:r>
            <w:r>
              <w:rPr>
                <w:rFonts w:hint="default" w:ascii="Times New Roman" w:hAnsi="Times New Roman" w:cs="Times New Roman"/>
                <w:color w:val="auto"/>
                <w:sz w:val="24"/>
                <w:szCs w:val="24"/>
              </w:rPr>
              <w:t>湘阴县农村内河内湖功能修复工程（白泥湖、范家坝湖及三汊港湖）</w:t>
            </w:r>
            <w:r>
              <w:rPr>
                <w:rFonts w:hint="default" w:ascii="Times New Roman" w:hAnsi="Times New Roman" w:eastAsia="宋体" w:cs="Times New Roman"/>
                <w:color w:val="auto"/>
                <w:sz w:val="24"/>
                <w:szCs w:val="24"/>
              </w:rPr>
              <w:t>，无资源消耗；项目不占用基本农田，土地资源消耗符合要求。</w:t>
            </w:r>
          </w:p>
          <w:p>
            <w:pPr>
              <w:keepNext w:val="0"/>
              <w:keepLines w:val="0"/>
              <w:pageBreakBefore w:val="0"/>
              <w:kinsoku/>
              <w:wordWrap/>
              <w:topLinePunct w:val="0"/>
              <w:bidi w:val="0"/>
              <w:spacing w:line="360" w:lineRule="auto"/>
              <w:ind w:right="63" w:rightChars="30"/>
              <w:jc w:val="left"/>
              <w:rPr>
                <w:rStyle w:val="42"/>
                <w:rFonts w:hint="default" w:ascii="Times New Roman" w:hAnsi="Times New Roman" w:eastAsia="宋体" w:cs="Times New Roman"/>
                <w:b/>
                <w:bCs w:val="0"/>
                <w:color w:val="auto"/>
                <w:sz w:val="24"/>
                <w:szCs w:val="24"/>
              </w:rPr>
            </w:pPr>
            <w:bookmarkStart w:id="11" w:name="_Toc4213"/>
            <w:r>
              <w:rPr>
                <w:rStyle w:val="42"/>
                <w:rFonts w:hint="default" w:ascii="Times New Roman" w:hAnsi="Times New Roman" w:cs="Times New Roman"/>
                <w:b/>
                <w:bCs w:val="0"/>
                <w:color w:val="auto"/>
                <w:sz w:val="24"/>
                <w:szCs w:val="24"/>
                <w:lang w:val="en-US" w:eastAsia="zh-CN"/>
              </w:rPr>
              <w:t>2.4、</w:t>
            </w:r>
            <w:r>
              <w:rPr>
                <w:rStyle w:val="42"/>
                <w:rFonts w:hint="default" w:ascii="Times New Roman" w:hAnsi="Times New Roman" w:eastAsia="宋体" w:cs="Times New Roman"/>
                <w:b/>
                <w:bCs w:val="0"/>
                <w:color w:val="auto"/>
                <w:sz w:val="24"/>
                <w:szCs w:val="24"/>
              </w:rPr>
              <w:t>环境准入负面清单</w:t>
            </w:r>
          </w:p>
          <w:bookmarkEnd w:id="11"/>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本项目属于</w:t>
            </w:r>
            <w:r>
              <w:rPr>
                <w:rFonts w:hint="default" w:ascii="Times New Roman" w:hAnsi="Times New Roman" w:cs="Times New Roman"/>
                <w:color w:val="auto"/>
                <w:sz w:val="24"/>
                <w:szCs w:val="24"/>
              </w:rPr>
              <w:t>河湖整治</w:t>
            </w:r>
            <w:r>
              <w:rPr>
                <w:rFonts w:hint="default" w:ascii="Times New Roman" w:hAnsi="Times New Roman" w:cs="Times New Roman"/>
                <w:color w:val="auto"/>
                <w:sz w:val="24"/>
                <w:szCs w:val="24"/>
                <w:lang w:val="en-US" w:eastAsia="zh-CN"/>
              </w:rPr>
              <w:t>工程</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符合国家产业政策，不在《湖南省国家重点生态功能区产业准入负面清单（试行）》（2016年）及《湖南省新增19个国家重点生态功能区产业准入负面清单（试行）》（2018年）里。</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综上所述，本项目符合“三线一单”（即生态红线、环境质量底线、资源利用上线及环境准入负面清单）的相关要求。</w:t>
            </w:r>
          </w:p>
          <w:p>
            <w:pPr>
              <w:keepNext w:val="0"/>
              <w:keepLines w:val="0"/>
              <w:pageBreakBefore w:val="0"/>
              <w:kinsoku/>
              <w:wordWrap/>
              <w:topLinePunct w:val="0"/>
              <w:bidi w:val="0"/>
              <w:spacing w:line="360" w:lineRule="auto"/>
              <w:ind w:right="63" w:rightChars="30"/>
              <w:jc w:val="left"/>
              <w:rPr>
                <w:rStyle w:val="42"/>
                <w:rFonts w:hint="default" w:ascii="Times New Roman" w:hAnsi="Times New Roman" w:eastAsia="宋体" w:cs="Times New Roman"/>
                <w:b/>
                <w:bCs w:val="0"/>
                <w:color w:val="auto"/>
                <w:sz w:val="24"/>
                <w:szCs w:val="24"/>
              </w:rPr>
            </w:pPr>
            <w:bookmarkStart w:id="12" w:name="_Toc2262"/>
            <w:r>
              <w:rPr>
                <w:rStyle w:val="42"/>
                <w:rFonts w:hint="default" w:ascii="Times New Roman" w:hAnsi="Times New Roman" w:cs="Times New Roman"/>
                <w:b/>
                <w:bCs w:val="0"/>
                <w:color w:val="auto"/>
                <w:sz w:val="24"/>
                <w:szCs w:val="24"/>
                <w:lang w:val="en-US" w:eastAsia="zh-CN"/>
              </w:rPr>
              <w:t>3、</w:t>
            </w:r>
            <w:r>
              <w:rPr>
                <w:rStyle w:val="42"/>
                <w:rFonts w:hint="default" w:ascii="Times New Roman" w:hAnsi="Times New Roman" w:eastAsia="宋体" w:cs="Times New Roman"/>
                <w:b/>
                <w:bCs w:val="0"/>
                <w:color w:val="auto"/>
                <w:sz w:val="24"/>
                <w:szCs w:val="24"/>
              </w:rPr>
              <w:t>与《岳阳市人民政府关于实施岳阳市“三线一单”生态环境分区管控的意见（岳政发〔2021〕2号）》的相符性分析</w:t>
            </w:r>
          </w:p>
          <w:bookmarkEnd w:id="12"/>
          <w:p>
            <w:pPr>
              <w:keepNext w:val="0"/>
              <w:keepLines w:val="0"/>
              <w:pageBreakBefore w:val="0"/>
              <w:kinsoku/>
              <w:wordWrap/>
              <w:topLinePunct w:val="0"/>
              <w:autoSpaceDE w:val="0"/>
              <w:autoSpaceDN w:val="0"/>
              <w:bidi w:val="0"/>
              <w:adjustRightInd w:val="0"/>
              <w:snapToGrid w:val="0"/>
              <w:spacing w:line="360" w:lineRule="auto"/>
              <w:ind w:left="63" w:leftChars="30" w:right="63" w:rightChars="30"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2021年2月1日，岳阳市人民政府印发了《岳阳市人民政府关于实施岳阳市“三线一单”生态环境分区管控的意见（岳政发〔2021〕2号）》。文件中对岳阳市湘阴县东塘镇/三塘镇</w:t>
            </w:r>
            <w:r>
              <w:rPr>
                <w:rFonts w:hint="eastAsia" w:ascii="Times New Roman" w:hAnsi="Times New Roman" w:cs="Times New Roman"/>
                <w:color w:val="auto"/>
                <w:kern w:val="0"/>
                <w:sz w:val="24"/>
                <w:szCs w:val="24"/>
                <w:lang w:val="en-US" w:eastAsia="zh-CN"/>
              </w:rPr>
              <w:t>/石塘镇（从文星镇分出）</w:t>
            </w:r>
            <w:r>
              <w:rPr>
                <w:rFonts w:hint="default" w:ascii="Times New Roman" w:hAnsi="Times New Roman" w:eastAsia="宋体" w:cs="Times New Roman"/>
                <w:color w:val="auto"/>
                <w:kern w:val="0"/>
                <w:sz w:val="24"/>
                <w:szCs w:val="24"/>
              </w:rPr>
              <w:t>管控要求及符合性分析具体如下：</w:t>
            </w:r>
          </w:p>
          <w:p>
            <w:pPr>
              <w:spacing w:line="360" w:lineRule="auto"/>
              <w:ind w:left="63" w:leftChars="30" w:right="63" w:rightChars="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表1-1  湘阴县东塘镇/三塘镇环境管控单元生态环境准入清单符合性分析</w:t>
            </w:r>
          </w:p>
          <w:tbl>
            <w:tblPr>
              <w:tblStyle w:val="25"/>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616"/>
              <w:gridCol w:w="2068"/>
              <w:gridCol w:w="203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乡镇</w:t>
                  </w:r>
                </w:p>
              </w:tc>
              <w:tc>
                <w:tcPr>
                  <w:tcW w:w="11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单元分类</w:t>
                  </w:r>
                </w:p>
              </w:tc>
              <w:tc>
                <w:tcPr>
                  <w:tcW w:w="1483"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经济产业布局</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主要环境问题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湖南省岳阳市湘阴县东塘镇/三塘镇</w:t>
                  </w:r>
                </w:p>
              </w:tc>
              <w:tc>
                <w:tcPr>
                  <w:tcW w:w="11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一般管控单元</w:t>
                  </w:r>
                </w:p>
              </w:tc>
              <w:tc>
                <w:tcPr>
                  <w:tcW w:w="1483" w:type="pct"/>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东塘：以规模农业(水果)为主导的现代农业型城镇</w:t>
                  </w:r>
                </w:p>
                <w:p>
                  <w:pPr>
                    <w:pStyle w:val="14"/>
                    <w:jc w:val="both"/>
                    <w:rPr>
                      <w:rFonts w:hint="default" w:ascii="Times New Roman" w:hAnsi="Times New Roman" w:cs="Times New Roman"/>
                      <w:color w:val="auto"/>
                    </w:rPr>
                  </w:pPr>
                  <w:r>
                    <w:rPr>
                      <w:rFonts w:hint="default" w:ascii="Times New Roman" w:hAnsi="Times New Roman" w:cs="Times New Roman"/>
                      <w:color w:val="auto"/>
                      <w:sz w:val="21"/>
                      <w:szCs w:val="21"/>
                    </w:rPr>
                    <w:t>三塘镇：长株潭外港枢纽，长株潭地区重要的临港产业基地，辅以生态文化旅游、特色农业(菖头)综合发展</w:t>
                  </w:r>
                </w:p>
              </w:tc>
              <w:tc>
                <w:tcPr>
                  <w:tcW w:w="1460" w:type="pct"/>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东塘镇：存在垃圾露天堆存现象；施工扬尘较大；畜禽养殖污染等农业面源污染；居民生活污水直排</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三塘镇：因藠头粗加工造成废水和固废污染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管控维度</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管控要求</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空间布局</w:t>
                  </w:r>
                  <w:r>
                    <w:rPr>
                      <w:rFonts w:hint="default" w:ascii="Times New Roman" w:hAnsi="Times New Roman" w:cs="Times New Roman"/>
                      <w:color w:val="auto"/>
                      <w:kern w:val="0"/>
                      <w:szCs w:val="21"/>
                      <w:lang w:val="en-US" w:eastAsia="zh-CN"/>
                    </w:rPr>
                    <w:t>约束</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 严格执行养殖业禁养区、限养区、适养区的划分规定，严格把关养殖项目审批，不得在禁养区、限养区新批任何畜禽养殖项目</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 禁止露天焚烧垃圾和垃圾填埋，全面推行农村垃圾分类收集处理，逐步实现农村生活垃圾处理减量化、处置无害化、废物资源化</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1.3 禁止造成饮用水源保护区污染的活动，包括投肥养鱼、珍珠养殖、游泳、破坏植被等</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本项目为河湖整治项目，为环境治理工程，不属于养殖业、垃圾填埋项目，不涉及饮用水源。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污染物排放管控</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2.1城市建成区内的施工工地（重点是市政工程、建筑工地和园林绿化工程等工地）按照绿色建筑施工要求，做到“六个100%”。加大执法力度，对工地扬尘污染和渣土运输撒漏污染等行为“零容忍”，严查严管建筑工地、建筑垃圾处置工地、建筑垃圾消纳场扬尘污染问题，对车轮带泥、车身不洁、沿途撒漏、乱倾乱倒等造成路面及扬尘污染的违规行为依法严肃查处</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2.2加强化肥、农药、农膜污染防治，引导农民减少化肥、农药使用量，积极推广有机肥使用、生物农药、振频杀虫、诱蛾灯杀虫等生态农业技术，控制农业面源污染</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2.3强化配套，加快完善乡村两级垃圾处理基础设施，建设村（社区）垃圾定点收集池、垃圾堆积池、垃圾危险废物专用房屋（池）等基础设施，配备好垃圾车、保洁车等垃圾运输工具，农户配齐垃圾分类桶</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2.4分批次建好集镇污水处理设施，逐步解决集中生活区污水污染问题；加快建设三格、四格化粪池，解决分散户生活污水问题</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2.5严格规范兽药、饲料及饲料添加剂的生产和使用，从源头防止兽药、饲料添加剂中的有害成分通过畜禽养殖废弃物还田对土壤造成的污染</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畜禽粪污污染整治应按照“干湿分离+雨污分流”的要求，采用干清粪工艺和粪污生物发酵处理利用模式处理粪污，须配套建设堆粪场、粪污水贮存池和铺设排污管道。干粪运至堆粪场好氧发酵，粪渣、尿、污水通过排污管道排入粪污水贮存池（或沼气池）厌氧发酵，贮存池内的粪污水不得向外排放，应就地或转运至其他农用地消纳，并签订粪污消纳协议</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1460" w:type="pct"/>
                  <w:tcBorders>
                    <w:tl2br w:val="nil"/>
                    <w:tr2bl w:val="nil"/>
                  </w:tcBorders>
                  <w:vAlign w:val="center"/>
                </w:tcPr>
                <w:p>
                  <w:pPr>
                    <w:autoSpaceDE w:val="0"/>
                    <w:autoSpaceDN w:val="0"/>
                    <w:adjustRightInd w:val="0"/>
                    <w:snapToGrid w:val="0"/>
                    <w:ind w:right="63" w:rightChars="30"/>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本项目施工期施工现场扬尘</w:t>
                  </w:r>
                  <w:r>
                    <w:rPr>
                      <w:rFonts w:hint="default" w:ascii="Times New Roman" w:hAnsi="Times New Roman" w:cs="Times New Roman"/>
                      <w:color w:val="auto"/>
                      <w:kern w:val="0"/>
                      <w:szCs w:val="21"/>
                      <w:lang w:val="en-US" w:eastAsia="zh-CN"/>
                    </w:rPr>
                    <w:t>加强</w:t>
                  </w:r>
                  <w:r>
                    <w:rPr>
                      <w:rFonts w:hint="default" w:ascii="Times New Roman" w:hAnsi="Times New Roman" w:cs="Times New Roman"/>
                      <w:color w:val="auto"/>
                      <w:kern w:val="0"/>
                      <w:szCs w:val="21"/>
                    </w:rPr>
                    <w:t>监管，积极推进绿色施工，工程施工现场设置全封闭围挡墙，严禁敞开式作业，施工现场道路、作业区、生活区地面进行硬化。将施工扬尘污染控制情况纳入建筑企业信用管理系统，作为招投标的重要依据。渣土运输车辆全部采取密闭措施。料堆建设有防风抑尘设施</w:t>
                  </w:r>
                  <w:r>
                    <w:rPr>
                      <w:rFonts w:hint="default" w:ascii="Times New Roman" w:hAnsi="Times New Roman" w:cs="Times New Roman"/>
                      <w:color w:val="auto"/>
                      <w:kern w:val="0"/>
                      <w:szCs w:val="21"/>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环境风险防控</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3.1探索采用PPP等市场化模式，引入第三方参与运行管理，鼓励社会投资建设污水处理厂，将管护权、收益权划归社会投资者，解决农村污水治理问题</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3.2开展饮用水源地周边土壤环境质量调查，掌握饮用水源地周边土壤环境质量状况及其潜在环境风险情况</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3.3对生活饮用水集中式供水单位供水水质按国家相关要求进行行业自检和监督监测，所有市政供水安全状况按国家要求每季度进行公开</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本项目不涉及风险防控情景。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rPr>
                  </w:pPr>
                  <w:r>
                    <w:rPr>
                      <w:rFonts w:hint="default" w:ascii="Times New Roman" w:hAnsi="Times New Roman" w:cs="Times New Roman"/>
                      <w:color w:val="auto"/>
                    </w:rPr>
                    <w:t>资源开发效率要求</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rPr>
                  </w:pPr>
                  <w:r>
                    <w:rPr>
                      <w:rFonts w:hint="default" w:ascii="Times New Roman" w:hAnsi="Times New Roman" w:cs="Times New Roman"/>
                      <w:color w:val="auto"/>
                    </w:rPr>
                    <w:t>4.1水资源：2020年，湘阴县万元国内生产总值用水量75m</w:t>
                  </w:r>
                  <w:r>
                    <w:rPr>
                      <w:rFonts w:hint="default" w:ascii="Times New Roman" w:hAnsi="Times New Roman" w:cs="Times New Roman"/>
                      <w:color w:val="auto"/>
                      <w:vertAlign w:val="superscript"/>
                    </w:rPr>
                    <w:t>3</w:t>
                  </w:r>
                  <w:r>
                    <w:rPr>
                      <w:rFonts w:hint="default" w:ascii="Times New Roman" w:hAnsi="Times New Roman" w:cs="Times New Roman"/>
                      <w:color w:val="auto"/>
                    </w:rPr>
                    <w:t>/万元，万元工业增加值用水量28m</w:t>
                  </w:r>
                  <w:r>
                    <w:rPr>
                      <w:rFonts w:hint="default" w:ascii="Times New Roman" w:hAnsi="Times New Roman" w:cs="Times New Roman"/>
                      <w:color w:val="auto"/>
                      <w:vertAlign w:val="superscript"/>
                    </w:rPr>
                    <w:t>3</w:t>
                  </w:r>
                  <w:r>
                    <w:rPr>
                      <w:rFonts w:hint="default" w:ascii="Times New Roman" w:hAnsi="Times New Roman" w:cs="Times New Roman"/>
                      <w:color w:val="auto"/>
                    </w:rPr>
                    <w:t>/万元，农田灌溉水有效利用系数0.53</w:t>
                  </w:r>
                </w:p>
                <w:p>
                  <w:pPr>
                    <w:autoSpaceDE w:val="0"/>
                    <w:autoSpaceDN w:val="0"/>
                    <w:adjustRightInd w:val="0"/>
                    <w:snapToGrid w:val="0"/>
                    <w:ind w:left="63" w:leftChars="30" w:right="63" w:rightChars="30"/>
                    <w:jc w:val="both"/>
                    <w:rPr>
                      <w:rFonts w:hint="default" w:ascii="Times New Roman" w:hAnsi="Times New Roman" w:cs="Times New Roman"/>
                      <w:color w:val="auto"/>
                    </w:rPr>
                  </w:pPr>
                  <w:r>
                    <w:rPr>
                      <w:rFonts w:hint="default" w:ascii="Times New Roman" w:hAnsi="Times New Roman" w:cs="Times New Roman"/>
                      <w:color w:val="auto"/>
                    </w:rPr>
                    <w:t>4.2能源：积极引导生活用燃煤的居民改用天然气、液化石油气等清洁能源，鼓励秸秆资源化、能源化利用。湘阴县“十三五”能耗强度降低目标18.5%，“十三五”能耗控制目标20万吨标准煤</w:t>
                  </w:r>
                </w:p>
                <w:p>
                  <w:pPr>
                    <w:autoSpaceDE w:val="0"/>
                    <w:autoSpaceDN w:val="0"/>
                    <w:adjustRightInd w:val="0"/>
                    <w:snapToGrid w:val="0"/>
                    <w:ind w:left="63" w:leftChars="30" w:right="63" w:rightChars="30"/>
                    <w:jc w:val="both"/>
                    <w:rPr>
                      <w:rFonts w:hint="default" w:ascii="Times New Roman" w:hAnsi="Times New Roman" w:cs="Times New Roman"/>
                      <w:color w:val="auto"/>
                    </w:rPr>
                  </w:pPr>
                  <w:r>
                    <w:rPr>
                      <w:rFonts w:hint="default" w:ascii="Times New Roman" w:hAnsi="Times New Roman" w:cs="Times New Roman"/>
                      <w:color w:val="auto"/>
                    </w:rPr>
                    <w:t>4.3土地资源：</w:t>
                  </w:r>
                </w:p>
                <w:p>
                  <w:pPr>
                    <w:autoSpaceDE w:val="0"/>
                    <w:autoSpaceDN w:val="0"/>
                    <w:adjustRightInd w:val="0"/>
                    <w:snapToGrid w:val="0"/>
                    <w:ind w:left="63" w:leftChars="30" w:right="63" w:rightChars="30"/>
                    <w:jc w:val="both"/>
                    <w:rPr>
                      <w:rFonts w:hint="default" w:ascii="Times New Roman" w:hAnsi="Times New Roman" w:cs="Times New Roman"/>
                      <w:color w:val="auto"/>
                    </w:rPr>
                  </w:pPr>
                  <w:r>
                    <w:rPr>
                      <w:rFonts w:hint="default" w:ascii="Times New Roman" w:hAnsi="Times New Roman" w:cs="Times New Roman"/>
                      <w:color w:val="auto"/>
                    </w:rPr>
                    <w:t>东塘镇：到2020年耕地保有量不低于2090.00公顷，基本农田保护面积不低于1997.00公顷；城乡建设用地规模控制在519.37公顷以内，城镇工矿用地规模控制在64.16以内</w:t>
                  </w:r>
                </w:p>
                <w:p>
                  <w:pPr>
                    <w:autoSpaceDE w:val="0"/>
                    <w:autoSpaceDN w:val="0"/>
                    <w:adjustRightInd w:val="0"/>
                    <w:snapToGrid w:val="0"/>
                    <w:ind w:left="63" w:leftChars="30" w:right="63" w:rightChars="30"/>
                    <w:jc w:val="both"/>
                    <w:rPr>
                      <w:rFonts w:hint="default" w:ascii="Times New Roman" w:hAnsi="Times New Roman" w:cs="Times New Roman"/>
                      <w:color w:val="auto"/>
                    </w:rPr>
                  </w:pPr>
                  <w:r>
                    <w:rPr>
                      <w:rFonts w:hint="default" w:ascii="Times New Roman" w:hAnsi="Times New Roman" w:cs="Times New Roman"/>
                      <w:color w:val="auto"/>
                    </w:rPr>
                    <w:t>三塘镇：到2020年耕地保有量不低于1530公顷，基本农田保护面积不低于1463公顷；城乡建设用地规模控制在419.34公顷以内，城镇工矿用地规模控制在34.58以内</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本项目为水利工程，有利于水资源的保护。项目为现有河道整治，不占用基本农田。</w:t>
                  </w:r>
                </w:p>
              </w:tc>
            </w:tr>
          </w:tbl>
          <w:p>
            <w:pPr>
              <w:keepNext w:val="0"/>
              <w:keepLines w:val="0"/>
              <w:pageBreakBefore w:val="0"/>
              <w:widowControl w:val="0"/>
              <w:kinsoku/>
              <w:wordWrap/>
              <w:overflowPunct/>
              <w:topLinePunct w:val="0"/>
              <w:autoSpaceDE/>
              <w:autoSpaceDN/>
              <w:bidi w:val="0"/>
              <w:adjustRightInd/>
              <w:snapToGrid/>
              <w:spacing w:before="157" w:beforeLines="50" w:line="240" w:lineRule="auto"/>
              <w:ind w:left="63" w:leftChars="30" w:right="63" w:rightChars="30"/>
              <w:jc w:val="center"/>
              <w:textAlignment w:val="auto"/>
              <w:rPr>
                <w:rFonts w:hint="default" w:ascii="Times New Roman" w:hAnsi="Times New Roman" w:cs="Times New Roman"/>
                <w:b/>
                <w:color w:val="auto"/>
                <w:szCs w:val="21"/>
                <w:u w:val="single"/>
              </w:rPr>
            </w:pPr>
            <w:r>
              <w:rPr>
                <w:rFonts w:hint="default" w:ascii="Times New Roman" w:hAnsi="Times New Roman" w:cs="Times New Roman"/>
                <w:b/>
                <w:color w:val="auto"/>
                <w:szCs w:val="21"/>
                <w:u w:val="single"/>
              </w:rPr>
              <w:t>表1-</w:t>
            </w:r>
            <w:r>
              <w:rPr>
                <w:rFonts w:hint="eastAsia" w:ascii="Times New Roman" w:hAnsi="Times New Roman" w:cs="Times New Roman"/>
                <w:b/>
                <w:color w:val="auto"/>
                <w:szCs w:val="21"/>
                <w:u w:val="single"/>
                <w:lang w:val="en-US" w:eastAsia="zh-CN"/>
              </w:rPr>
              <w:t>2</w:t>
            </w:r>
            <w:r>
              <w:rPr>
                <w:rFonts w:hint="default" w:ascii="Times New Roman" w:hAnsi="Times New Roman" w:cs="Times New Roman"/>
                <w:b/>
                <w:color w:val="auto"/>
                <w:szCs w:val="21"/>
                <w:u w:val="single"/>
              </w:rPr>
              <w:t xml:space="preserve">  湘阴县</w:t>
            </w:r>
            <w:r>
              <w:rPr>
                <w:rFonts w:hint="eastAsia" w:ascii="Times New Roman" w:hAnsi="Times New Roman" w:cs="Times New Roman"/>
                <w:b/>
                <w:color w:val="auto"/>
                <w:szCs w:val="21"/>
                <w:u w:val="single"/>
                <w:lang w:val="en-US" w:eastAsia="zh-CN"/>
              </w:rPr>
              <w:t>石塘镇（从文星镇分出）</w:t>
            </w:r>
            <w:r>
              <w:rPr>
                <w:rFonts w:hint="default" w:ascii="Times New Roman" w:hAnsi="Times New Roman" w:cs="Times New Roman"/>
                <w:b/>
                <w:color w:val="auto"/>
                <w:szCs w:val="21"/>
                <w:u w:val="single"/>
              </w:rPr>
              <w:t>环境管控单元生态环境准入清单符合性分析</w:t>
            </w:r>
          </w:p>
          <w:tbl>
            <w:tblPr>
              <w:tblStyle w:val="25"/>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245"/>
              <w:gridCol w:w="1616"/>
              <w:gridCol w:w="2068"/>
              <w:gridCol w:w="203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乡镇</w:t>
                  </w:r>
                </w:p>
              </w:tc>
              <w:tc>
                <w:tcPr>
                  <w:tcW w:w="11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单元分类</w:t>
                  </w:r>
                </w:p>
              </w:tc>
              <w:tc>
                <w:tcPr>
                  <w:tcW w:w="1483"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经济产业布局</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主要环境问题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eastAsia" w:ascii="Times New Roman" w:hAnsi="Times New Roman" w:eastAsia="宋体" w:cs="Times New Roman"/>
                      <w:color w:val="auto"/>
                      <w:kern w:val="0"/>
                      <w:szCs w:val="21"/>
                      <w:u w:val="single"/>
                      <w:lang w:eastAsia="zh-CN"/>
                    </w:rPr>
                  </w:pPr>
                  <w:r>
                    <w:rPr>
                      <w:rFonts w:hint="default" w:ascii="Times New Roman" w:hAnsi="Times New Roman" w:cs="Times New Roman"/>
                      <w:color w:val="auto"/>
                      <w:kern w:val="0"/>
                      <w:szCs w:val="21"/>
                      <w:u w:val="single"/>
                    </w:rPr>
                    <w:t>湖南省岳阳市湘阴县</w:t>
                  </w:r>
                  <w:r>
                    <w:rPr>
                      <w:rFonts w:hint="eastAsia" w:ascii="Times New Roman" w:hAnsi="Times New Roman" w:cs="Times New Roman"/>
                      <w:color w:val="auto"/>
                      <w:kern w:val="0"/>
                      <w:szCs w:val="21"/>
                      <w:u w:val="single"/>
                      <w:lang w:val="en-US" w:eastAsia="zh-CN"/>
                    </w:rPr>
                    <w:t>文星镇</w:t>
                  </w:r>
                </w:p>
              </w:tc>
              <w:tc>
                <w:tcPr>
                  <w:tcW w:w="11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eastAsia" w:ascii="Times New Roman" w:hAnsi="Times New Roman" w:cs="Times New Roman"/>
                      <w:color w:val="auto"/>
                      <w:kern w:val="0"/>
                      <w:szCs w:val="21"/>
                      <w:u w:val="single"/>
                      <w:lang w:val="en-US" w:eastAsia="zh-CN"/>
                    </w:rPr>
                    <w:t>重点</w:t>
                  </w:r>
                  <w:r>
                    <w:rPr>
                      <w:rFonts w:hint="default" w:ascii="Times New Roman" w:hAnsi="Times New Roman" w:cs="Times New Roman"/>
                      <w:color w:val="auto"/>
                      <w:kern w:val="0"/>
                      <w:szCs w:val="21"/>
                      <w:u w:val="single"/>
                    </w:rPr>
                    <w:t>管控单元</w:t>
                  </w:r>
                </w:p>
              </w:tc>
              <w:tc>
                <w:tcPr>
                  <w:tcW w:w="1483"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文星镇：省会卫星城、县域中心</w:t>
                  </w:r>
                  <w:r>
                    <w:rPr>
                      <w:rFonts w:hint="eastAsia" w:ascii="Times New Roman" w:hAnsi="Times New Roman" w:cs="Times New Roman"/>
                      <w:color w:val="auto"/>
                      <w:kern w:val="0"/>
                      <w:szCs w:val="21"/>
                      <w:u w:val="single"/>
                      <w:lang w:eastAsia="zh-CN"/>
                    </w:rPr>
                    <w:t>；</w:t>
                  </w:r>
                  <w:r>
                    <w:rPr>
                      <w:rFonts w:hint="default" w:ascii="Times New Roman" w:hAnsi="Times New Roman" w:cs="Times New Roman"/>
                      <w:color w:val="auto"/>
                      <w:kern w:val="0"/>
                      <w:szCs w:val="21"/>
                      <w:u w:val="single"/>
                    </w:rPr>
                    <w:t>以绿色建材、新能源汽车为主导产业，辅以公共服务、商贸物流、滨湖旅游和食品加工等产业</w:t>
                  </w:r>
                </w:p>
              </w:tc>
              <w:tc>
                <w:tcPr>
                  <w:tcW w:w="1460" w:type="pct"/>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eastAsia" w:ascii="Times New Roman" w:hAnsi="Times New Roman" w:cs="Times New Roman"/>
                      <w:color w:val="auto"/>
                      <w:kern w:val="0"/>
                      <w:szCs w:val="21"/>
                      <w:u w:val="single"/>
                      <w:lang w:val="en-US" w:eastAsia="zh-CN"/>
                    </w:rPr>
                    <w:t>文星镇</w:t>
                  </w:r>
                  <w:r>
                    <w:rPr>
                      <w:rFonts w:hint="default" w:ascii="Times New Roman" w:hAnsi="Times New Roman" w:cs="Times New Roman"/>
                      <w:color w:val="auto"/>
                      <w:kern w:val="0"/>
                      <w:szCs w:val="21"/>
                      <w:u w:val="single"/>
                    </w:rPr>
                    <w:t>：畜禽养殖污染等农业面源污染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管控维度</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管控要求</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b/>
                      <w:bCs/>
                      <w:color w:val="auto"/>
                      <w:kern w:val="0"/>
                      <w:szCs w:val="21"/>
                      <w:u w:val="single"/>
                    </w:rPr>
                  </w:pPr>
                  <w:r>
                    <w:rPr>
                      <w:rFonts w:hint="default" w:ascii="Times New Roman" w:hAnsi="Times New Roman" w:cs="Times New Roman"/>
                      <w:b/>
                      <w:bCs/>
                      <w:color w:val="auto"/>
                      <w:kern w:val="0"/>
                      <w:szCs w:val="21"/>
                      <w:u w:val="single"/>
                    </w:rPr>
                    <w:t>符合性分析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eastAsia="宋体" w:cs="Times New Roman"/>
                      <w:color w:val="auto"/>
                      <w:kern w:val="0"/>
                      <w:szCs w:val="21"/>
                      <w:u w:val="single"/>
                      <w:lang w:eastAsia="zh-CN"/>
                    </w:rPr>
                  </w:pPr>
                  <w:r>
                    <w:rPr>
                      <w:rFonts w:hint="default" w:ascii="Times New Roman" w:hAnsi="Times New Roman" w:cs="Times New Roman"/>
                      <w:color w:val="auto"/>
                      <w:kern w:val="0"/>
                      <w:szCs w:val="21"/>
                      <w:u w:val="single"/>
                    </w:rPr>
                    <w:t>空间布局</w:t>
                  </w:r>
                  <w:r>
                    <w:rPr>
                      <w:rFonts w:hint="default" w:ascii="Times New Roman" w:hAnsi="Times New Roman" w:cs="Times New Roman"/>
                      <w:color w:val="auto"/>
                      <w:kern w:val="0"/>
                      <w:szCs w:val="21"/>
                      <w:u w:val="single"/>
                      <w:lang w:val="en-US" w:eastAsia="zh-CN"/>
                    </w:rPr>
                    <w:t>约束</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1.1 严格执行养殖业禁养区、限养区、适养区的划分规定，严格把关养殖项目审批，不得在禁养区、限养区新批任何畜禽养殖项目</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1.2 禁止露天焚烧垃圾和垃圾填埋，全面推行农村垃圾分类收集处理，逐步实现农村生活垃圾处理减量化、处置无害化、废物资源化</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本项目为河湖整治项目，为环境治理工程，不属于养殖业、垃圾填埋项目。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污染物排放管控</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2.1 加强化肥、农药、农膜污染防治，引导农民减少化肥、农药使用量，积极推广有机肥使用、生物农药、振频杀虫、诱蛾灯杀虫等生态农业技术，控制农业面源污染</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2.2 禁止秸秆焚烧，加强秸秆综合利用，鼓励农村采用清洁能源、可再生能源，从源头控制农村空气污染</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2.3 强化配套，加快完善乡村两级垃圾处理基础设施，建设村（社区）垃圾定点收集池、垃圾堆积池、垃圾危险废物专用房屋（池）等基础设施，配备好垃圾车、保洁车等垃圾运输工具，农户配齐垃圾分类桶</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2.4 畜禽养殖适养区以户为单位，采取雨污分流、粪污干湿分离、沼气（沉淀）综合选用等方式进行养殖污染治理</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2.5 严格规范兽药、饲料及饲料添加剂的生产和使用，从源头防止兽药、饲料添加剂中的有害成分通过畜禽养殖废弃物还田对土壤造成的污染</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2.6 畜禽粪污污染整治应按照“干湿分离+雨污分流”的要求，采用干清粪工艺和粪污生物发酵处理利用模式处理粪污，须配套建设堆粪场、粪污水贮存池和铺设排污管道。干粪运至堆粪场好氧发酵，粪渣、尿、污水通过排污管道排入粪污水贮存池（或沼气池）厌氧发酵，贮存池内的粪污水不得向外排放，应就地或转运至其他农用地消纳，并签订粪污消纳协议</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2.7 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1460" w:type="pct"/>
                  <w:tcBorders>
                    <w:tl2br w:val="nil"/>
                    <w:tr2bl w:val="nil"/>
                  </w:tcBorders>
                  <w:vAlign w:val="center"/>
                </w:tcPr>
                <w:p>
                  <w:pPr>
                    <w:autoSpaceDE w:val="0"/>
                    <w:autoSpaceDN w:val="0"/>
                    <w:adjustRightInd w:val="0"/>
                    <w:snapToGrid w:val="0"/>
                    <w:ind w:right="63" w:rightChars="30"/>
                    <w:jc w:val="center"/>
                    <w:rPr>
                      <w:rFonts w:hint="default" w:ascii="Times New Roman" w:hAnsi="Times New Roman" w:eastAsia="宋体" w:cs="Times New Roman"/>
                      <w:color w:val="auto"/>
                      <w:kern w:val="0"/>
                      <w:szCs w:val="21"/>
                      <w:u w:val="single"/>
                      <w:lang w:eastAsia="zh-CN"/>
                    </w:rPr>
                  </w:pPr>
                  <w:r>
                    <w:rPr>
                      <w:rFonts w:hint="default" w:ascii="Times New Roman" w:hAnsi="Times New Roman" w:cs="Times New Roman"/>
                      <w:color w:val="auto"/>
                      <w:kern w:val="0"/>
                      <w:szCs w:val="21"/>
                      <w:u w:val="single"/>
                    </w:rPr>
                    <w:t>本项目施工期施工现场扬尘</w:t>
                  </w:r>
                  <w:r>
                    <w:rPr>
                      <w:rFonts w:hint="default" w:ascii="Times New Roman" w:hAnsi="Times New Roman" w:cs="Times New Roman"/>
                      <w:color w:val="auto"/>
                      <w:kern w:val="0"/>
                      <w:szCs w:val="21"/>
                      <w:u w:val="single"/>
                      <w:lang w:val="en-US" w:eastAsia="zh-CN"/>
                    </w:rPr>
                    <w:t>加强</w:t>
                  </w:r>
                  <w:r>
                    <w:rPr>
                      <w:rFonts w:hint="default" w:ascii="Times New Roman" w:hAnsi="Times New Roman" w:cs="Times New Roman"/>
                      <w:color w:val="auto"/>
                      <w:kern w:val="0"/>
                      <w:szCs w:val="21"/>
                      <w:u w:val="single"/>
                    </w:rPr>
                    <w:t>监管，积极推进绿色施工，工程施工现场设置全封闭围挡墙，严禁敞开式作业，施工现场道路、作业区、生活区地面进行硬化。将施工扬尘污染控制情况纳入建筑企业信用管理系统，作为招投标的重要依据。渣土运输车辆全部采取密闭措施。料堆建设有防风抑尘设施</w:t>
                  </w:r>
                  <w:r>
                    <w:rPr>
                      <w:rFonts w:hint="default" w:ascii="Times New Roman" w:hAnsi="Times New Roman" w:cs="Times New Roman"/>
                      <w:color w:val="auto"/>
                      <w:kern w:val="0"/>
                      <w:szCs w:val="21"/>
                      <w:u w:val="singl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环境风险防控</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3.1 加强农业投入品监管工作。建立农业投入品购买索证索票、经营台账制度，建立农药包装废弃物收集处理体系，对全县26 种高毒农药定点经营单位实行全方位监控</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3.2 制定实施受污染耕地安全利用方案，明确农艺调控、化学阻控、替代种植等安全利用的技术途径、技术要求、实施目标等主要内容，降低农产品重金属超标风险</w:t>
                  </w:r>
                </w:p>
                <w:p>
                  <w:pPr>
                    <w:autoSpaceDE w:val="0"/>
                    <w:autoSpaceDN w:val="0"/>
                    <w:adjustRightInd w:val="0"/>
                    <w:snapToGrid w:val="0"/>
                    <w:ind w:left="63" w:leftChars="30" w:right="63" w:rightChars="30"/>
                    <w:jc w:val="both"/>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3.3 定期开展土壤、地表水、地下水和空气环境监测；存在潜在污染扩散风险的场地，责令相关责任方制定环境风险管控方案；发现污染扩散的，及时采取污染物隔离、阻断等环境风险管控措施</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本项目不涉及风险防控情景。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u w:val="single"/>
                    </w:rPr>
                  </w:pPr>
                  <w:r>
                    <w:rPr>
                      <w:rFonts w:hint="default" w:ascii="Times New Roman" w:hAnsi="Times New Roman" w:cs="Times New Roman"/>
                      <w:color w:val="auto"/>
                      <w:u w:val="single"/>
                    </w:rPr>
                    <w:t>资源开发效率要求</w:t>
                  </w:r>
                </w:p>
              </w:tc>
              <w:tc>
                <w:tcPr>
                  <w:tcW w:w="2644" w:type="pct"/>
                  <w:gridSpan w:val="2"/>
                  <w:tcBorders>
                    <w:tl2br w:val="nil"/>
                    <w:tr2bl w:val="nil"/>
                  </w:tcBorders>
                  <w:vAlign w:val="center"/>
                </w:tcPr>
                <w:p>
                  <w:pPr>
                    <w:autoSpaceDE w:val="0"/>
                    <w:autoSpaceDN w:val="0"/>
                    <w:adjustRightInd w:val="0"/>
                    <w:snapToGrid w:val="0"/>
                    <w:ind w:left="63" w:leftChars="30" w:right="63" w:rightChars="30"/>
                    <w:jc w:val="both"/>
                    <w:rPr>
                      <w:rFonts w:hint="default" w:ascii="Times New Roman" w:hAnsi="Times New Roman" w:cs="Times New Roman"/>
                      <w:color w:val="auto"/>
                      <w:u w:val="single"/>
                    </w:rPr>
                  </w:pPr>
                  <w:r>
                    <w:rPr>
                      <w:rFonts w:hint="default" w:ascii="Times New Roman" w:hAnsi="Times New Roman" w:cs="Times New Roman"/>
                      <w:color w:val="auto"/>
                      <w:u w:val="single"/>
                    </w:rPr>
                    <w:t>4.1水资源：2020年，湘阴县万元国内生产总值用水量75m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rPr>
                    <w:t>/万元，万元工业增加值用水量28m</w:t>
                  </w:r>
                  <w:r>
                    <w:rPr>
                      <w:rFonts w:hint="default" w:ascii="Times New Roman" w:hAnsi="Times New Roman" w:cs="Times New Roman"/>
                      <w:color w:val="auto"/>
                      <w:u w:val="single"/>
                      <w:vertAlign w:val="superscript"/>
                    </w:rPr>
                    <w:t>3</w:t>
                  </w:r>
                  <w:r>
                    <w:rPr>
                      <w:rFonts w:hint="default" w:ascii="Times New Roman" w:hAnsi="Times New Roman" w:cs="Times New Roman"/>
                      <w:color w:val="auto"/>
                      <w:u w:val="single"/>
                    </w:rPr>
                    <w:t>/万元，农田灌溉水有效利用系数0.53</w:t>
                  </w:r>
                </w:p>
                <w:p>
                  <w:pPr>
                    <w:autoSpaceDE w:val="0"/>
                    <w:autoSpaceDN w:val="0"/>
                    <w:adjustRightInd w:val="0"/>
                    <w:snapToGrid w:val="0"/>
                    <w:ind w:left="63" w:leftChars="30" w:right="63" w:rightChars="30"/>
                    <w:jc w:val="both"/>
                    <w:rPr>
                      <w:rFonts w:hint="default" w:ascii="Times New Roman" w:hAnsi="Times New Roman" w:cs="Times New Roman"/>
                      <w:color w:val="auto"/>
                      <w:u w:val="single"/>
                    </w:rPr>
                  </w:pPr>
                  <w:r>
                    <w:rPr>
                      <w:rFonts w:hint="default" w:ascii="Times New Roman" w:hAnsi="Times New Roman" w:cs="Times New Roman"/>
                      <w:color w:val="auto"/>
                      <w:u w:val="single"/>
                    </w:rPr>
                    <w:t>4.2能源：湘阴县“十三五”能耗强度降低目标18.5%，“十三五”能耗控制目标20万吨标准煤。积极引导生活用燃煤的居民改用天然气、液化石油气等清洁能源，鼓励秸秆资源化、能源化利用</w:t>
                  </w:r>
                </w:p>
                <w:p>
                  <w:pPr>
                    <w:autoSpaceDE w:val="0"/>
                    <w:autoSpaceDN w:val="0"/>
                    <w:adjustRightInd w:val="0"/>
                    <w:snapToGrid w:val="0"/>
                    <w:ind w:left="63" w:leftChars="30" w:right="63" w:rightChars="30"/>
                    <w:jc w:val="both"/>
                    <w:rPr>
                      <w:rFonts w:hint="default" w:ascii="Times New Roman" w:hAnsi="Times New Roman" w:cs="Times New Roman"/>
                      <w:color w:val="auto"/>
                      <w:u w:val="single"/>
                    </w:rPr>
                  </w:pPr>
                  <w:r>
                    <w:rPr>
                      <w:rFonts w:hint="default" w:ascii="Times New Roman" w:hAnsi="Times New Roman" w:cs="Times New Roman"/>
                      <w:color w:val="auto"/>
                      <w:u w:val="single"/>
                    </w:rPr>
                    <w:t>4.3土地资源：</w:t>
                  </w:r>
                </w:p>
                <w:p>
                  <w:pPr>
                    <w:autoSpaceDE w:val="0"/>
                    <w:autoSpaceDN w:val="0"/>
                    <w:adjustRightInd w:val="0"/>
                    <w:snapToGrid w:val="0"/>
                    <w:ind w:left="63" w:leftChars="30" w:right="63" w:rightChars="30"/>
                    <w:jc w:val="both"/>
                    <w:rPr>
                      <w:rFonts w:hint="default" w:ascii="Times New Roman" w:hAnsi="Times New Roman" w:cs="Times New Roman"/>
                      <w:color w:val="auto"/>
                      <w:u w:val="single"/>
                    </w:rPr>
                  </w:pPr>
                  <w:r>
                    <w:rPr>
                      <w:rFonts w:hint="default" w:ascii="Times New Roman" w:hAnsi="Times New Roman" w:cs="Times New Roman"/>
                      <w:color w:val="auto"/>
                      <w:u w:val="single"/>
                    </w:rPr>
                    <w:t>文星镇：到2020 年耕地保有量不低于4377.00 公顷，基本农田保护面积不低于3624 公顷；城乡建设用地规模控制在4160.66 公顷以内，城镇工矿用地规模控制在3375.74 以内</w:t>
                  </w:r>
                </w:p>
              </w:tc>
              <w:tc>
                <w:tcPr>
                  <w:tcW w:w="1460" w:type="pct"/>
                  <w:tcBorders>
                    <w:tl2br w:val="nil"/>
                    <w:tr2bl w:val="nil"/>
                  </w:tcBorders>
                  <w:vAlign w:val="center"/>
                </w:tcPr>
                <w:p>
                  <w:pPr>
                    <w:autoSpaceDE w:val="0"/>
                    <w:autoSpaceDN w:val="0"/>
                    <w:adjustRightInd w:val="0"/>
                    <w:snapToGrid w:val="0"/>
                    <w:ind w:left="63" w:leftChars="30" w:right="63" w:rightChars="30"/>
                    <w:jc w:val="center"/>
                    <w:rPr>
                      <w:rFonts w:hint="default" w:ascii="Times New Roman" w:hAnsi="Times New Roman" w:cs="Times New Roman"/>
                      <w:color w:val="auto"/>
                      <w:kern w:val="0"/>
                      <w:szCs w:val="21"/>
                      <w:u w:val="single"/>
                    </w:rPr>
                  </w:pPr>
                  <w:r>
                    <w:rPr>
                      <w:rFonts w:hint="default" w:ascii="Times New Roman" w:hAnsi="Times New Roman" w:cs="Times New Roman"/>
                      <w:color w:val="auto"/>
                      <w:kern w:val="0"/>
                      <w:szCs w:val="21"/>
                      <w:u w:val="single"/>
                    </w:rPr>
                    <w:t>本项目为水利工程，有利于水资源的保护。项目为现有河道整治，不占用基本农田。</w:t>
                  </w:r>
                </w:p>
              </w:tc>
            </w:tr>
          </w:tbl>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eastAsia="宋体" w:cs="Times New Roman"/>
                <w:bCs/>
                <w:color w:val="auto"/>
                <w:sz w:val="24"/>
                <w:u w:val="none"/>
                <w:lang w:val="en-US" w:eastAsia="zh-CN"/>
              </w:rPr>
            </w:pPr>
            <w:r>
              <w:rPr>
                <w:rFonts w:hint="default" w:ascii="Times New Roman" w:hAnsi="Times New Roman" w:eastAsia="宋体" w:cs="Times New Roman"/>
                <w:bCs/>
                <w:color w:val="auto"/>
                <w:sz w:val="24"/>
                <w:u w:val="none"/>
                <w:lang w:val="en-US" w:eastAsia="zh-CN"/>
              </w:rPr>
              <w:t>综上，本项目与</w:t>
            </w:r>
            <w:r>
              <w:rPr>
                <w:rStyle w:val="42"/>
                <w:rFonts w:hint="default" w:ascii="Times New Roman" w:hAnsi="Times New Roman" w:eastAsia="宋体" w:cs="Times New Roman"/>
                <w:b w:val="0"/>
                <w:bCs/>
                <w:color w:val="auto"/>
                <w:sz w:val="24"/>
                <w:szCs w:val="24"/>
              </w:rPr>
              <w:t>《岳阳市人民政府关于实施岳阳市“三线一单”生态环境分区管控的意见（岳政发〔2021〕2号）》</w:t>
            </w:r>
            <w:r>
              <w:rPr>
                <w:rFonts w:hint="default" w:ascii="Times New Roman" w:hAnsi="Times New Roman" w:eastAsia="宋体" w:cs="Times New Roman"/>
                <w:b w:val="0"/>
                <w:bCs/>
                <w:color w:val="auto"/>
                <w:sz w:val="24"/>
                <w:u w:val="none"/>
                <w:lang w:val="en-US" w:eastAsia="zh-CN"/>
              </w:rPr>
              <w:t>相</w:t>
            </w:r>
            <w:r>
              <w:rPr>
                <w:rFonts w:hint="default" w:ascii="Times New Roman" w:hAnsi="Times New Roman" w:eastAsia="宋体" w:cs="Times New Roman"/>
                <w:bCs/>
                <w:color w:val="auto"/>
                <w:sz w:val="24"/>
                <w:u w:val="none"/>
                <w:lang w:val="en-US" w:eastAsia="zh-CN"/>
              </w:rPr>
              <w:t>符。</w:t>
            </w:r>
          </w:p>
          <w:p>
            <w:pPr>
              <w:keepNext w:val="0"/>
              <w:keepLines w:val="0"/>
              <w:pageBreakBefore w:val="0"/>
              <w:kinsoku/>
              <w:wordWrap/>
              <w:overflowPunct/>
              <w:topLinePunct w:val="0"/>
              <w:autoSpaceDE/>
              <w:autoSpaceDN/>
              <w:bidi w:val="0"/>
              <w:adjustRightInd/>
              <w:spacing w:line="360" w:lineRule="auto"/>
              <w:ind w:right="0"/>
              <w:textAlignment w:val="auto"/>
              <w:rPr>
                <w:rFonts w:hint="default" w:ascii="Times New Roman" w:hAnsi="Times New Roman" w:eastAsia="宋体" w:cs="Times New Roman"/>
                <w:b/>
                <w:bCs w:val="0"/>
                <w:color w:val="auto"/>
                <w:sz w:val="24"/>
                <w:u w:val="none" w:color="auto"/>
              </w:rPr>
            </w:pPr>
            <w:r>
              <w:rPr>
                <w:rFonts w:hint="eastAsia" w:ascii="Times New Roman" w:hAnsi="Times New Roman" w:cs="Times New Roman"/>
                <w:b/>
                <w:bCs w:val="0"/>
                <w:color w:val="auto"/>
                <w:sz w:val="24"/>
                <w:u w:val="none" w:color="auto"/>
                <w:lang w:val="en-US" w:eastAsia="zh-CN"/>
              </w:rPr>
              <w:t>4</w:t>
            </w:r>
            <w:r>
              <w:rPr>
                <w:rFonts w:hint="eastAsia" w:ascii="Times New Roman" w:hAnsi="Times New Roman" w:eastAsia="宋体" w:cs="Times New Roman"/>
                <w:b/>
                <w:bCs w:val="0"/>
                <w:color w:val="auto"/>
                <w:sz w:val="24"/>
                <w:u w:val="none" w:color="auto"/>
                <w:lang w:val="en-US" w:eastAsia="zh-CN"/>
              </w:rPr>
              <w:t>、与</w:t>
            </w:r>
            <w:r>
              <w:rPr>
                <w:rFonts w:hint="eastAsia" w:ascii="Times New Roman" w:hAnsi="Times New Roman" w:eastAsia="宋体" w:cs="Times New Roman"/>
                <w:b/>
                <w:bCs w:val="0"/>
                <w:color w:val="auto"/>
                <w:sz w:val="24"/>
                <w:u w:val="none" w:color="auto"/>
                <w:lang w:eastAsia="zh-CN"/>
              </w:rPr>
              <w:t>《湖南省长江经济带发展负面清单实施细则（</w:t>
            </w:r>
            <w:r>
              <w:rPr>
                <w:rFonts w:hint="eastAsia" w:ascii="Times New Roman" w:hAnsi="Times New Roman" w:eastAsia="宋体" w:cs="Times New Roman"/>
                <w:b/>
                <w:bCs w:val="0"/>
                <w:color w:val="auto"/>
                <w:sz w:val="24"/>
                <w:u w:val="none" w:color="auto"/>
                <w:lang w:val="en-US" w:eastAsia="zh-CN"/>
              </w:rPr>
              <w:t>试行，</w:t>
            </w:r>
            <w:r>
              <w:rPr>
                <w:rFonts w:hint="eastAsia" w:ascii="Times New Roman" w:hAnsi="Times New Roman" w:eastAsia="宋体" w:cs="Times New Roman"/>
                <w:b/>
                <w:bCs w:val="0"/>
                <w:color w:val="auto"/>
                <w:sz w:val="24"/>
                <w:u w:val="none" w:color="auto"/>
                <w:lang w:eastAsia="zh-CN"/>
              </w:rPr>
              <w:t>2022年版）》</w:t>
            </w:r>
            <w:r>
              <w:rPr>
                <w:rFonts w:hint="default" w:ascii="Times New Roman" w:hAnsi="Times New Roman" w:eastAsia="宋体" w:cs="Times New Roman"/>
                <w:b/>
                <w:bCs w:val="0"/>
                <w:color w:val="auto"/>
                <w:kern w:val="0"/>
                <w:sz w:val="24"/>
                <w:u w:val="none" w:color="auto"/>
              </w:rPr>
              <w:t>相符性分析</w:t>
            </w:r>
          </w:p>
          <w:p>
            <w:pPr>
              <w:keepNext w:val="0"/>
              <w:keepLines w:val="0"/>
              <w:pageBreakBefore w:val="0"/>
              <w:widowControl w:val="0"/>
              <w:kinsoku/>
              <w:wordWrap/>
              <w:overflowPunct/>
              <w:topLinePunct w:val="0"/>
              <w:autoSpaceDE/>
              <w:autoSpaceDN/>
              <w:bidi w:val="0"/>
              <w:adjustRightInd/>
              <w:snapToGrid/>
              <w:spacing w:before="33" w:line="240" w:lineRule="auto"/>
              <w:jc w:val="center"/>
              <w:textAlignment w:val="auto"/>
              <w:rPr>
                <w:rFonts w:hint="default" w:ascii="Times New Roman" w:hAnsi="Times New Roman" w:eastAsia="宋体" w:cs="Times New Roman"/>
                <w:b/>
                <w:bCs/>
                <w:color w:val="auto"/>
                <w:spacing w:val="-1"/>
                <w:sz w:val="21"/>
                <w:szCs w:val="21"/>
                <w:u w:val="single" w:color="auto"/>
                <w:lang w:val="en-US" w:eastAsia="zh-CN"/>
              </w:rPr>
            </w:pPr>
            <w:r>
              <w:rPr>
                <w:rFonts w:hint="eastAsia" w:ascii="Times New Roman" w:hAnsi="Times New Roman" w:eastAsia="宋体" w:cs="Times New Roman"/>
                <w:b/>
                <w:bCs/>
                <w:color w:val="auto"/>
                <w:spacing w:val="-1"/>
                <w:sz w:val="21"/>
                <w:szCs w:val="21"/>
                <w:u w:val="single" w:color="auto"/>
                <w:lang w:val="en-US" w:eastAsia="zh-CN"/>
              </w:rPr>
              <w:t>表1-</w:t>
            </w:r>
            <w:r>
              <w:rPr>
                <w:rFonts w:hint="eastAsia" w:ascii="Times New Roman" w:hAnsi="Times New Roman" w:cs="Times New Roman"/>
                <w:b/>
                <w:bCs/>
                <w:color w:val="auto"/>
                <w:spacing w:val="-1"/>
                <w:sz w:val="21"/>
                <w:szCs w:val="21"/>
                <w:u w:val="single" w:color="auto"/>
                <w:lang w:val="en-US" w:eastAsia="zh-CN"/>
              </w:rPr>
              <w:t>3</w:t>
            </w:r>
            <w:r>
              <w:rPr>
                <w:rFonts w:hint="eastAsia" w:ascii="Times New Roman" w:hAnsi="Times New Roman" w:eastAsia="宋体" w:cs="Times New Roman"/>
                <w:b/>
                <w:bCs/>
                <w:color w:val="auto"/>
                <w:spacing w:val="-1"/>
                <w:sz w:val="21"/>
                <w:szCs w:val="21"/>
                <w:u w:val="single" w:color="auto"/>
                <w:lang w:val="en-US" w:eastAsia="zh-CN"/>
              </w:rPr>
              <w:t xml:space="preserve">  与《湖南省长江经济带发展负面清单实施细则（试行，2022年版）》符合性分析</w:t>
            </w:r>
          </w:p>
          <w:tbl>
            <w:tblPr>
              <w:tblStyle w:val="26"/>
              <w:tblW w:w="4997"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2513"/>
              <w:gridCol w:w="8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湖南省长江经济带负面发展清单主要内容</w:t>
                  </w:r>
                </w:p>
              </w:tc>
              <w:tc>
                <w:tcPr>
                  <w:tcW w:w="1805"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本项目内容</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是否相符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ascii="Times New Roman" w:hAnsi="Times New Roman" w:eastAsia="宋体" w:cs="Times New Roman"/>
                      <w:snapToGrid/>
                      <w:color w:val="auto"/>
                      <w:kern w:val="2"/>
                      <w:sz w:val="21"/>
                      <w:szCs w:val="21"/>
                      <w:u w:val="single" w:color="auto"/>
                    </w:rPr>
                    <w:t>1.禁止建设不符合全国和省级港口布局规划以及港口总体规划的码头项目，禁止建设不符合《长江干线过江通道布局规划》的过长江通道项目。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本项目不属于码头类、长江通道类项目。</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numPr>
                      <w:ilvl w:val="0"/>
                      <w:numId w:val="2"/>
                    </w:num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ascii="Times New Roman" w:hAnsi="Times New Roman" w:eastAsia="宋体" w:cs="Times New Roman"/>
                      <w:snapToGrid/>
                      <w:color w:val="auto"/>
                      <w:kern w:val="2"/>
                      <w:sz w:val="21"/>
                      <w:szCs w:val="21"/>
                      <w:u w:val="single" w:color="auto"/>
                    </w:rPr>
                    <w:t>禁止在自然保护区核心区、缓冲区的岸线和河段范围内投资建设旅游和生产经营项目。</w:t>
                  </w:r>
                </w:p>
                <w:p>
                  <w:pPr>
                    <w:numPr>
                      <w:ilvl w:val="0"/>
                      <w:numId w:val="0"/>
                    </w:numPr>
                    <w:bidi w:val="0"/>
                    <w:adjustRightInd/>
                    <w:snapToGrid/>
                    <w:spacing w:line="240" w:lineRule="auto"/>
                    <w:jc w:val="both"/>
                    <w:rPr>
                      <w:rFonts w:ascii="Times New Roman" w:hAnsi="Times New Roman" w:eastAsia="宋体" w:cs="Times New Roman"/>
                      <w:snapToGrid/>
                      <w:color w:val="auto"/>
                      <w:kern w:val="2"/>
                      <w:sz w:val="21"/>
                      <w:szCs w:val="21"/>
                      <w:u w:val="single" w:color="auto"/>
                    </w:rPr>
                  </w:pPr>
                  <w:r>
                    <w:rPr>
                      <w:rFonts w:hint="eastAsia" w:ascii="Times New Roman" w:hAnsi="Times New Roman" w:eastAsia="宋体" w:cs="Times New Roman"/>
                      <w:snapToGrid/>
                      <w:color w:val="auto"/>
                      <w:kern w:val="2"/>
                      <w:sz w:val="21"/>
                      <w:szCs w:val="21"/>
                      <w:u w:val="single" w:color="auto"/>
                    </w:rPr>
                    <w:t>机场、铁路、公路、水利、围堰等公益性基础设施的选址选线应多方案优化比选，尽量避让相关自然保护区域、野生动物迁徙洄游通道；无法避让的，应当采取修建野生动物通道、过鱼设施等措施，消除或者减少对野生动物的不利影响。</w:t>
                  </w:r>
                </w:p>
                <w:p>
                  <w:pPr>
                    <w:numPr>
                      <w:ilvl w:val="0"/>
                      <w:numId w:val="0"/>
                    </w:numPr>
                    <w:bidi w:val="0"/>
                    <w:adjustRightInd/>
                    <w:snapToGrid/>
                    <w:spacing w:line="240" w:lineRule="auto"/>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rPr>
                    <w:t>禁止违反风景名胜区规划，在风景名胜区内设立 各类开发区和在核心景区内建设宾馆、招待所、培训中心、疗 养院以及与风景名胜资源保护无关的其他建筑物；已经建设的，应当按照风景名胜区规划，逐步迁出。</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为河道治理工程，</w:t>
                  </w:r>
                  <w:r>
                    <w:rPr>
                      <w:rFonts w:hint="eastAsia" w:ascii="Times New Roman" w:hAnsi="Times New Roman" w:eastAsia="宋体" w:cs="Times New Roman"/>
                      <w:snapToGrid/>
                      <w:color w:val="auto"/>
                      <w:kern w:val="2"/>
                      <w:sz w:val="21"/>
                      <w:szCs w:val="21"/>
                      <w:u w:val="single" w:color="auto"/>
                      <w:lang w:val="en-US" w:eastAsia="zh-CN"/>
                    </w:rPr>
                    <w:t>建设地点不涉及自然保护区、风景名胜区等敏感区。</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ascii="Times New Roman" w:hAnsi="Times New Roman" w:eastAsia="宋体" w:cs="Times New Roman"/>
                      <w:snapToGrid/>
                      <w:color w:val="auto"/>
                      <w:kern w:val="2"/>
                      <w:sz w:val="21"/>
                      <w:szCs w:val="21"/>
                      <w:u w:val="single" w:color="auto"/>
                    </w:rPr>
                    <w:t>3.禁止在饮用水水源一级保护区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本项目所在地不涉及饮用水源保护区。</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ascii="Times New Roman" w:hAnsi="Times New Roman" w:eastAsia="宋体" w:cs="Times New Roman"/>
                      <w:snapToGrid/>
                      <w:color w:val="auto"/>
                      <w:kern w:val="2"/>
                      <w:sz w:val="21"/>
                      <w:szCs w:val="21"/>
                      <w:u w:val="single" w:color="auto"/>
                    </w:rPr>
                    <w:t>4.禁止在水产种质资源保护区的岸线和河段范围内新建围湖造田、围海造地或围填海等投资建设项目。禁止在国家湿地公园的岸线和河段范围内挖沙、采矿，以及任何不符合主体功能定位的投资建设项目。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项目建设地不在</w:t>
                  </w:r>
                  <w:r>
                    <w:rPr>
                      <w:rFonts w:ascii="Times New Roman" w:hAnsi="Times New Roman" w:eastAsia="宋体" w:cs="Times New Roman"/>
                      <w:snapToGrid/>
                      <w:color w:val="auto"/>
                      <w:kern w:val="2"/>
                      <w:sz w:val="21"/>
                      <w:szCs w:val="21"/>
                      <w:u w:val="single" w:color="auto"/>
                    </w:rPr>
                    <w:t>水产种质资源保护区</w:t>
                  </w:r>
                  <w:r>
                    <w:rPr>
                      <w:rFonts w:hint="eastAsia" w:ascii="Times New Roman" w:hAnsi="Times New Roman" w:eastAsia="宋体" w:cs="Times New Roman"/>
                      <w:snapToGrid/>
                      <w:color w:val="auto"/>
                      <w:kern w:val="2"/>
                      <w:sz w:val="21"/>
                      <w:szCs w:val="21"/>
                      <w:u w:val="single" w:color="auto"/>
                      <w:lang w:eastAsia="zh-CN"/>
                    </w:rPr>
                    <w:t>岸线和</w:t>
                  </w:r>
                  <w:r>
                    <w:rPr>
                      <w:rFonts w:ascii="Times New Roman" w:hAnsi="Times New Roman" w:eastAsia="宋体" w:cs="Times New Roman"/>
                      <w:snapToGrid/>
                      <w:color w:val="auto"/>
                      <w:kern w:val="2"/>
                      <w:sz w:val="21"/>
                      <w:szCs w:val="21"/>
                      <w:u w:val="single" w:color="auto"/>
                    </w:rPr>
                    <w:t>国家湿地公园</w:t>
                  </w:r>
                  <w:r>
                    <w:rPr>
                      <w:rFonts w:hint="eastAsia" w:ascii="Times New Roman" w:hAnsi="Times New Roman" w:eastAsia="宋体" w:cs="Times New Roman"/>
                      <w:snapToGrid/>
                      <w:color w:val="auto"/>
                      <w:kern w:val="2"/>
                      <w:sz w:val="21"/>
                      <w:szCs w:val="21"/>
                      <w:u w:val="single" w:color="auto"/>
                      <w:lang w:eastAsia="zh-CN"/>
                    </w:rPr>
                    <w:t>岸线及河段范围内。</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ascii="Times New Roman" w:hAnsi="Times New Roman" w:eastAsia="宋体" w:cs="Times New Roman"/>
                      <w:snapToGrid/>
                      <w:color w:val="auto"/>
                      <w:kern w:val="2"/>
                      <w:sz w:val="21"/>
                      <w:szCs w:val="21"/>
                      <w:u w:val="single" w:color="auto"/>
                    </w:rPr>
                    <w:t>5.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为内河内湖河道整治工程</w:t>
                  </w:r>
                  <w:r>
                    <w:rPr>
                      <w:rFonts w:hint="eastAsia" w:cs="Times New Roman"/>
                      <w:snapToGrid/>
                      <w:color w:val="auto"/>
                      <w:kern w:val="2"/>
                      <w:sz w:val="21"/>
                      <w:szCs w:val="21"/>
                      <w:u w:val="single" w:color="auto"/>
                      <w:lang w:val="en-US" w:eastAsia="zh-CN"/>
                    </w:rPr>
                    <w:t>，</w:t>
                  </w:r>
                  <w:r>
                    <w:rPr>
                      <w:rFonts w:hint="eastAsia" w:ascii="Times New Roman" w:hAnsi="Times New Roman" w:eastAsia="宋体" w:cs="Times New Roman"/>
                      <w:snapToGrid/>
                      <w:color w:val="auto"/>
                      <w:kern w:val="2"/>
                      <w:sz w:val="21"/>
                      <w:szCs w:val="21"/>
                      <w:u w:val="single" w:color="auto"/>
                      <w:lang w:val="en-US" w:eastAsia="zh-CN"/>
                    </w:rPr>
                    <w:t>不涉及</w:t>
                  </w:r>
                  <w:r>
                    <w:rPr>
                      <w:rFonts w:ascii="Times New Roman" w:hAnsi="Times New Roman" w:eastAsia="宋体" w:cs="Times New Roman"/>
                      <w:snapToGrid/>
                      <w:color w:val="auto"/>
                      <w:kern w:val="2"/>
                      <w:sz w:val="21"/>
                      <w:szCs w:val="21"/>
                      <w:u w:val="single" w:color="auto"/>
                    </w:rPr>
                    <w:t>长江流域河湖岸线</w:t>
                  </w:r>
                  <w:r>
                    <w:rPr>
                      <w:rFonts w:hint="eastAsia" w:ascii="Times New Roman" w:hAnsi="Times New Roman" w:eastAsia="宋体" w:cs="Times New Roman"/>
                      <w:snapToGrid/>
                      <w:color w:val="auto"/>
                      <w:kern w:val="2"/>
                      <w:sz w:val="21"/>
                      <w:szCs w:val="21"/>
                      <w:u w:val="single" w:color="auto"/>
                      <w:lang w:eastAsia="zh-CN"/>
                    </w:rPr>
                    <w:t>等敏感区域。</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ascii="Times New Roman" w:hAnsi="Times New Roman" w:eastAsia="宋体" w:cs="Times New Roman"/>
                      <w:snapToGrid/>
                      <w:color w:val="auto"/>
                      <w:kern w:val="2"/>
                      <w:sz w:val="21"/>
                      <w:szCs w:val="21"/>
                      <w:u w:val="single" w:color="auto"/>
                    </w:rPr>
                    <w:t>6.禁止未经许可在长江干支流及湖泊新设、改设或扩大排污口。</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本项目不涉及在</w:t>
                  </w:r>
                  <w:r>
                    <w:rPr>
                      <w:rFonts w:ascii="Times New Roman" w:hAnsi="Times New Roman" w:eastAsia="宋体" w:cs="Times New Roman"/>
                      <w:snapToGrid/>
                      <w:color w:val="auto"/>
                      <w:kern w:val="2"/>
                      <w:sz w:val="21"/>
                      <w:szCs w:val="21"/>
                      <w:u w:val="single" w:color="auto"/>
                    </w:rPr>
                    <w:t>长江干支流及湖泊新设、改设或扩大排污口</w:t>
                  </w:r>
                  <w:r>
                    <w:rPr>
                      <w:rFonts w:hint="eastAsia" w:ascii="Times New Roman" w:hAnsi="Times New Roman" w:eastAsia="宋体" w:cs="Times New Roman"/>
                      <w:snapToGrid/>
                      <w:color w:val="auto"/>
                      <w:kern w:val="2"/>
                      <w:sz w:val="21"/>
                      <w:szCs w:val="21"/>
                      <w:u w:val="single" w:color="auto"/>
                      <w:lang w:eastAsia="zh-CN"/>
                    </w:rPr>
                    <w:t>情形。</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ascii="Times New Roman" w:hAnsi="Times New Roman" w:eastAsia="宋体" w:cs="Times New Roman"/>
                      <w:snapToGrid/>
                      <w:color w:val="auto"/>
                      <w:kern w:val="2"/>
                      <w:sz w:val="21"/>
                      <w:szCs w:val="21"/>
                      <w:u w:val="single" w:color="auto"/>
                    </w:rPr>
                    <w:t>7.禁止在“一江一口两湖七河”和332个水生生物保护区开展生产性捕捞。</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本项目不涉及在</w:t>
                  </w:r>
                  <w:r>
                    <w:rPr>
                      <w:rFonts w:ascii="Times New Roman" w:hAnsi="Times New Roman" w:eastAsia="宋体" w:cs="Times New Roman"/>
                      <w:snapToGrid/>
                      <w:color w:val="auto"/>
                      <w:kern w:val="2"/>
                      <w:sz w:val="21"/>
                      <w:szCs w:val="21"/>
                      <w:u w:val="single" w:color="auto"/>
                    </w:rPr>
                    <w:t>“一江一口两湖七河”和332个水生生物保护区开展生产性捕捞</w:t>
                  </w:r>
                  <w:r>
                    <w:rPr>
                      <w:rFonts w:hint="eastAsia" w:ascii="Times New Roman" w:hAnsi="Times New Roman" w:eastAsia="宋体" w:cs="Times New Roman"/>
                      <w:snapToGrid/>
                      <w:color w:val="auto"/>
                      <w:kern w:val="2"/>
                      <w:sz w:val="21"/>
                      <w:szCs w:val="21"/>
                      <w:u w:val="single" w:color="auto"/>
                      <w:lang w:eastAsia="zh-CN"/>
                    </w:rPr>
                    <w:t>情形。</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ascii="Times New Roman" w:hAnsi="Times New Roman" w:eastAsia="宋体" w:cs="Times New Roman"/>
                      <w:snapToGrid/>
                      <w:color w:val="auto"/>
                      <w:kern w:val="2"/>
                      <w:sz w:val="21"/>
                      <w:szCs w:val="21"/>
                      <w:u w:val="single" w:color="auto"/>
                    </w:rPr>
                    <w:t>8.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为内河内湖河道整治工程</w:t>
                  </w:r>
                  <w:r>
                    <w:rPr>
                      <w:rFonts w:hint="eastAsia" w:ascii="Times New Roman" w:hAnsi="Times New Roman" w:eastAsia="宋体" w:cs="Times New Roman"/>
                      <w:snapToGrid/>
                      <w:color w:val="auto"/>
                      <w:kern w:val="2"/>
                      <w:sz w:val="21"/>
                      <w:szCs w:val="21"/>
                      <w:u w:val="single" w:color="auto"/>
                      <w:lang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ascii="Times New Roman" w:hAnsi="Times New Roman" w:eastAsia="宋体" w:cs="Times New Roman"/>
                      <w:snapToGrid/>
                      <w:color w:val="auto"/>
                      <w:kern w:val="2"/>
                      <w:sz w:val="21"/>
                      <w:szCs w:val="21"/>
                      <w:u w:val="single" w:color="auto"/>
                    </w:rPr>
                    <w:t>9.禁止在合规园区外新建、扩建钢铁、石化、化工、焦化、建材、有色、制浆造纸等高污染项目。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为内河内湖河道整治工程</w:t>
                  </w:r>
                  <w:r>
                    <w:rPr>
                      <w:rFonts w:hint="eastAsia" w:ascii="Times New Roman" w:hAnsi="Times New Roman" w:eastAsia="宋体" w:cs="Times New Roman"/>
                      <w:snapToGrid/>
                      <w:color w:val="auto"/>
                      <w:kern w:val="2"/>
                      <w:sz w:val="21"/>
                      <w:szCs w:val="21"/>
                      <w:u w:val="single" w:color="auto"/>
                      <w:lang w:val="en-US"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ascii="Times New Roman" w:hAnsi="Times New Roman" w:eastAsia="宋体" w:cs="Times New Roman"/>
                      <w:snapToGrid/>
                      <w:color w:val="auto"/>
                      <w:kern w:val="2"/>
                      <w:sz w:val="21"/>
                      <w:szCs w:val="21"/>
                      <w:u w:val="single" w:color="auto"/>
                    </w:rPr>
                    <w:t>10.禁止新建、扩建不符合国家石化、现代煤化工等产业布局规划的项目。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为内河内湖河道整治工程，</w:t>
                  </w:r>
                  <w:r>
                    <w:rPr>
                      <w:rFonts w:hint="eastAsia" w:ascii="Times New Roman" w:hAnsi="Times New Roman" w:eastAsia="宋体" w:cs="Times New Roman"/>
                      <w:snapToGrid/>
                      <w:color w:val="auto"/>
                      <w:kern w:val="2"/>
                      <w:sz w:val="21"/>
                      <w:szCs w:val="21"/>
                      <w:u w:val="single" w:color="auto"/>
                      <w:lang w:val="en-US" w:eastAsia="zh-CN"/>
                    </w:rPr>
                    <w:t>项目不属于</w:t>
                  </w:r>
                  <w:r>
                    <w:rPr>
                      <w:rFonts w:ascii="Times New Roman" w:hAnsi="Times New Roman" w:eastAsia="宋体" w:cs="Times New Roman"/>
                      <w:snapToGrid/>
                      <w:color w:val="auto"/>
                      <w:kern w:val="2"/>
                      <w:sz w:val="21"/>
                      <w:szCs w:val="21"/>
                      <w:u w:val="single" w:color="auto"/>
                    </w:rPr>
                    <w:t>禁止新建、扩建不符合国家石化、现代煤化工等产业布局规划的项目</w:t>
                  </w:r>
                  <w:r>
                    <w:rPr>
                      <w:rFonts w:hint="eastAsia" w:ascii="Times New Roman" w:hAnsi="Times New Roman" w:cs="Times New Roman"/>
                      <w:snapToGrid/>
                      <w:color w:val="auto"/>
                      <w:kern w:val="2"/>
                      <w:sz w:val="21"/>
                      <w:szCs w:val="21"/>
                      <w:u w:val="single" w:color="auto"/>
                      <w:lang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ascii="Times New Roman" w:hAnsi="Times New Roman" w:eastAsia="宋体" w:cs="Times New Roman"/>
                      <w:snapToGrid/>
                      <w:color w:val="auto"/>
                      <w:kern w:val="2"/>
                      <w:sz w:val="21"/>
                      <w:szCs w:val="21"/>
                      <w:u w:val="single" w:color="auto"/>
                    </w:rPr>
                    <w:t>11.禁止新建、扩建法律法规和相关政策明令禁止的落后产能项目。禁止新建、扩建不符合国家产能置换要求的严重过剩产能行业的项目。禁止新建、扩建不符合要求的高耗能高排放项目。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为内河内湖河道整治工程。</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ascii="Times New Roman" w:hAnsi="Times New Roman" w:eastAsia="宋体" w:cs="Times New Roman"/>
                      <w:snapToGrid/>
                      <w:color w:val="auto"/>
                      <w:kern w:val="2"/>
                      <w:sz w:val="21"/>
                      <w:szCs w:val="21"/>
                      <w:u w:val="single" w:color="auto"/>
                    </w:rPr>
                    <w:t>12.法律法规及相关政策文件有更加严格规定的从其规定。</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本项目严格参照《长江经济带负面发展清单指南（试行2022年版）》执行</w:t>
                  </w:r>
                  <w:r>
                    <w:rPr>
                      <w:rFonts w:hint="eastAsia" w:ascii="Times New Roman" w:hAnsi="Times New Roman" w:cs="Times New Roman"/>
                      <w:snapToGrid/>
                      <w:color w:val="auto"/>
                      <w:kern w:val="2"/>
                      <w:sz w:val="21"/>
                      <w:szCs w:val="21"/>
                      <w:u w:val="single" w:color="auto"/>
                      <w:lang w:val="en-US"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bl>
          <w:p>
            <w:pPr>
              <w:pStyle w:val="14"/>
              <w:keepNext w:val="0"/>
              <w:keepLines w:val="0"/>
              <w:pageBreakBefore w:val="0"/>
              <w:kinsoku/>
              <w:wordWrap/>
              <w:overflowPunct/>
              <w:topLinePunct w:val="0"/>
              <w:bidi w:val="0"/>
              <w:adjustRightInd/>
              <w:snapToGrid/>
              <w:spacing w:before="0" w:after="0" w:line="360" w:lineRule="auto"/>
              <w:ind w:right="0" w:firstLine="480" w:firstLineChars="200"/>
              <w:jc w:val="left"/>
              <w:textAlignment w:val="auto"/>
              <w:rPr>
                <w:rFonts w:hint="eastAsia" w:ascii="Times New Roman" w:hAnsi="Times New Roman" w:eastAsia="宋体" w:cs="Times New Roman"/>
                <w:bCs/>
                <w:color w:val="auto"/>
                <w:sz w:val="24"/>
                <w:u w:val="single" w:color="auto"/>
                <w:lang w:val="en-US" w:eastAsia="zh-CN"/>
              </w:rPr>
            </w:pPr>
            <w:r>
              <w:rPr>
                <w:rFonts w:hint="eastAsia" w:ascii="Times New Roman" w:hAnsi="Times New Roman" w:eastAsia="宋体" w:cs="Times New Roman"/>
                <w:bCs/>
                <w:color w:val="auto"/>
                <w:sz w:val="24"/>
                <w:u w:val="single" w:color="auto"/>
                <w:lang w:val="en-US" w:eastAsia="zh-CN"/>
              </w:rPr>
              <w:t>综上，本项目与《湖南省长江经济带发展负面清单实施细则（试行，2022年版）》相符。</w:t>
            </w:r>
          </w:p>
          <w:p>
            <w:pPr>
              <w:keepNext w:val="0"/>
              <w:keepLines w:val="0"/>
              <w:pageBreakBefore w:val="0"/>
              <w:kinsoku/>
              <w:wordWrap/>
              <w:overflowPunct/>
              <w:topLinePunct w:val="0"/>
              <w:autoSpaceDE/>
              <w:autoSpaceDN/>
              <w:bidi w:val="0"/>
              <w:adjustRightInd/>
              <w:spacing w:line="360" w:lineRule="auto"/>
              <w:ind w:right="0"/>
              <w:textAlignment w:val="auto"/>
              <w:rPr>
                <w:rFonts w:hint="default" w:ascii="Times New Roman" w:hAnsi="Times New Roman" w:cs="Times New Roman"/>
                <w:b/>
                <w:bCs w:val="0"/>
                <w:color w:val="auto"/>
                <w:sz w:val="24"/>
                <w:u w:val="none" w:color="auto"/>
                <w:lang w:val="en-US" w:eastAsia="zh-CN"/>
              </w:rPr>
            </w:pPr>
            <w:r>
              <w:rPr>
                <w:rFonts w:hint="eastAsia" w:ascii="Times New Roman" w:hAnsi="Times New Roman" w:cs="Times New Roman"/>
                <w:b/>
                <w:bCs w:val="0"/>
                <w:color w:val="auto"/>
                <w:sz w:val="24"/>
                <w:u w:val="none" w:color="auto"/>
                <w:lang w:val="en-US" w:eastAsia="zh-CN"/>
              </w:rPr>
              <w:t>5、本项目与</w:t>
            </w:r>
            <w:r>
              <w:rPr>
                <w:rFonts w:hint="default" w:ascii="Times New Roman" w:hAnsi="Times New Roman" w:cs="Times New Roman"/>
                <w:b/>
                <w:bCs w:val="0"/>
                <w:color w:val="auto"/>
                <w:sz w:val="24"/>
                <w:u w:val="none" w:color="auto"/>
                <w:lang w:val="en-US" w:eastAsia="zh-CN"/>
              </w:rPr>
              <w:t>《水利建设项目（河湖整治与防洪除涝工程）环境影响评价文件审批原则（试行）》</w:t>
            </w:r>
            <w:r>
              <w:rPr>
                <w:rFonts w:hint="eastAsia" w:ascii="Times New Roman" w:hAnsi="Times New Roman" w:cs="Times New Roman"/>
                <w:b/>
                <w:bCs w:val="0"/>
                <w:color w:val="auto"/>
                <w:sz w:val="24"/>
                <w:u w:val="none" w:color="auto"/>
                <w:lang w:val="en-US" w:eastAsia="zh-CN"/>
              </w:rPr>
              <w:t>相符性分析</w:t>
            </w:r>
          </w:p>
          <w:p>
            <w:pPr>
              <w:keepNext w:val="0"/>
              <w:keepLines w:val="0"/>
              <w:pageBreakBefore w:val="0"/>
              <w:widowControl w:val="0"/>
              <w:kinsoku/>
              <w:wordWrap/>
              <w:overflowPunct/>
              <w:topLinePunct w:val="0"/>
              <w:autoSpaceDE/>
              <w:autoSpaceDN/>
              <w:bidi w:val="0"/>
              <w:adjustRightInd/>
              <w:snapToGrid/>
              <w:spacing w:before="33" w:line="240" w:lineRule="auto"/>
              <w:jc w:val="center"/>
              <w:textAlignment w:val="auto"/>
              <w:rPr>
                <w:rFonts w:hint="default" w:ascii="Times New Roman" w:hAnsi="Times New Roman" w:eastAsia="宋体" w:cs="Times New Roman"/>
                <w:b/>
                <w:bCs/>
                <w:color w:val="auto"/>
                <w:spacing w:val="-1"/>
                <w:sz w:val="21"/>
                <w:szCs w:val="21"/>
                <w:u w:val="single" w:color="auto"/>
                <w:lang w:val="en-US" w:eastAsia="zh-CN"/>
              </w:rPr>
            </w:pPr>
            <w:r>
              <w:rPr>
                <w:rFonts w:hint="eastAsia" w:ascii="Times New Roman" w:hAnsi="Times New Roman" w:eastAsia="宋体" w:cs="Times New Roman"/>
                <w:b/>
                <w:bCs/>
                <w:color w:val="auto"/>
                <w:spacing w:val="-1"/>
                <w:sz w:val="21"/>
                <w:szCs w:val="21"/>
                <w:u w:val="single" w:color="auto"/>
                <w:lang w:val="en-US" w:eastAsia="zh-CN"/>
              </w:rPr>
              <w:t>表1-4  本项目与</w:t>
            </w:r>
            <w:r>
              <w:rPr>
                <w:rFonts w:hint="default" w:ascii="Times New Roman" w:hAnsi="Times New Roman" w:eastAsia="宋体" w:cs="Times New Roman"/>
                <w:b/>
                <w:bCs/>
                <w:color w:val="auto"/>
                <w:spacing w:val="-1"/>
                <w:sz w:val="21"/>
                <w:szCs w:val="21"/>
                <w:u w:val="single" w:color="auto"/>
                <w:lang w:val="en-US" w:eastAsia="zh-CN"/>
              </w:rPr>
              <w:t>《水利建设项目（河湖整治与防洪除涝工程）环境影响评价文件审批原则（试行）》</w:t>
            </w:r>
            <w:r>
              <w:rPr>
                <w:rFonts w:hint="eastAsia" w:ascii="Times New Roman" w:hAnsi="Times New Roman" w:eastAsia="宋体" w:cs="Times New Roman"/>
                <w:b/>
                <w:bCs/>
                <w:color w:val="auto"/>
                <w:spacing w:val="-1"/>
                <w:sz w:val="21"/>
                <w:szCs w:val="21"/>
                <w:u w:val="single" w:color="auto"/>
                <w:lang w:val="en-US" w:eastAsia="zh-CN"/>
              </w:rPr>
              <w:t>相符性分析</w:t>
            </w:r>
          </w:p>
          <w:tbl>
            <w:tblPr>
              <w:tblStyle w:val="26"/>
              <w:tblW w:w="4997"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2513"/>
              <w:gridCol w:w="8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审批原则</w:t>
                  </w:r>
                </w:p>
              </w:tc>
              <w:tc>
                <w:tcPr>
                  <w:tcW w:w="1805"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本项目内容</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是否相符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1、</w:t>
                  </w:r>
                  <w:r>
                    <w:rPr>
                      <w:rFonts w:hint="eastAsia" w:ascii="Times New Roman" w:hAnsi="Times New Roman" w:eastAsia="宋体" w:cs="Times New Roman"/>
                      <w:snapToGrid/>
                      <w:color w:val="auto"/>
                      <w:kern w:val="2"/>
                      <w:sz w:val="21"/>
                      <w:szCs w:val="21"/>
                      <w:u w:val="single" w:color="auto"/>
                      <w:lang w:val="en-US" w:eastAsia="zh-CN"/>
                    </w:rPr>
                    <w:t>项目符合环境保护相关法律法规和政策要求，与主体功能区规划、生态功能区划、水环境功能区划、水功能区划、生态环境保护规划、流域综合规划、防洪规划等相协调，满足相关规划环评要求。工程涉及岸线调整（治导线变化）、裁弯取直、围垦水面和占用河湖滩地等建设内容的，充分论证了方案环境可行性，最大程度保持了河湖自然形态，最大限度维护了河湖健康、生态系统功能和生物多样性。</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本项目符合国家产业政策要求</w:t>
                  </w:r>
                  <w:r>
                    <w:rPr>
                      <w:rFonts w:hint="eastAsia" w:ascii="Times New Roman" w:hAnsi="Times New Roman" w:cs="Times New Roman"/>
                      <w:snapToGrid/>
                      <w:color w:val="auto"/>
                      <w:kern w:val="2"/>
                      <w:sz w:val="21"/>
                      <w:szCs w:val="21"/>
                      <w:u w:val="single" w:color="auto"/>
                      <w:lang w:val="en-US" w:eastAsia="zh-CN"/>
                    </w:rPr>
                    <w:t>，报告充分论证了施工对环境的影响，</w:t>
                  </w:r>
                  <w:r>
                    <w:rPr>
                      <w:rFonts w:hint="eastAsia" w:ascii="Times New Roman" w:hAnsi="Times New Roman" w:eastAsia="宋体" w:cs="Times New Roman"/>
                      <w:snapToGrid/>
                      <w:color w:val="auto"/>
                      <w:kern w:val="2"/>
                      <w:sz w:val="21"/>
                      <w:szCs w:val="21"/>
                      <w:u w:val="single" w:color="auto"/>
                      <w:lang w:val="en-US" w:eastAsia="zh-CN"/>
                    </w:rPr>
                    <w:t>最大限度维护了河湖健康、生态系统功能和生物多样性。</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numPr>
                      <w:ilvl w:val="0"/>
                      <w:numId w:val="0"/>
                    </w:numPr>
                    <w:bidi w:val="0"/>
                    <w:adjustRightInd/>
                    <w:snapToGrid/>
                    <w:spacing w:line="240" w:lineRule="auto"/>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2、</w:t>
                  </w:r>
                  <w:r>
                    <w:rPr>
                      <w:rFonts w:hint="eastAsia" w:ascii="Times New Roman" w:hAnsi="Times New Roman" w:eastAsia="宋体" w:cs="Times New Roman"/>
                      <w:snapToGrid/>
                      <w:color w:val="auto"/>
                      <w:kern w:val="2"/>
                      <w:sz w:val="21"/>
                      <w:szCs w:val="21"/>
                      <w:u w:val="single" w:color="auto"/>
                      <w:lang w:val="en-US" w:eastAsia="zh-CN"/>
                    </w:rPr>
                    <w:t>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为河道治理工程，</w:t>
                  </w:r>
                  <w:r>
                    <w:rPr>
                      <w:rFonts w:hint="eastAsia" w:ascii="Times New Roman" w:hAnsi="Times New Roman" w:eastAsia="宋体" w:cs="Times New Roman"/>
                      <w:snapToGrid/>
                      <w:color w:val="auto"/>
                      <w:kern w:val="2"/>
                      <w:sz w:val="21"/>
                      <w:szCs w:val="21"/>
                      <w:u w:val="single" w:color="auto"/>
                      <w:lang w:val="en-US" w:eastAsia="zh-CN"/>
                    </w:rPr>
                    <w:t>建设地点不涉及自然保护区、风景名胜区</w:t>
                  </w:r>
                  <w:r>
                    <w:rPr>
                      <w:rFonts w:hint="eastAsia" w:ascii="Times New Roman" w:hAnsi="Times New Roman" w:cs="Times New Roman"/>
                      <w:snapToGrid/>
                      <w:color w:val="auto"/>
                      <w:kern w:val="2"/>
                      <w:sz w:val="21"/>
                      <w:szCs w:val="21"/>
                      <w:u w:val="single" w:color="auto"/>
                      <w:lang w:val="en-US" w:eastAsia="zh-CN"/>
                    </w:rPr>
                    <w:t>、</w:t>
                  </w:r>
                  <w:r>
                    <w:rPr>
                      <w:rFonts w:hint="eastAsia" w:ascii="Times New Roman" w:hAnsi="Times New Roman" w:eastAsia="宋体" w:cs="Times New Roman"/>
                      <w:snapToGrid/>
                      <w:color w:val="auto"/>
                      <w:kern w:val="2"/>
                      <w:sz w:val="21"/>
                      <w:szCs w:val="21"/>
                      <w:u w:val="single" w:color="auto"/>
                      <w:lang w:val="en-US" w:eastAsia="zh-CN"/>
                    </w:rPr>
                    <w:t>饮用水源保护区等敏感区。</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3、</w:t>
                  </w:r>
                  <w:r>
                    <w:rPr>
                      <w:rFonts w:hint="eastAsia" w:ascii="Times New Roman" w:hAnsi="Times New Roman" w:eastAsia="宋体" w:cs="Times New Roman"/>
                      <w:snapToGrid/>
                      <w:color w:val="auto"/>
                      <w:kern w:val="2"/>
                      <w:sz w:val="21"/>
                      <w:szCs w:val="21"/>
                      <w:u w:val="single" w:color="auto"/>
                      <w:lang w:val="en-US" w:eastAsia="zh-CN"/>
                    </w:rPr>
                    <w:t>项目实施改变水动力条件或水文过程且对水质产生不利影响的，提出了工程优化调整、科学调度、实施区域流域水污染防治等措施。对地下水环境产生不利影响或次生环境影响的，提出了优化工程设计、导排、防护等针对性的防治措施。在采取上述措施后，对水环境的不利影响能够得到缓解和控制，居民用水安全能够得到保障，相关区域不会出现显著的土壤潜育化、沼泽化、盐碱化等次生环境问题。</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bidi="ar-SA"/>
                    </w:rPr>
                  </w:pPr>
                  <w:r>
                    <w:rPr>
                      <w:rFonts w:hint="eastAsia" w:ascii="Times New Roman" w:hAnsi="Times New Roman" w:cs="Times New Roman"/>
                      <w:snapToGrid/>
                      <w:color w:val="auto"/>
                      <w:kern w:val="2"/>
                      <w:sz w:val="21"/>
                      <w:szCs w:val="21"/>
                      <w:u w:val="single" w:color="auto"/>
                      <w:lang w:val="en-US" w:eastAsia="zh-CN"/>
                    </w:rPr>
                    <w:t>环评报告</w:t>
                  </w:r>
                  <w:r>
                    <w:rPr>
                      <w:rFonts w:hint="eastAsia" w:ascii="Times New Roman" w:hAnsi="Times New Roman" w:eastAsia="宋体" w:cs="Times New Roman"/>
                      <w:snapToGrid/>
                      <w:color w:val="auto"/>
                      <w:kern w:val="2"/>
                      <w:sz w:val="21"/>
                      <w:szCs w:val="21"/>
                      <w:u w:val="single" w:color="auto"/>
                      <w:lang w:val="en-US" w:eastAsia="zh-CN"/>
                    </w:rPr>
                    <w:t>提出了实施区域流域水污染防治等措施。在采取上述措施后，对水环境的不利影响能够得到缓解和控制，相关区域不会出现显著的土壤潜育化、沼泽化、盐碱化等次生环境问题。</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4、</w:t>
                  </w:r>
                  <w:r>
                    <w:rPr>
                      <w:rFonts w:hint="eastAsia" w:ascii="Times New Roman" w:hAnsi="Times New Roman" w:eastAsia="宋体" w:cs="Times New Roman"/>
                      <w:snapToGrid/>
                      <w:color w:val="auto"/>
                      <w:kern w:val="2"/>
                      <w:sz w:val="21"/>
                      <w:szCs w:val="21"/>
                      <w:u w:val="single" w:color="auto"/>
                      <w:lang w:val="en-US" w:eastAsia="zh-CN"/>
                    </w:rPr>
                    <w:t>项目对鱼类等水生生物的洄游通道及“三场”等重要生境、物种多样性及资源量等产生不利影响的，提出了下泄生态流量、恢复鱼类洄游通道、采用生态友好型护岸（坡、底）、生态修复、增殖放流等措施。</w:t>
                  </w:r>
                </w:p>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在采取上述措施后，对水生生物的不利影响能够得到缓解和控制，不会造成原有珍稀濒危保护、区域特有或重要经济水生生物在相关河段消失，不会对相关河段水生生态系统造成重大不利影响。</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项目</w:t>
                  </w:r>
                  <w:r>
                    <w:rPr>
                      <w:rFonts w:hint="eastAsia" w:ascii="Times New Roman" w:hAnsi="Times New Roman" w:cs="Times New Roman"/>
                      <w:snapToGrid/>
                      <w:color w:val="auto"/>
                      <w:kern w:val="2"/>
                      <w:sz w:val="21"/>
                      <w:szCs w:val="21"/>
                      <w:u w:val="single" w:color="auto"/>
                      <w:lang w:val="en-US" w:eastAsia="zh-CN"/>
                    </w:rPr>
                    <w:t>不涉及</w:t>
                  </w:r>
                  <w:r>
                    <w:rPr>
                      <w:rFonts w:hint="eastAsia" w:ascii="Times New Roman" w:hAnsi="Times New Roman" w:eastAsia="宋体" w:cs="Times New Roman"/>
                      <w:snapToGrid/>
                      <w:color w:val="auto"/>
                      <w:kern w:val="2"/>
                      <w:sz w:val="21"/>
                      <w:szCs w:val="21"/>
                      <w:u w:val="single" w:color="auto"/>
                      <w:lang w:val="en-US" w:eastAsia="zh-CN"/>
                    </w:rPr>
                    <w:t>水生生物的洄游通道及“三场”等重要生境</w:t>
                  </w:r>
                  <w:r>
                    <w:rPr>
                      <w:rFonts w:hint="eastAsia" w:ascii="Times New Roman" w:hAnsi="Times New Roman" w:cs="Times New Roman"/>
                      <w:snapToGrid/>
                      <w:color w:val="auto"/>
                      <w:kern w:val="2"/>
                      <w:sz w:val="21"/>
                      <w:szCs w:val="21"/>
                      <w:u w:val="single" w:color="auto"/>
                      <w:lang w:val="en-US" w:eastAsia="zh-CN"/>
                    </w:rPr>
                    <w:t>等</w:t>
                  </w:r>
                  <w:r>
                    <w:rPr>
                      <w:rFonts w:hint="eastAsia" w:ascii="Times New Roman" w:hAnsi="Times New Roman" w:eastAsia="宋体" w:cs="Times New Roman"/>
                      <w:snapToGrid/>
                      <w:color w:val="auto"/>
                      <w:kern w:val="2"/>
                      <w:sz w:val="21"/>
                      <w:szCs w:val="21"/>
                      <w:u w:val="single" w:color="auto"/>
                      <w:lang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5、</w:t>
                  </w:r>
                  <w:r>
                    <w:rPr>
                      <w:rFonts w:hint="eastAsia" w:ascii="Times New Roman" w:hAnsi="Times New Roman" w:eastAsia="宋体" w:cs="Times New Roman"/>
                      <w:snapToGrid/>
                      <w:color w:val="auto"/>
                      <w:kern w:val="2"/>
                      <w:sz w:val="21"/>
                      <w:szCs w:val="21"/>
                      <w:u w:val="single" w:color="auto"/>
                      <w:lang w:val="en-US" w:eastAsia="zh-CN"/>
                    </w:rPr>
                    <w:t>项目对湿地生态系统结构和功能、河湖生态缓冲带造成不利影响的，提出了优化工程设计及调度运行方案、生态修复等措施。对珍稀濒危保护植物造成不利影响的，提出了避让、原位防护、移栽等措施。对陆生珍稀濒危保护动物及其生境造成不利影响 的，提出了避让、救护、迁徙廊道构建、生境再造等措施。对景观产生不利影响的，提出了避让、优化设计、景观塑造等措施。</w:t>
                  </w:r>
                </w:p>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在采取上述措施后，对湿地以及陆生动植物的不利影响能够得到缓解和控制，与区域景观相协调，不会造成原有珍稀濒危保护动植物在相关区域消失，不会对陆生生态系统造成重大不利影响。</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不涉及</w:t>
                  </w:r>
                  <w:r>
                    <w:rPr>
                      <w:rFonts w:hint="eastAsia" w:ascii="Times New Roman" w:hAnsi="Times New Roman" w:eastAsia="宋体" w:cs="Times New Roman"/>
                      <w:snapToGrid/>
                      <w:color w:val="auto"/>
                      <w:kern w:val="2"/>
                      <w:sz w:val="21"/>
                      <w:szCs w:val="21"/>
                      <w:u w:val="single" w:color="auto"/>
                      <w:lang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6、</w:t>
                  </w:r>
                  <w:r>
                    <w:rPr>
                      <w:rFonts w:hint="eastAsia" w:ascii="Times New Roman" w:hAnsi="Times New Roman" w:eastAsia="宋体" w:cs="Times New Roman"/>
                      <w:snapToGrid/>
                      <w:color w:val="auto"/>
                      <w:kern w:val="2"/>
                      <w:sz w:val="21"/>
                      <w:szCs w:val="21"/>
                      <w:u w:val="single" w:color="auto"/>
                      <w:lang w:val="en-US" w:eastAsia="zh-CN"/>
                    </w:rPr>
                    <w:t>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w:t>
                  </w:r>
                </w:p>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在采取上述措施后，施工期的不利环境影响能够得到缓解和控制，不会对周围环境和敏感保护目标造成重大不利影响。</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项目施工组织方案具有环境合理性，对料场、弃土（渣）场等施工场地提出了水土流失防治和生态修复等措施。根据环境保护相关标准和要求，对施工期各类废（污）水、扬尘、废气、噪声、固体废物等提出了防治或处置措施</w:t>
                  </w:r>
                  <w:r>
                    <w:rPr>
                      <w:rFonts w:hint="eastAsia" w:ascii="Times New Roman" w:hAnsi="Times New Roman" w:eastAsia="宋体" w:cs="Times New Roman"/>
                      <w:snapToGrid/>
                      <w:color w:val="auto"/>
                      <w:kern w:val="2"/>
                      <w:sz w:val="21"/>
                      <w:szCs w:val="21"/>
                      <w:u w:val="single" w:color="auto"/>
                      <w:lang w:eastAsia="zh-CN"/>
                    </w:rPr>
                    <w:t>。</w:t>
                  </w:r>
                  <w:r>
                    <w:rPr>
                      <w:rFonts w:hint="eastAsia" w:ascii="Times New Roman" w:hAnsi="Times New Roman" w:eastAsia="宋体" w:cs="Times New Roman"/>
                      <w:snapToGrid/>
                      <w:color w:val="auto"/>
                      <w:kern w:val="2"/>
                      <w:sz w:val="21"/>
                      <w:szCs w:val="21"/>
                      <w:u w:val="single" w:color="auto"/>
                      <w:lang w:val="en-US" w:eastAsia="zh-CN"/>
                    </w:rPr>
                    <w:t>在采取上述措施后，施工期的不利环境影响能够得到缓解和控制，不会对周围环境和敏感保护目标造成重大不利影响。</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7、</w:t>
                  </w:r>
                  <w:r>
                    <w:rPr>
                      <w:rFonts w:hint="eastAsia" w:ascii="Times New Roman" w:hAnsi="Times New Roman" w:eastAsia="宋体" w:cs="Times New Roman"/>
                      <w:snapToGrid/>
                      <w:color w:val="auto"/>
                      <w:kern w:val="2"/>
                      <w:sz w:val="21"/>
                      <w:szCs w:val="21"/>
                      <w:u w:val="single" w:color="auto"/>
                      <w:lang w:val="en-US" w:eastAsia="zh-CN"/>
                    </w:rPr>
                    <w:t>项目移民安置的选址和建设方式具有环境合理性，提出了生态保护、污水处理、固体废物处置等措施。针对蓄滞洪区的环境污染、新增占地涉及污染场地等，提出了环境管理对策建议。</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本项目不涉及</w:t>
                  </w:r>
                  <w:r>
                    <w:rPr>
                      <w:rFonts w:hint="eastAsia" w:ascii="Times New Roman" w:hAnsi="Times New Roman" w:cs="Times New Roman"/>
                      <w:snapToGrid/>
                      <w:color w:val="auto"/>
                      <w:kern w:val="2"/>
                      <w:sz w:val="21"/>
                      <w:szCs w:val="21"/>
                      <w:u w:val="single" w:color="auto"/>
                      <w:lang w:val="en-US" w:eastAsia="zh-CN"/>
                    </w:rPr>
                    <w:t>移民安置</w:t>
                  </w:r>
                  <w:r>
                    <w:rPr>
                      <w:rFonts w:hint="eastAsia" w:ascii="Times New Roman" w:hAnsi="Times New Roman" w:eastAsia="宋体" w:cs="Times New Roman"/>
                      <w:snapToGrid/>
                      <w:color w:val="auto"/>
                      <w:kern w:val="2"/>
                      <w:sz w:val="21"/>
                      <w:szCs w:val="21"/>
                      <w:u w:val="single" w:color="auto"/>
                      <w:lang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hint="eastAsia" w:ascii="Times New Roman" w:hAnsi="Times New Roman" w:cs="Times New Roman"/>
                      <w:snapToGrid/>
                      <w:color w:val="auto"/>
                      <w:kern w:val="2"/>
                      <w:sz w:val="21"/>
                      <w:szCs w:val="21"/>
                      <w:u w:val="single" w:color="auto"/>
                      <w:lang w:val="en-US" w:eastAsia="zh-CN"/>
                    </w:rPr>
                    <w:t>8、</w:t>
                  </w:r>
                  <w:r>
                    <w:rPr>
                      <w:rFonts w:hint="eastAsia" w:ascii="Times New Roman" w:hAnsi="Times New Roman" w:eastAsia="宋体" w:cs="Times New Roman"/>
                      <w:snapToGrid/>
                      <w:color w:val="auto"/>
                      <w:kern w:val="2"/>
                      <w:sz w:val="21"/>
                      <w:szCs w:val="21"/>
                      <w:u w:val="single" w:color="auto"/>
                    </w:rPr>
                    <w:t>项目存在河湖水质污染、富营养化或外来物种入侵等环境风险的，提出了针对性的风险防范措施以及环境应急预案编制、建立必要的应急联动机制等要求。</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为内河内湖河道整治工程，</w:t>
                  </w:r>
                  <w:r>
                    <w:rPr>
                      <w:rFonts w:hint="eastAsia" w:ascii="Times New Roman" w:hAnsi="Times New Roman" w:eastAsia="宋体" w:cs="Times New Roman"/>
                      <w:snapToGrid/>
                      <w:color w:val="auto"/>
                      <w:kern w:val="2"/>
                      <w:sz w:val="21"/>
                      <w:szCs w:val="21"/>
                      <w:u w:val="single" w:color="auto"/>
                    </w:rPr>
                    <w:t>提出了针对性的风险防范措施以及环境应急预案编制、建立必要的应急联动机制等要求。</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hint="eastAsia" w:ascii="Times New Roman" w:hAnsi="Times New Roman" w:cs="Times New Roman"/>
                      <w:snapToGrid/>
                      <w:color w:val="auto"/>
                      <w:kern w:val="2"/>
                      <w:sz w:val="21"/>
                      <w:szCs w:val="21"/>
                      <w:u w:val="single" w:color="auto"/>
                      <w:lang w:val="en-US" w:eastAsia="zh-CN"/>
                    </w:rPr>
                    <w:t>9、</w:t>
                  </w:r>
                  <w:r>
                    <w:rPr>
                      <w:rFonts w:hint="eastAsia" w:ascii="Times New Roman" w:hAnsi="Times New Roman" w:eastAsia="宋体" w:cs="Times New Roman"/>
                      <w:snapToGrid/>
                      <w:color w:val="auto"/>
                      <w:kern w:val="2"/>
                      <w:sz w:val="21"/>
                      <w:szCs w:val="21"/>
                      <w:u w:val="single" w:color="auto"/>
                    </w:rPr>
                    <w:t>改、扩建项目在全面梳理了与项目有关的现有工程环境问题基础上，提出了与项目相适应的“ 以新带老” 措施。</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cs="Times New Roman"/>
                      <w:snapToGrid/>
                      <w:color w:val="auto"/>
                      <w:kern w:val="2"/>
                      <w:sz w:val="21"/>
                      <w:szCs w:val="21"/>
                      <w:u w:val="single" w:color="auto"/>
                      <w:lang w:val="en-US" w:eastAsia="zh-CN"/>
                    </w:rPr>
                    <w:t>为新建工程</w:t>
                  </w:r>
                  <w:r>
                    <w:rPr>
                      <w:rFonts w:hint="eastAsia" w:ascii="Times New Roman" w:hAnsi="Times New Roman" w:eastAsia="宋体" w:cs="Times New Roman"/>
                      <w:snapToGrid/>
                      <w:color w:val="auto"/>
                      <w:kern w:val="2"/>
                      <w:sz w:val="21"/>
                      <w:szCs w:val="21"/>
                      <w:u w:val="single" w:color="auto"/>
                      <w:lang w:val="en-US"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rPr>
                  </w:pPr>
                  <w:r>
                    <w:rPr>
                      <w:rFonts w:hint="eastAsia" w:ascii="Times New Roman" w:hAnsi="Times New Roman" w:cs="Times New Roman"/>
                      <w:snapToGrid/>
                      <w:color w:val="auto"/>
                      <w:kern w:val="2"/>
                      <w:sz w:val="21"/>
                      <w:szCs w:val="21"/>
                      <w:u w:val="single" w:color="auto"/>
                      <w:lang w:val="en-US" w:eastAsia="zh-CN"/>
                    </w:rPr>
                    <w:t>10、</w:t>
                  </w:r>
                  <w:r>
                    <w:rPr>
                      <w:rFonts w:hint="eastAsia" w:ascii="Times New Roman" w:hAnsi="Times New Roman" w:eastAsia="宋体" w:cs="Times New Roman"/>
                      <w:snapToGrid/>
                      <w:color w:val="auto"/>
                      <w:kern w:val="2"/>
                      <w:sz w:val="21"/>
                      <w:szCs w:val="21"/>
                      <w:u w:val="single" w:color="auto"/>
                    </w:rPr>
                    <w:t>按相关导则及规定要求，制定了水环境、生态等环境监测计划，明确了监测网点、因子、频次等有关要求，提出了开展环境影响后评价及根据监测评估结果优化环境保护措施的要求。根据需要和相关规定，提出了环境保护设计、开展相关科学研究、</w:t>
                  </w:r>
                </w:p>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hint="eastAsia" w:ascii="Times New Roman" w:hAnsi="Times New Roman" w:eastAsia="宋体" w:cs="Times New Roman"/>
                      <w:snapToGrid/>
                      <w:color w:val="auto"/>
                      <w:kern w:val="2"/>
                      <w:sz w:val="21"/>
                      <w:szCs w:val="21"/>
                      <w:u w:val="single" w:color="auto"/>
                    </w:rPr>
                    <w:t>环境管理等要求。</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eastAsia="宋体" w:cs="Times New Roman"/>
                      <w:snapToGrid/>
                      <w:color w:val="auto"/>
                      <w:kern w:val="2"/>
                      <w:sz w:val="21"/>
                      <w:szCs w:val="21"/>
                      <w:u w:val="single" w:color="auto"/>
                    </w:rPr>
                    <w:t>按相关导则及规定要求，制定了环境监测计划，明确了监测网点、因子、频次等有关要求</w:t>
                  </w:r>
                  <w:r>
                    <w:rPr>
                      <w:rFonts w:hint="eastAsia" w:ascii="Times New Roman" w:hAnsi="Times New Roman" w:cs="Times New Roman"/>
                      <w:snapToGrid/>
                      <w:color w:val="auto"/>
                      <w:kern w:val="2"/>
                      <w:sz w:val="21"/>
                      <w:szCs w:val="21"/>
                      <w:u w:val="single" w:color="auto"/>
                      <w:lang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numPr>
                      <w:ilvl w:val="0"/>
                      <w:numId w:val="3"/>
                    </w:num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hint="eastAsia" w:ascii="Times New Roman" w:hAnsi="Times New Roman" w:eastAsia="宋体" w:cs="Times New Roman"/>
                      <w:snapToGrid/>
                      <w:color w:val="auto"/>
                      <w:kern w:val="2"/>
                      <w:sz w:val="21"/>
                      <w:szCs w:val="21"/>
                      <w:u w:val="single" w:color="auto"/>
                    </w:rPr>
                    <w:t>对环境保护措施进行了深入论证，建设单位主体责任、投资估算、时间节点、预期效果明确，确保科学有效、安全可行、绿色协调。</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eastAsia="宋体" w:cs="Times New Roman"/>
                      <w:snapToGrid/>
                      <w:color w:val="auto"/>
                      <w:kern w:val="2"/>
                      <w:sz w:val="21"/>
                      <w:szCs w:val="21"/>
                      <w:u w:val="single" w:color="auto"/>
                    </w:rPr>
                    <w:t>对环境保护措施进行了论证</w:t>
                  </w:r>
                  <w:r>
                    <w:rPr>
                      <w:rFonts w:hint="eastAsia" w:ascii="Times New Roman" w:hAnsi="Times New Roman" w:cs="Times New Roman"/>
                      <w:snapToGrid/>
                      <w:color w:val="auto"/>
                      <w:kern w:val="2"/>
                      <w:sz w:val="21"/>
                      <w:szCs w:val="21"/>
                      <w:u w:val="single" w:color="auto"/>
                      <w:lang w:val="en-US"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ascii="Times New Roman" w:hAnsi="Times New Roman" w:eastAsia="宋体" w:cs="Times New Roman"/>
                      <w:snapToGrid/>
                      <w:color w:val="auto"/>
                      <w:kern w:val="2"/>
                      <w:sz w:val="21"/>
                      <w:szCs w:val="21"/>
                      <w:u w:val="single" w:color="auto"/>
                    </w:rPr>
                  </w:pPr>
                  <w:r>
                    <w:rPr>
                      <w:rFonts w:hint="eastAsia" w:ascii="Times New Roman" w:hAnsi="Times New Roman" w:cs="Times New Roman"/>
                      <w:snapToGrid/>
                      <w:color w:val="auto"/>
                      <w:kern w:val="2"/>
                      <w:sz w:val="21"/>
                      <w:szCs w:val="21"/>
                      <w:u w:val="single" w:color="auto"/>
                      <w:lang w:val="en-US" w:eastAsia="zh-CN"/>
                    </w:rPr>
                    <w:t>12、</w:t>
                  </w:r>
                  <w:r>
                    <w:rPr>
                      <w:rFonts w:hint="eastAsia" w:ascii="Times New Roman" w:hAnsi="Times New Roman" w:eastAsia="宋体" w:cs="Times New Roman"/>
                      <w:snapToGrid/>
                      <w:color w:val="auto"/>
                      <w:kern w:val="2"/>
                      <w:sz w:val="21"/>
                      <w:szCs w:val="21"/>
                      <w:u w:val="single" w:color="auto"/>
                    </w:rPr>
                    <w:t>按相关规定开展了信息公开和公众参与。</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本项目</w:t>
                  </w:r>
                  <w:r>
                    <w:rPr>
                      <w:rFonts w:hint="eastAsia" w:ascii="Times New Roman" w:hAnsi="Times New Roman" w:eastAsia="宋体" w:cs="Times New Roman"/>
                      <w:snapToGrid/>
                      <w:color w:val="auto"/>
                      <w:kern w:val="2"/>
                      <w:sz w:val="21"/>
                      <w:szCs w:val="21"/>
                      <w:u w:val="single" w:color="auto"/>
                    </w:rPr>
                    <w:t>按相关规定开展了信息公开</w:t>
                  </w:r>
                  <w:r>
                    <w:rPr>
                      <w:rFonts w:hint="eastAsia" w:ascii="Times New Roman" w:hAnsi="Times New Roman" w:cs="Times New Roman"/>
                      <w:snapToGrid/>
                      <w:color w:val="auto"/>
                      <w:kern w:val="2"/>
                      <w:sz w:val="21"/>
                      <w:szCs w:val="21"/>
                      <w:u w:val="single" w:color="auto"/>
                      <w:lang w:val="en-US" w:eastAsia="zh-CN"/>
                    </w:rPr>
                    <w:t>。</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eastAsia="宋体" w:cs="Times New Roman"/>
                      <w:snapToGrid/>
                      <w:color w:val="auto"/>
                      <w:kern w:val="2"/>
                      <w:sz w:val="21"/>
                      <w:szCs w:val="21"/>
                      <w:u w:val="single" w:color="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63"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rPr>
                  </w:pPr>
                  <w:r>
                    <w:rPr>
                      <w:rFonts w:hint="eastAsia" w:ascii="Times New Roman" w:hAnsi="Times New Roman" w:cs="Times New Roman"/>
                      <w:snapToGrid/>
                      <w:color w:val="auto"/>
                      <w:kern w:val="2"/>
                      <w:sz w:val="21"/>
                      <w:szCs w:val="21"/>
                      <w:u w:val="single" w:color="auto"/>
                      <w:lang w:val="en-US" w:eastAsia="zh-CN"/>
                    </w:rPr>
                    <w:t>13、</w:t>
                  </w:r>
                  <w:r>
                    <w:rPr>
                      <w:rFonts w:hint="eastAsia" w:ascii="Times New Roman" w:hAnsi="Times New Roman" w:eastAsia="宋体" w:cs="Times New Roman"/>
                      <w:snapToGrid/>
                      <w:color w:val="auto"/>
                      <w:kern w:val="2"/>
                      <w:sz w:val="21"/>
                      <w:szCs w:val="21"/>
                      <w:u w:val="single" w:color="auto"/>
                    </w:rPr>
                    <w:t>环境影响评价文件编制规范，符合相关管理规定和环评技术标准要求。</w:t>
                  </w:r>
                </w:p>
              </w:tc>
              <w:tc>
                <w:tcPr>
                  <w:tcW w:w="1805" w:type="pct"/>
                  <w:tcBorders>
                    <w:tl2br w:val="nil"/>
                    <w:tr2bl w:val="nil"/>
                  </w:tcBorders>
                  <w:noWrap w:val="0"/>
                  <w:vAlign w:val="center"/>
                </w:tcPr>
                <w:p>
                  <w:pPr>
                    <w:bidi w:val="0"/>
                    <w:adjustRightInd/>
                    <w:snapToGrid/>
                    <w:spacing w:line="240" w:lineRule="auto"/>
                    <w:ind w:firstLine="0" w:firstLineChars="0"/>
                    <w:jc w:val="both"/>
                    <w:rPr>
                      <w:rFonts w:hint="eastAsia"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本项目</w:t>
                  </w:r>
                  <w:r>
                    <w:rPr>
                      <w:rFonts w:hint="eastAsia" w:ascii="Times New Roman" w:hAnsi="Times New Roman" w:eastAsia="宋体" w:cs="Times New Roman"/>
                      <w:snapToGrid/>
                      <w:color w:val="auto"/>
                      <w:kern w:val="2"/>
                      <w:sz w:val="21"/>
                      <w:szCs w:val="21"/>
                      <w:u w:val="single" w:color="auto"/>
                    </w:rPr>
                    <w:t>环境影响评价文件编制规范，符合相关管理规定和环评技术标准要求。</w:t>
                  </w:r>
                </w:p>
              </w:tc>
              <w:tc>
                <w:tcPr>
                  <w:tcW w:w="631" w:type="pct"/>
                  <w:tcBorders>
                    <w:tl2br w:val="nil"/>
                    <w:tr2bl w:val="nil"/>
                  </w:tcBorders>
                  <w:noWrap w:val="0"/>
                  <w:vAlign w:val="center"/>
                </w:tcPr>
                <w:p>
                  <w:pPr>
                    <w:bidi w:val="0"/>
                    <w:adjustRightInd/>
                    <w:snapToGrid/>
                    <w:spacing w:line="240" w:lineRule="auto"/>
                    <w:ind w:firstLine="0" w:firstLineChars="0"/>
                    <w:jc w:val="center"/>
                    <w:rPr>
                      <w:rFonts w:hint="default" w:ascii="Times New Roman" w:hAnsi="Times New Roman" w:eastAsia="宋体" w:cs="Times New Roman"/>
                      <w:snapToGrid/>
                      <w:color w:val="auto"/>
                      <w:kern w:val="2"/>
                      <w:sz w:val="21"/>
                      <w:szCs w:val="21"/>
                      <w:u w:val="single" w:color="auto"/>
                      <w:lang w:val="en-US" w:eastAsia="zh-CN"/>
                    </w:rPr>
                  </w:pPr>
                  <w:r>
                    <w:rPr>
                      <w:rFonts w:hint="eastAsia" w:ascii="Times New Roman" w:hAnsi="Times New Roman" w:cs="Times New Roman"/>
                      <w:snapToGrid/>
                      <w:color w:val="auto"/>
                      <w:kern w:val="2"/>
                      <w:sz w:val="21"/>
                      <w:szCs w:val="21"/>
                      <w:u w:val="single" w:color="auto"/>
                      <w:lang w:val="en-US" w:eastAsia="zh-CN"/>
                    </w:rPr>
                    <w:t>符合</w:t>
                  </w:r>
                </w:p>
              </w:tc>
            </w:tr>
          </w:tbl>
          <w:p>
            <w:pPr>
              <w:pStyle w:val="14"/>
              <w:keepNext w:val="0"/>
              <w:keepLines w:val="0"/>
              <w:pageBreakBefore w:val="0"/>
              <w:kinsoku/>
              <w:wordWrap/>
              <w:overflowPunct/>
              <w:topLinePunct w:val="0"/>
              <w:bidi w:val="0"/>
              <w:adjustRightInd/>
              <w:snapToGrid/>
              <w:spacing w:before="0" w:after="0" w:line="360" w:lineRule="auto"/>
              <w:ind w:right="0" w:firstLine="480" w:firstLineChars="200"/>
              <w:jc w:val="left"/>
              <w:textAlignment w:val="auto"/>
              <w:rPr>
                <w:rFonts w:hint="default" w:ascii="Times New Roman" w:hAnsi="Times New Roman" w:eastAsia="宋体" w:cs="Times New Roman"/>
                <w:bCs/>
                <w:color w:val="auto"/>
                <w:sz w:val="24"/>
                <w:u w:val="single" w:color="auto"/>
                <w:lang w:val="en-US" w:eastAsia="zh-CN"/>
              </w:rPr>
            </w:pPr>
            <w:r>
              <w:rPr>
                <w:rFonts w:hint="eastAsia" w:ascii="Times New Roman" w:hAnsi="Times New Roman" w:cs="Times New Roman"/>
                <w:bCs/>
                <w:color w:val="auto"/>
                <w:sz w:val="24"/>
                <w:u w:val="single" w:color="auto"/>
                <w:lang w:val="en-US" w:eastAsia="zh-CN"/>
              </w:rPr>
              <w:t>综上，</w:t>
            </w:r>
            <w:r>
              <w:rPr>
                <w:rFonts w:hint="default" w:ascii="Times New Roman" w:hAnsi="Times New Roman" w:eastAsia="宋体" w:cs="Times New Roman"/>
                <w:bCs/>
                <w:color w:val="auto"/>
                <w:sz w:val="24"/>
                <w:u w:val="single" w:color="auto"/>
                <w:lang w:val="en-US" w:eastAsia="zh-CN"/>
              </w:rPr>
              <w:t>本项目与《水利建设项目（河湖整治与防洪除涝工程）环境影响评价文件审批原则（试行）》相符</w:t>
            </w:r>
            <w:r>
              <w:rPr>
                <w:rFonts w:hint="eastAsia" w:ascii="Times New Roman" w:hAnsi="Times New Roman" w:cs="Times New Roman"/>
                <w:bCs/>
                <w:color w:val="auto"/>
                <w:sz w:val="24"/>
                <w:u w:val="single" w:color="auto"/>
                <w:lang w:val="en-US" w:eastAsia="zh-CN"/>
              </w:rPr>
              <w:t>。</w:t>
            </w:r>
          </w:p>
          <w:p>
            <w:pPr>
              <w:spacing w:line="360" w:lineRule="auto"/>
              <w:ind w:left="63" w:leftChars="30" w:right="63" w:rightChars="30"/>
              <w:jc w:val="center"/>
              <w:rPr>
                <w:rFonts w:hint="default" w:ascii="Times New Roman" w:hAnsi="Times New Roman" w:cs="Times New Roman"/>
                <w:b/>
                <w:color w:val="auto"/>
                <w:szCs w:val="21"/>
                <w:u w:val="none" w:color="auto"/>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u w:val="none" w:color="auto"/>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lang w:val="en-US" w:eastAsia="zh-CN"/>
              </w:rPr>
            </w:pPr>
          </w:p>
          <w:p>
            <w:pPr>
              <w:spacing w:line="360" w:lineRule="auto"/>
              <w:ind w:left="63" w:leftChars="30" w:right="63" w:rightChars="30" w:firstLine="420" w:firstLineChars="200"/>
              <w:jc w:val="left"/>
              <w:rPr>
                <w:rFonts w:hint="default" w:ascii="Times New Roman" w:hAnsi="Times New Roman" w:cs="Times New Roman"/>
                <w:color w:val="auto"/>
                <w:kern w:val="0"/>
                <w:szCs w:val="21"/>
                <w:lang w:val="en-US" w:eastAsia="zh-CN"/>
              </w:rPr>
            </w:pPr>
          </w:p>
          <w:p>
            <w:pPr>
              <w:spacing w:line="360" w:lineRule="auto"/>
              <w:ind w:right="63" w:rightChars="30"/>
              <w:jc w:val="left"/>
              <w:rPr>
                <w:rFonts w:hint="default" w:ascii="Times New Roman" w:hAnsi="Times New Roman" w:eastAsia="宋体" w:cs="Times New Roman"/>
                <w:color w:val="auto"/>
                <w:kern w:val="0"/>
                <w:szCs w:val="21"/>
                <w:lang w:val="en-US" w:eastAsia="zh-CN"/>
              </w:rPr>
            </w:pPr>
          </w:p>
        </w:tc>
      </w:tr>
    </w:tbl>
    <w:p>
      <w:pPr>
        <w:spacing w:line="360" w:lineRule="auto"/>
        <w:outlineLvl w:val="9"/>
        <w:rPr>
          <w:rFonts w:ascii="Times New Roman" w:hAnsi="Times New Roman" w:eastAsia="黑体"/>
          <w:color w:val="auto"/>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2"/>
        <w:jc w:val="center"/>
        <w:outlineLvl w:val="0"/>
        <w:rPr>
          <w:rFonts w:ascii="Times New Roman" w:hAnsi="Times New Roman" w:eastAsia="黑体"/>
          <w:snapToGrid w:val="0"/>
          <w:color w:val="auto"/>
          <w:sz w:val="30"/>
          <w:szCs w:val="30"/>
        </w:rPr>
      </w:pPr>
      <w:bookmarkStart w:id="13" w:name="_Toc26356"/>
      <w:r>
        <w:rPr>
          <w:rFonts w:ascii="Times New Roman" w:hAnsi="Times New Roman" w:eastAsia="黑体"/>
          <w:snapToGrid w:val="0"/>
          <w:color w:val="auto"/>
          <w:sz w:val="30"/>
          <w:szCs w:val="30"/>
        </w:rPr>
        <w:t>二、建设内容</w:t>
      </w:r>
      <w:bookmarkEnd w:id="13"/>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8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729" w:type="pct"/>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地理位置</w:t>
            </w:r>
          </w:p>
        </w:tc>
        <w:tc>
          <w:tcPr>
            <w:tcW w:w="4271" w:type="pct"/>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Calibri"/>
                <w:color w:val="auto"/>
                <w:kern w:val="0"/>
                <w:sz w:val="24"/>
                <w:szCs w:val="24"/>
              </w:rPr>
            </w:pPr>
            <w:r>
              <w:rPr>
                <w:rFonts w:hint="eastAsia" w:ascii="Times New Roman" w:hAnsi="Times New Roman"/>
                <w:color w:val="auto"/>
                <w:sz w:val="24"/>
                <w:szCs w:val="24"/>
                <w:lang w:val="en-US" w:eastAsia="zh-CN"/>
              </w:rPr>
              <w:t>本</w:t>
            </w:r>
            <w:r>
              <w:rPr>
                <w:rFonts w:hint="eastAsia" w:ascii="Times New Roman" w:hAnsi="Times New Roman"/>
                <w:color w:val="auto"/>
                <w:sz w:val="24"/>
                <w:szCs w:val="24"/>
              </w:rPr>
              <w:t>项目为湘阴县农村内河内湖功能修复工程，</w:t>
            </w:r>
            <w:r>
              <w:rPr>
                <w:rFonts w:ascii="Times New Roman" w:hAnsi="Times New Roman"/>
                <w:color w:val="auto"/>
                <w:sz w:val="24"/>
                <w:szCs w:val="24"/>
              </w:rPr>
              <w:t>项目位于岳阳市湘阴县石塘镇、三塘镇和东塘镇，</w:t>
            </w:r>
            <w:r>
              <w:rPr>
                <w:rFonts w:hint="eastAsia" w:ascii="Times New Roman" w:hAnsi="Times New Roman"/>
                <w:color w:val="auto"/>
                <w:sz w:val="24"/>
                <w:szCs w:val="24"/>
              </w:rPr>
              <w:t>涉及河湖水系主要包括白泥湖、范家坝湖和三汊港湖三个内湖。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9" w:type="pct"/>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 w:val="24"/>
                <w:szCs w:val="24"/>
              </w:rPr>
              <w:t>项目组成及规模</w:t>
            </w:r>
          </w:p>
        </w:tc>
        <w:tc>
          <w:tcPr>
            <w:tcW w:w="4271" w:type="pct"/>
            <w:vAlign w:val="center"/>
          </w:tcPr>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val="0"/>
                <w:color w:val="auto"/>
                <w:sz w:val="24"/>
                <w:szCs w:val="24"/>
                <w:u w:val="single"/>
              </w:rPr>
            </w:pPr>
            <w:r>
              <w:rPr>
                <w:rFonts w:hint="eastAsia" w:ascii="Times New Roman" w:hAnsi="Times New Roman" w:eastAsia="宋体" w:cs="Times New Roman"/>
                <w:b/>
                <w:bCs w:val="0"/>
                <w:color w:val="auto"/>
                <w:sz w:val="24"/>
                <w:szCs w:val="24"/>
                <w:u w:val="single"/>
                <w:lang w:val="en-US" w:eastAsia="zh-CN"/>
              </w:rPr>
              <w:t>1、</w:t>
            </w:r>
            <w:r>
              <w:rPr>
                <w:rFonts w:hint="default" w:ascii="Times New Roman" w:hAnsi="Times New Roman" w:eastAsia="宋体" w:cs="Times New Roman"/>
                <w:b/>
                <w:bCs w:val="0"/>
                <w:color w:val="auto"/>
                <w:sz w:val="24"/>
                <w:szCs w:val="24"/>
                <w:u w:val="single"/>
              </w:rPr>
              <w:t>项目由来</w:t>
            </w:r>
          </w:p>
          <w:p>
            <w:pPr>
              <w:pStyle w:val="8"/>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lang w:val="en-US" w:eastAsia="zh-CN"/>
              </w:rPr>
              <w:t>1.1、</w:t>
            </w:r>
            <w:r>
              <w:rPr>
                <w:rFonts w:hint="default" w:ascii="Times New Roman" w:hAnsi="Times New Roman" w:eastAsia="宋体" w:cs="Times New Roman"/>
                <w:color w:val="auto"/>
                <w:sz w:val="24"/>
                <w:szCs w:val="24"/>
                <w:u w:val="single"/>
              </w:rPr>
              <w:t>流域概况</w:t>
            </w:r>
          </w:p>
          <w:p>
            <w:pPr>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白泥湖：位于湘阴县北部，湘江东岸﹐属湘江流域﹐南距湘阴县城6.0 km</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西距湘江2.5km，集雨面积8.79 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，白泥湖水面面积2.87 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，总库容709.2万m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，是一座以灌溉、调蓄为主，兼顾防洪的湖泊。</w:t>
            </w:r>
          </w:p>
          <w:p>
            <w:pPr>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范家坝湖：地处湘阴县城以北11公里处，地处石塘镇境，该湖东邻东塘镇、六塘乡，南接石塘乡，西与白泥湖接壤，北抵三塘镇，与湘江相邻；集雨面积41.7 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，正常蓄水位28.05m，总库容2275万m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，是一座以灌溉、调蓄为主，兼顾防洪的湖泊。</w:t>
            </w:r>
          </w:p>
          <w:p>
            <w:pPr>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三汊港湖：位于湘阴县三塘镇境内，三汊港湖为三塘镇的主要调蓄湖泊，兼具灌溉作用，集雨面积21.8km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，水面面积3.25km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，总库容1300.0万m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，现分为南湖、北湖，通过φ1.2m的涵管连通，是一座以灌溉、调蓄为主，兼顾防洪的湖泊。</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kern w:val="0"/>
                <w:sz w:val="24"/>
                <w:szCs w:val="24"/>
                <w:u w:val="single"/>
              </w:rPr>
            </w:pPr>
            <w:r>
              <w:rPr>
                <w:rFonts w:hint="default" w:ascii="Times New Roman" w:hAnsi="Times New Roman" w:eastAsia="宋体" w:cs="Times New Roman"/>
                <w:b/>
                <w:bCs/>
                <w:color w:val="auto"/>
                <w:kern w:val="0"/>
                <w:sz w:val="24"/>
                <w:szCs w:val="24"/>
                <w:u w:val="single"/>
              </w:rPr>
              <w:t>1.2</w:t>
            </w:r>
            <w:r>
              <w:rPr>
                <w:rFonts w:hint="eastAsia" w:ascii="Times New Roman" w:hAnsi="Times New Roman" w:eastAsia="宋体" w:cs="Times New Roman"/>
                <w:b/>
                <w:bCs/>
                <w:color w:val="auto"/>
                <w:kern w:val="0"/>
                <w:sz w:val="24"/>
                <w:szCs w:val="24"/>
                <w:u w:val="single"/>
                <w:lang w:eastAsia="zh-CN"/>
              </w:rPr>
              <w:t>、</w:t>
            </w:r>
            <w:r>
              <w:rPr>
                <w:rFonts w:hint="default" w:ascii="Times New Roman" w:hAnsi="Times New Roman" w:eastAsia="宋体" w:cs="Times New Roman"/>
                <w:b/>
                <w:bCs/>
                <w:color w:val="auto"/>
                <w:kern w:val="0"/>
                <w:sz w:val="24"/>
                <w:szCs w:val="24"/>
                <w:u w:val="single"/>
              </w:rPr>
              <w:t>主要存在的问题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目前湘阴县农村内河内湖功能修复工程（白泥湖、范家坝湖及三汊港湖）主要存在的问题有：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1）渍堤堤身现有防洪标准低，防洪基础设施薄弱。设计防洪标准为10年一遇，现状防洪能力仅为5年一遇，防洪安全性不足。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2）渍堤堤身、堤基存在渗漏及抗滑稳定性等问题。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3）渍堤堤岸坡脚冲刷、淘蚀、崩垮严重。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4）湖底淤积严重、杂草丛生，调蓄能力不足，严重影响其排涝和灌溉能力。湖泊淤积严重，兴利库容不断减小，目前灌溉可供水量严重不足，导致农业灌溉用水无法保证，灌溉效益无法充分发挥。根据现场调查和水文计算白泥湖正常年份水深约0.6～0.8m，严重影响其生态和灌溉功能；范家坝灌区年缺水量达309.</w:t>
            </w:r>
            <w:r>
              <w:rPr>
                <w:rFonts w:hint="eastAsia" w:ascii="Times New Roman" w:hAnsi="Times New Roman" w:cs="Times New Roman"/>
                <w:color w:val="auto"/>
                <w:kern w:val="0"/>
                <w:sz w:val="24"/>
                <w:szCs w:val="24"/>
                <w:u w:val="single"/>
                <w:lang w:val="en-US" w:eastAsia="zh-CN"/>
              </w:rPr>
              <w:t>71</w:t>
            </w:r>
            <w:r>
              <w:rPr>
                <w:rFonts w:hint="default" w:ascii="Times New Roman" w:hAnsi="Times New Roman" w:eastAsia="宋体" w:cs="Times New Roman"/>
                <w:color w:val="auto"/>
                <w:kern w:val="0"/>
                <w:sz w:val="24"/>
                <w:szCs w:val="24"/>
                <w:u w:val="single"/>
              </w:rPr>
              <w:t>万m</w:t>
            </w:r>
            <w:r>
              <w:rPr>
                <w:rFonts w:hint="default" w:ascii="Times New Roman" w:hAnsi="Times New Roman" w:eastAsia="宋体" w:cs="Times New Roman"/>
                <w:color w:val="auto"/>
                <w:kern w:val="0"/>
                <w:sz w:val="24"/>
                <w:szCs w:val="24"/>
                <w:u w:val="single"/>
                <w:vertAlign w:val="superscript"/>
              </w:rPr>
              <w:t>3</w:t>
            </w:r>
            <w:r>
              <w:rPr>
                <w:rFonts w:hint="default" w:ascii="Times New Roman" w:hAnsi="Times New Roman" w:eastAsia="宋体" w:cs="Times New Roman"/>
                <w:color w:val="auto"/>
                <w:kern w:val="0"/>
                <w:sz w:val="24"/>
                <w:szCs w:val="24"/>
                <w:u w:val="single"/>
              </w:rPr>
              <w:t>，三汊港灌区年缺水量达</w:t>
            </w:r>
            <w:r>
              <w:rPr>
                <w:rFonts w:hint="eastAsia" w:ascii="Times New Roman" w:hAnsi="Times New Roman" w:cs="Times New Roman"/>
                <w:color w:val="auto"/>
                <w:kern w:val="0"/>
                <w:sz w:val="24"/>
                <w:szCs w:val="24"/>
                <w:u w:val="single"/>
                <w:lang w:val="en-US" w:eastAsia="zh-CN"/>
              </w:rPr>
              <w:t>211.36</w:t>
            </w:r>
            <w:r>
              <w:rPr>
                <w:rFonts w:hint="default" w:ascii="Times New Roman" w:hAnsi="Times New Roman" w:eastAsia="宋体" w:cs="Times New Roman"/>
                <w:color w:val="auto"/>
                <w:kern w:val="0"/>
                <w:sz w:val="24"/>
                <w:szCs w:val="24"/>
                <w:u w:val="single"/>
              </w:rPr>
              <w:t>万m</w:t>
            </w:r>
            <w:r>
              <w:rPr>
                <w:rFonts w:hint="default" w:ascii="Times New Roman" w:hAnsi="Times New Roman" w:eastAsia="宋体" w:cs="Times New Roman"/>
                <w:color w:val="auto"/>
                <w:kern w:val="0"/>
                <w:sz w:val="24"/>
                <w:szCs w:val="24"/>
                <w:u w:val="single"/>
                <w:vertAlign w:val="superscript"/>
              </w:rPr>
              <w:t>3</w:t>
            </w:r>
            <w:r>
              <w:rPr>
                <w:rFonts w:hint="default" w:ascii="Times New Roman" w:hAnsi="Times New Roman" w:eastAsia="宋体" w:cs="Times New Roman"/>
                <w:color w:val="auto"/>
                <w:kern w:val="0"/>
                <w:sz w:val="24"/>
                <w:szCs w:val="24"/>
                <w:u w:val="singl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single"/>
              </w:rPr>
            </w:pPr>
            <w:r>
              <w:rPr>
                <w:rFonts w:hint="eastAsia" w:ascii="Times New Roman" w:hAnsi="Times New Roman" w:cs="Times New Roman"/>
                <w:color w:val="auto"/>
                <w:kern w:val="0"/>
                <w:sz w:val="24"/>
                <w:szCs w:val="24"/>
                <w:u w:val="single"/>
                <w:lang w:val="en-US" w:eastAsia="zh-CN"/>
              </w:rPr>
              <w:t>5</w:t>
            </w:r>
            <w:r>
              <w:rPr>
                <w:rFonts w:hint="default" w:ascii="Times New Roman" w:hAnsi="Times New Roman" w:eastAsia="宋体" w:cs="Times New Roman"/>
                <w:color w:val="auto"/>
                <w:kern w:val="0"/>
                <w:sz w:val="24"/>
                <w:szCs w:val="24"/>
                <w:u w:val="single"/>
              </w:rPr>
              <w:t>）湖泊配套涵闸年久失修、涵身开裂，闸门锈蚀漏水，启闭机启闭困难，影响灌溉和排涝。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color w:val="auto"/>
                <w:kern w:val="0"/>
                <w:sz w:val="24"/>
                <w:szCs w:val="24"/>
                <w:u w:val="single"/>
                <w:lang w:val="en-US" w:eastAsia="zh-CN"/>
              </w:rPr>
            </w:pPr>
            <w:r>
              <w:rPr>
                <w:rFonts w:hint="eastAsia" w:ascii="Times New Roman" w:hAnsi="Times New Roman" w:cs="Times New Roman"/>
                <w:color w:val="auto"/>
                <w:kern w:val="0"/>
                <w:sz w:val="24"/>
                <w:szCs w:val="24"/>
                <w:u w:val="single"/>
                <w:lang w:val="en-US" w:eastAsia="zh-CN"/>
              </w:rPr>
              <w:t>6</w:t>
            </w:r>
            <w:r>
              <w:rPr>
                <w:rFonts w:hint="default" w:ascii="Times New Roman" w:hAnsi="Times New Roman" w:eastAsia="宋体" w:cs="Times New Roman"/>
                <w:color w:val="auto"/>
                <w:kern w:val="0"/>
                <w:sz w:val="24"/>
                <w:szCs w:val="24"/>
                <w:u w:val="single"/>
              </w:rPr>
              <w:t>）湖泊配套灌溉泵站年久失修，机电、金属结构老化严重，带病运行，影响灌溉</w:t>
            </w:r>
            <w:r>
              <w:rPr>
                <w:rFonts w:hint="eastAsia" w:ascii="Times New Roman" w:hAnsi="Times New Roman" w:cs="Times New Roman"/>
                <w:color w:val="auto"/>
                <w:kern w:val="0"/>
                <w:sz w:val="24"/>
                <w:szCs w:val="24"/>
                <w:u w:val="single"/>
                <w:lang w:val="en-US" w:eastAsia="zh-CN"/>
              </w:rPr>
              <w:t>功能。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b/>
                <w:bCs/>
                <w:color w:val="auto"/>
                <w:kern w:val="0"/>
                <w:sz w:val="24"/>
                <w:szCs w:val="24"/>
                <w:u w:val="single"/>
                <w:lang w:val="en-US" w:eastAsia="zh-CN"/>
              </w:rPr>
            </w:pPr>
            <w:r>
              <w:rPr>
                <w:rFonts w:hint="eastAsia" w:ascii="Times New Roman" w:hAnsi="Times New Roman" w:cs="Times New Roman"/>
                <w:b/>
                <w:bCs/>
                <w:color w:val="auto"/>
                <w:kern w:val="0"/>
                <w:sz w:val="24"/>
                <w:szCs w:val="24"/>
                <w:u w:val="single"/>
                <w:lang w:val="en-US" w:eastAsia="zh-CN"/>
              </w:rPr>
              <w:t>1.3、相关工程概况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白泥湖、范家坝湖和三汊港湖主要功能为洪水调蓄和农田灌溉，本项目通过清淤疏浚，降低内湖死水位，扩大蓄水容量，增加有效蓄水容积，并结合生态整治，恢复和提高河湖自我净化能力和主要生态功能。由于岳阳市生态环境局已批复《湖南省湘阴范家坝湖-白泥湖生态环境综合治理》和《湖南省湘阴三汊港湖生态环境综合治理》，本次</w:t>
            </w:r>
            <w:r>
              <w:rPr>
                <w:rFonts w:hint="eastAsia" w:ascii="Times New Roman" w:hAnsi="Times New Roman" w:eastAsia="宋体" w:cs="Times New Roman"/>
                <w:color w:val="auto"/>
                <w:sz w:val="24"/>
                <w:szCs w:val="24"/>
                <w:u w:val="single"/>
                <w:lang w:val="en-US" w:eastAsia="zh-CN"/>
              </w:rPr>
              <w:t>工程</w:t>
            </w:r>
            <w:r>
              <w:rPr>
                <w:rFonts w:hint="default" w:ascii="Times New Roman" w:hAnsi="Times New Roman" w:eastAsia="宋体" w:cs="Times New Roman"/>
                <w:color w:val="auto"/>
                <w:sz w:val="24"/>
                <w:szCs w:val="24"/>
                <w:u w:val="single"/>
              </w:rPr>
              <w:t>不再增设生态治理，只通过扩大蓄水容量，增加有效蓄水容积，恢复和提高河湖自我净化能力和主要生态功能，并请有关负责单位监督完成《湖南省湘阴范家坝湖-白泥湖生态环境综合治理》和《湖南省湘阴三汊港湖生态环境综合治理》工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《湖南省湘阴范家坝湖-白泥湖生态环境综合治理》和《湖南省湘阴三汊港湖生态环境综合治理》批复内容如下：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湖南省湘阴范家坝湖-白泥湖生态环境综合治理》主要内容包括：①区域农村生活污水治理工程：对范家坝湖-白泥湖周边农村生活污水进行处理，建设4座50t/d、2座100t/d、2座150t/d小型集中式污水处理设施，并配置污水管网；②水环境生态修复与治理工程:建设湖滨带湿地95亩，其中滩地型湿地35亩，农田型湿地35亩，鱼塘型湿地25亩；在白泥湖建设6.6km人工生态护岸，范家坝湖北侧建设3km自然生态护岸；建设10~20座人工生态浮岛，总面积共6000 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；在排水渠末端建设20座小型生态消纳湿地，总面积共4000m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cs="Times New Roman"/>
                <w:color w:val="auto"/>
                <w:sz w:val="24"/>
                <w:szCs w:val="24"/>
                <w:u w:val="single"/>
                <w:lang w:eastAsia="zh-CN"/>
              </w:rPr>
            </w:pPr>
            <w:r>
              <w:rPr>
                <w:rFonts w:hint="default" w:ascii="Times New Roman" w:hAnsi="Times New Roman" w:eastAsia="宋体" w:cs="Times New Roman"/>
                <w:color w:val="auto"/>
                <w:sz w:val="24"/>
                <w:szCs w:val="24"/>
                <w:u w:val="single"/>
              </w:rPr>
              <w:t>《湖南省湘阴三汊港湖生态环境综合治理》主要内容包括：①生态湿地建设工程：为降低周边污染对三汉港湖水质造成的威胁，拟在三汉港湖区范围内修建生态湿地；其中湖滨生态湿地190亩，湖叉生态湿地150亩，总建设面积340亩；②生态拦截建设工程：在保留原生植被的前提下，拟对项目区修建生态护岸和生态拦截沟渠。生态护岸主要是植草砌块形式生态修复，生态修复含沉水植物、挺水植物种植；生态护岸长度5.9km，生态拦截沟渠总长度7.6km；③农村生活污水治理工程：通过新建和改造居民排水系统，将生活污水引入集中式污水处理站进行净化。本项目区主要建设50户联用的25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/d污水处理站9座，100户联用的50m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/d污水处理站5座及相关配套管网12070m</w:t>
            </w:r>
            <w:r>
              <w:rPr>
                <w:rFonts w:hint="eastAsia" w:ascii="Times New Roman" w:hAnsi="Times New Roman" w:cs="Times New Roman"/>
                <w:color w:val="auto"/>
                <w:sz w:val="24"/>
                <w:szCs w:val="24"/>
                <w:u w:val="single"/>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cs="Times New Roman"/>
                <w:color w:val="auto"/>
                <w:sz w:val="24"/>
                <w:szCs w:val="24"/>
                <w:u w:val="single"/>
                <w:lang w:val="en-US" w:eastAsia="zh-CN"/>
              </w:rPr>
            </w:pPr>
            <w:r>
              <w:rPr>
                <w:rFonts w:hint="eastAsia" w:ascii="Times New Roman" w:hAnsi="Times New Roman" w:cs="Times New Roman"/>
                <w:color w:val="auto"/>
                <w:sz w:val="24"/>
                <w:szCs w:val="24"/>
                <w:u w:val="single"/>
                <w:lang w:eastAsia="zh-CN"/>
              </w:rPr>
              <w:t>湖南化工地质工程勘察院有限责任公司</w:t>
            </w:r>
            <w:r>
              <w:rPr>
                <w:rFonts w:hint="eastAsia" w:ascii="Times New Roman" w:hAnsi="Times New Roman" w:cs="Times New Roman"/>
                <w:color w:val="auto"/>
                <w:sz w:val="24"/>
                <w:szCs w:val="24"/>
                <w:u w:val="single"/>
                <w:lang w:val="en-US" w:eastAsia="zh-CN"/>
              </w:rPr>
              <w:t>于2023年5月编制了</w:t>
            </w:r>
            <w:r>
              <w:rPr>
                <w:rFonts w:hint="eastAsia" w:ascii="Times New Roman" w:hAnsi="Times New Roman" w:cs="Times New Roman"/>
                <w:color w:val="auto"/>
                <w:sz w:val="24"/>
                <w:szCs w:val="24"/>
                <w:u w:val="single"/>
                <w:lang w:eastAsia="zh-CN"/>
              </w:rPr>
              <w:t>《湘阴县白泥湖、范家坝、三汊港湖综合治理工程勘察报告》，2023年7月6日，湘阴县水利局出具了关于《湖南省湘阴县农村内河内湖功能修复工程（白泥湖、范家坝及三汊港湖）初步设计报告的批复》 （湘阴水利许〔2023〕35 号） ，批复内容详见附件</w:t>
            </w:r>
            <w:r>
              <w:rPr>
                <w:rFonts w:hint="eastAsia" w:ascii="Times New Roman" w:hAnsi="Times New Roman" w:cs="Times New Roman"/>
                <w:color w:val="auto"/>
                <w:sz w:val="24"/>
                <w:szCs w:val="24"/>
                <w:u w:val="single"/>
                <w:lang w:val="en-US" w:eastAsia="zh-CN"/>
              </w:rPr>
              <w:t>4。</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auto"/>
                <w:sz w:val="24"/>
                <w:szCs w:val="24"/>
                <w:u w:val="single"/>
                <w:lang w:val="en-US" w:eastAsia="zh-CN"/>
              </w:rPr>
            </w:pPr>
            <w:r>
              <w:rPr>
                <w:rFonts w:hint="eastAsia" w:ascii="Times New Roman" w:hAnsi="Times New Roman" w:cs="Times New Roman"/>
                <w:color w:val="auto"/>
                <w:sz w:val="24"/>
                <w:szCs w:val="24"/>
                <w:u w:val="single"/>
                <w:lang w:val="en-US" w:eastAsia="zh-CN"/>
              </w:rPr>
              <w:t>根据湘阴县水利局出具的《关于农村内河内湖功能修复工程三汊港湖的情况说明》：我局关于《湖南省湘阴县农村内河内湖功能修复工程(白泥湖、范家坝湖及三汊港湖)初步设计》的批复中三汊港湖与湘阴县发改局关于《湖南湘江新区湘阴片区河湖生态环境治理及产业绿色发展项目(一期)核准的批复》中农村内河内湖功能修复工程三叉港南湖均为同一湖泊。具体见附件5。</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kern w:val="0"/>
                <w:sz w:val="24"/>
                <w:szCs w:val="24"/>
                <w:u w:val="none"/>
              </w:rPr>
            </w:pPr>
            <w:r>
              <w:rPr>
                <w:rFonts w:hint="eastAsia" w:ascii="Times New Roman" w:hAnsi="Times New Roman" w:cs="Times New Roman"/>
                <w:b/>
                <w:bCs/>
                <w:color w:val="auto"/>
                <w:kern w:val="0"/>
                <w:sz w:val="24"/>
                <w:szCs w:val="24"/>
                <w:u w:val="none"/>
                <w:lang w:val="en-US" w:eastAsia="zh-CN"/>
              </w:rPr>
              <w:t>1.4、本</w:t>
            </w:r>
            <w:r>
              <w:rPr>
                <w:rFonts w:hint="default" w:ascii="Times New Roman" w:hAnsi="Times New Roman" w:eastAsia="宋体" w:cs="Times New Roman"/>
                <w:b/>
                <w:bCs/>
                <w:color w:val="auto"/>
                <w:kern w:val="0"/>
                <w:sz w:val="24"/>
                <w:szCs w:val="24"/>
                <w:u w:val="none"/>
              </w:rPr>
              <w:t>工程任务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rPr>
            </w:pPr>
            <w:r>
              <w:rPr>
                <w:rFonts w:hint="default" w:ascii="Times New Roman" w:hAnsi="Times New Roman" w:eastAsia="宋体" w:cs="Times New Roman"/>
                <w:color w:val="auto"/>
                <w:kern w:val="0"/>
                <w:sz w:val="24"/>
                <w:szCs w:val="24"/>
                <w:u w:val="none"/>
              </w:rPr>
              <w:t>湘阴县农村内河内湖功能修复工程（白泥湖、范家坝湖及三汊港湖）的工程任务有：一是防洪排涝能力提升，通过对堤防加固、配套设施的改造，提高本区域抵御洪涝灾害能力，减轻片区排涝压力；二是灌溉水源蓄水能力提升，通过对湖泊进行清淤增加调蓄容积，提高蓄水能力，为灌区提高可靠的灌溉水源；三是灌区灌溉能力提升，提高对现有灌溉泵站进行改造，恢复灌溉范围</w:t>
            </w:r>
            <w:r>
              <w:rPr>
                <w:rFonts w:hint="eastAsia" w:ascii="Times New Roman" w:hAnsi="Times New Roman" w:cs="Times New Roman"/>
                <w:color w:val="auto"/>
                <w:kern w:val="0"/>
                <w:sz w:val="24"/>
                <w:szCs w:val="24"/>
                <w:u w:val="none"/>
                <w:lang w:eastAsia="zh-CN"/>
              </w:rPr>
              <w:t>；</w:t>
            </w:r>
            <w:r>
              <w:rPr>
                <w:rFonts w:hint="default" w:ascii="Times New Roman" w:hAnsi="Times New Roman" w:eastAsia="宋体" w:cs="Times New Roman"/>
                <w:color w:val="auto"/>
                <w:kern w:val="0"/>
                <w:sz w:val="24"/>
                <w:szCs w:val="24"/>
                <w:u w:val="none"/>
              </w:rPr>
              <w:t>四是水生态环境保护，通过对河湖沟渠的涵闸进行改造，恢复原有流动的水体，提升区域水环境承载力。即主要通过系统的工程措施，使白泥湖、范家坝湖、三汊港湖及其配套设施正常运行，充分发挥其效益，确保当地人民农业生产活动正常进行及生命财产的安全。</w:t>
            </w:r>
          </w:p>
          <w:p>
            <w:pPr>
              <w:keepNext w:val="0"/>
              <w:keepLines w:val="0"/>
              <w:pageBreakBefore w:val="0"/>
              <w:kinsoku/>
              <w:wordWrap/>
              <w:overflowPunct/>
              <w:topLinePunct w:val="0"/>
              <w:autoSpaceDE/>
              <w:autoSpaceDN/>
              <w:bidi w:val="0"/>
              <w:adjustRightInd/>
              <w:spacing w:line="360" w:lineRule="auto"/>
              <w:ind w:right="0" w:firstLine="480" w:firstLineChars="200"/>
              <w:textAlignment w:val="auto"/>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本项目</w:t>
            </w:r>
            <w:r>
              <w:rPr>
                <w:rFonts w:hint="eastAsia" w:ascii="Times New Roman" w:hAnsi="Times New Roman" w:cs="Times New Roman"/>
                <w:bCs/>
                <w:color w:val="auto"/>
                <w:sz w:val="24"/>
                <w:u w:val="single" w:color="auto"/>
                <w:lang w:val="en-US" w:eastAsia="zh-CN"/>
              </w:rPr>
              <w:t>为</w:t>
            </w:r>
            <w:r>
              <w:rPr>
                <w:rFonts w:hint="default" w:ascii="Times New Roman" w:hAnsi="Times New Roman" w:cs="Times New Roman"/>
                <w:color w:val="auto"/>
                <w:sz w:val="24"/>
                <w:szCs w:val="24"/>
                <w:u w:val="single" w:color="auto"/>
              </w:rPr>
              <w:t>河湖整治</w:t>
            </w:r>
            <w:r>
              <w:rPr>
                <w:rFonts w:hint="eastAsia" w:ascii="Times New Roman" w:hAnsi="Times New Roman" w:cs="Times New Roman"/>
                <w:color w:val="auto"/>
                <w:sz w:val="24"/>
                <w:szCs w:val="24"/>
                <w:u w:val="single" w:color="auto"/>
                <w:lang w:val="en-US" w:eastAsia="zh-CN"/>
              </w:rPr>
              <w:t>工程，</w:t>
            </w:r>
            <w:r>
              <w:rPr>
                <w:rFonts w:hint="default" w:ascii="Times New Roman" w:hAnsi="Times New Roman" w:cs="Times New Roman"/>
                <w:bCs/>
                <w:color w:val="auto"/>
                <w:sz w:val="24"/>
                <w:u w:val="single" w:color="auto"/>
              </w:rPr>
              <w:t>根据《中华人民共和国环境影响评价法》和《建设项目环境保护管理条例》等法律法规的要求，项目须进行环境影响评价，对照《建设项目环境影响评价分类管理名录》（2021年本）</w:t>
            </w:r>
            <w:r>
              <w:rPr>
                <w:rFonts w:hint="eastAsia" w:ascii="Times New Roman" w:hAnsi="Times New Roman" w:cs="Times New Roman"/>
                <w:bCs/>
                <w:color w:val="auto"/>
                <w:sz w:val="24"/>
                <w:u w:val="single" w:color="auto"/>
                <w:lang w:eastAsia="zh-CN"/>
              </w:rPr>
              <w:t>：“五十一、水利——128、河湖整治（不含农村塘堰、水渠）——其他</w:t>
            </w:r>
            <w:r>
              <w:rPr>
                <w:rFonts w:hint="default" w:ascii="Times New Roman" w:hAnsi="Times New Roman" w:cs="Times New Roman"/>
                <w:bCs/>
                <w:color w:val="auto"/>
                <w:sz w:val="24"/>
                <w:u w:val="single" w:color="auto"/>
              </w:rPr>
              <w:t>，编制环境影响报告表</w:t>
            </w:r>
            <w:r>
              <w:rPr>
                <w:rFonts w:hint="eastAsia" w:ascii="Times New Roman" w:hAnsi="Times New Roman" w:cs="Times New Roman"/>
                <w:bCs/>
                <w:color w:val="auto"/>
                <w:sz w:val="24"/>
                <w:u w:val="single" w:color="auto"/>
                <w:lang w:eastAsia="zh-CN"/>
              </w:rPr>
              <w:t>。</w:t>
            </w:r>
            <w:r>
              <w:rPr>
                <w:rFonts w:hint="eastAsia" w:ascii="Times New Roman" w:hAnsi="Times New Roman" w:eastAsia="宋体" w:cs="Times New Roman"/>
                <w:bCs/>
                <w:color w:val="auto"/>
                <w:sz w:val="24"/>
                <w:u w:val="single" w:color="auto"/>
                <w:lang w:val="en-US" w:eastAsia="zh-CN"/>
              </w:rPr>
              <w:t>”</w:t>
            </w:r>
            <w:r>
              <w:rPr>
                <w:rFonts w:hint="default" w:ascii="Times New Roman" w:hAnsi="Times New Roman" w:eastAsia="宋体" w:cs="Times New Roman"/>
                <w:bCs/>
                <w:color w:val="auto"/>
                <w:sz w:val="24"/>
                <w:highlight w:val="none"/>
                <w:u w:val="single" w:color="auto"/>
              </w:rPr>
              <w:t>受建设单位委托，湖南徐工助成环保技术有限公司承担了</w:t>
            </w:r>
            <w:r>
              <w:rPr>
                <w:rFonts w:hint="eastAsia" w:ascii="Times New Roman" w:hAnsi="Times New Roman" w:eastAsia="宋体" w:cs="Times New Roman"/>
                <w:bCs/>
                <w:color w:val="auto"/>
                <w:sz w:val="24"/>
                <w:highlight w:val="none"/>
                <w:u w:val="single" w:color="auto"/>
                <w:lang w:val="en-US" w:eastAsia="zh-CN"/>
              </w:rPr>
              <w:t>本</w:t>
            </w:r>
            <w:r>
              <w:rPr>
                <w:rFonts w:hint="default" w:ascii="Times New Roman" w:hAnsi="Times New Roman" w:eastAsia="宋体" w:cs="Times New Roman"/>
                <w:bCs/>
                <w:color w:val="auto"/>
                <w:sz w:val="24"/>
                <w:highlight w:val="none"/>
                <w:u w:val="single" w:color="auto"/>
              </w:rPr>
              <w:t>项目环境影响报告表的编制工作，并组织技术人员进行了现场踏勘、资料收集等工作。我单位严格按照《建设项目环境影响报告表编制技术指南（</w:t>
            </w:r>
            <w:r>
              <w:rPr>
                <w:rFonts w:hint="eastAsia" w:ascii="Times New Roman" w:hAnsi="Times New Roman" w:eastAsia="宋体" w:cs="Times New Roman"/>
                <w:bCs/>
                <w:color w:val="auto"/>
                <w:sz w:val="24"/>
                <w:highlight w:val="none"/>
                <w:u w:val="single" w:color="auto"/>
                <w:lang w:val="en-US" w:eastAsia="zh-CN"/>
              </w:rPr>
              <w:t>生态</w:t>
            </w:r>
            <w:r>
              <w:rPr>
                <w:rFonts w:hint="default" w:ascii="Times New Roman" w:hAnsi="Times New Roman" w:eastAsia="宋体" w:cs="Times New Roman"/>
                <w:bCs/>
                <w:color w:val="auto"/>
                <w:sz w:val="24"/>
                <w:highlight w:val="none"/>
                <w:u w:val="single" w:color="auto"/>
              </w:rPr>
              <w:t>影响类）（试行）》等相关要求编制完成了</w:t>
            </w:r>
            <w:r>
              <w:rPr>
                <w:rFonts w:hint="eastAsia" w:ascii="Times New Roman" w:hAnsi="Times New Roman" w:eastAsia="宋体" w:cs="Times New Roman"/>
                <w:bCs/>
                <w:color w:val="auto"/>
                <w:sz w:val="24"/>
                <w:highlight w:val="none"/>
                <w:u w:val="single" w:color="auto"/>
                <w:lang w:val="en-US" w:eastAsia="zh-CN"/>
              </w:rPr>
              <w:t>本</w:t>
            </w:r>
            <w:r>
              <w:rPr>
                <w:rFonts w:hint="default" w:ascii="Times New Roman" w:hAnsi="Times New Roman" w:eastAsia="宋体" w:cs="Times New Roman"/>
                <w:bCs/>
                <w:color w:val="auto"/>
                <w:sz w:val="24"/>
                <w:highlight w:val="none"/>
                <w:u w:val="single" w:color="auto"/>
              </w:rPr>
              <w:t>项目的环境影响报告表报请生态环境主管部门审批，以期为项目的实施和管理提供依据</w:t>
            </w:r>
            <w:r>
              <w:rPr>
                <w:rFonts w:hint="default" w:ascii="Times New Roman" w:hAnsi="Times New Roman" w:cs="Times New Roman"/>
                <w:bCs/>
                <w:color w:val="auto"/>
                <w:sz w:val="24"/>
                <w:highlight w:val="none"/>
                <w:u w:val="single" w:color="auto"/>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kern w:val="0"/>
                <w:sz w:val="24"/>
                <w:szCs w:val="24"/>
                <w:u w:val="none"/>
              </w:rPr>
            </w:pPr>
            <w:r>
              <w:rPr>
                <w:rFonts w:hint="eastAsia" w:ascii="Times New Roman" w:hAnsi="Times New Roman" w:eastAsia="宋体" w:cs="Times New Roman"/>
                <w:b/>
                <w:bCs/>
                <w:color w:val="auto"/>
                <w:kern w:val="0"/>
                <w:sz w:val="24"/>
                <w:szCs w:val="24"/>
                <w:u w:val="none"/>
                <w:lang w:val="en-US" w:eastAsia="zh-CN"/>
              </w:rPr>
              <w:t>2</w:t>
            </w:r>
            <w:r>
              <w:rPr>
                <w:rFonts w:hint="default" w:ascii="Times New Roman" w:hAnsi="Times New Roman" w:eastAsia="宋体" w:cs="Times New Roman"/>
                <w:b/>
                <w:bCs/>
                <w:color w:val="auto"/>
                <w:kern w:val="0"/>
                <w:sz w:val="24"/>
                <w:szCs w:val="24"/>
                <w:u w:val="none"/>
              </w:rPr>
              <w:t>、工程主要建设内容</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w:t>
            </w:r>
            <w:r>
              <w:rPr>
                <w:rFonts w:hint="eastAsia" w:ascii="Times New Roman" w:hAnsi="Times New Roman" w:cs="Times New Roman"/>
                <w:color w:val="auto"/>
                <w:sz w:val="24"/>
                <w:szCs w:val="24"/>
                <w:u w:val="single"/>
                <w:lang w:eastAsia="zh-CN"/>
              </w:rPr>
              <w:t>《湖南省湘阴县农村内河内湖功能修复工程（白泥湖、范家坝及三汊港湖）初步设计报告》</w:t>
            </w:r>
            <w:r>
              <w:rPr>
                <w:rFonts w:hint="eastAsia" w:ascii="Times New Roman" w:hAnsi="Times New Roman" w:cs="Times New Roman"/>
                <w:color w:val="auto"/>
                <w:sz w:val="24"/>
                <w:szCs w:val="24"/>
                <w:u w:val="single"/>
                <w:lang w:val="en-US" w:eastAsia="zh-CN"/>
              </w:rPr>
              <w:t>方案及</w:t>
            </w:r>
            <w:r>
              <w:rPr>
                <w:rFonts w:hint="eastAsia" w:ascii="Times New Roman" w:hAnsi="Times New Roman" w:cs="Times New Roman"/>
                <w:color w:val="auto"/>
                <w:sz w:val="24"/>
                <w:szCs w:val="24"/>
                <w:u w:val="single"/>
                <w:lang w:eastAsia="zh-CN"/>
              </w:rPr>
              <w:t xml:space="preserve"> 批复，</w:t>
            </w:r>
            <w:r>
              <w:rPr>
                <w:rFonts w:hint="eastAsia" w:ascii="Times New Roman" w:hAnsi="Times New Roman" w:eastAsia="宋体" w:cs="Times New Roman"/>
                <w:color w:val="auto"/>
                <w:sz w:val="24"/>
                <w:szCs w:val="24"/>
                <w:u w:val="single"/>
                <w:lang w:val="en-US" w:eastAsia="zh-CN"/>
              </w:rPr>
              <w:t>本</w:t>
            </w:r>
            <w:r>
              <w:rPr>
                <w:rFonts w:hint="default" w:ascii="Times New Roman" w:hAnsi="Times New Roman" w:eastAsia="宋体" w:cs="Times New Roman"/>
                <w:color w:val="auto"/>
                <w:sz w:val="24"/>
                <w:szCs w:val="24"/>
                <w:u w:val="single"/>
              </w:rPr>
              <w:t>工程建设的</w:t>
            </w:r>
            <w:r>
              <w:rPr>
                <w:rFonts w:hint="eastAsia" w:ascii="Times New Roman" w:hAnsi="Times New Roman" w:cs="Times New Roman"/>
                <w:color w:val="auto"/>
                <w:sz w:val="24"/>
                <w:szCs w:val="24"/>
                <w:u w:val="single"/>
                <w:lang w:val="en-US" w:eastAsia="zh-CN"/>
              </w:rPr>
              <w:t>内容</w:t>
            </w:r>
            <w:r>
              <w:rPr>
                <w:rFonts w:hint="default" w:ascii="Times New Roman" w:hAnsi="Times New Roman" w:eastAsia="宋体" w:cs="Times New Roman"/>
                <w:color w:val="auto"/>
                <w:sz w:val="24"/>
                <w:szCs w:val="24"/>
                <w:u w:val="single"/>
              </w:rPr>
              <w:t>和规模为：</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1）清淤疏浚工程：</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rPr>
              <w:t>（1）清淤</w:t>
            </w:r>
            <w:r>
              <w:rPr>
                <w:rFonts w:hint="eastAsia" w:ascii="Times New Roman" w:hAnsi="Times New Roman" w:eastAsia="宋体" w:cs="Times New Roman"/>
                <w:color w:val="auto"/>
                <w:sz w:val="24"/>
                <w:szCs w:val="24"/>
                <w:u w:val="single"/>
                <w:lang w:val="en-US" w:eastAsia="zh-CN"/>
              </w:rPr>
              <w:t>总</w:t>
            </w:r>
            <w:r>
              <w:rPr>
                <w:rFonts w:hint="default" w:ascii="Times New Roman" w:hAnsi="Times New Roman" w:eastAsia="宋体" w:cs="Times New Roman"/>
                <w:color w:val="auto"/>
                <w:sz w:val="24"/>
                <w:szCs w:val="24"/>
                <w:u w:val="single"/>
              </w:rPr>
              <w:t>面积</w:t>
            </w:r>
            <w:r>
              <w:rPr>
                <w:rFonts w:hint="eastAsia" w:ascii="Times New Roman" w:hAnsi="Times New Roman" w:eastAsia="宋体" w:cs="Times New Roman"/>
                <w:color w:val="auto"/>
                <w:sz w:val="24"/>
                <w:szCs w:val="24"/>
                <w:u w:val="single"/>
                <w:lang w:val="en-US" w:eastAsia="zh-CN"/>
              </w:rPr>
              <w:t>249.19</w:t>
            </w:r>
            <w:r>
              <w:rPr>
                <w:rFonts w:hint="default" w:ascii="Times New Roman" w:hAnsi="Times New Roman" w:eastAsia="宋体" w:cs="Times New Roman"/>
                <w:color w:val="auto"/>
                <w:sz w:val="24"/>
                <w:szCs w:val="24"/>
                <w:u w:val="single"/>
              </w:rPr>
              <w:t>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，清淤总方量742.02万m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，其中220.97万m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为增加的渗漏库容。</w:t>
            </w:r>
            <w:r>
              <w:rPr>
                <w:rFonts w:hint="eastAsia" w:ascii="Times New Roman" w:hAnsi="Times New Roman" w:eastAsia="宋体" w:cs="Times New Roman"/>
                <w:color w:val="auto"/>
                <w:sz w:val="24"/>
                <w:szCs w:val="24"/>
                <w:u w:val="single"/>
                <w:lang w:val="en-US" w:eastAsia="zh-CN"/>
              </w:rPr>
              <w:t>其中：</w:t>
            </w:r>
            <w:r>
              <w:rPr>
                <w:rFonts w:hint="default" w:ascii="Times New Roman" w:hAnsi="Times New Roman" w:eastAsia="宋体" w:cs="Times New Roman"/>
                <w:color w:val="auto"/>
                <w:sz w:val="24"/>
                <w:szCs w:val="24"/>
                <w:u w:val="single"/>
              </w:rPr>
              <w:t>白泥湖清淤面积102.46万m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平均疏挖深度约0.6m，</w:t>
            </w:r>
            <w:r>
              <w:rPr>
                <w:rFonts w:hint="default" w:ascii="Times New Roman" w:hAnsi="Times New Roman" w:eastAsia="宋体" w:cs="Times New Roman"/>
                <w:color w:val="auto"/>
                <w:sz w:val="24"/>
                <w:szCs w:val="24"/>
                <w:u w:val="single"/>
              </w:rPr>
              <w:t>清淤量为59.93万m</w:t>
            </w:r>
            <w:r>
              <w:rPr>
                <w:rFonts w:hint="default" w:ascii="Times New Roman" w:hAnsi="Times New Roman" w:eastAsia="宋体" w:cs="Times New Roman"/>
                <w:color w:val="auto"/>
                <w:sz w:val="24"/>
                <w:szCs w:val="24"/>
                <w:u w:val="single"/>
                <w:vertAlign w:val="superscript"/>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范家坝湖清淤面积77.80万m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平均疏挖深度约4.62m，</w:t>
            </w:r>
            <w:r>
              <w:rPr>
                <w:rFonts w:hint="default" w:ascii="Times New Roman" w:hAnsi="Times New Roman" w:eastAsia="宋体" w:cs="Times New Roman"/>
                <w:color w:val="auto"/>
                <w:sz w:val="24"/>
                <w:szCs w:val="24"/>
                <w:u w:val="single"/>
              </w:rPr>
              <w:t>清淤量为361.80万m</w:t>
            </w:r>
            <w:r>
              <w:rPr>
                <w:rFonts w:hint="default" w:ascii="Times New Roman" w:hAnsi="Times New Roman" w:eastAsia="宋体" w:cs="Times New Roman"/>
                <w:color w:val="auto"/>
                <w:sz w:val="24"/>
                <w:szCs w:val="24"/>
                <w:u w:val="single"/>
                <w:vertAlign w:val="superscript"/>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三汊港湖清淤面积68.93万m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平均疏挖深度约4.70m，</w:t>
            </w:r>
            <w:r>
              <w:rPr>
                <w:rFonts w:hint="default" w:ascii="Times New Roman" w:hAnsi="Times New Roman" w:eastAsia="宋体" w:cs="Times New Roman"/>
                <w:color w:val="auto"/>
                <w:sz w:val="24"/>
                <w:szCs w:val="24"/>
                <w:u w:val="single"/>
              </w:rPr>
              <w:t>清淤量为320.29万m</w:t>
            </w:r>
            <w:r>
              <w:rPr>
                <w:rFonts w:hint="default" w:ascii="Times New Roman" w:hAnsi="Times New Roman" w:eastAsia="宋体" w:cs="Times New Roman"/>
                <w:color w:val="auto"/>
                <w:sz w:val="24"/>
                <w:szCs w:val="24"/>
                <w:u w:val="single"/>
                <w:vertAlign w:val="superscript"/>
              </w:rPr>
              <w:t>3</w:t>
            </w:r>
            <w:r>
              <w:rPr>
                <w:rFonts w:hint="eastAsia" w:ascii="Times New Roman" w:hAnsi="Times New Roman" w:cs="Times New Roman"/>
                <w:color w:val="auto"/>
                <w:sz w:val="24"/>
                <w:szCs w:val="24"/>
                <w:u w:val="single"/>
                <w:lang w:eastAsia="zh-CN"/>
              </w:rPr>
              <w:t>。</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（2）藻类（青苔）和浮游藻类清理0.</w:t>
            </w:r>
            <w:r>
              <w:rPr>
                <w:rFonts w:hint="eastAsia" w:ascii="Times New Roman" w:hAnsi="Times New Roman" w:cs="Times New Roman"/>
                <w:color w:val="auto"/>
                <w:sz w:val="24"/>
                <w:szCs w:val="24"/>
                <w:u w:val="single"/>
                <w:lang w:val="en-US" w:eastAsia="zh-CN"/>
              </w:rPr>
              <w:t>02</w:t>
            </w:r>
            <w:r>
              <w:rPr>
                <w:rFonts w:hint="default" w:ascii="Times New Roman" w:hAnsi="Times New Roman" w:eastAsia="宋体" w:cs="Times New Roman"/>
                <w:color w:val="auto"/>
                <w:sz w:val="24"/>
                <w:szCs w:val="24"/>
                <w:u w:val="single"/>
              </w:rPr>
              <w:t xml:space="preserve"> 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（3）范家坝湖及三汊港湖对应湘江堤防堤基砾砂层进行脉动灌浆防渗处理，处理堤防总长为3.2km（其中湘江堤防2.55km，范家坝西堤0.65km）。</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（4）增设移动式泵船；其中范家坝灌区增设三台履带式移动泵船，三汊港灌区增设两台履带式移动泵船。</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2）堤防加固工程：</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（1）渍堤加固并护砌；</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a.白泥湖采用防浪墙进行加高处理，防浪墙顶高程为26.05m</w:t>
            </w:r>
            <w:r>
              <w:rPr>
                <w:rFonts w:hint="eastAsia" w:ascii="Times New Roman" w:hAnsi="Times New Roman" w:cs="Times New Roman"/>
                <w:color w:val="auto"/>
                <w:sz w:val="24"/>
                <w:szCs w:val="24"/>
                <w:u w:val="single"/>
                <w:lang w:eastAsia="zh-CN"/>
              </w:rPr>
              <w:t>，长6.8km</w:t>
            </w:r>
            <w:r>
              <w:rPr>
                <w:rFonts w:hint="default" w:ascii="Times New Roman" w:hAnsi="Times New Roman" w:eastAsia="宋体" w:cs="Times New Roman"/>
                <w:color w:val="auto"/>
                <w:sz w:val="24"/>
                <w:szCs w:val="24"/>
                <w:u w:val="single"/>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b.白泥湖西堤K0+030～K0+380，K0+680～K0+780 段长0.45km堤防外坡采用格宾脚槽（1m×1m）+雷诺护坡（0.23m）+C20素砼压肩（0.2m×0.5m）加固，雷诺护坡护至堤顶。</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c.范家坝湖西堤 K1+000～K1+560段长0.56km堤防内坡采用抛石固脚对岸坡进行加固，抛石固脚顶高程为最低控制水位+0.5m，顶宽 1.5m，坡比为1:2.0，块石中值粒径为0.4m。</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（2）渍堤灌浆防渗</w:t>
            </w:r>
            <w:r>
              <w:rPr>
                <w:rFonts w:hint="eastAsia" w:ascii="Times New Roman" w:hAnsi="Times New Roman" w:cs="Times New Roman"/>
                <w:color w:val="auto"/>
                <w:sz w:val="24"/>
                <w:szCs w:val="24"/>
                <w:u w:val="single"/>
                <w:lang w:val="en-US" w:eastAsia="zh-CN"/>
              </w:rPr>
              <w:t>1850</w:t>
            </w:r>
            <w:r>
              <w:rPr>
                <w:rFonts w:hint="default" w:ascii="Times New Roman" w:hAnsi="Times New Roman" w:eastAsia="宋体" w:cs="Times New Roman"/>
                <w:color w:val="auto"/>
                <w:sz w:val="24"/>
                <w:szCs w:val="24"/>
                <w:u w:val="single"/>
              </w:rPr>
              <w:t>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a.范家坝湖西堤K0+000～K1+850段长1.85km堤防堤身采用脉动灌浆对堤身进行防渗处理。</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（3）渍堤路面硬化。</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a.范家坝湖北堤K0+000～K2+695.7堤防防汛通道路面采用C20砼硬化，长2.7km，路面宽4.0m，厚度20cm，下设</w:t>
            </w:r>
            <w:r>
              <w:rPr>
                <w:rFonts w:hint="eastAsia" w:ascii="Times New Roman" w:hAnsi="Times New Roman" w:cs="Times New Roman"/>
                <w:color w:val="auto"/>
                <w:sz w:val="24"/>
                <w:szCs w:val="24"/>
                <w:u w:val="single"/>
                <w:lang w:val="en-US" w:eastAsia="zh-CN"/>
              </w:rPr>
              <w:t>20</w:t>
            </w:r>
            <w:r>
              <w:rPr>
                <w:rFonts w:hint="default" w:ascii="Times New Roman" w:hAnsi="Times New Roman" w:eastAsia="宋体" w:cs="Times New Roman"/>
                <w:color w:val="auto"/>
                <w:sz w:val="24"/>
                <w:szCs w:val="24"/>
                <w:u w:val="single"/>
              </w:rPr>
              <w:t>cm厚的水泥稳定层。</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（4）渍堤填塘固基压浸。</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a.白泥湖南堤K0+000～K1+704.7采用进行填塘固基加固处理，回填土料利用白泥湖清淤疏浚清淤料。</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3）水系连通工程：</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（1）新建范家坝湖放水控制闸和重建三汊港湖双向控制闸。</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4）建筑物更新改造工程：</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（1）涵闸更新改造共9处，具体内容如下：白泥湖灌溉闸、三汊港湖泄洪闸、陆线冲涵闸、韩家冲涵闸、殷家汊涵闸、长坪涵闸、月秋洼涵闸、敖家坝涵闸等8处涵闸拆除重建；范家坝灌溉闸尾水渠维修加固。</w:t>
            </w:r>
          </w:p>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灌溉泵站更新改造共14处，灌溉泵站具体措施如下：白泥湖灌溉泵站、高峰十八组泵站、齐心泵站、郑家咀泵站、高峰大塘泵站、贺家山泵站、卜家岭泵站、更生泵站、狮子山泵站、龟形山泵站、吴家山泵站、李公坝泵站等12处灌溉泵站拆除重建，辛卯泵站和殷家汊泵站等2处泵站更换金结及机电设备。</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本项目主要建设内容见表2-1、</w:t>
            </w:r>
            <w:r>
              <w:rPr>
                <w:rFonts w:hint="default" w:ascii="Times New Roman" w:hAnsi="Times New Roman" w:eastAsia="宋体" w:cs="Times New Roman"/>
                <w:color w:val="auto"/>
                <w:kern w:val="0"/>
                <w:sz w:val="24"/>
                <w:szCs w:val="24"/>
                <w:u w:val="single"/>
              </w:rPr>
              <w:t>项目</w:t>
            </w:r>
            <w:r>
              <w:rPr>
                <w:rFonts w:hint="eastAsia" w:ascii="Times New Roman" w:hAnsi="Times New Roman" w:eastAsia="宋体" w:cs="Times New Roman"/>
                <w:color w:val="auto"/>
                <w:kern w:val="0"/>
                <w:sz w:val="24"/>
                <w:szCs w:val="24"/>
                <w:u w:val="single"/>
                <w:lang w:val="en-US" w:eastAsia="zh-CN"/>
              </w:rPr>
              <w:t>施工期</w:t>
            </w:r>
            <w:r>
              <w:rPr>
                <w:rFonts w:hint="default" w:ascii="Times New Roman" w:hAnsi="Times New Roman" w:eastAsia="宋体" w:cs="Times New Roman"/>
                <w:color w:val="auto"/>
                <w:kern w:val="0"/>
                <w:sz w:val="24"/>
                <w:szCs w:val="24"/>
                <w:u w:val="single"/>
              </w:rPr>
              <w:t>主要</w:t>
            </w:r>
            <w:r>
              <w:rPr>
                <w:rFonts w:hint="eastAsia" w:ascii="Times New Roman" w:hAnsi="Times New Roman" w:eastAsia="宋体" w:cs="Times New Roman"/>
                <w:color w:val="auto"/>
                <w:kern w:val="0"/>
                <w:sz w:val="24"/>
                <w:szCs w:val="24"/>
                <w:u w:val="single"/>
                <w:lang w:val="en-US" w:eastAsia="zh-CN"/>
              </w:rPr>
              <w:t>设备</w:t>
            </w:r>
            <w:r>
              <w:rPr>
                <w:rFonts w:hint="default" w:ascii="Times New Roman" w:hAnsi="Times New Roman" w:eastAsia="宋体" w:cs="Times New Roman"/>
                <w:color w:val="auto"/>
                <w:kern w:val="0"/>
                <w:sz w:val="24"/>
                <w:szCs w:val="24"/>
                <w:u w:val="single"/>
              </w:rPr>
              <w:t>见</w:t>
            </w:r>
            <w:r>
              <w:rPr>
                <w:rFonts w:hint="default" w:ascii="Times New Roman" w:hAnsi="Times New Roman" w:eastAsia="宋体" w:cs="Times New Roman"/>
                <w:color w:val="auto"/>
                <w:sz w:val="24"/>
                <w:szCs w:val="24"/>
                <w:u w:val="single"/>
              </w:rPr>
              <w:t>表2-2。</w:t>
            </w:r>
          </w:p>
          <w:p>
            <w:pPr>
              <w:jc w:val="center"/>
              <w:rPr>
                <w:rFonts w:ascii="Times New Roman" w:hAnsi="Times New Roman"/>
                <w:b/>
                <w:color w:val="auto"/>
                <w:szCs w:val="21"/>
                <w:u w:val="single"/>
              </w:rPr>
            </w:pPr>
            <w:r>
              <w:rPr>
                <w:rFonts w:ascii="Times New Roman" w:hAnsi="Times New Roman"/>
                <w:b/>
                <w:color w:val="auto"/>
                <w:szCs w:val="21"/>
                <w:u w:val="single"/>
              </w:rPr>
              <w:t>表2-1</w:t>
            </w:r>
            <w:r>
              <w:rPr>
                <w:rFonts w:hint="eastAsia" w:ascii="Times New Roman" w:hAnsi="Times New Roman"/>
                <w:b/>
                <w:color w:val="auto"/>
                <w:szCs w:val="21"/>
                <w:u w:val="single"/>
                <w:lang w:val="en-US" w:eastAsia="zh-CN"/>
              </w:rPr>
              <w:t xml:space="preserve">  </w:t>
            </w:r>
            <w:r>
              <w:rPr>
                <w:rFonts w:ascii="Times New Roman" w:hAnsi="Times New Roman"/>
                <w:b/>
                <w:color w:val="auto"/>
                <w:szCs w:val="21"/>
                <w:u w:val="single"/>
              </w:rPr>
              <w:t>本项目主要建设内容</w:t>
            </w:r>
          </w:p>
          <w:tbl>
            <w:tblPr>
              <w:tblStyle w:val="25"/>
              <w:tblW w:w="4996"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048"/>
              <w:gridCol w:w="60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4" w:type="pct"/>
                  <w:tcBorders>
                    <w:tl2br w:val="nil"/>
                    <w:tr2bl w:val="nil"/>
                  </w:tcBorders>
                  <w:vAlign w:val="center"/>
                </w:tcPr>
                <w:p>
                  <w:pPr>
                    <w:adjustRightInd w:val="0"/>
                    <w:snapToGrid w:val="0"/>
                    <w:jc w:val="center"/>
                    <w:rPr>
                      <w:rFonts w:ascii="Times New Roman" w:hAnsi="Times New Roman"/>
                      <w:b/>
                      <w:color w:val="auto"/>
                      <w:szCs w:val="21"/>
                      <w:u w:val="single"/>
                    </w:rPr>
                  </w:pPr>
                  <w:r>
                    <w:rPr>
                      <w:rFonts w:ascii="Times New Roman" w:hAnsi="Times New Roman"/>
                      <w:b/>
                      <w:color w:val="auto"/>
                      <w:szCs w:val="21"/>
                      <w:u w:val="single"/>
                    </w:rPr>
                    <w:t>工程类型</w:t>
                  </w:r>
                </w:p>
              </w:tc>
              <w:tc>
                <w:tcPr>
                  <w:tcW w:w="667" w:type="pct"/>
                  <w:tcBorders>
                    <w:tl2br w:val="nil"/>
                    <w:tr2bl w:val="nil"/>
                  </w:tcBorders>
                  <w:vAlign w:val="center"/>
                </w:tcPr>
                <w:p>
                  <w:pPr>
                    <w:adjustRightInd w:val="0"/>
                    <w:snapToGrid w:val="0"/>
                    <w:jc w:val="center"/>
                    <w:rPr>
                      <w:rFonts w:ascii="Times New Roman" w:hAnsi="Times New Roman"/>
                      <w:b/>
                      <w:color w:val="auto"/>
                      <w:szCs w:val="21"/>
                      <w:u w:val="single"/>
                    </w:rPr>
                  </w:pPr>
                  <w:r>
                    <w:rPr>
                      <w:rFonts w:ascii="Times New Roman" w:hAnsi="Times New Roman"/>
                      <w:b/>
                      <w:color w:val="auto"/>
                      <w:szCs w:val="21"/>
                      <w:u w:val="single"/>
                    </w:rPr>
                    <w:t>单项工程</w:t>
                  </w:r>
                </w:p>
              </w:tc>
              <w:tc>
                <w:tcPr>
                  <w:tcW w:w="3877" w:type="pct"/>
                  <w:tcBorders>
                    <w:tl2br w:val="nil"/>
                    <w:tr2bl w:val="nil"/>
                  </w:tcBorders>
                  <w:vAlign w:val="center"/>
                </w:tcPr>
                <w:p>
                  <w:pPr>
                    <w:adjustRightInd w:val="0"/>
                    <w:snapToGrid w:val="0"/>
                    <w:jc w:val="center"/>
                    <w:rPr>
                      <w:rFonts w:ascii="Times New Roman" w:hAnsi="Times New Roman"/>
                      <w:b/>
                      <w:color w:val="auto"/>
                      <w:szCs w:val="21"/>
                      <w:u w:val="single"/>
                    </w:rPr>
                  </w:pPr>
                  <w:r>
                    <w:rPr>
                      <w:rFonts w:ascii="Times New Roman" w:hAnsi="Times New Roman"/>
                      <w:b/>
                      <w:color w:val="auto"/>
                      <w:szCs w:val="21"/>
                      <w:u w:val="single"/>
                    </w:rPr>
                    <w:t>主要工程内容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4" w:type="pct"/>
                  <w:vMerge w:val="restar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主体工程</w:t>
                  </w: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hint="eastAsia" w:ascii="Times New Roman" w:hAnsi="Times New Roman"/>
                      <w:color w:val="auto"/>
                      <w:kern w:val="0"/>
                      <w:szCs w:val="21"/>
                      <w:u w:val="single"/>
                    </w:rPr>
                    <w:t>清淤疏浚工程</w:t>
                  </w:r>
                </w:p>
              </w:tc>
              <w:tc>
                <w:tcPr>
                  <w:tcW w:w="3877" w:type="pct"/>
                  <w:tcBorders>
                    <w:tl2br w:val="nil"/>
                    <w:tr2bl w:val="nil"/>
                  </w:tcBorders>
                  <w:vAlign w:val="center"/>
                </w:tcPr>
                <w:p>
                  <w:pPr>
                    <w:pStyle w:val="7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①清淤总面积249.19万m</w:t>
                  </w:r>
                  <w:r>
                    <w:rPr>
                      <w:rFonts w:hint="eastAsia" w:ascii="Times New Roman" w:hAnsi="Times New Roman" w:cs="Times New Roman"/>
                      <w:color w:val="auto"/>
                      <w:sz w:val="21"/>
                      <w:szCs w:val="21"/>
                      <w:u w:val="single"/>
                      <w:vertAlign w:val="superscript"/>
                      <w:lang w:val="en-US" w:eastAsia="zh-CN"/>
                    </w:rPr>
                    <w:t>2</w:t>
                  </w:r>
                  <w:r>
                    <w:rPr>
                      <w:rFonts w:hint="eastAsia" w:ascii="Times New Roman" w:hAnsi="Times New Roman" w:cs="Times New Roman"/>
                      <w:color w:val="auto"/>
                      <w:sz w:val="21"/>
                      <w:szCs w:val="21"/>
                      <w:u w:val="single"/>
                      <w:lang w:val="en-US" w:eastAsia="zh-CN"/>
                    </w:rPr>
                    <w:t>，清淤总方量742.02万m</w:t>
                  </w:r>
                  <w:r>
                    <w:rPr>
                      <w:rFonts w:hint="eastAsia" w:ascii="Times New Roman" w:hAnsi="Times New Roman" w:cs="Times New Roman"/>
                      <w:color w:val="auto"/>
                      <w:sz w:val="21"/>
                      <w:szCs w:val="21"/>
                      <w:u w:val="single"/>
                      <w:vertAlign w:val="superscript"/>
                      <w:lang w:val="en-US" w:eastAsia="zh-CN"/>
                    </w:rPr>
                    <w:t>3</w:t>
                  </w:r>
                  <w:r>
                    <w:rPr>
                      <w:rFonts w:hint="eastAsia" w:ascii="Times New Roman" w:hAnsi="Times New Roman" w:cs="Times New Roman"/>
                      <w:color w:val="auto"/>
                      <w:sz w:val="21"/>
                      <w:szCs w:val="21"/>
                      <w:u w:val="single"/>
                      <w:lang w:val="en-US" w:eastAsia="zh-CN"/>
                    </w:rPr>
                    <w:t>，其中220.97万m</w:t>
                  </w:r>
                  <w:r>
                    <w:rPr>
                      <w:rFonts w:hint="eastAsia" w:ascii="Times New Roman" w:hAnsi="Times New Roman" w:cs="Times New Roman"/>
                      <w:color w:val="auto"/>
                      <w:sz w:val="21"/>
                      <w:szCs w:val="21"/>
                      <w:u w:val="single"/>
                      <w:vertAlign w:val="superscript"/>
                      <w:lang w:val="en-US" w:eastAsia="zh-CN"/>
                    </w:rPr>
                    <w:t>3</w:t>
                  </w:r>
                  <w:r>
                    <w:rPr>
                      <w:rFonts w:hint="eastAsia" w:ascii="Times New Roman" w:hAnsi="Times New Roman" w:cs="Times New Roman"/>
                      <w:color w:val="auto"/>
                      <w:sz w:val="21"/>
                      <w:szCs w:val="21"/>
                      <w:u w:val="single"/>
                      <w:lang w:val="en-US" w:eastAsia="zh-CN"/>
                    </w:rPr>
                    <w:t>为增加的渗漏库容。其中：白泥湖清淤面积102.46万m</w:t>
                  </w:r>
                  <w:r>
                    <w:rPr>
                      <w:rFonts w:hint="eastAsia" w:ascii="Times New Roman" w:hAnsi="Times New Roman" w:cs="Times New Roman"/>
                      <w:color w:val="auto"/>
                      <w:sz w:val="21"/>
                      <w:szCs w:val="21"/>
                      <w:u w:val="single"/>
                      <w:vertAlign w:val="superscript"/>
                      <w:lang w:val="en-US" w:eastAsia="zh-CN"/>
                    </w:rPr>
                    <w:t>2</w:t>
                  </w:r>
                  <w:r>
                    <w:rPr>
                      <w:rFonts w:hint="eastAsia" w:ascii="Times New Roman" w:hAnsi="Times New Roman" w:cs="Times New Roman"/>
                      <w:color w:val="auto"/>
                      <w:sz w:val="21"/>
                      <w:szCs w:val="21"/>
                      <w:u w:val="single"/>
                      <w:lang w:val="en-US" w:eastAsia="zh-CN"/>
                    </w:rPr>
                    <w:t>，平均疏挖深度约0.6m，清淤量为59.93万m</w:t>
                  </w:r>
                  <w:r>
                    <w:rPr>
                      <w:rFonts w:hint="eastAsia" w:ascii="Times New Roman" w:hAnsi="Times New Roman" w:cs="Times New Roman"/>
                      <w:color w:val="auto"/>
                      <w:sz w:val="21"/>
                      <w:szCs w:val="21"/>
                      <w:u w:val="single"/>
                      <w:vertAlign w:val="superscript"/>
                      <w:lang w:val="en-US" w:eastAsia="zh-CN"/>
                    </w:rPr>
                    <w:t>3</w:t>
                  </w:r>
                  <w:r>
                    <w:rPr>
                      <w:rFonts w:hint="eastAsia" w:ascii="Times New Roman" w:hAnsi="Times New Roman" w:cs="Times New Roman"/>
                      <w:color w:val="auto"/>
                      <w:sz w:val="21"/>
                      <w:szCs w:val="21"/>
                      <w:u w:val="single"/>
                      <w:lang w:val="en-US" w:eastAsia="zh-CN"/>
                    </w:rPr>
                    <w:t>；范家坝湖清淤面积77.80万m</w:t>
                  </w:r>
                  <w:r>
                    <w:rPr>
                      <w:rFonts w:hint="eastAsia" w:ascii="Times New Roman" w:hAnsi="Times New Roman" w:cs="Times New Roman"/>
                      <w:color w:val="auto"/>
                      <w:sz w:val="21"/>
                      <w:szCs w:val="21"/>
                      <w:u w:val="single"/>
                      <w:vertAlign w:val="superscript"/>
                      <w:lang w:val="en-US" w:eastAsia="zh-CN"/>
                    </w:rPr>
                    <w:t>2</w:t>
                  </w:r>
                  <w:r>
                    <w:rPr>
                      <w:rFonts w:hint="eastAsia" w:ascii="Times New Roman" w:hAnsi="Times New Roman" w:cs="Times New Roman"/>
                      <w:color w:val="auto"/>
                      <w:sz w:val="21"/>
                      <w:szCs w:val="21"/>
                      <w:u w:val="single"/>
                      <w:lang w:val="en-US" w:eastAsia="zh-CN"/>
                    </w:rPr>
                    <w:t>，平均疏挖深度约4.62m，清淤量为361.80万m</w:t>
                  </w:r>
                  <w:r>
                    <w:rPr>
                      <w:rFonts w:hint="eastAsia" w:ascii="Times New Roman" w:hAnsi="Times New Roman" w:cs="Times New Roman"/>
                      <w:color w:val="auto"/>
                      <w:sz w:val="21"/>
                      <w:szCs w:val="21"/>
                      <w:u w:val="single"/>
                      <w:vertAlign w:val="superscript"/>
                      <w:lang w:val="en-US" w:eastAsia="zh-CN"/>
                    </w:rPr>
                    <w:t>3</w:t>
                  </w:r>
                  <w:r>
                    <w:rPr>
                      <w:rFonts w:hint="eastAsia" w:ascii="Times New Roman" w:hAnsi="Times New Roman" w:cs="Times New Roman"/>
                      <w:color w:val="auto"/>
                      <w:sz w:val="21"/>
                      <w:szCs w:val="21"/>
                      <w:u w:val="single"/>
                      <w:lang w:val="en-US" w:eastAsia="zh-CN"/>
                    </w:rPr>
                    <w:t>；三汊港湖清淤面积68.93万m</w:t>
                  </w:r>
                  <w:r>
                    <w:rPr>
                      <w:rFonts w:hint="eastAsia" w:ascii="Times New Roman" w:hAnsi="Times New Roman" w:cs="Times New Roman"/>
                      <w:color w:val="auto"/>
                      <w:sz w:val="21"/>
                      <w:szCs w:val="21"/>
                      <w:u w:val="single"/>
                      <w:vertAlign w:val="superscript"/>
                      <w:lang w:val="en-US" w:eastAsia="zh-CN"/>
                    </w:rPr>
                    <w:t>2</w:t>
                  </w:r>
                  <w:r>
                    <w:rPr>
                      <w:rFonts w:hint="eastAsia" w:ascii="Times New Roman" w:hAnsi="Times New Roman" w:cs="Times New Roman"/>
                      <w:color w:val="auto"/>
                      <w:sz w:val="21"/>
                      <w:szCs w:val="21"/>
                      <w:u w:val="single"/>
                      <w:lang w:val="en-US" w:eastAsia="zh-CN"/>
                    </w:rPr>
                    <w:t>，平均疏挖深度约4.70m，清淤量为320.29万m</w:t>
                  </w:r>
                  <w:r>
                    <w:rPr>
                      <w:rFonts w:hint="eastAsia" w:ascii="Times New Roman" w:hAnsi="Times New Roman" w:cs="Times New Roman"/>
                      <w:color w:val="auto"/>
                      <w:sz w:val="21"/>
                      <w:szCs w:val="21"/>
                      <w:u w:val="single"/>
                      <w:vertAlign w:val="superscript"/>
                      <w:lang w:val="en-US" w:eastAsia="zh-CN"/>
                    </w:rPr>
                    <w:t>3</w:t>
                  </w:r>
                  <w:r>
                    <w:rPr>
                      <w:rFonts w:hint="eastAsia" w:ascii="Times New Roman" w:hAnsi="Times New Roman" w:cs="Times New Roman"/>
                      <w:color w:val="auto"/>
                      <w:sz w:val="21"/>
                      <w:szCs w:val="21"/>
                      <w:u w:val="single"/>
                      <w:lang w:val="en-US" w:eastAsia="zh-CN"/>
                    </w:rPr>
                    <w:t>。</w:t>
                  </w:r>
                </w:p>
                <w:p>
                  <w:pPr>
                    <w:pStyle w:val="7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u w:val="single"/>
                    </w:rPr>
                  </w:pPr>
                  <w:r>
                    <w:rPr>
                      <w:rFonts w:hint="eastAsia" w:ascii="Times New Roman" w:hAnsi="Times New Roman" w:cs="Times New Roman"/>
                      <w:color w:val="auto"/>
                      <w:sz w:val="21"/>
                      <w:szCs w:val="21"/>
                      <w:u w:val="single"/>
                      <w:lang w:val="en-US" w:eastAsia="zh-CN"/>
                    </w:rPr>
                    <w:t>②</w:t>
                  </w:r>
                  <w:r>
                    <w:rPr>
                      <w:rFonts w:hint="default" w:ascii="Times New Roman" w:hAnsi="Times New Roman" w:eastAsia="宋体" w:cs="Times New Roman"/>
                      <w:color w:val="auto"/>
                      <w:sz w:val="21"/>
                      <w:szCs w:val="21"/>
                      <w:u w:val="single"/>
                    </w:rPr>
                    <w:t>藻类（青苔）和浮游藻类清理0.</w:t>
                  </w:r>
                  <w:r>
                    <w:rPr>
                      <w:rFonts w:hint="eastAsia" w:ascii="Times New Roman" w:hAnsi="Times New Roman" w:cs="Times New Roman"/>
                      <w:color w:val="auto"/>
                      <w:sz w:val="21"/>
                      <w:szCs w:val="21"/>
                      <w:u w:val="single"/>
                      <w:lang w:val="en-US" w:eastAsia="zh-CN"/>
                    </w:rPr>
                    <w:t>02</w:t>
                  </w:r>
                  <w:r>
                    <w:rPr>
                      <w:rFonts w:hint="default" w:ascii="Times New Roman" w:hAnsi="Times New Roman" w:eastAsia="宋体" w:cs="Times New Roman"/>
                      <w:color w:val="auto"/>
                      <w:sz w:val="21"/>
                      <w:szCs w:val="21"/>
                      <w:u w:val="single"/>
                    </w:rPr>
                    <w:t xml:space="preserve"> km</w:t>
                  </w:r>
                  <w:r>
                    <w:rPr>
                      <w:rFonts w:hint="default" w:ascii="Times New Roman" w:hAnsi="Times New Roman" w:eastAsia="宋体" w:cs="Times New Roman"/>
                      <w:color w:val="auto"/>
                      <w:sz w:val="21"/>
                      <w:szCs w:val="21"/>
                      <w:u w:val="single"/>
                      <w:vertAlign w:val="superscript"/>
                    </w:rPr>
                    <w:t>2</w:t>
                  </w:r>
                  <w:r>
                    <w:rPr>
                      <w:rFonts w:hint="default" w:ascii="Times New Roman" w:hAnsi="Times New Roman" w:eastAsia="宋体" w:cs="Times New Roman"/>
                      <w:color w:val="auto"/>
                      <w:sz w:val="21"/>
                      <w:szCs w:val="21"/>
                      <w:u w:val="single"/>
                    </w:rPr>
                    <w:t>。</w:t>
                  </w:r>
                </w:p>
                <w:p>
                  <w:pPr>
                    <w:pStyle w:val="7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1"/>
                      <w:szCs w:val="21"/>
                      <w:u w:val="single"/>
                    </w:rPr>
                  </w:pPr>
                  <w:r>
                    <w:rPr>
                      <w:rFonts w:hint="eastAsia" w:ascii="Times New Roman" w:hAnsi="Times New Roman" w:cs="Times New Roman"/>
                      <w:color w:val="auto"/>
                      <w:sz w:val="21"/>
                      <w:szCs w:val="21"/>
                      <w:u w:val="single"/>
                      <w:lang w:val="en-US" w:eastAsia="zh-CN"/>
                    </w:rPr>
                    <w:t>③</w:t>
                  </w:r>
                  <w:r>
                    <w:rPr>
                      <w:rFonts w:hint="default" w:ascii="Times New Roman" w:hAnsi="Times New Roman" w:eastAsia="宋体" w:cs="Times New Roman"/>
                      <w:color w:val="auto"/>
                      <w:sz w:val="21"/>
                      <w:szCs w:val="21"/>
                      <w:u w:val="single"/>
                    </w:rPr>
                    <w:t>范家坝湖及三汊港湖对应湘江堤防堤基砾砂层进行脉动灌浆防渗处理，处理堤防总长为3.2km（其中湘江堤防2.55km，范家坝西堤0.65km）。</w:t>
                  </w:r>
                </w:p>
                <w:p>
                  <w:pPr>
                    <w:pStyle w:val="74"/>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color w:val="auto"/>
                      <w:sz w:val="21"/>
                      <w:szCs w:val="21"/>
                      <w:u w:val="single"/>
                    </w:rPr>
                  </w:pPr>
                  <w:r>
                    <w:rPr>
                      <w:rFonts w:hint="eastAsia" w:ascii="Times New Roman" w:hAnsi="Times New Roman" w:cs="Times New Roman"/>
                      <w:color w:val="auto"/>
                      <w:sz w:val="21"/>
                      <w:szCs w:val="21"/>
                      <w:u w:val="single"/>
                      <w:lang w:val="en-US" w:eastAsia="zh-CN"/>
                    </w:rPr>
                    <w:t>④</w:t>
                  </w:r>
                  <w:r>
                    <w:rPr>
                      <w:rFonts w:hint="default" w:ascii="Times New Roman" w:hAnsi="Times New Roman" w:eastAsia="宋体" w:cs="Times New Roman"/>
                      <w:color w:val="auto"/>
                      <w:sz w:val="21"/>
                      <w:szCs w:val="21"/>
                      <w:u w:val="single"/>
                    </w:rPr>
                    <w:t>增设移动式泵船；其中范家坝灌区增设三台履带式移动泵船，三汊港灌区增设两台履带式移动泵船。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hint="eastAsia" w:ascii="Times New Roman" w:hAnsi="Times New Roman"/>
                      <w:color w:val="auto"/>
                      <w:kern w:val="0"/>
                      <w:szCs w:val="21"/>
                      <w:u w:val="single"/>
                    </w:rPr>
                    <w:t>堤防加固工程</w:t>
                  </w:r>
                </w:p>
              </w:tc>
              <w:tc>
                <w:tcPr>
                  <w:tcW w:w="3877" w:type="pct"/>
                  <w:tcBorders>
                    <w:tl2br w:val="nil"/>
                    <w:tr2bl w:val="nil"/>
                  </w:tcBorders>
                  <w:vAlign w:val="center"/>
                </w:tcPr>
                <w:p>
                  <w:pPr>
                    <w:topLinePunct/>
                    <w:rPr>
                      <w:rFonts w:hint="eastAsia" w:ascii="Times New Roman" w:hAnsi="Times New Roman"/>
                      <w:color w:val="auto"/>
                      <w:szCs w:val="21"/>
                      <w:u w:val="single"/>
                    </w:rPr>
                  </w:pPr>
                  <w:r>
                    <w:rPr>
                      <w:rFonts w:hint="eastAsia" w:ascii="Times New Roman" w:hAnsi="Times New Roman"/>
                      <w:color w:val="auto"/>
                      <w:szCs w:val="21"/>
                      <w:u w:val="single"/>
                      <w:lang w:val="en-US" w:eastAsia="zh-CN"/>
                    </w:rPr>
                    <w:t>①</w:t>
                  </w:r>
                  <w:r>
                    <w:rPr>
                      <w:rFonts w:hint="eastAsia" w:ascii="Times New Roman" w:hAnsi="Times New Roman"/>
                      <w:color w:val="auto"/>
                      <w:szCs w:val="21"/>
                      <w:u w:val="single"/>
                    </w:rPr>
                    <w:t>渍堤加固并护砌；</w:t>
                  </w:r>
                </w:p>
                <w:p>
                  <w:pPr>
                    <w:topLinePunct/>
                    <w:rPr>
                      <w:rFonts w:hint="eastAsia" w:ascii="Times New Roman" w:hAnsi="Times New Roman"/>
                      <w:color w:val="auto"/>
                      <w:szCs w:val="21"/>
                      <w:u w:val="single"/>
                    </w:rPr>
                  </w:pPr>
                  <w:r>
                    <w:rPr>
                      <w:rFonts w:hint="eastAsia" w:ascii="Times New Roman" w:hAnsi="Times New Roman"/>
                      <w:color w:val="auto"/>
                      <w:szCs w:val="21"/>
                      <w:u w:val="single"/>
                      <w:lang w:val="en-US" w:eastAsia="zh-CN"/>
                    </w:rPr>
                    <w:t>②</w:t>
                  </w:r>
                  <w:r>
                    <w:rPr>
                      <w:rFonts w:hint="eastAsia" w:ascii="Times New Roman" w:hAnsi="Times New Roman"/>
                      <w:color w:val="auto"/>
                      <w:szCs w:val="21"/>
                      <w:u w:val="single"/>
                    </w:rPr>
                    <w:t>渍堤灌浆防渗</w:t>
                  </w:r>
                  <w:r>
                    <w:rPr>
                      <w:rFonts w:hint="eastAsia" w:ascii="Times New Roman" w:hAnsi="Times New Roman"/>
                      <w:color w:val="auto"/>
                      <w:szCs w:val="21"/>
                      <w:u w:val="single"/>
                      <w:lang w:val="en-US" w:eastAsia="zh-CN"/>
                    </w:rPr>
                    <w:t>1850</w:t>
                  </w:r>
                  <w:r>
                    <w:rPr>
                      <w:rFonts w:hint="eastAsia" w:ascii="Times New Roman" w:hAnsi="Times New Roman"/>
                      <w:color w:val="auto"/>
                      <w:szCs w:val="21"/>
                      <w:u w:val="single"/>
                    </w:rPr>
                    <w:t>m；</w:t>
                  </w:r>
                </w:p>
                <w:p>
                  <w:pPr>
                    <w:topLinePunct/>
                    <w:rPr>
                      <w:rFonts w:hint="eastAsia" w:ascii="Times New Roman" w:hAnsi="Times New Roman"/>
                      <w:color w:val="auto"/>
                      <w:szCs w:val="21"/>
                      <w:u w:val="single"/>
                      <w:lang w:eastAsia="zh-CN"/>
                    </w:rPr>
                  </w:pPr>
                  <w:r>
                    <w:rPr>
                      <w:rFonts w:hint="eastAsia" w:ascii="Times New Roman" w:hAnsi="Times New Roman"/>
                      <w:color w:val="auto"/>
                      <w:szCs w:val="21"/>
                      <w:u w:val="single"/>
                      <w:lang w:val="en-US" w:eastAsia="zh-CN"/>
                    </w:rPr>
                    <w:t>③</w:t>
                  </w:r>
                  <w:r>
                    <w:rPr>
                      <w:rFonts w:hint="eastAsia" w:ascii="Times New Roman" w:hAnsi="Times New Roman"/>
                      <w:color w:val="auto"/>
                      <w:szCs w:val="21"/>
                      <w:u w:val="single"/>
                    </w:rPr>
                    <w:t>渍堤路面硬化</w:t>
                  </w:r>
                  <w:r>
                    <w:rPr>
                      <w:rFonts w:hint="eastAsia" w:ascii="Times New Roman" w:hAnsi="Times New Roman"/>
                      <w:color w:val="auto"/>
                      <w:szCs w:val="21"/>
                      <w:u w:val="single"/>
                      <w:lang w:eastAsia="zh-CN"/>
                    </w:rPr>
                    <w:t>；</w:t>
                  </w:r>
                </w:p>
                <w:p>
                  <w:pPr>
                    <w:topLinePunct/>
                    <w:rPr>
                      <w:rFonts w:ascii="Times New Roman" w:hAnsi="Times New Roman"/>
                      <w:color w:val="auto"/>
                      <w:szCs w:val="21"/>
                      <w:u w:val="single"/>
                    </w:rPr>
                  </w:pPr>
                  <w:r>
                    <w:rPr>
                      <w:rFonts w:hint="eastAsia" w:ascii="Times New Roman" w:hAnsi="Times New Roman"/>
                      <w:color w:val="auto"/>
                      <w:szCs w:val="21"/>
                      <w:u w:val="single"/>
                      <w:lang w:val="en-US" w:eastAsia="zh-CN"/>
                    </w:rPr>
                    <w:t>④</w:t>
                  </w:r>
                  <w:r>
                    <w:rPr>
                      <w:rFonts w:hint="eastAsia" w:ascii="Times New Roman" w:hAnsi="Times New Roman"/>
                      <w:color w:val="auto"/>
                      <w:szCs w:val="21"/>
                      <w:u w:val="single"/>
                    </w:rPr>
                    <w:t>渍堤填塘固基压浸。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hint="eastAsia" w:ascii="Times New Roman" w:hAnsi="Times New Roman"/>
                      <w:color w:val="auto"/>
                      <w:kern w:val="0"/>
                      <w:szCs w:val="21"/>
                      <w:u w:val="single"/>
                    </w:rPr>
                    <w:t>水系连通工程</w:t>
                  </w:r>
                </w:p>
              </w:tc>
              <w:tc>
                <w:tcPr>
                  <w:tcW w:w="3877" w:type="pct"/>
                  <w:tcBorders>
                    <w:tl2br w:val="nil"/>
                    <w:tr2bl w:val="nil"/>
                  </w:tcBorders>
                  <w:vAlign w:val="center"/>
                </w:tcPr>
                <w:p>
                  <w:pPr>
                    <w:topLinePunct/>
                    <w:rPr>
                      <w:rFonts w:ascii="Times New Roman" w:hAnsi="Times New Roman"/>
                      <w:color w:val="auto"/>
                      <w:szCs w:val="21"/>
                      <w:u w:val="single"/>
                    </w:rPr>
                  </w:pPr>
                  <w:r>
                    <w:rPr>
                      <w:rFonts w:hint="eastAsia" w:ascii="Times New Roman" w:hAnsi="Times New Roman"/>
                      <w:color w:val="auto"/>
                      <w:kern w:val="0"/>
                      <w:szCs w:val="21"/>
                      <w:u w:val="single"/>
                    </w:rPr>
                    <w:t>新建范家坝湖放水控制闸和重建三汊港湖双向控制闸。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hint="eastAsia" w:ascii="Times New Roman" w:hAnsi="Times New Roman"/>
                      <w:color w:val="auto"/>
                      <w:kern w:val="0"/>
                      <w:szCs w:val="21"/>
                      <w:u w:val="single"/>
                    </w:rPr>
                    <w:t>建筑物更新改造工程</w:t>
                  </w:r>
                </w:p>
              </w:tc>
              <w:tc>
                <w:tcPr>
                  <w:tcW w:w="3877" w:type="pct"/>
                  <w:tcBorders>
                    <w:tl2br w:val="nil"/>
                    <w:tr2bl w:val="nil"/>
                  </w:tcBorders>
                  <w:vAlign w:val="center"/>
                </w:tcPr>
                <w:p>
                  <w:pPr>
                    <w:topLinePunct/>
                    <w:rPr>
                      <w:rFonts w:hint="eastAsia" w:ascii="Times New Roman" w:hAnsi="Times New Roman" w:eastAsia="宋体"/>
                      <w:color w:val="auto"/>
                      <w:szCs w:val="21"/>
                      <w:u w:val="single"/>
                      <w:lang w:eastAsia="zh-CN"/>
                    </w:rPr>
                  </w:pPr>
                  <w:r>
                    <w:rPr>
                      <w:rFonts w:hint="eastAsia" w:ascii="Times New Roman" w:hAnsi="Times New Roman"/>
                      <w:color w:val="auto"/>
                      <w:kern w:val="0"/>
                      <w:szCs w:val="21"/>
                      <w:u w:val="single"/>
                    </w:rPr>
                    <w:t>涵闸更新改造共9处，灌溉泵站更新改造共14处</w:t>
                  </w:r>
                  <w:r>
                    <w:rPr>
                      <w:rFonts w:hint="eastAsia" w:ascii="Times New Roman" w:hAnsi="Times New Roman"/>
                      <w:color w:val="auto"/>
                      <w:kern w:val="0"/>
                      <w:szCs w:val="21"/>
                      <w:u w:val="singl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54" w:type="pct"/>
                  <w:vMerge w:val="restar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辅助工程</w:t>
                  </w:r>
                </w:p>
              </w:tc>
              <w:tc>
                <w:tcPr>
                  <w:tcW w:w="667" w:type="pct"/>
                  <w:tcBorders>
                    <w:tl2br w:val="nil"/>
                    <w:tr2bl w:val="nil"/>
                  </w:tcBorders>
                  <w:vAlign w:val="center"/>
                </w:tcPr>
                <w:p>
                  <w:pPr>
                    <w:ind w:left="-17" w:leftChars="-29" w:right="-103" w:rightChars="-49" w:hanging="44" w:hangingChars="21"/>
                    <w:jc w:val="center"/>
                    <w:rPr>
                      <w:rFonts w:ascii="Times New Roman" w:hAnsi="Times New Roman"/>
                      <w:color w:val="auto"/>
                      <w:szCs w:val="21"/>
                      <w:u w:val="single"/>
                    </w:rPr>
                  </w:pPr>
                  <w:r>
                    <w:rPr>
                      <w:rFonts w:ascii="Times New Roman" w:hAnsi="Times New Roman"/>
                      <w:color w:val="auto"/>
                      <w:szCs w:val="21"/>
                      <w:u w:val="single"/>
                    </w:rPr>
                    <w:t>施工营地</w:t>
                  </w:r>
                </w:p>
              </w:tc>
              <w:tc>
                <w:tcPr>
                  <w:tcW w:w="3877" w:type="pct"/>
                  <w:tcBorders>
                    <w:tl2br w:val="nil"/>
                    <w:tr2bl w:val="nil"/>
                  </w:tcBorders>
                  <w:vAlign w:val="center"/>
                </w:tcPr>
                <w:p>
                  <w:pPr>
                    <w:ind w:left="-28" w:leftChars="-28" w:right="-103" w:rightChars="-49" w:hanging="31" w:hangingChars="15"/>
                    <w:jc w:val="left"/>
                    <w:rPr>
                      <w:rFonts w:hint="eastAsia" w:ascii="Times New Roman" w:hAnsi="Times New Roman"/>
                      <w:color w:val="auto"/>
                      <w:szCs w:val="21"/>
                      <w:u w:val="single"/>
                    </w:rPr>
                  </w:pPr>
                  <w:r>
                    <w:rPr>
                      <w:rFonts w:hint="eastAsia" w:ascii="Times New Roman" w:hAnsi="Times New Roman"/>
                      <w:color w:val="auto"/>
                      <w:szCs w:val="21"/>
                      <w:u w:val="single"/>
                    </w:rPr>
                    <w:t>设置1个施工营地，位于范家坝湖空地处，施工营地包括综合加工间、施工仓库、办公生活设施等。</w:t>
                  </w:r>
                </w:p>
                <w:p>
                  <w:pPr>
                    <w:ind w:left="-28" w:leftChars="-28" w:right="-103" w:rightChars="-49" w:hanging="31" w:hangingChars="15"/>
                    <w:jc w:val="left"/>
                    <w:rPr>
                      <w:rFonts w:hint="eastAsia"/>
                      <w:color w:val="auto"/>
                      <w:u w:val="single"/>
                    </w:rPr>
                  </w:pPr>
                  <w:r>
                    <w:rPr>
                      <w:rFonts w:hint="eastAsia" w:ascii="Times New Roman" w:hAnsi="Times New Roman"/>
                      <w:color w:val="auto"/>
                      <w:szCs w:val="21"/>
                      <w:u w:val="single"/>
                      <w:lang w:val="en-US" w:eastAsia="zh-CN"/>
                    </w:rPr>
                    <w:t>①</w:t>
                  </w:r>
                  <w:r>
                    <w:rPr>
                      <w:rFonts w:hint="eastAsia" w:ascii="Times New Roman" w:hAnsi="Times New Roman"/>
                      <w:color w:val="auto"/>
                      <w:szCs w:val="21"/>
                      <w:u w:val="single"/>
                    </w:rPr>
                    <w:t>施工营地主要承担工程施工机械如汽车、反铲、推土机、拖拉机、振动碾、拌和机等维修和小型零配件的制作。</w:t>
                  </w:r>
                </w:p>
                <w:p>
                  <w:pPr>
                    <w:ind w:left="-28" w:leftChars="-28" w:right="-103" w:rightChars="-49" w:hanging="31" w:hangingChars="15"/>
                    <w:jc w:val="left"/>
                    <w:rPr>
                      <w:rFonts w:hint="eastAsia" w:ascii="Times New Roman" w:hAnsi="Times New Roman"/>
                      <w:color w:val="auto"/>
                      <w:szCs w:val="21"/>
                      <w:u w:val="single"/>
                    </w:rPr>
                  </w:pPr>
                  <w:r>
                    <w:rPr>
                      <w:rFonts w:hint="eastAsia" w:ascii="Times New Roman" w:hAnsi="Times New Roman"/>
                      <w:color w:val="auto"/>
                      <w:szCs w:val="21"/>
                      <w:u w:val="single"/>
                      <w:lang w:val="en-US" w:eastAsia="zh-CN"/>
                    </w:rPr>
                    <w:t>②</w:t>
                  </w:r>
                  <w:r>
                    <w:rPr>
                      <w:rFonts w:hint="eastAsia" w:ascii="Times New Roman" w:hAnsi="Times New Roman"/>
                      <w:color w:val="auto"/>
                      <w:szCs w:val="21"/>
                      <w:u w:val="single"/>
                    </w:rPr>
                    <w:t>本工程施工仓库有：材料仓库。</w:t>
                  </w:r>
                </w:p>
                <w:p>
                  <w:pPr>
                    <w:ind w:left="-28" w:leftChars="-28" w:right="-103" w:rightChars="-49" w:hanging="31" w:hangingChars="15"/>
                    <w:jc w:val="left"/>
                    <w:rPr>
                      <w:rFonts w:ascii="Times New Roman" w:hAnsi="Times New Roman"/>
                      <w:color w:val="auto"/>
                      <w:szCs w:val="21"/>
                      <w:u w:val="single"/>
                    </w:rPr>
                  </w:pPr>
                  <w:r>
                    <w:rPr>
                      <w:rFonts w:hint="eastAsia" w:ascii="Times New Roman" w:hAnsi="Times New Roman"/>
                      <w:color w:val="auto"/>
                      <w:szCs w:val="21"/>
                      <w:u w:val="single"/>
                      <w:lang w:val="en-US" w:eastAsia="zh-CN"/>
                    </w:rPr>
                    <w:t>③</w:t>
                  </w:r>
                  <w:r>
                    <w:rPr>
                      <w:rFonts w:hint="eastAsia" w:ascii="Times New Roman" w:hAnsi="Times New Roman"/>
                      <w:color w:val="auto"/>
                      <w:szCs w:val="21"/>
                      <w:u w:val="single"/>
                    </w:rPr>
                    <w:t>办公生活设施可租用在相应施工项目区附近的民居。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454" w:type="pct"/>
                  <w:vMerge w:val="continue"/>
                  <w:tcBorders>
                    <w:tl2br w:val="nil"/>
                    <w:tr2bl w:val="nil"/>
                  </w:tcBorders>
                  <w:vAlign w:val="center"/>
                </w:tcPr>
                <w:p>
                  <w:pPr>
                    <w:adjustRightInd w:val="0"/>
                    <w:snapToGrid w:val="0"/>
                    <w:jc w:val="center"/>
                    <w:rPr>
                      <w:rFonts w:ascii="Times New Roman" w:hAnsi="Times New Roman"/>
                      <w:color w:val="auto"/>
                      <w:szCs w:val="21"/>
                      <w:u w:val="single"/>
                    </w:rPr>
                  </w:pPr>
                </w:p>
              </w:tc>
              <w:tc>
                <w:tcPr>
                  <w:tcW w:w="667" w:type="pct"/>
                  <w:tcBorders>
                    <w:tl2br w:val="nil"/>
                    <w:tr2bl w:val="nil"/>
                  </w:tcBorders>
                  <w:vAlign w:val="center"/>
                </w:tcPr>
                <w:p>
                  <w:pPr>
                    <w:ind w:left="-17" w:leftChars="-29" w:right="-103" w:rightChars="-49" w:hanging="44" w:hangingChars="21"/>
                    <w:jc w:val="center"/>
                    <w:rPr>
                      <w:rFonts w:ascii="Times New Roman" w:hAnsi="Times New Roman"/>
                      <w:color w:val="auto"/>
                      <w:szCs w:val="21"/>
                      <w:u w:val="single"/>
                    </w:rPr>
                  </w:pPr>
                  <w:r>
                    <w:rPr>
                      <w:rFonts w:hint="eastAsia" w:ascii="Times New Roman" w:hAnsi="Times New Roman"/>
                      <w:color w:val="auto"/>
                      <w:szCs w:val="21"/>
                      <w:u w:val="single"/>
                    </w:rPr>
                    <w:t>临时堆场</w:t>
                  </w:r>
                </w:p>
              </w:tc>
              <w:tc>
                <w:tcPr>
                  <w:tcW w:w="3877" w:type="pct"/>
                  <w:tcBorders>
                    <w:tl2br w:val="nil"/>
                    <w:tr2bl w:val="nil"/>
                  </w:tcBorders>
                  <w:vAlign w:val="center"/>
                </w:tcPr>
                <w:p>
                  <w:pPr>
                    <w:ind w:left="-28" w:leftChars="-28" w:right="-103" w:rightChars="-49" w:hanging="31" w:hangingChars="15"/>
                    <w:jc w:val="left"/>
                    <w:rPr>
                      <w:rFonts w:ascii="Times New Roman" w:hAnsi="Times New Roman"/>
                      <w:color w:val="auto"/>
                      <w:szCs w:val="21"/>
                      <w:u w:val="single"/>
                    </w:rPr>
                  </w:pPr>
                  <w:r>
                    <w:rPr>
                      <w:rFonts w:hint="eastAsia" w:ascii="Times New Roman" w:hAnsi="Times New Roman"/>
                      <w:color w:val="auto"/>
                      <w:szCs w:val="21"/>
                      <w:u w:val="single"/>
                    </w:rPr>
                    <w:t>工程设置有</w:t>
                  </w:r>
                  <w:r>
                    <w:rPr>
                      <w:rFonts w:hint="eastAsia" w:ascii="Times New Roman" w:hAnsi="Times New Roman"/>
                      <w:color w:val="auto"/>
                      <w:szCs w:val="21"/>
                      <w:u w:val="single"/>
                      <w:lang w:val="en-US" w:eastAsia="zh-CN"/>
                    </w:rPr>
                    <w:t>5</w:t>
                  </w:r>
                  <w:r>
                    <w:rPr>
                      <w:rFonts w:hint="eastAsia" w:ascii="Times New Roman" w:hAnsi="Times New Roman"/>
                      <w:color w:val="auto"/>
                      <w:szCs w:val="21"/>
                      <w:u w:val="single"/>
                    </w:rPr>
                    <w:t>处清淤料中转临时堆场，其中范家坝湖3处，三汊港湖</w:t>
                  </w:r>
                  <w:r>
                    <w:rPr>
                      <w:rFonts w:hint="eastAsia" w:ascii="Times New Roman" w:hAnsi="Times New Roman"/>
                      <w:color w:val="auto"/>
                      <w:szCs w:val="21"/>
                      <w:u w:val="single"/>
                      <w:lang w:val="en-US" w:eastAsia="zh-CN"/>
                    </w:rPr>
                    <w:t>2</w:t>
                  </w:r>
                  <w:r>
                    <w:rPr>
                      <w:rFonts w:hint="eastAsia" w:ascii="Times New Roman" w:hAnsi="Times New Roman"/>
                      <w:color w:val="auto"/>
                      <w:szCs w:val="21"/>
                      <w:u w:val="single"/>
                    </w:rPr>
                    <w:t>处。范家坝湖共设置</w:t>
                  </w:r>
                  <w:r>
                    <w:rPr>
                      <w:rFonts w:hint="eastAsia" w:ascii="Times New Roman" w:hAnsi="Times New Roman"/>
                      <w:color w:val="auto"/>
                      <w:szCs w:val="21"/>
                      <w:u w:val="single"/>
                      <w:lang w:val="en-US" w:eastAsia="zh-CN"/>
                    </w:rPr>
                    <w:t>3</w:t>
                  </w:r>
                  <w:r>
                    <w:rPr>
                      <w:rFonts w:hint="eastAsia" w:ascii="Times New Roman" w:hAnsi="Times New Roman"/>
                      <w:color w:val="auto"/>
                      <w:szCs w:val="21"/>
                      <w:u w:val="single"/>
                    </w:rPr>
                    <w:t>处清淤料中转临时堆场，临时堆场总面积分别为40000m</w:t>
                  </w:r>
                  <w:r>
                    <w:rPr>
                      <w:rFonts w:hint="eastAsia" w:ascii="Times New Roman" w:hAnsi="Times New Roman"/>
                      <w:color w:val="auto"/>
                      <w:szCs w:val="21"/>
                      <w:u w:val="single"/>
                      <w:vertAlign w:val="superscript"/>
                    </w:rPr>
                    <w:t>2</w:t>
                  </w:r>
                  <w:r>
                    <w:rPr>
                      <w:rFonts w:hint="eastAsia" w:ascii="Times New Roman" w:hAnsi="Times New Roman"/>
                      <w:color w:val="auto"/>
                      <w:szCs w:val="21"/>
                      <w:u w:val="single"/>
                    </w:rPr>
                    <w:t>；三汊港湖共设置</w:t>
                  </w:r>
                  <w:r>
                    <w:rPr>
                      <w:rFonts w:hint="eastAsia" w:ascii="Times New Roman" w:hAnsi="Times New Roman"/>
                      <w:color w:val="auto"/>
                      <w:szCs w:val="21"/>
                      <w:u w:val="single"/>
                      <w:lang w:val="en-US" w:eastAsia="zh-CN"/>
                    </w:rPr>
                    <w:t>2</w:t>
                  </w:r>
                  <w:r>
                    <w:rPr>
                      <w:rFonts w:hint="eastAsia" w:ascii="Times New Roman" w:hAnsi="Times New Roman"/>
                      <w:color w:val="auto"/>
                      <w:szCs w:val="21"/>
                      <w:u w:val="single"/>
                    </w:rPr>
                    <w:t>处清淤料中转临时堆场，总面积为36000m</w:t>
                  </w:r>
                  <w:r>
                    <w:rPr>
                      <w:rFonts w:hint="eastAsia" w:ascii="Times New Roman" w:hAnsi="Times New Roman"/>
                      <w:color w:val="auto"/>
                      <w:szCs w:val="21"/>
                      <w:u w:val="single"/>
                      <w:vertAlign w:val="superscript"/>
                    </w:rPr>
                    <w:t>2</w:t>
                  </w:r>
                  <w:r>
                    <w:rPr>
                      <w:rFonts w:hint="eastAsia" w:ascii="Times New Roman" w:hAnsi="Times New Roman"/>
                      <w:color w:val="auto"/>
                      <w:szCs w:val="21"/>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54" w:type="pct"/>
                  <w:vMerge w:val="restar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公用工程</w:t>
                  </w: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供电</w:t>
                  </w:r>
                </w:p>
              </w:tc>
              <w:tc>
                <w:tcPr>
                  <w:tcW w:w="3877" w:type="pct"/>
                  <w:tcBorders>
                    <w:tl2br w:val="nil"/>
                    <w:tr2bl w:val="nil"/>
                  </w:tcBorders>
                  <w:vAlign w:val="center"/>
                </w:tcPr>
                <w:p>
                  <w:pPr>
                    <w:adjustRightInd w:val="0"/>
                    <w:snapToGrid w:val="0"/>
                    <w:jc w:val="left"/>
                    <w:rPr>
                      <w:rFonts w:ascii="Times New Roman" w:hAnsi="Times New Roman"/>
                      <w:color w:val="auto"/>
                      <w:szCs w:val="21"/>
                      <w:u w:val="single"/>
                    </w:rPr>
                  </w:pPr>
                  <w:r>
                    <w:rPr>
                      <w:rFonts w:ascii="Times New Roman" w:hAnsi="Times New Roman"/>
                      <w:color w:val="auto"/>
                      <w:szCs w:val="21"/>
                      <w:u w:val="single"/>
                    </w:rPr>
                    <w:t>由当地农电电网提供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54" w:type="pct"/>
                  <w:vMerge w:val="continue"/>
                  <w:tcBorders>
                    <w:tl2br w:val="nil"/>
                    <w:tr2bl w:val="nil"/>
                  </w:tcBorders>
                  <w:vAlign w:val="center"/>
                </w:tcPr>
                <w:p>
                  <w:pPr>
                    <w:adjustRightInd w:val="0"/>
                    <w:snapToGrid w:val="0"/>
                    <w:jc w:val="center"/>
                    <w:rPr>
                      <w:rFonts w:ascii="Times New Roman" w:hAnsi="Times New Roman"/>
                      <w:color w:val="auto"/>
                      <w:szCs w:val="21"/>
                      <w:u w:val="single"/>
                    </w:rPr>
                  </w:pP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供水</w:t>
                  </w:r>
                </w:p>
              </w:tc>
              <w:tc>
                <w:tcPr>
                  <w:tcW w:w="3877" w:type="pct"/>
                  <w:tcBorders>
                    <w:tl2br w:val="nil"/>
                    <w:tr2bl w:val="nil"/>
                  </w:tcBorders>
                  <w:vAlign w:val="center"/>
                </w:tcPr>
                <w:p>
                  <w:pPr>
                    <w:adjustRightInd w:val="0"/>
                    <w:snapToGrid w:val="0"/>
                    <w:jc w:val="left"/>
                    <w:rPr>
                      <w:rFonts w:ascii="Times New Roman" w:hAnsi="Times New Roman"/>
                      <w:color w:val="auto"/>
                      <w:szCs w:val="21"/>
                      <w:u w:val="single"/>
                    </w:rPr>
                  </w:pPr>
                  <w:r>
                    <w:rPr>
                      <w:rFonts w:ascii="Times New Roman" w:hAnsi="Times New Roman"/>
                      <w:color w:val="auto"/>
                      <w:szCs w:val="21"/>
                      <w:u w:val="single"/>
                    </w:rPr>
                    <w:t>生活用水</w:t>
                  </w:r>
                  <w:r>
                    <w:rPr>
                      <w:rFonts w:hint="eastAsia" w:ascii="Times New Roman" w:hAnsi="Times New Roman"/>
                      <w:color w:val="auto"/>
                      <w:szCs w:val="21"/>
                      <w:u w:val="single"/>
                    </w:rPr>
                    <w:t>：自来水；施工用水：湖水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4" w:type="pct"/>
                  <w:vMerge w:val="restar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环保工程</w:t>
                  </w: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废水处理工程</w:t>
                  </w:r>
                </w:p>
              </w:tc>
              <w:tc>
                <w:tcPr>
                  <w:tcW w:w="3877" w:type="pct"/>
                  <w:tcBorders>
                    <w:tl2br w:val="nil"/>
                    <w:tr2bl w:val="nil"/>
                  </w:tcBorders>
                  <w:vAlign w:val="center"/>
                </w:tcPr>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①</w:t>
                  </w:r>
                  <w:r>
                    <w:rPr>
                      <w:rFonts w:ascii="Times New Roman" w:hAnsi="Times New Roman"/>
                      <w:color w:val="auto"/>
                      <w:szCs w:val="21"/>
                      <w:u w:val="single"/>
                    </w:rPr>
                    <w:t>施工人员生活污水利用现有居民住房化粪池处理后</w:t>
                  </w:r>
                  <w:r>
                    <w:rPr>
                      <w:rFonts w:hint="eastAsia" w:ascii="Times New Roman" w:hAnsi="Times New Roman"/>
                      <w:color w:val="auto"/>
                      <w:szCs w:val="21"/>
                      <w:u w:val="single"/>
                    </w:rPr>
                    <w:t>用于</w:t>
                  </w:r>
                  <w:r>
                    <w:rPr>
                      <w:rFonts w:ascii="Times New Roman" w:hAnsi="Times New Roman"/>
                      <w:color w:val="auto"/>
                      <w:szCs w:val="21"/>
                      <w:u w:val="single"/>
                    </w:rPr>
                    <w:t>周边农田施肥</w:t>
                  </w:r>
                  <w:r>
                    <w:rPr>
                      <w:rFonts w:hint="eastAsia" w:ascii="Times New Roman" w:hAnsi="Times New Roman"/>
                      <w:color w:val="auto"/>
                      <w:szCs w:val="21"/>
                      <w:u w:val="single"/>
                    </w:rPr>
                    <w:t>，</w:t>
                  </w:r>
                  <w:r>
                    <w:rPr>
                      <w:rFonts w:ascii="Times New Roman" w:hAnsi="Times New Roman"/>
                      <w:color w:val="auto"/>
                      <w:szCs w:val="21"/>
                      <w:u w:val="single"/>
                    </w:rPr>
                    <w:t>不外排。</w:t>
                  </w:r>
                </w:p>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②临时堆场余水经多级沉淀池处理后满足《污水综合排放标准》(GB8978-1996）一级标准后，分别回补范家坝湖和三汊港湖。</w:t>
                  </w:r>
                </w:p>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③施工船舶含油污水经油水分离器处理后的浮油渣暂存于船舶自备的容器中，送油污水接收船或岸上的油污水接收单位接收处理。</w:t>
                  </w:r>
                </w:p>
                <w:p>
                  <w:pPr>
                    <w:adjustRightInd w:val="0"/>
                    <w:snapToGrid w:val="0"/>
                    <w:jc w:val="left"/>
                    <w:rPr>
                      <w:rFonts w:hint="default"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④车辆冲洗废水经沉淀处理后循环使用，不外排。</w:t>
                  </w:r>
                </w:p>
                <w:p>
                  <w:pPr>
                    <w:adjustRightInd w:val="0"/>
                    <w:snapToGrid w:val="0"/>
                    <w:jc w:val="left"/>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⑤施工机械冲洗废水经隔油池沉淀处理后回用洒水除尘。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废气处理工程</w:t>
                  </w:r>
                </w:p>
              </w:tc>
              <w:tc>
                <w:tcPr>
                  <w:tcW w:w="3877" w:type="pct"/>
                  <w:tcBorders>
                    <w:tl2br w:val="nil"/>
                    <w:tr2bl w:val="nil"/>
                  </w:tcBorders>
                  <w:vAlign w:val="center"/>
                </w:tcPr>
                <w:p>
                  <w:pPr>
                    <w:adjustRightInd w:val="0"/>
                    <w:snapToGrid w:val="0"/>
                    <w:jc w:val="left"/>
                    <w:rPr>
                      <w:rFonts w:hint="eastAsia" w:ascii="Times New Roman" w:hAnsi="Times New Roman" w:eastAsia="宋体"/>
                      <w:color w:val="auto"/>
                      <w:szCs w:val="21"/>
                      <w:u w:val="single"/>
                      <w:lang w:eastAsia="zh-CN"/>
                    </w:rPr>
                  </w:pPr>
                  <w:r>
                    <w:rPr>
                      <w:rFonts w:hint="eastAsia" w:ascii="Times New Roman" w:hAnsi="Times New Roman"/>
                      <w:color w:val="auto"/>
                      <w:szCs w:val="21"/>
                      <w:u w:val="single"/>
                    </w:rPr>
                    <w:t>施工</w:t>
                  </w:r>
                  <w:r>
                    <w:rPr>
                      <w:rFonts w:ascii="Times New Roman" w:hAnsi="Times New Roman"/>
                      <w:color w:val="auto"/>
                      <w:szCs w:val="21"/>
                      <w:u w:val="single"/>
                    </w:rPr>
                    <w:t>场区和道路根据实际情况进行洒水降尘作业</w:t>
                  </w:r>
                  <w:r>
                    <w:rPr>
                      <w:rFonts w:hint="eastAsia" w:ascii="Times New Roman" w:hAnsi="Times New Roman"/>
                      <w:color w:val="auto"/>
                      <w:szCs w:val="21"/>
                      <w:u w:val="singl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噪声处理工程</w:t>
                  </w:r>
                </w:p>
              </w:tc>
              <w:tc>
                <w:tcPr>
                  <w:tcW w:w="3877" w:type="pct"/>
                  <w:tcBorders>
                    <w:tl2br w:val="nil"/>
                    <w:tr2bl w:val="nil"/>
                  </w:tcBorders>
                  <w:vAlign w:val="center"/>
                </w:tcPr>
                <w:p>
                  <w:pPr>
                    <w:adjustRightInd w:val="0"/>
                    <w:snapToGrid w:val="0"/>
                    <w:jc w:val="left"/>
                    <w:rPr>
                      <w:rFonts w:ascii="Times New Roman" w:hAnsi="Times New Roman"/>
                      <w:color w:val="auto"/>
                      <w:szCs w:val="21"/>
                      <w:u w:val="single"/>
                    </w:rPr>
                  </w:pPr>
                  <w:r>
                    <w:rPr>
                      <w:rFonts w:ascii="Times New Roman" w:hAnsi="Times New Roman"/>
                      <w:color w:val="auto"/>
                      <w:szCs w:val="21"/>
                      <w:u w:val="single"/>
                    </w:rPr>
                    <w:t>设备选型时尽量采购低噪声设备，设置围挡</w:t>
                  </w:r>
                  <w:r>
                    <w:rPr>
                      <w:rFonts w:hint="eastAsia" w:ascii="Times New Roman" w:hAnsi="Times New Roman"/>
                      <w:color w:val="auto"/>
                      <w:szCs w:val="21"/>
                      <w:u w:val="single"/>
                    </w:rPr>
                    <w:t>、设备减振，严禁夜间疏浚作业。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vMerge w:val="restart"/>
                  <w:tcBorders>
                    <w:tl2br w:val="nil"/>
                    <w:tr2bl w:val="nil"/>
                  </w:tcBorders>
                  <w:vAlign w:val="center"/>
                </w:tcPr>
                <w:p>
                  <w:pPr>
                    <w:adjustRightInd w:val="0"/>
                    <w:snapToGrid w:val="0"/>
                    <w:jc w:val="center"/>
                    <w:rPr>
                      <w:rFonts w:ascii="Times New Roman" w:hAnsi="Times New Roman"/>
                      <w:color w:val="auto"/>
                      <w:szCs w:val="21"/>
                      <w:u w:val="single"/>
                    </w:rPr>
                  </w:pPr>
                  <w:r>
                    <w:rPr>
                      <w:rFonts w:ascii="Times New Roman" w:hAnsi="Times New Roman"/>
                      <w:color w:val="auto"/>
                      <w:szCs w:val="21"/>
                      <w:u w:val="single"/>
                    </w:rPr>
                    <w:t>固废处理工程</w:t>
                  </w:r>
                </w:p>
              </w:tc>
              <w:tc>
                <w:tcPr>
                  <w:tcW w:w="3877" w:type="pct"/>
                  <w:tcBorders>
                    <w:tl2br w:val="nil"/>
                    <w:tr2bl w:val="nil"/>
                  </w:tcBorders>
                  <w:vAlign w:val="center"/>
                </w:tcPr>
                <w:p>
                  <w:pPr>
                    <w:adjustRightInd w:val="0"/>
                    <w:snapToGrid w:val="0"/>
                    <w:jc w:val="left"/>
                    <w:rPr>
                      <w:rFonts w:ascii="Times New Roman" w:hAnsi="Times New Roman"/>
                      <w:color w:val="auto"/>
                      <w:szCs w:val="21"/>
                      <w:u w:val="single"/>
                    </w:rPr>
                  </w:pPr>
                  <w:r>
                    <w:rPr>
                      <w:rFonts w:ascii="Times New Roman" w:hAnsi="Times New Roman"/>
                      <w:color w:val="auto"/>
                      <w:szCs w:val="21"/>
                      <w:u w:val="single"/>
                    </w:rPr>
                    <w:t>生活垃圾由环卫部门收集清运。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54" w:type="pct"/>
                  <w:vMerge w:val="continue"/>
                  <w:tcBorders>
                    <w:tl2br w:val="nil"/>
                    <w:tr2bl w:val="nil"/>
                  </w:tcBorders>
                  <w:vAlign w:val="center"/>
                </w:tcPr>
                <w:p>
                  <w:pPr>
                    <w:widowControl/>
                    <w:jc w:val="center"/>
                    <w:rPr>
                      <w:rFonts w:ascii="Times New Roman" w:hAnsi="Times New Roman"/>
                      <w:color w:val="auto"/>
                      <w:szCs w:val="21"/>
                      <w:u w:val="single"/>
                    </w:rPr>
                  </w:pPr>
                </w:p>
              </w:tc>
              <w:tc>
                <w:tcPr>
                  <w:tcW w:w="667" w:type="pct"/>
                  <w:vMerge w:val="continue"/>
                  <w:tcBorders>
                    <w:tl2br w:val="nil"/>
                    <w:tr2bl w:val="nil"/>
                  </w:tcBorders>
                  <w:vAlign w:val="center"/>
                </w:tcPr>
                <w:p>
                  <w:pPr>
                    <w:adjustRightInd w:val="0"/>
                    <w:snapToGrid w:val="0"/>
                    <w:jc w:val="center"/>
                    <w:rPr>
                      <w:rFonts w:ascii="Times New Roman" w:hAnsi="Times New Roman"/>
                      <w:color w:val="auto"/>
                      <w:szCs w:val="21"/>
                      <w:u w:val="single"/>
                    </w:rPr>
                  </w:pPr>
                </w:p>
              </w:tc>
              <w:tc>
                <w:tcPr>
                  <w:tcW w:w="3877" w:type="pct"/>
                  <w:tcBorders>
                    <w:tl2br w:val="nil"/>
                    <w:tr2bl w:val="nil"/>
                  </w:tcBorders>
                  <w:vAlign w:val="center"/>
                </w:tcPr>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①白泥湖：采用500m</w:t>
                  </w:r>
                  <w:r>
                    <w:rPr>
                      <w:rFonts w:hint="eastAsia" w:ascii="Times New Roman" w:hAnsi="Times New Roman"/>
                      <w:color w:val="auto"/>
                      <w:szCs w:val="21"/>
                      <w:u w:val="single"/>
                      <w:vertAlign w:val="superscript"/>
                      <w:lang w:val="en-US" w:eastAsia="zh-CN"/>
                    </w:rPr>
                    <w:t>3</w:t>
                  </w:r>
                  <w:r>
                    <w:rPr>
                      <w:rFonts w:hint="eastAsia" w:ascii="Times New Roman" w:hAnsi="Times New Roman"/>
                      <w:color w:val="auto"/>
                      <w:szCs w:val="21"/>
                      <w:u w:val="single"/>
                      <w:lang w:val="en-US" w:eastAsia="zh-CN"/>
                    </w:rPr>
                    <w:t>/h 绞吸式挖泥船开挖，绞吸式挖泥船直接抽取上部淤泥用于白泥湖南堤填塘固基。</w:t>
                  </w:r>
                </w:p>
                <w:p>
                  <w:pPr>
                    <w:adjustRightInd w:val="0"/>
                    <w:snapToGrid w:val="0"/>
                    <w:jc w:val="left"/>
                    <w:rPr>
                      <w:rFonts w:hint="default" w:ascii="Times New Roman" w:hAnsi="Times New Roman" w:eastAsia="宋体"/>
                      <w:color w:val="auto"/>
                      <w:szCs w:val="21"/>
                      <w:u w:val="single"/>
                      <w:lang w:val="en-US" w:eastAsia="zh-CN"/>
                    </w:rPr>
                  </w:pPr>
                  <w:r>
                    <w:rPr>
                      <w:rFonts w:hint="eastAsia" w:ascii="Times New Roman" w:hAnsi="Times New Roman"/>
                      <w:color w:val="auto"/>
                      <w:szCs w:val="21"/>
                      <w:u w:val="single"/>
                      <w:lang w:val="en-US" w:eastAsia="zh-CN"/>
                    </w:rPr>
                    <w:t>②范家坝湖和三汊港湖：采用钻探式抽沙船进行施工，上部粘土层自然下沉，下层砾砂通过钻探式抽沙船可吸取，运至临时堆存场，由相关部门统一安排综合利用。</w:t>
                  </w:r>
                </w:p>
              </w:tc>
            </w:tr>
          </w:tbl>
          <w:p>
            <w:pPr>
              <w:jc w:val="center"/>
              <w:rPr>
                <w:rFonts w:ascii="Times New Roman" w:hAnsi="Times New Roman"/>
                <w:b/>
                <w:color w:val="auto"/>
                <w:szCs w:val="21"/>
              </w:rPr>
            </w:pPr>
            <w:r>
              <w:rPr>
                <w:rFonts w:ascii="Times New Roman" w:hAnsi="Times New Roman"/>
                <w:b/>
                <w:color w:val="auto"/>
                <w:szCs w:val="21"/>
              </w:rPr>
              <w:t>表</w:t>
            </w:r>
            <w:r>
              <w:rPr>
                <w:rFonts w:hint="eastAsia" w:ascii="Times New Roman" w:hAnsi="Times New Roman"/>
                <w:b/>
                <w:color w:val="auto"/>
                <w:szCs w:val="21"/>
                <w:lang w:val="en-US" w:eastAsia="zh-CN"/>
              </w:rPr>
              <w:t xml:space="preserve">2-2  </w:t>
            </w:r>
            <w:r>
              <w:rPr>
                <w:rFonts w:ascii="Times New Roman" w:hAnsi="Times New Roman"/>
                <w:b/>
                <w:color w:val="auto"/>
                <w:szCs w:val="21"/>
              </w:rPr>
              <w:t>项目</w:t>
            </w:r>
            <w:r>
              <w:rPr>
                <w:rFonts w:hint="eastAsia" w:ascii="Times New Roman" w:hAnsi="Times New Roman"/>
                <w:b/>
                <w:color w:val="auto"/>
                <w:szCs w:val="21"/>
              </w:rPr>
              <w:t>施工</w:t>
            </w:r>
            <w:r>
              <w:rPr>
                <w:rFonts w:ascii="Times New Roman" w:hAnsi="Times New Roman"/>
                <w:b/>
                <w:color w:val="auto"/>
                <w:szCs w:val="21"/>
              </w:rPr>
              <w:t>机械一览表</w:t>
            </w:r>
          </w:p>
          <w:tbl>
            <w:tblPr>
              <w:tblStyle w:val="25"/>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2119"/>
              <w:gridCol w:w="1996"/>
              <w:gridCol w:w="990"/>
              <w:gridCol w:w="1085"/>
              <w:gridCol w:w="9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序号</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设备名称</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规格与型号</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单位</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数量</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反铲挖掘机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1m³</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自卸汽车</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8t</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3</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推土机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118kw</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5</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4</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羊足碾</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13.5t</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4</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5</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振动碾</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7～12t</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4</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6</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拖拉机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120kW履带式</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7</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砂浆拌和机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0.2m³</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移动式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8</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混凝土搅拌运输车</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6 m³</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9</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农用车</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3.5t</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蛙式打夯机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2.8kw</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5</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11</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柴油发电机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200kw</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12</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绞吸式挖泥船</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500m</w:t>
                  </w:r>
                  <w:r>
                    <w:rPr>
                      <w:rFonts w:hint="default" w:ascii="Times New Roman" w:hAnsi="Times New Roman" w:eastAsia="宋体" w:cs="Times New Roman"/>
                      <w:snapToGrid w:val="0"/>
                      <w:color w:val="auto"/>
                      <w:sz w:val="21"/>
                      <w:szCs w:val="21"/>
                      <w:vertAlign w:val="superscript"/>
                    </w:rPr>
                    <w:t>3</w:t>
                  </w:r>
                  <w:r>
                    <w:rPr>
                      <w:rFonts w:hint="default" w:ascii="Times New Roman" w:hAnsi="Times New Roman" w:eastAsia="宋体" w:cs="Times New Roman"/>
                      <w:snapToGrid w:val="0"/>
                      <w:color w:val="auto"/>
                      <w:sz w:val="21"/>
                      <w:szCs w:val="21"/>
                    </w:rPr>
                    <w:t>/h</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艘</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13</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运砂船</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120m</w:t>
                  </w:r>
                  <w:r>
                    <w:rPr>
                      <w:rFonts w:hint="default" w:ascii="Times New Roman" w:hAnsi="Times New Roman" w:eastAsia="宋体" w:cs="Times New Roman"/>
                      <w:snapToGrid w:val="0"/>
                      <w:color w:val="auto"/>
                      <w:sz w:val="21"/>
                      <w:szCs w:val="21"/>
                      <w:vertAlign w:val="superscript"/>
                    </w:rPr>
                    <w:t>3</w:t>
                  </w:r>
                  <w:r>
                    <w:rPr>
                      <w:rFonts w:hint="default" w:ascii="Times New Roman" w:hAnsi="Times New Roman" w:eastAsia="宋体" w:cs="Times New Roman"/>
                      <w:snapToGrid w:val="0"/>
                      <w:color w:val="auto"/>
                      <w:sz w:val="21"/>
                      <w:szCs w:val="21"/>
                    </w:rPr>
                    <w:t>/h</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艘</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14</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钻探式抽沙船</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20寸</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艘</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15</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液压抓斗</w:t>
                  </w:r>
                </w:p>
              </w:tc>
              <w:tc>
                <w:tcPr>
                  <w:tcW w:w="1270" w:type="pct"/>
                  <w:tcBorders>
                    <w:tl2br w:val="nil"/>
                    <w:tr2bl w:val="nil"/>
                  </w:tcBorders>
                  <w:noWrap w:val="0"/>
                  <w:vAlign w:val="center"/>
                </w:tcPr>
                <w:p>
                  <w:pPr>
                    <w:snapToGrid w:val="0"/>
                    <w:spacing w:line="240" w:lineRule="auto"/>
                    <w:ind w:firstLine="0" w:firstLineChars="0"/>
                    <w:jc w:val="center"/>
                    <w:rPr>
                      <w:rFonts w:hint="eastAsia" w:ascii="Times New Roman" w:hAnsi="Times New Roman" w:eastAsia="宋体" w:cs="Times New Roman"/>
                      <w:snapToGrid w:val="0"/>
                      <w:color w:val="auto"/>
                      <w:sz w:val="21"/>
                      <w:szCs w:val="21"/>
                      <w:lang w:val="en-US" w:eastAsia="zh-CN"/>
                    </w:rPr>
                  </w:pPr>
                  <w:r>
                    <w:rPr>
                      <w:rFonts w:hint="eastAsia" w:ascii="Times New Roman" w:hAnsi="Times New Roman" w:eastAsia="宋体" w:cs="Times New Roman"/>
                      <w:snapToGrid w:val="0"/>
                      <w:color w:val="auto"/>
                      <w:sz w:val="21"/>
                      <w:szCs w:val="21"/>
                      <w:lang w:val="en-US" w:eastAsia="zh-CN"/>
                    </w:rPr>
                    <w:t>/</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16</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移动空压机</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3m³</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17</w:t>
                  </w:r>
                </w:p>
              </w:tc>
              <w:tc>
                <w:tcPr>
                  <w:tcW w:w="134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离心水泵</w:t>
                  </w:r>
                </w:p>
              </w:tc>
              <w:tc>
                <w:tcPr>
                  <w:tcW w:w="127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rPr>
                    <w:t>IS80-65-1</w:t>
                  </w:r>
                  <w:r>
                    <w:rPr>
                      <w:rFonts w:hint="eastAsia" w:ascii="Times New Roman" w:hAnsi="Times New Roman" w:eastAsia="宋体" w:cs="Times New Roman"/>
                      <w:snapToGrid w:val="0"/>
                      <w:color w:val="auto"/>
                      <w:sz w:val="21"/>
                      <w:szCs w:val="21"/>
                      <w:lang w:val="en-US" w:eastAsia="zh-CN"/>
                    </w:rPr>
                    <w:t>60</w:t>
                  </w:r>
                </w:p>
              </w:tc>
              <w:tc>
                <w:tcPr>
                  <w:tcW w:w="63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台</w:t>
                  </w:r>
                </w:p>
              </w:tc>
              <w:tc>
                <w:tcPr>
                  <w:tcW w:w="690"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eastAsia="宋体" w:cs="Times New Roman"/>
                      <w:snapToGrid w:val="0"/>
                      <w:color w:val="auto"/>
                      <w:sz w:val="21"/>
                      <w:szCs w:val="21"/>
                      <w:lang w:val="en-US" w:eastAsia="zh-CN"/>
                    </w:rPr>
                    <w:t>10</w:t>
                  </w:r>
                </w:p>
              </w:tc>
              <w:tc>
                <w:tcPr>
                  <w:tcW w:w="632"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bl>
          <w:p>
            <w:pPr>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single"/>
                <w:lang w:val="en-US" w:eastAsia="zh-CN"/>
              </w:rPr>
              <w:t>本项目</w:t>
            </w:r>
            <w:r>
              <w:rPr>
                <w:rFonts w:hint="eastAsia" w:ascii="Times New Roman" w:hAnsi="Times New Roman" w:eastAsia="宋体" w:cs="Times New Roman"/>
                <w:color w:val="auto"/>
                <w:sz w:val="24"/>
                <w:szCs w:val="24"/>
                <w:highlight w:val="none"/>
                <w:u w:val="single"/>
                <w:lang w:val="en-US" w:eastAsia="zh-CN"/>
              </w:rPr>
              <w:t>施工期拟使用</w:t>
            </w:r>
            <w:r>
              <w:rPr>
                <w:rFonts w:hint="default" w:ascii="Times New Roman" w:hAnsi="Times New Roman" w:eastAsia="宋体" w:cs="Times New Roman"/>
                <w:color w:val="auto"/>
                <w:sz w:val="24"/>
                <w:szCs w:val="24"/>
                <w:highlight w:val="none"/>
                <w:u w:val="single"/>
                <w:lang w:val="en-US" w:eastAsia="zh-CN"/>
              </w:rPr>
              <w:t>的设备不属于《产业结构调整指导目录（2019年本）》（2021年修订）、《工业和信息化部高耗能落后机电设备（产品）淘汰目录》、《部分工业行业淘汰落后生产工艺装备和产品指导目录》中淘汰及明令禁止使用的设备及工艺</w:t>
            </w:r>
            <w:r>
              <w:rPr>
                <w:rFonts w:hint="eastAsia" w:ascii="Times New Roman" w:hAnsi="Times New Roman" w:eastAsia="宋体" w:cs="Times New Roman"/>
                <w:color w:val="auto"/>
                <w:sz w:val="24"/>
                <w:szCs w:val="24"/>
                <w:highlight w:val="none"/>
                <w:u w:val="single"/>
                <w:lang w:val="en-US" w:eastAsia="zh-CN"/>
              </w:rPr>
              <w:t>。环评要求，项目施工期间不得使用上述规定中的</w:t>
            </w:r>
            <w:r>
              <w:rPr>
                <w:rFonts w:hint="default" w:ascii="Times New Roman" w:hAnsi="Times New Roman" w:eastAsia="宋体" w:cs="Times New Roman"/>
                <w:color w:val="auto"/>
                <w:sz w:val="24"/>
                <w:szCs w:val="24"/>
                <w:highlight w:val="none"/>
                <w:u w:val="single"/>
                <w:lang w:val="en-US" w:eastAsia="zh-CN"/>
              </w:rPr>
              <w:t>淘汰及明令禁止使用的设备</w:t>
            </w:r>
            <w:r>
              <w:rPr>
                <w:rFonts w:hint="eastAsia" w:ascii="Times New Roman" w:hAnsi="Times New Roman" w:eastAsia="宋体" w:cs="Times New Roman"/>
                <w:color w:val="auto"/>
                <w:sz w:val="24"/>
                <w:szCs w:val="24"/>
                <w:highlight w:val="none"/>
                <w:u w:val="singl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bCs/>
                <w:color w:val="auto"/>
                <w:kern w:val="0"/>
                <w:sz w:val="24"/>
                <w:szCs w:val="24"/>
                <w:u w:val="none"/>
                <w:lang w:val="en-US" w:eastAsia="zh-CN"/>
              </w:rPr>
            </w:pPr>
            <w:r>
              <w:rPr>
                <w:rFonts w:hint="eastAsia" w:ascii="Times New Roman" w:hAnsi="Times New Roman" w:eastAsia="宋体" w:cs="Times New Roman"/>
                <w:b/>
                <w:bCs/>
                <w:color w:val="auto"/>
                <w:kern w:val="0"/>
                <w:sz w:val="24"/>
                <w:szCs w:val="24"/>
                <w:u w:val="none"/>
                <w:lang w:val="en-US" w:eastAsia="zh-CN"/>
              </w:rPr>
              <w:t>3、工程布置及建筑物</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3.1、</w:t>
            </w:r>
            <w:r>
              <w:rPr>
                <w:rFonts w:hint="default" w:ascii="Times New Roman" w:hAnsi="Times New Roman" w:eastAsia="宋体" w:cs="Times New Roman"/>
                <w:b/>
                <w:bCs/>
                <w:color w:val="auto"/>
                <w:sz w:val="24"/>
                <w:szCs w:val="24"/>
                <w:u w:val="single"/>
              </w:rPr>
              <w:t>清淤疏浚方案</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针对工程现状及存在的问题，本次主要采取对白泥湖、范家坝湖和三汊港湖三个内湖进行清淤疏浚扩容增蓄及藻类（青苔）和浮游藻类清理。其中藻类（青苔）和浮游藻类根据现场实际情况，对相对集中的区域进行清理，清理范围 0.02 km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rPr>
              <w:t>清淤疏浚扩容增蓄方案</w:t>
            </w:r>
            <w:r>
              <w:rPr>
                <w:rFonts w:hint="eastAsia" w:ascii="Times New Roman" w:hAnsi="Times New Roman" w:cs="Times New Roman"/>
                <w:color w:val="auto"/>
                <w:sz w:val="24"/>
                <w:szCs w:val="24"/>
                <w:u w:val="single"/>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区域内白泥湖灌区和三汊港灌区灌溉总缺水量为521.07万m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。为保证工农业灌溉用水，本次三个内湖共需扩容521.07万m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库容，其中白泥湖及范家坝湖约309.71万m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，三汊港湖211.36万m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，根据白泥湖</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范家坝湖和三汊港湖水域面 积、水下地形测量图及地质资料等资料，湖泊内地层从上至下主要包括淤泥层、粉质粘土层及砾砂。湖内地层厚度和地质描述详见下表。</w:t>
            </w:r>
          </w:p>
          <w:p>
            <w:pPr>
              <w:jc w:val="center"/>
              <w:rPr>
                <w:rFonts w:hint="default" w:ascii="Times New Roman" w:hAnsi="Times New Roman" w:eastAsia="宋体" w:cs="Times New Roman"/>
                <w:b/>
                <w:color w:val="auto"/>
                <w:szCs w:val="21"/>
                <w:u w:val="single"/>
              </w:rPr>
            </w:pPr>
            <w:r>
              <w:rPr>
                <w:rFonts w:hint="eastAsia" w:ascii="Times New Roman" w:hAnsi="Times New Roman" w:eastAsia="宋体" w:cs="Times New Roman"/>
                <w:b/>
                <w:color w:val="auto"/>
                <w:szCs w:val="21"/>
                <w:u w:val="single"/>
                <w:lang w:val="en-US" w:eastAsia="zh-CN"/>
              </w:rPr>
              <w:t xml:space="preserve">表2-3  </w:t>
            </w:r>
            <w:r>
              <w:rPr>
                <w:rFonts w:hint="default" w:ascii="Times New Roman" w:hAnsi="Times New Roman" w:eastAsia="宋体" w:cs="Times New Roman"/>
                <w:b/>
                <w:color w:val="auto"/>
                <w:szCs w:val="21"/>
                <w:u w:val="single"/>
              </w:rPr>
              <w:t>湖内地层厚度和地质</w:t>
            </w:r>
          </w:p>
          <w:tbl>
            <w:tblPr>
              <w:tblStyle w:val="75"/>
              <w:tblW w:w="4999" w:type="pct"/>
              <w:tblInd w:w="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44"/>
              <w:gridCol w:w="701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37"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湖泊</w:t>
                  </w:r>
                </w:p>
              </w:tc>
              <w:tc>
                <w:tcPr>
                  <w:tcW w:w="44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揭露地层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537"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范家坝湖</w:t>
                  </w:r>
                </w:p>
              </w:tc>
              <w:tc>
                <w:tcPr>
                  <w:tcW w:w="44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淤泥&lt;2-1&gt;：流塑～软塑，层厚 0.30～4.00m，平均厚度：2.15m，层底标高为 20.31～24.55m。粉质黏土&lt;3&gt;：可～硬塑，层厚 1.70～7.30m，平均厚度：5.42m，层底标高为 14.51～24.25m。 砾砂&lt;4-1&gt;：松散～稍密，最大揭露厚度 48.81m。</w:t>
                  </w:r>
                </w:p>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粉质黏土&lt;5&gt;：可～硬塑，最大揭露厚度 3.92m。（局部钻孔揭露）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537"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白泥湖</w:t>
                  </w:r>
                </w:p>
              </w:tc>
              <w:tc>
                <w:tcPr>
                  <w:tcW w:w="44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淤泥&lt;2-1&gt;：流塑～软塑，层厚 0.8～3.70m，平均厚度：1.75m，层底标高为 21.06～25.63m。 粉质黏土&lt;3&gt;：可～硬塑，层厚 4.40～11.10m，平均厚度：7.56m，层底标高为 11.51~  24.86m。砾砂&lt;4-1&gt;：松散～稍密，最大揭露厚度 43.20m。粉质黏土&lt;5&gt;：可～硬塑，最大揭露厚度4.29m。（局部钻孔揭露）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37"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三汊港湖</w:t>
                  </w:r>
                </w:p>
              </w:tc>
              <w:tc>
                <w:tcPr>
                  <w:tcW w:w="44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淤泥&lt;2-1&gt;：流塑～软塑，层厚 0.00～1.40m，平均厚度：0.72m，层底标高为 22.73～24.53m。 粉质黏土&lt;3&gt;：可～硬塑，层厚 1.20～6.30m，平均厚度：3.12m，层底标高为 18.73～25.98m。砾砂&lt;4-1&gt;：松散～稍密，最大揭露厚度 48.95m。粉质黏土&lt;5&gt;：可～硬塑，最大揭露厚度5.28m。（局部钻孔揭露）</w:t>
                  </w:r>
                </w:p>
              </w:tc>
            </w:tr>
          </w:tbl>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清淤疏浚扩容增蓄方案选择按下三种方案进行比选。</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方案一：白泥湖、范家坝湖和三汊港湖均采用传统的表层清淤方式对湖底淤泥进行清除，清除的淤泥部分用于吹填附近水塘，其余多余部分需另行寻找弃料进行处理、堆放。清淤总方量521.07万m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 其主要成分为粘性土。</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方案二：地势较低、防洪压力较大的白泥湖采用传统的表层清淤方式对湖底淤泥进行清除，清除的淤泥用于吹填附近水塘；地势较高且防洪压力相对较小的范家坝湖和三汊港湖采用的钻探式抽沙船清淤方式对湖底粘土层以下砾砂进行部分清除，上部粘土层自然下沉以降低河床底高程，清除的砾砂料可以作为建筑材料另行利用，不需设置永久弃料场。但该清淤方式会破坏湖底粘土覆盖层，形成人为渗漏通道，外河低水位时会向外河渗漏，外河高水位时会向内湖渗流，不仅增加渗漏量（或渗流量），还可能产生新的管涌险情。该清淤方式需对范家坝湖和三汊港湖进行超挖补偿处理及采用防洪补救措施，沿防洪大堤堤基设置两排脉动灌浆防渗（湘江堤防轴线长 2.55km，范家西堤0.65km，范家湖湘江堤防和范家坝西堤K1+200～K1+850脉动灌浆防渗搭接形成整体防渗体系）措施处理。清淤总方量 742.02万m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，其中220.97万m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为增加的渗漏库容。</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方案三：地势较低、防洪压力较大的白泥湖采用传统的表层清淤方式对湖底淤泥进行清除，清除的淤泥用于吹填附近水塘；地势较高且防洪压力相对较小的范家坝湖和三汊港湖采用的钻探式抽沙船清淤方式对湖底粘土层以下砾砂进行部分清除，上部粘土层自然下沉以降低河床底高程，清除的砾砂料可以作为建筑材料另行利用，不需设置永久弃料场。但该清淤方式会破坏湖底粘土覆盖层，形成人为渗漏通道，外河低水位时会向外河渗漏，外河高水位时会向内湖渗流，不仅增加渗漏量（或渗流量），还可能产生新 的管涌险情。该清淤方式需对范家坝湖和三汊港湖进行超挖补偿处理及采用防洪补救措施，沿防洪大堤堤基设置塑性混凝土防渗墙（湘江堤防轴线长 2.55km，范家西堤0.65km，范家湖湘江堤防和范家坝西堤 K1+200～K1+850 防渗搭接形成整体防渗体系）处理。清淤总方量 742.02万m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，其中220.97万m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为增加的渗漏库容。</w:t>
            </w:r>
          </w:p>
          <w:p>
            <w:pPr>
              <w:jc w:val="center"/>
              <w:rPr>
                <w:rFonts w:hint="default" w:ascii="Times New Roman" w:hAnsi="Times New Roman" w:eastAsia="宋体" w:cs="Times New Roman"/>
                <w:b/>
                <w:color w:val="auto"/>
                <w:szCs w:val="21"/>
                <w:u w:val="single"/>
                <w:lang w:val="en-US" w:eastAsia="zh-CN"/>
              </w:rPr>
            </w:pPr>
            <w:r>
              <w:rPr>
                <w:rFonts w:hint="eastAsia" w:ascii="Times New Roman" w:hAnsi="Times New Roman" w:eastAsia="宋体" w:cs="Times New Roman"/>
                <w:b/>
                <w:color w:val="auto"/>
                <w:szCs w:val="21"/>
                <w:u w:val="single"/>
                <w:lang w:val="en-US" w:eastAsia="zh-CN"/>
              </w:rPr>
              <w:t xml:space="preserve">表2-4  </w:t>
            </w:r>
            <w:r>
              <w:rPr>
                <w:rFonts w:hint="default" w:ascii="Times New Roman" w:hAnsi="Times New Roman" w:eastAsia="宋体" w:cs="Times New Roman"/>
                <w:b/>
                <w:color w:val="auto"/>
                <w:szCs w:val="21"/>
                <w:u w:val="single"/>
                <w:lang w:val="en-US" w:eastAsia="zh-CN"/>
              </w:rPr>
              <w:t>内湖清淤疏浚扩容方案比较表</w:t>
            </w:r>
          </w:p>
          <w:tbl>
            <w:tblPr>
              <w:tblStyle w:val="75"/>
              <w:tblW w:w="4999" w:type="pct"/>
              <w:tblInd w:w="1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3135"/>
              <w:gridCol w:w="2141"/>
              <w:gridCol w:w="215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73" w:type="pct"/>
                  <w:tcBorders>
                    <w:tl2br w:val="nil"/>
                    <w:tr2bl w:val="nil"/>
                  </w:tcBorders>
                  <w:textDirection w:val="tbRlV"/>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方 案 比 较</w:t>
                  </w:r>
                </w:p>
              </w:tc>
              <w:tc>
                <w:tcPr>
                  <w:tcW w:w="1994"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方案一</w:t>
                  </w:r>
                </w:p>
              </w:tc>
              <w:tc>
                <w:tcPr>
                  <w:tcW w:w="13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方案二</w:t>
                  </w:r>
                </w:p>
              </w:tc>
              <w:tc>
                <w:tcPr>
                  <w:tcW w:w="1369"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方案三</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73" w:type="pct"/>
                  <w:tcBorders>
                    <w:tl2br w:val="nil"/>
                    <w:tr2bl w:val="nil"/>
                  </w:tcBorders>
                  <w:textDirection w:val="tbRlV"/>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优 点</w:t>
                  </w:r>
                </w:p>
              </w:tc>
              <w:tc>
                <w:tcPr>
                  <w:tcW w:w="1994"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①防渗及防渗漏体系可靠，“三湖” 环境改善明显。②对部分水塘进行吹填有利于垸内防 洪安全。</w:t>
                  </w:r>
                </w:p>
              </w:tc>
              <w:tc>
                <w:tcPr>
                  <w:tcW w:w="13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①弃料场征地面积较小，要求相对较低；②大部分清淤副产品可以 利用。③大堤堤基防渗体系相对可靠。</w:t>
                  </w:r>
                </w:p>
              </w:tc>
              <w:tc>
                <w:tcPr>
                  <w:tcW w:w="1369"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①弃料场征地面积较小，要求相对较低；②大部分清淤副产品可以 利用。③大堤堤基防渗体系可靠。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273" w:type="pct"/>
                  <w:tcBorders>
                    <w:tl2br w:val="nil"/>
                    <w:tr2bl w:val="nil"/>
                  </w:tcBorders>
                  <w:textDirection w:val="tbRlV"/>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缺 点</w:t>
                  </w:r>
                </w:p>
              </w:tc>
              <w:tc>
                <w:tcPr>
                  <w:tcW w:w="1994"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①需要足够宽的弃渣场，按堆场平均厚度 5 米计， 约需弃渣场 1500 亩，永久征地面积大，征收难度极大。②底泥扰动大，施工期短期对水环境影响较为严重。③淤泥需处置外运，难度较大。</w:t>
                  </w:r>
                </w:p>
              </w:tc>
              <w:tc>
                <w:tcPr>
                  <w:tcW w:w="13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① 渗漏量大，增加“三 湖”所在垸区枯水期灌</w:t>
                  </w:r>
                </w:p>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溉、生态用水压力。② 施工期对底泥扰动较  大， 短期对水环境影响较为严重；③造价相对偏高。</w:t>
                  </w:r>
                </w:p>
              </w:tc>
              <w:tc>
                <w:tcPr>
                  <w:tcW w:w="1369"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① 渗漏量大，增加“三 湖”所在垸区枯水期灌</w:t>
                  </w:r>
                </w:p>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溉、生态用水压力。② 施工期对底泥扰动较  大， 短期对水环境影响较为严重；③造价偏高。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73" w:type="pct"/>
                  <w:tcBorders>
                    <w:tl2br w:val="nil"/>
                    <w:tr2bl w:val="nil"/>
                  </w:tcBorders>
                  <w:textDirection w:val="tbRlV"/>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结 论</w:t>
                  </w:r>
                </w:p>
              </w:tc>
              <w:tc>
                <w:tcPr>
                  <w:tcW w:w="1994"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比较方案一</w:t>
                  </w:r>
                </w:p>
              </w:tc>
              <w:tc>
                <w:tcPr>
                  <w:tcW w:w="1362"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推荐方案</w:t>
                  </w:r>
                </w:p>
              </w:tc>
              <w:tc>
                <w:tcPr>
                  <w:tcW w:w="1369"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比较方案二</w:t>
                  </w:r>
                </w:p>
              </w:tc>
            </w:tr>
          </w:tbl>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以上三个方案， 方案一措施简单易行，但需要足够宽的弃渣场， 根据初步计算， 按堆场平均厚度 4 米计，约需弃渣场2700亩， 通过实地查勘以及与业主对接讨论，并没有合适的土地作为弃渣场，无法实施。方案二、三所需弃料场征地面积较小， 要求相对较低，同时大部分弃料（副产品）可以利用，但由于清淤疏浚中开采副产品钻孔抽挖，施工完成后会破坏湖底粘土覆盖层， 另外抽挖过程中会造成粘土层的不均匀沉降， 使粘土层（硬塑）产生张拉裂缝，大大增加了枯水期湖水外渗，同时由于破坏粘土覆盖层的整体稳定性及破坏了砾砂层上部溢出保护层</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可能产生新的渗流溢出破坏，形成管涌。通过采取大堤堤基防渗措施，确保了大堤渗流安全，同时减小湖泊湖水外渗；但方案三堤基塑性混凝土防渗墙工程造价高， 该单项投资需约2.5亿元。</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综合上述三个方案，方案二虽然渗漏量较大，会对工农业用水产生一些不利影响，但可以采取灌溉补偿措施并沿岸灌溉泵站、涵闸等进行改造并增设部分移动式泵船，基本可以消除这些影响， 从大堤及垸区的防洪安全角度出发， 本次设计推荐采用方案二。</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3.2、</w:t>
            </w:r>
            <w:r>
              <w:rPr>
                <w:rFonts w:hint="default" w:ascii="Times New Roman" w:hAnsi="Times New Roman" w:eastAsia="宋体" w:cs="Times New Roman"/>
                <w:b/>
                <w:bCs/>
                <w:color w:val="auto"/>
                <w:sz w:val="24"/>
                <w:szCs w:val="24"/>
                <w:u w:val="single"/>
              </w:rPr>
              <w:t>清淤工程设计</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3.2.1、</w:t>
            </w:r>
            <w:r>
              <w:rPr>
                <w:rFonts w:hint="default" w:ascii="Times New Roman" w:hAnsi="Times New Roman" w:eastAsia="宋体" w:cs="Times New Roman"/>
                <w:b/>
                <w:bCs/>
                <w:color w:val="auto"/>
                <w:sz w:val="24"/>
                <w:szCs w:val="24"/>
                <w:u w:val="single"/>
              </w:rPr>
              <w:t>清淤设计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1）疏挖底部高程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根据工程淤积现状及地质勘探成果，为充分发挥其最大效益，以满足清淤、生态、安全等各种要求确定疏挖底部高程，白泥湖平均疏挖深度约0.6m，范家坝湖平均疏挖深度约4.62m，三汊港湖平均疏挖深度约4.70m。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2）设计疏挖边坡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根据《疏浚与吹填工程技术规范》（SL17-2014），松散及松散砂土水下开挖坡比为1:5.0～1:10，因此本次设计疏挖边坡取为1</w:t>
            </w:r>
            <w:r>
              <w:rPr>
                <w:rFonts w:hint="eastAsia" w:ascii="Times New Roman" w:hAnsi="Times New Roman" w:cs="Times New Roman"/>
                <w:color w:val="auto"/>
                <w:sz w:val="24"/>
                <w:szCs w:val="24"/>
                <w:u w:val="single"/>
                <w:lang w:val="en-US" w:eastAsia="zh-CN"/>
              </w:rPr>
              <w:t>:</w:t>
            </w:r>
            <w:r>
              <w:rPr>
                <w:rFonts w:hint="default" w:ascii="Times New Roman" w:hAnsi="Times New Roman" w:eastAsia="宋体" w:cs="Times New Roman"/>
                <w:color w:val="auto"/>
                <w:sz w:val="24"/>
                <w:szCs w:val="24"/>
                <w:u w:val="single"/>
              </w:rPr>
              <w:t>5.0。</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3）疏挖安全距离</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根据《堤防工程管理设计规范》（SL/T171-2020）相关要求，5级堤防临水侧和穿堤建筑物预留的安全距离不小于30m，3级堤防临水侧和穿堤建筑物预留的安全距离不小于60m，3级堤防背水侧预留的安全距离不小于 200m，该范围内禁止挖土等危及堤防安全的作业。根据渗流稳定分析成果， 本次疏挖边线距临湘江大堤堤脚距离不小于 500m、距垸内其他堤防堤脚不小于50m、距湖岸坡坡脚不小于30m。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4）清淤范围示意图</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范家坝湖清淤疏浚示意图分区域、分年度施工，先完成区域一范围的清淤疏浚，然后完成区域二范围的清淤疏浚，最后完成区域三范围的清淤疏浚。</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三汊港湖清淤疏浚示意图分区域、分年度施工，先完成区域一范围的清淤疏浚，然后完成区域二范围的清淤疏浚。</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color w:val="auto"/>
                <w:sz w:val="24"/>
                <w:szCs w:val="24"/>
                <w:u w:val="single"/>
                <w:lang w:val="en-US" w:eastAsia="zh-CN"/>
              </w:rPr>
            </w:pPr>
            <w:r>
              <w:rPr>
                <w:rFonts w:hint="eastAsia" w:ascii="Times New Roman" w:hAnsi="Times New Roman" w:cs="Times New Roman"/>
                <w:color w:val="auto"/>
                <w:sz w:val="24"/>
                <w:szCs w:val="24"/>
                <w:u w:val="single"/>
                <w:lang w:val="en-US" w:eastAsia="zh-CN"/>
              </w:rPr>
              <w:t>具体范围见附图2。</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5</w:t>
            </w:r>
            <w:r>
              <w:rPr>
                <w:rFonts w:hint="default" w:ascii="Times New Roman" w:hAnsi="Times New Roman" w:eastAsia="宋体" w:cs="Times New Roman"/>
                <w:color w:val="auto"/>
                <w:sz w:val="24"/>
                <w:szCs w:val="24"/>
                <w:u w:val="single"/>
              </w:rPr>
              <w:t>）疏挖方式选择</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根据本工程实际情况，白泥湖采用500m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/h绞吸式挖泥船开挖，绞吸式挖泥船直接抽取上部淤泥用于白泥湖南堤填塘固基。范家坝湖和三汊港湖拟采用钻探式抽沙船进行施工，钻孔间距3.0m，钻孔直径1.0m</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上部部粘土层自然下沉，下层砾砂通过钻探式抽沙船可吸取，运至岸边。疏挖坡比为 1:5.0，疏挖上边线距离内湖渍堤堤脚30m，距离湘江堤防500m。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6</w:t>
            </w:r>
            <w:r>
              <w:rPr>
                <w:rFonts w:hint="default" w:ascii="Times New Roman" w:hAnsi="Times New Roman" w:eastAsia="宋体" w:cs="Times New Roman"/>
                <w:color w:val="auto"/>
                <w:sz w:val="24"/>
                <w:szCs w:val="24"/>
                <w:u w:val="single"/>
              </w:rPr>
              <w:t>）疏挖工程量</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cs="Times New Roman"/>
                <w:color w:val="auto"/>
                <w:sz w:val="24"/>
                <w:szCs w:val="24"/>
                <w:u w:val="single"/>
                <w:lang w:eastAsia="zh-CN"/>
              </w:rPr>
            </w:pPr>
            <w:r>
              <w:rPr>
                <w:rFonts w:hint="default" w:ascii="Times New Roman" w:hAnsi="Times New Roman" w:eastAsia="宋体" w:cs="Times New Roman"/>
                <w:color w:val="auto"/>
                <w:sz w:val="24"/>
                <w:szCs w:val="24"/>
                <w:u w:val="single"/>
              </w:rPr>
              <w:t>本次湖泊清淤疏浚工程量共计742.02万m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，其中 220.97万m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为增</w:t>
            </w:r>
            <w:bookmarkStart w:id="14" w:name="bookmark15"/>
            <w:bookmarkEnd w:id="14"/>
            <w:bookmarkStart w:id="15" w:name="bookmark13"/>
            <w:bookmarkEnd w:id="15"/>
            <w:bookmarkStart w:id="16" w:name="bookmark14"/>
            <w:bookmarkEnd w:id="16"/>
            <w:r>
              <w:rPr>
                <w:rFonts w:hint="default" w:ascii="Times New Roman" w:hAnsi="Times New Roman" w:eastAsia="宋体" w:cs="Times New Roman"/>
                <w:color w:val="auto"/>
                <w:sz w:val="24"/>
                <w:szCs w:val="24"/>
                <w:u w:val="single"/>
              </w:rPr>
              <w:t>加的渗漏库容</w:t>
            </w:r>
            <w:r>
              <w:rPr>
                <w:rFonts w:hint="eastAsia" w:ascii="Times New Roman" w:hAnsi="Times New Roman" w:cs="Times New Roman"/>
                <w:color w:val="auto"/>
                <w:sz w:val="24"/>
                <w:szCs w:val="24"/>
                <w:u w:val="single"/>
                <w:lang w:eastAsia="zh-CN"/>
              </w:rPr>
              <w:t>。</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7）疏挖弃料处置</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根据地勘钻孔资料，范家坝湖及三汊港湖砾砂层清淤弃料主要成分为砂、砾石、泥质，主要成分见下表：</w:t>
            </w:r>
          </w:p>
          <w:p>
            <w:pPr>
              <w:jc w:val="center"/>
              <w:rPr>
                <w:color w:val="auto"/>
              </w:rPr>
            </w:pPr>
            <w:r>
              <w:rPr>
                <w:rFonts w:hint="eastAsia" w:ascii="Times New Roman" w:hAnsi="Times New Roman" w:eastAsia="宋体" w:cs="Times New Roman"/>
                <w:b/>
                <w:color w:val="auto"/>
                <w:szCs w:val="21"/>
                <w:u w:val="single"/>
                <w:lang w:val="en-US" w:eastAsia="zh-CN"/>
              </w:rPr>
              <w:t>表2-5  砾砂层主要成分表</w:t>
            </w:r>
          </w:p>
          <w:tbl>
            <w:tblPr>
              <w:tblStyle w:val="75"/>
              <w:tblW w:w="4999" w:type="pct"/>
              <w:tblInd w:w="7"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765"/>
              <w:gridCol w:w="16"/>
              <w:gridCol w:w="1995"/>
              <w:gridCol w:w="2090"/>
              <w:gridCol w:w="199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123" w:type="pct"/>
                  <w:vMerge w:val="restart"/>
                  <w:tcBorders>
                    <w:tl2br w:val="nil"/>
                    <w:tr2bl w:val="nil"/>
                  </w:tcBorders>
                  <w:vAlign w:val="top"/>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eastAsia" w:ascii="Times New Roman" w:hAnsi="Times New Roman" w:eastAsia="宋体" w:cs="Times New Roman"/>
                      <w:snapToGrid w:val="0"/>
                      <w:color w:val="auto"/>
                      <w:sz w:val="21"/>
                      <w:szCs w:val="21"/>
                      <w:u w:val="single"/>
                      <w:lang w:val="en-US" w:eastAsia="zh-CN"/>
                    </w:rPr>
                    <w:t xml:space="preserve">        </w:t>
                  </w:r>
                  <w:r>
                    <w:rPr>
                      <w:rFonts w:hint="default" w:ascii="Times New Roman" w:hAnsi="Times New Roman" w:eastAsia="宋体" w:cs="Times New Roman"/>
                      <w:snapToGrid w:val="0"/>
                      <w:color w:val="auto"/>
                      <w:sz w:val="21"/>
                      <w:szCs w:val="21"/>
                      <w:u w:val="single"/>
                    </w:rPr>
                    <w:t>地层</w:t>
                  </w:r>
                </w:p>
                <w:p>
                  <w:pPr>
                    <w:snapToGrid w:val="0"/>
                    <w:spacing w:line="240" w:lineRule="auto"/>
                    <w:ind w:firstLine="0" w:firstLineChars="0"/>
                    <w:jc w:val="both"/>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内湖名称</w:t>
                  </w:r>
                </w:p>
              </w:tc>
              <w:tc>
                <w:tcPr>
                  <w:tcW w:w="3876" w:type="pct"/>
                  <w:gridSpan w:val="4"/>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砾砂层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123" w:type="pct"/>
                  <w:vMerge w:val="continue"/>
                  <w:tcBorders>
                    <w:tl2br w:val="nil"/>
                    <w:tr2bl w:val="nil"/>
                  </w:tcBorders>
                  <w:vAlign w:val="top"/>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p>
              </w:tc>
              <w:tc>
                <w:tcPr>
                  <w:tcW w:w="1279" w:type="pct"/>
                  <w:gridSpan w:val="2"/>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砂含量（%）</w:t>
                  </w:r>
                </w:p>
              </w:tc>
              <w:tc>
                <w:tcPr>
                  <w:tcW w:w="1330"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砾石含量（%）</w:t>
                  </w:r>
                </w:p>
              </w:tc>
              <w:tc>
                <w:tcPr>
                  <w:tcW w:w="1266"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泥质含量（%）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75" w:hRule="atLeast"/>
              </w:trPr>
              <w:tc>
                <w:tcPr>
                  <w:tcW w:w="1123"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范家坝湖</w:t>
                  </w:r>
                </w:p>
              </w:tc>
              <w:tc>
                <w:tcPr>
                  <w:tcW w:w="1279" w:type="pct"/>
                  <w:gridSpan w:val="2"/>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58.24</w:t>
                  </w:r>
                </w:p>
              </w:tc>
              <w:tc>
                <w:tcPr>
                  <w:tcW w:w="1330"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30.12</w:t>
                  </w:r>
                </w:p>
              </w:tc>
              <w:tc>
                <w:tcPr>
                  <w:tcW w:w="1266"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11.64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91" w:hRule="atLeast"/>
              </w:trPr>
              <w:tc>
                <w:tcPr>
                  <w:tcW w:w="1133" w:type="pct"/>
                  <w:gridSpan w:val="2"/>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三汊港南湖</w:t>
                  </w:r>
                </w:p>
              </w:tc>
              <w:tc>
                <w:tcPr>
                  <w:tcW w:w="1269"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57.74</w:t>
                  </w:r>
                </w:p>
              </w:tc>
              <w:tc>
                <w:tcPr>
                  <w:tcW w:w="1330"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30.83</w:t>
                  </w:r>
                </w:p>
              </w:tc>
              <w:tc>
                <w:tcPr>
                  <w:tcW w:w="1266" w:type="pct"/>
                  <w:tcBorders>
                    <w:tl2br w:val="nil"/>
                    <w:tr2bl w:val="nil"/>
                  </w:tcBorders>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u w:val="single"/>
                    </w:rPr>
                  </w:pPr>
                  <w:r>
                    <w:rPr>
                      <w:rFonts w:hint="default" w:ascii="Times New Roman" w:hAnsi="Times New Roman" w:eastAsia="宋体" w:cs="Times New Roman"/>
                      <w:snapToGrid w:val="0"/>
                      <w:color w:val="auto"/>
                      <w:sz w:val="21"/>
                      <w:szCs w:val="21"/>
                      <w:u w:val="single"/>
                    </w:rPr>
                    <w:t>11.43</w:t>
                  </w:r>
                </w:p>
              </w:tc>
            </w:tr>
          </w:tbl>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泥沙分离可采用重力沉降分离为主的方式进行，通过吸砂船将泥砂混合物全部吸至临时堆场，加水混合基于密度差将泥水和砂分别吹填至沉泥池和砂堆场，沉泥池经过一定时间沉降后将上层清水排放至内湖、沉积淤泥脱水成饼后进行资源化利用（或回填至原开挖钻孔内），余水需经过处理后达标排放。进行泥沙分离及泥水分离后的淤积物可实现减量化和资源化利用。疏挖弃料利用方案不在本次环评评价范围内。</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8）临时堆场选择</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根据“三区三线”以及国土三调资料，在工程范围内筛选疏浚物临时堆存场，以满足疏浚物堆存要求。本次工程范家坝湖共设置 3 处清淤料中转临时堆场，位于范家坝北堤附近的堤岸上，临时堆场总面积分别为40000m</w:t>
            </w:r>
            <w:r>
              <w:rPr>
                <w:rFonts w:hint="eastAsia" w:ascii="Times New Roman" w:hAnsi="Times New Roman" w:eastAsia="宋体" w:cs="Times New Roman"/>
                <w:color w:val="auto"/>
                <w:sz w:val="24"/>
                <w:szCs w:val="24"/>
                <w:u w:val="single"/>
                <w:vertAlign w:val="superscript"/>
                <w:lang w:val="en-US" w:eastAsia="zh-CN"/>
              </w:rPr>
              <w:t>2</w:t>
            </w:r>
            <w:r>
              <w:rPr>
                <w:rFonts w:hint="eastAsia" w:ascii="Times New Roman" w:hAnsi="Times New Roman" w:eastAsia="宋体" w:cs="Times New Roman"/>
                <w:color w:val="auto"/>
                <w:sz w:val="24"/>
                <w:szCs w:val="24"/>
                <w:u w:val="single"/>
                <w:lang w:val="en-US" w:eastAsia="zh-CN"/>
              </w:rPr>
              <w:t>；三汊港湖共设置 2 处清淤料中转临时堆场，位于南堤附近的堤岸上，总面积为36000 m</w:t>
            </w:r>
            <w:r>
              <w:rPr>
                <w:rFonts w:hint="eastAsia" w:ascii="Times New Roman" w:hAnsi="Times New Roman" w:eastAsia="宋体" w:cs="Times New Roman"/>
                <w:color w:val="auto"/>
                <w:sz w:val="24"/>
                <w:szCs w:val="24"/>
                <w:u w:val="single"/>
                <w:vertAlign w:val="superscript"/>
                <w:lang w:val="en-US" w:eastAsia="zh-CN"/>
              </w:rPr>
              <w:t>2</w:t>
            </w:r>
            <w:r>
              <w:rPr>
                <w:rFonts w:hint="eastAsia" w:ascii="Times New Roman" w:hAnsi="Times New Roman" w:eastAsia="宋体" w:cs="Times New Roman"/>
                <w:color w:val="auto"/>
                <w:sz w:val="24"/>
                <w:szCs w:val="24"/>
                <w:u w:val="single"/>
                <w:lang w:val="en-US" w:eastAsia="zh-CN"/>
              </w:rPr>
              <w:t>。具体位置详见附图4。</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9）钻孔重新回填</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清淤完成后，考虑到钻孔会形成新的渗漏通道，影响湘江堤防安全，需对钻孔进行重新回填，孔内回填粘性土和级配砂卵石。砂卵石回填按间、排距30m一个孔控制，孔内回填1.0m厚的中粗砂（d=0.25～1.0mm）、1.0m厚的砾石（d=1.0～5.0mm）、其余为卵石（d=5.0～20.0mm）。</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3.2.2、</w:t>
            </w:r>
            <w:r>
              <w:rPr>
                <w:rFonts w:hint="default" w:ascii="Times New Roman" w:hAnsi="Times New Roman" w:eastAsia="宋体" w:cs="Times New Roman"/>
                <w:b/>
                <w:bCs/>
                <w:color w:val="auto"/>
                <w:sz w:val="24"/>
                <w:szCs w:val="24"/>
                <w:u w:val="single"/>
              </w:rPr>
              <w:t>补偿方案</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1）范家坝湖及三汊港湖对应湘江堤防堤基砾砂层进行脉动灌浆防渗处理，处理总长为3.0km。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2）增设移动式泵船；其中范家坝灌区增设三台履带式移动泵船，三汊港灌区增设两台履带式移动泵船。</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3.3、</w:t>
            </w:r>
            <w:r>
              <w:rPr>
                <w:rFonts w:hint="default" w:ascii="Times New Roman" w:hAnsi="Times New Roman" w:eastAsia="宋体" w:cs="Times New Roman"/>
                <w:b/>
                <w:bCs/>
                <w:color w:val="auto"/>
                <w:sz w:val="24"/>
                <w:szCs w:val="24"/>
                <w:u w:val="single"/>
              </w:rPr>
              <w:t>内湖渍堤或撇洪堤加固工程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（1）渍堤加固并护砌；</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a.白泥湖采用防浪墙进行加高处理，防浪墙顶高程为26.05m，长6.8km。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b.白泥湖西堤 K0+030～K0+380，K0+680～K0+780 段长 0.45km 堤防外坡采用格宾脚槽（1m×1m）+雷诺护坡（0.23m）+C20 素砼压肩（0.2m×0.5m）加固，雷诺护坡护至堤顶。</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c.范家坝湖西堤 K1+000～K1+560 段长 0.56km 堤防内坡采用抛石固脚对岸坡进行加固，抛石固脚顶高程为最低控制水位+0.5m，顶宽1.5m，坡比为1:2.0，块石中值粒径为0.4m。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（2）渍堤灌浆防渗1850m；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a.范家坝湖西堤K0+000～K1+850段长1.85km 堤防堤身采用脉动灌浆对堤身进行防渗处理。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（3）渍堤路面硬化。</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a.范家坝湖北堤 K0+000～K2+695.7 堤防防汛通道路面采用 C20 砼硬化，长2.7km，路面宽4.0m，厚度20cm，下设</w:t>
            </w:r>
            <w:r>
              <w:rPr>
                <w:rFonts w:hint="eastAsia" w:ascii="Times New Roman" w:hAnsi="Times New Roman" w:cs="Times New Roman"/>
                <w:color w:val="auto"/>
                <w:sz w:val="24"/>
                <w:szCs w:val="24"/>
                <w:u w:val="single"/>
                <w:lang w:val="en-US" w:eastAsia="zh-CN"/>
              </w:rPr>
              <w:t>20</w:t>
            </w:r>
            <w:r>
              <w:rPr>
                <w:rFonts w:hint="default" w:ascii="Times New Roman" w:hAnsi="Times New Roman" w:eastAsia="宋体" w:cs="Times New Roman"/>
                <w:color w:val="auto"/>
                <w:sz w:val="24"/>
                <w:szCs w:val="24"/>
                <w:u w:val="single"/>
              </w:rPr>
              <w:t>cm 厚的水泥稳定层。</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（4）渍堤填塘固基压浸。</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a.白泥湖南堤 K0+000～K1+704.7采用进行填塘固基加固处理，回填土料利用白泥湖清淤疏浚清淤料。</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3.4、</w:t>
            </w:r>
            <w:r>
              <w:rPr>
                <w:rFonts w:hint="default" w:ascii="Times New Roman" w:hAnsi="Times New Roman" w:eastAsia="宋体" w:cs="Times New Roman"/>
                <w:b/>
                <w:bCs/>
                <w:color w:val="auto"/>
                <w:sz w:val="24"/>
                <w:szCs w:val="24"/>
                <w:u w:val="single"/>
              </w:rPr>
              <w:t>水系连通工程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新建范家坝湖放水控制闸和重建三汊港湖双向控制闸。</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1）涵身断面尺寸的拟定</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闸孔断面尺寸确定：闸孔均采用矩形断面，孔口尺寸根据各涵闸设计水位、设计流量，范家坝湖放水控制闸和三汊港湖双向控制闸孔口尺寸均为1.2m×1.8m。本次设计已范家坝湖放水控制闸为典型设计。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2）输水涵闸设计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新建范家坝湖放水控制闸采用涵洞式水闸，涵闸由进口段、闸室段、箱涵段和消力池段等4段组成。</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①进口段：进口段长5.0m，呈八字形布置，底板和侧墙均采用C20砼结构，底板厚0.3m，宽度由3.5m渐变到1.2m，侧墙高度由1.5m渐变至2.8m。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②闸室段：闸室段顺水流方向长4.4m，垂直水流向宽2.6m，为C25钢筋砼结构，底板厚0.6m；边墩厚0.7m，闸底板高程为25.00m，挡水闸门选用钢闸门挡水，闸门采用厂家定制产品，采用螺杆式启闭机启闭，闸顶设启闭平台和启闭机房，启闭机房平面尺寸为2.4×2.6m，为砖混结构，闸顶通过工作桥与堤顶相连，工作桥宽1.5m，两侧设钢筋砼栏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③箱涵段：涵身段长24m，底坡i=1/1000，为C25钢筋砼箱涵结构，箱涵净空尺寸为1.2×1.8m（B×H），箱涵壁厚300mm，垫层采用厚100mm C15砼，箱涵每8.0m设伸缩缝1道，缝内设紫铜片+橡皮两道止水，沥青杉板嵌缝，进口设两道截水环阻挡渗流沿涵管纵向渗透。</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④消力池段：出口消力池采用渐扩式底流消能，消力池长11.2m，池深0.8m，斜坡段长2.0m，坡比1:4.0，底板高程23.50m，出口翼墙为C20砼挡土墙。</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3.5、</w:t>
            </w:r>
            <w:r>
              <w:rPr>
                <w:rFonts w:hint="default" w:ascii="Times New Roman" w:hAnsi="Times New Roman" w:eastAsia="宋体" w:cs="Times New Roman"/>
                <w:b/>
                <w:bCs/>
                <w:color w:val="auto"/>
                <w:sz w:val="24"/>
                <w:szCs w:val="24"/>
                <w:u w:val="single"/>
              </w:rPr>
              <w:t>建筑物更新改造工程</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3.5.1、</w:t>
            </w:r>
            <w:r>
              <w:rPr>
                <w:rFonts w:hint="eastAsia" w:ascii="Times New Roman" w:hAnsi="Times New Roman" w:eastAsia="宋体" w:cs="Times New Roman"/>
                <w:b/>
                <w:bCs/>
                <w:color w:val="auto"/>
                <w:sz w:val="24"/>
                <w:szCs w:val="24"/>
                <w:u w:val="single"/>
              </w:rPr>
              <w:t>涵闸更新工程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涵闸更新改造共</w:t>
            </w:r>
            <w:r>
              <w:rPr>
                <w:rFonts w:hint="default" w:ascii="Times New Roman" w:hAnsi="Times New Roman" w:eastAsia="宋体" w:cs="Times New Roman"/>
                <w:color w:val="auto"/>
                <w:sz w:val="24"/>
                <w:szCs w:val="24"/>
                <w:u w:val="single"/>
              </w:rPr>
              <w:t>9</w:t>
            </w:r>
            <w:r>
              <w:rPr>
                <w:rFonts w:hint="eastAsia" w:ascii="Times New Roman" w:hAnsi="Times New Roman" w:eastAsia="宋体" w:cs="Times New Roman"/>
                <w:color w:val="auto"/>
                <w:sz w:val="24"/>
                <w:szCs w:val="24"/>
                <w:u w:val="single"/>
              </w:rPr>
              <w:t>处，具体内容如下：白泥湖灌溉闸、三汊港湖泄洪闸、陆线冲涵闸、韩家冲涵闸、殷家汊涵闸、长坪涵闸、月秋洼涵闸、敖家坝涵闸等8处涵闸拆除重建；范家坝灌溉闸尾水渠维修加固。</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w:t>
            </w:r>
            <w:r>
              <w:rPr>
                <w:rFonts w:hint="eastAsia" w:ascii="Times New Roman" w:hAnsi="Times New Roman" w:eastAsia="宋体" w:cs="Times New Roman"/>
                <w:color w:val="auto"/>
                <w:sz w:val="24"/>
                <w:szCs w:val="24"/>
                <w:u w:val="single"/>
              </w:rPr>
              <w:t>）涵身断面尺寸的拟定</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本次设计以不减小涵闸现有断面尺寸为原则，同时为方便以后检修，对陆线冲、韩家冲、殷家汊、长坪、月秋洼、敖家坝涵闸结构尺寸进行加大，涵身净空尺寸加大至1</w:t>
            </w:r>
            <w:r>
              <w:rPr>
                <w:rFonts w:hint="default" w:ascii="Times New Roman" w:hAnsi="Times New Roman" w:eastAsia="宋体" w:cs="Times New Roman"/>
                <w:color w:val="auto"/>
                <w:sz w:val="24"/>
                <w:szCs w:val="24"/>
                <w:u w:val="single"/>
              </w:rPr>
              <w:t>.2</w:t>
            </w:r>
            <w:r>
              <w:rPr>
                <w:rFonts w:hint="eastAsia" w:ascii="Times New Roman" w:hAnsi="Times New Roman" w:eastAsia="宋体" w:cs="Times New Roman"/>
                <w:color w:val="auto"/>
                <w:sz w:val="24"/>
                <w:szCs w:val="24"/>
                <w:u w:val="single"/>
              </w:rPr>
              <w:t>×1</w:t>
            </w:r>
            <w:r>
              <w:rPr>
                <w:rFonts w:hint="default" w:ascii="Times New Roman" w:hAnsi="Times New Roman" w:eastAsia="宋体" w:cs="Times New Roman"/>
                <w:color w:val="auto"/>
                <w:sz w:val="24"/>
                <w:szCs w:val="24"/>
                <w:u w:val="single"/>
              </w:rPr>
              <w:t>.8</w:t>
            </w:r>
            <w:r>
              <w:rPr>
                <w:rFonts w:hint="eastAsia" w:ascii="Times New Roman" w:hAnsi="Times New Roman" w:eastAsia="宋体" w:cs="Times New Roman"/>
                <w:color w:val="auto"/>
                <w:sz w:val="24"/>
                <w:szCs w:val="24"/>
                <w:u w:val="single"/>
              </w:rPr>
              <w:t>m（宽×高），涵闸的底板高程根据湖泊治理后水位变化情况，并结合现状，底板高程顶为2</w:t>
            </w:r>
            <w:r>
              <w:rPr>
                <w:rFonts w:hint="default" w:ascii="Times New Roman" w:hAnsi="Times New Roman" w:eastAsia="宋体" w:cs="Times New Roman"/>
                <w:color w:val="auto"/>
                <w:sz w:val="24"/>
                <w:szCs w:val="24"/>
                <w:u w:val="single"/>
              </w:rPr>
              <w:t>5.80</w:t>
            </w:r>
            <w:r>
              <w:rPr>
                <w:rFonts w:hint="eastAsia" w:ascii="Times New Roman" w:hAnsi="Times New Roman" w:eastAsia="宋体" w:cs="Times New Roman"/>
                <w:color w:val="auto"/>
                <w:sz w:val="24"/>
                <w:szCs w:val="24"/>
                <w:u w:val="single"/>
              </w:rPr>
              <w:t>m。白泥湖灌溉闸和三汊港湖泄洪闸涵身孔口尺寸与现状保持一致，白泥湖灌溉闸孔口尺寸为</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2.6</w:t>
            </w:r>
            <w:r>
              <w:rPr>
                <w:rFonts w:hint="eastAsia" w:ascii="Times New Roman" w:hAnsi="Times New Roman" w:eastAsia="宋体" w:cs="Times New Roman"/>
                <w:color w:val="auto"/>
                <w:sz w:val="24"/>
                <w:szCs w:val="24"/>
                <w:u w:val="single"/>
              </w:rPr>
              <w:t>m（宽×高），三汊港湖泄洪闸孔口尺寸为</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m（宽×高），底板高程与现状一致。</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w:t>
            </w:r>
            <w:r>
              <w:rPr>
                <w:rFonts w:hint="eastAsia" w:ascii="Times New Roman" w:hAnsi="Times New Roman" w:eastAsia="宋体" w:cs="Times New Roman"/>
                <w:color w:val="auto"/>
                <w:sz w:val="24"/>
                <w:szCs w:val="24"/>
                <w:u w:val="single"/>
              </w:rPr>
              <w:t>）重建输水涵闸设计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（1）</w:t>
            </w:r>
            <w:r>
              <w:rPr>
                <w:rFonts w:hint="default" w:ascii="Times New Roman" w:hAnsi="Times New Roman" w:eastAsia="宋体" w:cs="Times New Roman"/>
                <w:color w:val="auto"/>
                <w:sz w:val="24"/>
                <w:szCs w:val="24"/>
                <w:u w:val="single"/>
              </w:rPr>
              <w:t>1.2</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1.8</w:t>
            </w:r>
            <w:r>
              <w:rPr>
                <w:rFonts w:hint="eastAsia" w:ascii="Times New Roman" w:hAnsi="Times New Roman" w:eastAsia="宋体" w:cs="Times New Roman"/>
                <w:color w:val="auto"/>
                <w:sz w:val="24"/>
                <w:szCs w:val="24"/>
                <w:u w:val="single"/>
              </w:rPr>
              <w:t>涵闸设计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重建输水涵闸采用涵洞式水闸，涵闸由进口段、闸室段、箱涵段和消力池段等4段组成，本次以陆线冲涵闸为典型设计。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进口段：进口段长5.0m，呈八字形布置，底板和侧墙均采用</w:t>
            </w:r>
            <w:r>
              <w:rPr>
                <w:rFonts w:hint="default" w:ascii="Times New Roman" w:hAnsi="Times New Roman" w:eastAsia="宋体" w:cs="Times New Roman"/>
                <w:color w:val="auto"/>
                <w:sz w:val="24"/>
                <w:szCs w:val="24"/>
                <w:u w:val="single"/>
              </w:rPr>
              <w:t>C20</w:t>
            </w:r>
            <w:r>
              <w:rPr>
                <w:rFonts w:hint="eastAsia" w:ascii="Times New Roman" w:hAnsi="Times New Roman" w:eastAsia="宋体" w:cs="Times New Roman"/>
                <w:color w:val="auto"/>
                <w:sz w:val="24"/>
                <w:szCs w:val="24"/>
                <w:u w:val="single"/>
              </w:rPr>
              <w:t>砼结构，底板厚0.</w:t>
            </w:r>
            <w:r>
              <w:rPr>
                <w:rFonts w:hint="default" w:ascii="Times New Roman" w:hAnsi="Times New Roman" w:eastAsia="宋体" w:cs="Times New Roman"/>
                <w:color w:val="auto"/>
                <w:sz w:val="24"/>
                <w:szCs w:val="24"/>
                <w:u w:val="single"/>
              </w:rPr>
              <w:t>3</w:t>
            </w:r>
            <w:r>
              <w:rPr>
                <w:rFonts w:hint="eastAsia" w:ascii="Times New Roman" w:hAnsi="Times New Roman" w:eastAsia="宋体" w:cs="Times New Roman"/>
                <w:color w:val="auto"/>
                <w:sz w:val="24"/>
                <w:szCs w:val="24"/>
                <w:u w:val="single"/>
              </w:rPr>
              <w:t>m，宽度由</w:t>
            </w:r>
            <w:r>
              <w:rPr>
                <w:rFonts w:hint="default" w:ascii="Times New Roman" w:hAnsi="Times New Roman" w:eastAsia="宋体" w:cs="Times New Roman"/>
                <w:color w:val="auto"/>
                <w:sz w:val="24"/>
                <w:szCs w:val="24"/>
                <w:u w:val="single"/>
              </w:rPr>
              <w:t>3.5</w:t>
            </w:r>
            <w:r>
              <w:rPr>
                <w:rFonts w:hint="eastAsia" w:ascii="Times New Roman" w:hAnsi="Times New Roman" w:eastAsia="宋体" w:cs="Times New Roman"/>
                <w:color w:val="auto"/>
                <w:sz w:val="24"/>
                <w:szCs w:val="24"/>
                <w:u w:val="single"/>
              </w:rPr>
              <w:t>m渐变到1.</w:t>
            </w:r>
            <w:r>
              <w:rPr>
                <w:rFonts w:hint="default" w:ascii="Times New Roman" w:hAnsi="Times New Roman" w:eastAsia="宋体" w:cs="Times New Roman"/>
                <w:color w:val="auto"/>
                <w:sz w:val="24"/>
                <w:szCs w:val="24"/>
                <w:u w:val="single"/>
              </w:rPr>
              <w:t>2</w:t>
            </w:r>
            <w:r>
              <w:rPr>
                <w:rFonts w:hint="eastAsia" w:ascii="Times New Roman" w:hAnsi="Times New Roman" w:eastAsia="宋体" w:cs="Times New Roman"/>
                <w:color w:val="auto"/>
                <w:sz w:val="24"/>
                <w:szCs w:val="24"/>
                <w:u w:val="single"/>
              </w:rPr>
              <w:t>m，侧墙高度由1.</w:t>
            </w:r>
            <w:r>
              <w:rPr>
                <w:rFonts w:hint="default"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u w:val="single"/>
              </w:rPr>
              <w:t>m渐变至</w:t>
            </w:r>
            <w:r>
              <w:rPr>
                <w:rFonts w:hint="default" w:ascii="Times New Roman" w:hAnsi="Times New Roman" w:eastAsia="宋体" w:cs="Times New Roman"/>
                <w:color w:val="auto"/>
                <w:sz w:val="24"/>
                <w:szCs w:val="24"/>
                <w:u w:val="single"/>
              </w:rPr>
              <w:t>2.8</w:t>
            </w:r>
            <w:r>
              <w:rPr>
                <w:rFonts w:hint="eastAsia" w:ascii="Times New Roman" w:hAnsi="Times New Roman" w:eastAsia="宋体" w:cs="Times New Roman"/>
                <w:color w:val="auto"/>
                <w:sz w:val="24"/>
                <w:szCs w:val="24"/>
                <w:u w:val="single"/>
              </w:rPr>
              <w:t>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闸室段：闸室段顺水流方向长</w:t>
            </w:r>
            <w:r>
              <w:rPr>
                <w:rFonts w:hint="default" w:ascii="Times New Roman" w:hAnsi="Times New Roman" w:eastAsia="宋体" w:cs="Times New Roman"/>
                <w:color w:val="auto"/>
                <w:sz w:val="24"/>
                <w:szCs w:val="24"/>
                <w:u w:val="single"/>
              </w:rPr>
              <w:t>4.4</w:t>
            </w:r>
            <w:r>
              <w:rPr>
                <w:rFonts w:hint="eastAsia" w:ascii="Times New Roman" w:hAnsi="Times New Roman" w:eastAsia="宋体" w:cs="Times New Roman"/>
                <w:color w:val="auto"/>
                <w:sz w:val="24"/>
                <w:szCs w:val="24"/>
                <w:u w:val="single"/>
              </w:rPr>
              <w:t>m，垂直水流向宽</w:t>
            </w:r>
            <w:r>
              <w:rPr>
                <w:rFonts w:hint="default" w:ascii="Times New Roman" w:hAnsi="Times New Roman" w:eastAsia="宋体" w:cs="Times New Roman"/>
                <w:color w:val="auto"/>
                <w:sz w:val="24"/>
                <w:szCs w:val="24"/>
                <w:u w:val="single"/>
              </w:rPr>
              <w:t>2.6</w:t>
            </w:r>
            <w:r>
              <w:rPr>
                <w:rFonts w:hint="eastAsia" w:ascii="Times New Roman" w:hAnsi="Times New Roman" w:eastAsia="宋体" w:cs="Times New Roman"/>
                <w:color w:val="auto"/>
                <w:sz w:val="24"/>
                <w:szCs w:val="24"/>
                <w:u w:val="single"/>
              </w:rPr>
              <w:t>m，为C</w:t>
            </w:r>
            <w:r>
              <w:rPr>
                <w:rFonts w:hint="default" w:ascii="Times New Roman" w:hAnsi="Times New Roman" w:eastAsia="宋体" w:cs="Times New Roman"/>
                <w:color w:val="auto"/>
                <w:sz w:val="24"/>
                <w:szCs w:val="24"/>
                <w:u w:val="single"/>
              </w:rPr>
              <w:t>25</w:t>
            </w:r>
            <w:r>
              <w:rPr>
                <w:rFonts w:hint="eastAsia" w:ascii="Times New Roman" w:hAnsi="Times New Roman" w:eastAsia="宋体" w:cs="Times New Roman"/>
                <w:color w:val="auto"/>
                <w:sz w:val="24"/>
                <w:szCs w:val="24"/>
                <w:u w:val="single"/>
              </w:rPr>
              <w:t>钢筋砼结构，底板厚</w:t>
            </w:r>
            <w:r>
              <w:rPr>
                <w:rFonts w:hint="default" w:ascii="Times New Roman" w:hAnsi="Times New Roman" w:eastAsia="宋体" w:cs="Times New Roman"/>
                <w:color w:val="auto"/>
                <w:sz w:val="24"/>
                <w:szCs w:val="24"/>
                <w:u w:val="single"/>
              </w:rPr>
              <w:t>0.6</w:t>
            </w:r>
            <w:r>
              <w:rPr>
                <w:rFonts w:hint="eastAsia" w:ascii="Times New Roman" w:hAnsi="Times New Roman" w:eastAsia="宋体" w:cs="Times New Roman"/>
                <w:color w:val="auto"/>
                <w:sz w:val="24"/>
                <w:szCs w:val="24"/>
                <w:u w:val="single"/>
              </w:rPr>
              <w:t>m；边墩厚</w:t>
            </w:r>
            <w:r>
              <w:rPr>
                <w:rFonts w:hint="default" w:ascii="Times New Roman" w:hAnsi="Times New Roman" w:eastAsia="宋体" w:cs="Times New Roman"/>
                <w:color w:val="auto"/>
                <w:sz w:val="24"/>
                <w:szCs w:val="24"/>
                <w:u w:val="single"/>
              </w:rPr>
              <w:t>0.7</w:t>
            </w:r>
            <w:r>
              <w:rPr>
                <w:rFonts w:hint="eastAsia" w:ascii="Times New Roman" w:hAnsi="Times New Roman" w:eastAsia="宋体" w:cs="Times New Roman"/>
                <w:color w:val="auto"/>
                <w:sz w:val="24"/>
                <w:szCs w:val="24"/>
                <w:u w:val="single"/>
              </w:rPr>
              <w:t>m，闸底板高程为</w:t>
            </w:r>
            <w:r>
              <w:rPr>
                <w:rFonts w:hint="default" w:ascii="Times New Roman" w:hAnsi="Times New Roman" w:eastAsia="宋体" w:cs="Times New Roman"/>
                <w:color w:val="auto"/>
                <w:sz w:val="24"/>
                <w:szCs w:val="24"/>
                <w:u w:val="single"/>
              </w:rPr>
              <w:t>25.80</w:t>
            </w:r>
            <w:r>
              <w:rPr>
                <w:rFonts w:hint="eastAsia" w:ascii="Times New Roman" w:hAnsi="Times New Roman" w:eastAsia="宋体" w:cs="Times New Roman"/>
                <w:color w:val="auto"/>
                <w:sz w:val="24"/>
                <w:szCs w:val="24"/>
                <w:u w:val="single"/>
              </w:rPr>
              <w:t>m，挡水闸门选用钢闸门挡水，闸门采用厂家定制产品，采用螺杆式启闭机启闭，闸顶设启闭平台和启闭机房，启闭机房平面尺寸为</w:t>
            </w:r>
            <w:r>
              <w:rPr>
                <w:rFonts w:hint="default" w:ascii="Times New Roman" w:hAnsi="Times New Roman" w:eastAsia="宋体" w:cs="Times New Roman"/>
                <w:color w:val="auto"/>
                <w:sz w:val="24"/>
                <w:szCs w:val="24"/>
                <w:u w:val="single"/>
              </w:rPr>
              <w:t>2.4</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2.6</w:t>
            </w:r>
            <w:r>
              <w:rPr>
                <w:rFonts w:hint="eastAsia" w:ascii="Times New Roman" w:hAnsi="Times New Roman" w:eastAsia="宋体" w:cs="Times New Roman"/>
                <w:color w:val="auto"/>
                <w:sz w:val="24"/>
                <w:szCs w:val="24"/>
                <w:u w:val="single"/>
              </w:rPr>
              <w:t>m，为砖混结构，闸顶通过工作桥与堤顶相连，工作桥宽1.5m，两侧设不锈钢栏杆。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箱涵段：涵身段长</w:t>
            </w:r>
            <w:r>
              <w:rPr>
                <w:rFonts w:hint="default" w:ascii="Times New Roman" w:hAnsi="Times New Roman" w:eastAsia="宋体" w:cs="Times New Roman"/>
                <w:color w:val="auto"/>
                <w:sz w:val="24"/>
                <w:szCs w:val="24"/>
                <w:u w:val="single"/>
              </w:rPr>
              <w:t>24</w:t>
            </w:r>
            <w:r>
              <w:rPr>
                <w:rFonts w:hint="eastAsia" w:ascii="Times New Roman" w:hAnsi="Times New Roman" w:eastAsia="宋体" w:cs="Times New Roman"/>
                <w:color w:val="auto"/>
                <w:sz w:val="24"/>
                <w:szCs w:val="24"/>
                <w:u w:val="single"/>
              </w:rPr>
              <w:t>m，底坡</w:t>
            </w:r>
            <w:r>
              <w:rPr>
                <w:rFonts w:hint="default" w:ascii="Times New Roman" w:hAnsi="Times New Roman" w:eastAsia="宋体" w:cs="Times New Roman"/>
                <w:color w:val="auto"/>
                <w:sz w:val="24"/>
                <w:szCs w:val="24"/>
                <w:u w:val="single"/>
              </w:rPr>
              <w:t>i=1/1000</w:t>
            </w:r>
            <w:r>
              <w:rPr>
                <w:rFonts w:hint="eastAsia" w:ascii="Times New Roman" w:hAnsi="Times New Roman" w:eastAsia="宋体" w:cs="Times New Roman"/>
                <w:color w:val="auto"/>
                <w:sz w:val="24"/>
                <w:szCs w:val="24"/>
                <w:u w:val="single"/>
              </w:rPr>
              <w:t>，为C25钢筋砼箱涵结构，箱涵净空尺寸为1.</w:t>
            </w:r>
            <w:r>
              <w:rPr>
                <w:rFonts w:hint="default" w:ascii="Times New Roman" w:hAnsi="Times New Roman" w:eastAsia="宋体" w:cs="Times New Roman"/>
                <w:color w:val="auto"/>
                <w:sz w:val="24"/>
                <w:szCs w:val="24"/>
                <w:u w:val="single"/>
              </w:rPr>
              <w:t>2</w:t>
            </w:r>
            <w:r>
              <w:rPr>
                <w:rFonts w:hint="eastAsia" w:ascii="Times New Roman" w:hAnsi="Times New Roman" w:eastAsia="宋体" w:cs="Times New Roman"/>
                <w:color w:val="auto"/>
                <w:sz w:val="24"/>
                <w:szCs w:val="24"/>
                <w:u w:val="single"/>
              </w:rPr>
              <w:t>×1.</w:t>
            </w:r>
            <w:r>
              <w:rPr>
                <w:rFonts w:hint="default" w:ascii="Times New Roman" w:hAnsi="Times New Roman" w:eastAsia="宋体" w:cs="Times New Roman"/>
                <w:color w:val="auto"/>
                <w:sz w:val="24"/>
                <w:szCs w:val="24"/>
                <w:u w:val="single"/>
              </w:rPr>
              <w:t>8</w:t>
            </w:r>
            <w:r>
              <w:rPr>
                <w:rFonts w:hint="eastAsia" w:ascii="Times New Roman" w:hAnsi="Times New Roman" w:eastAsia="宋体" w:cs="Times New Roman"/>
                <w:color w:val="auto"/>
                <w:sz w:val="24"/>
                <w:szCs w:val="24"/>
                <w:u w:val="single"/>
              </w:rPr>
              <w:t>m（B×H），箱涵壁厚</w:t>
            </w:r>
            <w:r>
              <w:rPr>
                <w:rFonts w:hint="default" w:ascii="Times New Roman" w:hAnsi="Times New Roman" w:eastAsia="宋体" w:cs="Times New Roman"/>
                <w:color w:val="auto"/>
                <w:sz w:val="24"/>
                <w:szCs w:val="24"/>
                <w:u w:val="single"/>
              </w:rPr>
              <w:t>300</w:t>
            </w:r>
            <w:r>
              <w:rPr>
                <w:rFonts w:hint="eastAsia" w:ascii="Times New Roman" w:hAnsi="Times New Roman" w:eastAsia="宋体" w:cs="Times New Roman"/>
                <w:color w:val="auto"/>
                <w:sz w:val="24"/>
                <w:szCs w:val="24"/>
                <w:u w:val="single"/>
              </w:rPr>
              <w:t>mm，垫层采用厚100mm C15砼，箱涵每</w:t>
            </w:r>
            <w:r>
              <w:rPr>
                <w:rFonts w:hint="default" w:ascii="Times New Roman" w:hAnsi="Times New Roman" w:eastAsia="宋体" w:cs="Times New Roman"/>
                <w:color w:val="auto"/>
                <w:sz w:val="24"/>
                <w:szCs w:val="24"/>
                <w:u w:val="single"/>
              </w:rPr>
              <w:t>8.0</w:t>
            </w:r>
            <w:r>
              <w:rPr>
                <w:rFonts w:hint="eastAsia" w:ascii="Times New Roman" w:hAnsi="Times New Roman" w:eastAsia="宋体" w:cs="Times New Roman"/>
                <w:color w:val="auto"/>
                <w:sz w:val="24"/>
                <w:szCs w:val="24"/>
                <w:u w:val="single"/>
              </w:rPr>
              <w:t>m设伸缩缝1道，缝内设紫铜片+橡皮两道止水，沥青杉板嵌缝，进口设两道截水环阻挡渗流沿涵管纵向渗透。</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消力池段：出口消力池采用渐扩式底流消能，消力池长</w:t>
            </w:r>
            <w:r>
              <w:rPr>
                <w:rFonts w:hint="default" w:ascii="Times New Roman" w:hAnsi="Times New Roman" w:eastAsia="宋体" w:cs="Times New Roman"/>
                <w:color w:val="auto"/>
                <w:sz w:val="24"/>
                <w:szCs w:val="24"/>
                <w:u w:val="single"/>
              </w:rPr>
              <w:t>7.0</w:t>
            </w:r>
            <w:r>
              <w:rPr>
                <w:rFonts w:hint="eastAsia" w:ascii="Times New Roman" w:hAnsi="Times New Roman" w:eastAsia="宋体" w:cs="Times New Roman"/>
                <w:color w:val="auto"/>
                <w:sz w:val="24"/>
                <w:szCs w:val="24"/>
                <w:u w:val="single"/>
              </w:rPr>
              <w:t>m，池深0.5m，斜坡段长</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m，坡比1:4.0，</w:t>
            </w:r>
            <w:r>
              <w:rPr>
                <w:rFonts w:hint="default" w:ascii="Times New Roman" w:hAnsi="Times New Roman" w:eastAsia="宋体" w:cs="Times New Roman"/>
                <w:color w:val="auto"/>
                <w:sz w:val="24"/>
                <w:szCs w:val="24"/>
                <w:u w:val="single"/>
              </w:rPr>
              <w:t>底板高程25.28m，</w:t>
            </w:r>
            <w:r>
              <w:rPr>
                <w:rFonts w:hint="eastAsia" w:ascii="Times New Roman" w:hAnsi="Times New Roman" w:eastAsia="宋体" w:cs="Times New Roman"/>
                <w:color w:val="auto"/>
                <w:sz w:val="24"/>
                <w:szCs w:val="24"/>
                <w:u w:val="single"/>
              </w:rPr>
              <w:t>出口翼墙为</w:t>
            </w:r>
            <w:r>
              <w:rPr>
                <w:rFonts w:hint="default" w:ascii="Times New Roman" w:hAnsi="Times New Roman" w:eastAsia="宋体" w:cs="Times New Roman"/>
                <w:color w:val="auto"/>
                <w:sz w:val="24"/>
                <w:szCs w:val="24"/>
                <w:u w:val="single"/>
              </w:rPr>
              <w:t>C20</w:t>
            </w:r>
            <w:r>
              <w:rPr>
                <w:rFonts w:hint="eastAsia" w:ascii="Times New Roman" w:hAnsi="Times New Roman" w:eastAsia="宋体" w:cs="Times New Roman"/>
                <w:color w:val="auto"/>
                <w:sz w:val="24"/>
                <w:szCs w:val="24"/>
                <w:u w:val="single"/>
              </w:rPr>
              <w:t>砼挡土墙。</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（2）白泥湖灌溉闸设计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白泥湖灌溉闸由进口段、闸室段和消力池段等</w:t>
            </w:r>
            <w:r>
              <w:rPr>
                <w:rFonts w:hint="default" w:ascii="Times New Roman" w:hAnsi="Times New Roman" w:eastAsia="宋体" w:cs="Times New Roman"/>
                <w:color w:val="auto"/>
                <w:sz w:val="24"/>
                <w:szCs w:val="24"/>
                <w:u w:val="single"/>
              </w:rPr>
              <w:t>3</w:t>
            </w:r>
            <w:r>
              <w:rPr>
                <w:rFonts w:hint="eastAsia" w:ascii="Times New Roman" w:hAnsi="Times New Roman" w:eastAsia="宋体" w:cs="Times New Roman"/>
                <w:color w:val="auto"/>
                <w:sz w:val="24"/>
                <w:szCs w:val="24"/>
                <w:u w:val="single"/>
              </w:rPr>
              <w:t>段组成。</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进口段：进口段长</w:t>
            </w:r>
            <w:r>
              <w:rPr>
                <w:rFonts w:hint="default" w:ascii="Times New Roman" w:hAnsi="Times New Roman" w:eastAsia="宋体" w:cs="Times New Roman"/>
                <w:color w:val="auto"/>
                <w:sz w:val="24"/>
                <w:szCs w:val="24"/>
                <w:u w:val="single"/>
              </w:rPr>
              <w:t>3</w:t>
            </w:r>
            <w:r>
              <w:rPr>
                <w:rFonts w:hint="eastAsia" w:ascii="Times New Roman" w:hAnsi="Times New Roman" w:eastAsia="宋体" w:cs="Times New Roman"/>
                <w:color w:val="auto"/>
                <w:sz w:val="24"/>
                <w:szCs w:val="24"/>
                <w:u w:val="single"/>
              </w:rPr>
              <w:t>.0m，呈八字形布置，底板和侧墙均采用</w:t>
            </w:r>
            <w:r>
              <w:rPr>
                <w:rFonts w:hint="default" w:ascii="Times New Roman" w:hAnsi="Times New Roman" w:eastAsia="宋体" w:cs="Times New Roman"/>
                <w:color w:val="auto"/>
                <w:sz w:val="24"/>
                <w:szCs w:val="24"/>
                <w:u w:val="single"/>
              </w:rPr>
              <w:t>C20</w:t>
            </w:r>
            <w:r>
              <w:rPr>
                <w:rFonts w:hint="eastAsia" w:ascii="Times New Roman" w:hAnsi="Times New Roman" w:eastAsia="宋体" w:cs="Times New Roman"/>
                <w:color w:val="auto"/>
                <w:sz w:val="24"/>
                <w:szCs w:val="24"/>
                <w:u w:val="single"/>
              </w:rPr>
              <w:t>砼结构，底板厚0.</w:t>
            </w:r>
            <w:r>
              <w:rPr>
                <w:rFonts w:hint="default"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u w:val="single"/>
              </w:rPr>
              <w:t>m，宽度由</w:t>
            </w:r>
            <w:r>
              <w:rPr>
                <w:rFonts w:hint="default" w:ascii="Times New Roman" w:hAnsi="Times New Roman" w:eastAsia="宋体" w:cs="Times New Roman"/>
                <w:color w:val="auto"/>
                <w:sz w:val="24"/>
                <w:szCs w:val="24"/>
                <w:u w:val="single"/>
              </w:rPr>
              <w:t>3.5</w:t>
            </w:r>
            <w:r>
              <w:rPr>
                <w:rFonts w:hint="eastAsia" w:ascii="Times New Roman" w:hAnsi="Times New Roman" w:eastAsia="宋体" w:cs="Times New Roman"/>
                <w:color w:val="auto"/>
                <w:sz w:val="24"/>
                <w:szCs w:val="24"/>
                <w:u w:val="single"/>
              </w:rPr>
              <w:t>m渐变到</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m，侧墙高度由</w:t>
            </w:r>
            <w:r>
              <w:rPr>
                <w:rFonts w:hint="default" w:ascii="Times New Roman" w:hAnsi="Times New Roman" w:eastAsia="宋体" w:cs="Times New Roman"/>
                <w:color w:val="auto"/>
                <w:sz w:val="24"/>
                <w:szCs w:val="24"/>
                <w:u w:val="single"/>
              </w:rPr>
              <w:t>0.93</w:t>
            </w:r>
            <w:r>
              <w:rPr>
                <w:rFonts w:hint="eastAsia" w:ascii="Times New Roman" w:hAnsi="Times New Roman" w:eastAsia="宋体" w:cs="Times New Roman"/>
                <w:color w:val="auto"/>
                <w:sz w:val="24"/>
                <w:szCs w:val="24"/>
                <w:u w:val="single"/>
              </w:rPr>
              <w:t>m渐变至</w:t>
            </w:r>
            <w:r>
              <w:rPr>
                <w:rFonts w:hint="default" w:ascii="Times New Roman" w:hAnsi="Times New Roman" w:eastAsia="宋体" w:cs="Times New Roman"/>
                <w:color w:val="auto"/>
                <w:sz w:val="24"/>
                <w:szCs w:val="24"/>
                <w:u w:val="single"/>
              </w:rPr>
              <w:t>2.6</w:t>
            </w:r>
            <w:r>
              <w:rPr>
                <w:rFonts w:hint="eastAsia" w:ascii="Times New Roman" w:hAnsi="Times New Roman" w:eastAsia="宋体" w:cs="Times New Roman"/>
                <w:color w:val="auto"/>
                <w:sz w:val="24"/>
                <w:szCs w:val="24"/>
                <w:u w:val="single"/>
              </w:rPr>
              <w:t>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闸室段：闸室段顺水流方向长</w:t>
            </w:r>
            <w:r>
              <w:rPr>
                <w:rFonts w:hint="default" w:ascii="Times New Roman" w:hAnsi="Times New Roman" w:eastAsia="宋体" w:cs="Times New Roman"/>
                <w:color w:val="auto"/>
                <w:sz w:val="24"/>
                <w:szCs w:val="24"/>
                <w:u w:val="single"/>
              </w:rPr>
              <w:t>8.0</w:t>
            </w:r>
            <w:r>
              <w:rPr>
                <w:rFonts w:hint="eastAsia" w:ascii="Times New Roman" w:hAnsi="Times New Roman" w:eastAsia="宋体" w:cs="Times New Roman"/>
                <w:color w:val="auto"/>
                <w:sz w:val="24"/>
                <w:szCs w:val="24"/>
                <w:u w:val="single"/>
              </w:rPr>
              <w:t>m，垂直水流向宽</w:t>
            </w:r>
            <w:r>
              <w:rPr>
                <w:rFonts w:hint="default" w:ascii="Times New Roman" w:hAnsi="Times New Roman" w:eastAsia="宋体" w:cs="Times New Roman"/>
                <w:color w:val="auto"/>
                <w:sz w:val="24"/>
                <w:szCs w:val="24"/>
                <w:u w:val="single"/>
              </w:rPr>
              <w:t>3.6</w:t>
            </w:r>
            <w:r>
              <w:rPr>
                <w:rFonts w:hint="eastAsia" w:ascii="Times New Roman" w:hAnsi="Times New Roman" w:eastAsia="宋体" w:cs="Times New Roman"/>
                <w:color w:val="auto"/>
                <w:sz w:val="24"/>
                <w:szCs w:val="24"/>
                <w:u w:val="single"/>
              </w:rPr>
              <w:t>m，为C</w:t>
            </w:r>
            <w:r>
              <w:rPr>
                <w:rFonts w:hint="default" w:ascii="Times New Roman" w:hAnsi="Times New Roman" w:eastAsia="宋体" w:cs="Times New Roman"/>
                <w:color w:val="auto"/>
                <w:sz w:val="24"/>
                <w:szCs w:val="24"/>
                <w:u w:val="single"/>
              </w:rPr>
              <w:t>25</w:t>
            </w:r>
            <w:r>
              <w:rPr>
                <w:rFonts w:hint="eastAsia" w:ascii="Times New Roman" w:hAnsi="Times New Roman" w:eastAsia="宋体" w:cs="Times New Roman"/>
                <w:color w:val="auto"/>
                <w:sz w:val="24"/>
                <w:szCs w:val="24"/>
                <w:u w:val="single"/>
              </w:rPr>
              <w:t>钢筋砼结构，底板厚</w:t>
            </w:r>
            <w:r>
              <w:rPr>
                <w:rFonts w:hint="default" w:ascii="Times New Roman" w:hAnsi="Times New Roman" w:eastAsia="宋体" w:cs="Times New Roman"/>
                <w:color w:val="auto"/>
                <w:sz w:val="24"/>
                <w:szCs w:val="24"/>
                <w:u w:val="single"/>
              </w:rPr>
              <w:t>0.8</w:t>
            </w:r>
            <w:r>
              <w:rPr>
                <w:rFonts w:hint="eastAsia" w:ascii="Times New Roman" w:hAnsi="Times New Roman" w:eastAsia="宋体" w:cs="Times New Roman"/>
                <w:color w:val="auto"/>
                <w:sz w:val="24"/>
                <w:szCs w:val="24"/>
                <w:u w:val="single"/>
              </w:rPr>
              <w:t>m；边墩厚</w:t>
            </w:r>
            <w:r>
              <w:rPr>
                <w:rFonts w:hint="default" w:ascii="Times New Roman" w:hAnsi="Times New Roman" w:eastAsia="宋体" w:cs="Times New Roman"/>
                <w:color w:val="auto"/>
                <w:sz w:val="24"/>
                <w:szCs w:val="24"/>
                <w:u w:val="single"/>
              </w:rPr>
              <w:t>0.8</w:t>
            </w:r>
            <w:r>
              <w:rPr>
                <w:rFonts w:hint="eastAsia" w:ascii="Times New Roman" w:hAnsi="Times New Roman" w:eastAsia="宋体" w:cs="Times New Roman"/>
                <w:color w:val="auto"/>
                <w:sz w:val="24"/>
                <w:szCs w:val="24"/>
                <w:u w:val="single"/>
              </w:rPr>
              <w:t>m，闸底板高程为</w:t>
            </w:r>
            <w:r>
              <w:rPr>
                <w:rFonts w:hint="default" w:ascii="Times New Roman" w:hAnsi="Times New Roman" w:eastAsia="宋体" w:cs="Times New Roman"/>
                <w:color w:val="auto"/>
                <w:sz w:val="24"/>
                <w:szCs w:val="24"/>
                <w:u w:val="single"/>
              </w:rPr>
              <w:t>23.00</w:t>
            </w:r>
            <w:r>
              <w:rPr>
                <w:rFonts w:hint="eastAsia" w:ascii="Times New Roman" w:hAnsi="Times New Roman" w:eastAsia="宋体" w:cs="Times New Roman"/>
                <w:color w:val="auto"/>
                <w:sz w:val="24"/>
                <w:szCs w:val="24"/>
                <w:u w:val="single"/>
              </w:rPr>
              <w:t>m，挡水闸门选用钢闸门挡水，闸门采用厂家定制产品，采用螺杆式启闭机启闭，闸顶设启闭平台和启闭机房，启闭机房平面尺寸为</w:t>
            </w:r>
            <w:r>
              <w:rPr>
                <w:rFonts w:hint="default" w:ascii="Times New Roman" w:hAnsi="Times New Roman" w:eastAsia="宋体" w:cs="Times New Roman"/>
                <w:color w:val="auto"/>
                <w:sz w:val="24"/>
                <w:szCs w:val="24"/>
                <w:u w:val="single"/>
              </w:rPr>
              <w:t>2.5</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3.6</w:t>
            </w:r>
            <w:r>
              <w:rPr>
                <w:rFonts w:hint="eastAsia" w:ascii="Times New Roman" w:hAnsi="Times New Roman" w:eastAsia="宋体" w:cs="Times New Roman"/>
                <w:color w:val="auto"/>
                <w:sz w:val="24"/>
                <w:szCs w:val="24"/>
                <w:u w:val="single"/>
              </w:rPr>
              <w:t>m，为砖混结构，闸室上部设置宽4</w:t>
            </w:r>
            <w:r>
              <w:rPr>
                <w:rFonts w:hint="default" w:ascii="Times New Roman" w:hAnsi="Times New Roman" w:eastAsia="宋体" w:cs="Times New Roman"/>
                <w:color w:val="auto"/>
                <w:sz w:val="24"/>
                <w:szCs w:val="24"/>
                <w:u w:val="single"/>
              </w:rPr>
              <w:t>.0</w:t>
            </w:r>
            <w:r>
              <w:rPr>
                <w:rFonts w:hint="eastAsia" w:ascii="Times New Roman" w:hAnsi="Times New Roman" w:eastAsia="宋体" w:cs="Times New Roman"/>
                <w:color w:val="auto"/>
                <w:sz w:val="24"/>
                <w:szCs w:val="24"/>
                <w:u w:val="single"/>
              </w:rPr>
              <w:t>m工作桥，两侧设置防撞墩。为了运行管理方便，闸室适当位置设置钢楼梯进入启闭机房。</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消力池段：出口消力池采用渐扩式底流消能，消力池长</w:t>
            </w:r>
            <w:r>
              <w:rPr>
                <w:rFonts w:hint="default" w:ascii="Times New Roman" w:hAnsi="Times New Roman" w:eastAsia="宋体" w:cs="Times New Roman"/>
                <w:color w:val="auto"/>
                <w:sz w:val="24"/>
                <w:szCs w:val="24"/>
                <w:u w:val="single"/>
              </w:rPr>
              <w:t>7.0</w:t>
            </w:r>
            <w:r>
              <w:rPr>
                <w:rFonts w:hint="eastAsia" w:ascii="Times New Roman" w:hAnsi="Times New Roman" w:eastAsia="宋体" w:cs="Times New Roman"/>
                <w:color w:val="auto"/>
                <w:sz w:val="24"/>
                <w:szCs w:val="24"/>
                <w:u w:val="single"/>
              </w:rPr>
              <w:t>m，池深0.5m，斜坡段长</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m，坡比1:4.0，</w:t>
            </w:r>
            <w:r>
              <w:rPr>
                <w:rFonts w:hint="default" w:ascii="Times New Roman" w:hAnsi="Times New Roman" w:eastAsia="宋体" w:cs="Times New Roman"/>
                <w:color w:val="auto"/>
                <w:sz w:val="24"/>
                <w:szCs w:val="24"/>
                <w:u w:val="single"/>
              </w:rPr>
              <w:t>底板高程22.50m，</w:t>
            </w:r>
            <w:r>
              <w:rPr>
                <w:rFonts w:hint="eastAsia" w:ascii="Times New Roman" w:hAnsi="Times New Roman" w:eastAsia="宋体" w:cs="Times New Roman"/>
                <w:color w:val="auto"/>
                <w:sz w:val="24"/>
                <w:szCs w:val="24"/>
                <w:u w:val="single"/>
              </w:rPr>
              <w:t>出口翼墙为</w:t>
            </w:r>
            <w:r>
              <w:rPr>
                <w:rFonts w:hint="default" w:ascii="Times New Roman" w:hAnsi="Times New Roman" w:eastAsia="宋体" w:cs="Times New Roman"/>
                <w:color w:val="auto"/>
                <w:sz w:val="24"/>
                <w:szCs w:val="24"/>
                <w:u w:val="single"/>
              </w:rPr>
              <w:t>C20</w:t>
            </w:r>
            <w:r>
              <w:rPr>
                <w:rFonts w:hint="eastAsia" w:ascii="Times New Roman" w:hAnsi="Times New Roman" w:eastAsia="宋体" w:cs="Times New Roman"/>
                <w:color w:val="auto"/>
                <w:sz w:val="24"/>
                <w:szCs w:val="24"/>
                <w:u w:val="single"/>
              </w:rPr>
              <w:t>砼挡土墙。</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白泥湖灌溉闸闸地理处理采用1</w:t>
            </w:r>
            <w:r>
              <w:rPr>
                <w:rFonts w:hint="default"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u w:val="single"/>
              </w:rPr>
              <w:t>%的水泥土换填，换填至2</w:t>
            </w:r>
            <w:r>
              <w:rPr>
                <w:rFonts w:hint="default" w:ascii="Times New Roman" w:hAnsi="Times New Roman" w:eastAsia="宋体" w:cs="Times New Roman"/>
                <w:color w:val="auto"/>
                <w:sz w:val="24"/>
                <w:szCs w:val="24"/>
                <w:u w:val="single"/>
              </w:rPr>
              <w:t>1.50</w:t>
            </w:r>
            <w:r>
              <w:rPr>
                <w:rFonts w:hint="eastAsia" w:ascii="Times New Roman" w:hAnsi="Times New Roman" w:eastAsia="宋体" w:cs="Times New Roman"/>
                <w:color w:val="auto"/>
                <w:sz w:val="24"/>
                <w:szCs w:val="24"/>
                <w:u w:val="single"/>
              </w:rPr>
              <w:t>m高程。</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（3）三汊港泄洪闸设计</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三汊港泄洪闸采用涵洞式水闸，涵闸由进口段、闸室段、箱涵段和消力池段等4段组成。</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进口段：进口段长</w:t>
            </w:r>
            <w:r>
              <w:rPr>
                <w:rFonts w:hint="default" w:ascii="Times New Roman" w:hAnsi="Times New Roman" w:eastAsia="宋体" w:cs="Times New Roman"/>
                <w:color w:val="auto"/>
                <w:sz w:val="24"/>
                <w:szCs w:val="24"/>
                <w:u w:val="single"/>
              </w:rPr>
              <w:t>5.0</w:t>
            </w:r>
            <w:r>
              <w:rPr>
                <w:rFonts w:hint="eastAsia" w:ascii="Times New Roman" w:hAnsi="Times New Roman" w:eastAsia="宋体" w:cs="Times New Roman"/>
                <w:color w:val="auto"/>
                <w:sz w:val="24"/>
                <w:szCs w:val="24"/>
                <w:u w:val="single"/>
              </w:rPr>
              <w:t>m，呈八字形布置，底板和侧墙均采用</w:t>
            </w:r>
            <w:r>
              <w:rPr>
                <w:rFonts w:hint="default" w:ascii="Times New Roman" w:hAnsi="Times New Roman" w:eastAsia="宋体" w:cs="Times New Roman"/>
                <w:color w:val="auto"/>
                <w:sz w:val="24"/>
                <w:szCs w:val="24"/>
                <w:u w:val="single"/>
              </w:rPr>
              <w:t>C20</w:t>
            </w:r>
            <w:r>
              <w:rPr>
                <w:rFonts w:hint="eastAsia" w:ascii="Times New Roman" w:hAnsi="Times New Roman" w:eastAsia="宋体" w:cs="Times New Roman"/>
                <w:color w:val="auto"/>
                <w:sz w:val="24"/>
                <w:szCs w:val="24"/>
                <w:u w:val="single"/>
              </w:rPr>
              <w:t>砼结构，底板厚0.</w:t>
            </w:r>
            <w:r>
              <w:rPr>
                <w:rFonts w:hint="default"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u w:val="single"/>
              </w:rPr>
              <w:t>m，宽度由</w:t>
            </w:r>
            <w:r>
              <w:rPr>
                <w:rFonts w:hint="default" w:ascii="Times New Roman" w:hAnsi="Times New Roman" w:eastAsia="宋体" w:cs="Times New Roman"/>
                <w:color w:val="auto"/>
                <w:sz w:val="24"/>
                <w:szCs w:val="24"/>
                <w:u w:val="single"/>
              </w:rPr>
              <w:t>4.3</w:t>
            </w:r>
            <w:r>
              <w:rPr>
                <w:rFonts w:hint="eastAsia" w:ascii="Times New Roman" w:hAnsi="Times New Roman" w:eastAsia="宋体" w:cs="Times New Roman"/>
                <w:color w:val="auto"/>
                <w:sz w:val="24"/>
                <w:szCs w:val="24"/>
                <w:u w:val="single"/>
              </w:rPr>
              <w:t>m渐变到</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m，侧墙高度由1.</w:t>
            </w:r>
            <w:r>
              <w:rPr>
                <w:rFonts w:hint="default"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u w:val="single"/>
              </w:rPr>
              <w:t>m渐变至</w:t>
            </w:r>
            <w:r>
              <w:rPr>
                <w:rFonts w:hint="default" w:ascii="Times New Roman" w:hAnsi="Times New Roman" w:eastAsia="宋体" w:cs="Times New Roman"/>
                <w:color w:val="auto"/>
                <w:sz w:val="24"/>
                <w:szCs w:val="24"/>
                <w:u w:val="single"/>
              </w:rPr>
              <w:t>3.0</w:t>
            </w:r>
            <w:r>
              <w:rPr>
                <w:rFonts w:hint="eastAsia" w:ascii="Times New Roman" w:hAnsi="Times New Roman" w:eastAsia="宋体" w:cs="Times New Roman"/>
                <w:color w:val="auto"/>
                <w:sz w:val="24"/>
                <w:szCs w:val="24"/>
                <w:u w:val="single"/>
              </w:rPr>
              <w:t>m。</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闸室段：闸室段顺水流方向长</w:t>
            </w:r>
            <w:r>
              <w:rPr>
                <w:rFonts w:hint="default" w:ascii="Times New Roman" w:hAnsi="Times New Roman" w:eastAsia="宋体" w:cs="Times New Roman"/>
                <w:color w:val="auto"/>
                <w:sz w:val="24"/>
                <w:szCs w:val="24"/>
                <w:u w:val="single"/>
              </w:rPr>
              <w:t>4.4</w:t>
            </w:r>
            <w:r>
              <w:rPr>
                <w:rFonts w:hint="eastAsia" w:ascii="Times New Roman" w:hAnsi="Times New Roman" w:eastAsia="宋体" w:cs="Times New Roman"/>
                <w:color w:val="auto"/>
                <w:sz w:val="24"/>
                <w:szCs w:val="24"/>
                <w:u w:val="single"/>
              </w:rPr>
              <w:t>m，垂直水流向宽</w:t>
            </w:r>
            <w:r>
              <w:rPr>
                <w:rFonts w:hint="default" w:ascii="Times New Roman" w:hAnsi="Times New Roman" w:eastAsia="宋体" w:cs="Times New Roman"/>
                <w:color w:val="auto"/>
                <w:sz w:val="24"/>
                <w:szCs w:val="24"/>
                <w:u w:val="single"/>
              </w:rPr>
              <w:tab/>
            </w:r>
            <w:r>
              <w:rPr>
                <w:rFonts w:hint="default" w:ascii="Times New Roman" w:hAnsi="Times New Roman" w:eastAsia="宋体" w:cs="Times New Roman"/>
                <w:color w:val="auto"/>
                <w:sz w:val="24"/>
                <w:szCs w:val="24"/>
                <w:u w:val="single"/>
              </w:rPr>
              <w:t>3.4</w:t>
            </w:r>
            <w:r>
              <w:rPr>
                <w:rFonts w:hint="eastAsia" w:ascii="Times New Roman" w:hAnsi="Times New Roman" w:eastAsia="宋体" w:cs="Times New Roman"/>
                <w:color w:val="auto"/>
                <w:sz w:val="24"/>
                <w:szCs w:val="24"/>
                <w:u w:val="single"/>
              </w:rPr>
              <w:t>m，为C</w:t>
            </w:r>
            <w:r>
              <w:rPr>
                <w:rFonts w:hint="default" w:ascii="Times New Roman" w:hAnsi="Times New Roman" w:eastAsia="宋体" w:cs="Times New Roman"/>
                <w:color w:val="auto"/>
                <w:sz w:val="24"/>
                <w:szCs w:val="24"/>
                <w:u w:val="single"/>
              </w:rPr>
              <w:t>25</w:t>
            </w:r>
            <w:r>
              <w:rPr>
                <w:rFonts w:hint="eastAsia" w:ascii="Times New Roman" w:hAnsi="Times New Roman" w:eastAsia="宋体" w:cs="Times New Roman"/>
                <w:color w:val="auto"/>
                <w:sz w:val="24"/>
                <w:szCs w:val="24"/>
                <w:u w:val="single"/>
              </w:rPr>
              <w:t>钢筋砼结构，底板厚</w:t>
            </w:r>
            <w:r>
              <w:rPr>
                <w:rFonts w:hint="default" w:ascii="Times New Roman" w:hAnsi="Times New Roman" w:eastAsia="宋体" w:cs="Times New Roman"/>
                <w:color w:val="auto"/>
                <w:sz w:val="24"/>
                <w:szCs w:val="24"/>
                <w:u w:val="single"/>
              </w:rPr>
              <w:t>0.6</w:t>
            </w:r>
            <w:r>
              <w:rPr>
                <w:rFonts w:hint="eastAsia" w:ascii="Times New Roman" w:hAnsi="Times New Roman" w:eastAsia="宋体" w:cs="Times New Roman"/>
                <w:color w:val="auto"/>
                <w:sz w:val="24"/>
                <w:szCs w:val="24"/>
                <w:u w:val="single"/>
              </w:rPr>
              <w:t>m；边墩厚</w:t>
            </w:r>
            <w:r>
              <w:rPr>
                <w:rFonts w:hint="default" w:ascii="Times New Roman" w:hAnsi="Times New Roman" w:eastAsia="宋体" w:cs="Times New Roman"/>
                <w:color w:val="auto"/>
                <w:sz w:val="24"/>
                <w:szCs w:val="24"/>
                <w:u w:val="single"/>
              </w:rPr>
              <w:t>0.7</w:t>
            </w:r>
            <w:r>
              <w:rPr>
                <w:rFonts w:hint="eastAsia" w:ascii="Times New Roman" w:hAnsi="Times New Roman" w:eastAsia="宋体" w:cs="Times New Roman"/>
                <w:color w:val="auto"/>
                <w:sz w:val="24"/>
                <w:szCs w:val="24"/>
                <w:u w:val="single"/>
              </w:rPr>
              <w:t>m，闸底板高程为</w:t>
            </w:r>
            <w:r>
              <w:rPr>
                <w:rFonts w:hint="default" w:ascii="Times New Roman" w:hAnsi="Times New Roman" w:eastAsia="宋体" w:cs="Times New Roman"/>
                <w:color w:val="auto"/>
                <w:sz w:val="24"/>
                <w:szCs w:val="24"/>
                <w:u w:val="single"/>
              </w:rPr>
              <w:t>26.05</w:t>
            </w:r>
            <w:r>
              <w:rPr>
                <w:rFonts w:hint="eastAsia" w:ascii="Times New Roman" w:hAnsi="Times New Roman" w:eastAsia="宋体" w:cs="Times New Roman"/>
                <w:color w:val="auto"/>
                <w:sz w:val="24"/>
                <w:szCs w:val="24"/>
                <w:u w:val="single"/>
              </w:rPr>
              <w:t>m，挡水闸门选用钢闸门挡水，闸门采用厂家定制产品，采用螺杆式启闭机启闭，闸顶设启闭平台和启闭机房，启闭机房平面尺寸为</w:t>
            </w:r>
            <w:r>
              <w:rPr>
                <w:rFonts w:hint="default" w:ascii="Times New Roman" w:hAnsi="Times New Roman" w:eastAsia="宋体" w:cs="Times New Roman"/>
                <w:color w:val="auto"/>
                <w:sz w:val="24"/>
                <w:szCs w:val="24"/>
                <w:u w:val="single"/>
              </w:rPr>
              <w:t>2.4</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3.4</w:t>
            </w:r>
            <w:r>
              <w:rPr>
                <w:rFonts w:hint="eastAsia" w:ascii="Times New Roman" w:hAnsi="Times New Roman" w:eastAsia="宋体" w:cs="Times New Roman"/>
                <w:color w:val="auto"/>
                <w:sz w:val="24"/>
                <w:szCs w:val="24"/>
                <w:u w:val="single"/>
              </w:rPr>
              <w:t>m，为砖混结构，闸顶通过工作桥与堤顶相连，工作桥宽1.5m，两侧设不锈钢栏杆。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箱涵段：涵身段长</w:t>
            </w:r>
            <w:r>
              <w:rPr>
                <w:rFonts w:hint="default" w:ascii="Times New Roman" w:hAnsi="Times New Roman" w:eastAsia="宋体" w:cs="Times New Roman"/>
                <w:color w:val="auto"/>
                <w:sz w:val="24"/>
                <w:szCs w:val="24"/>
                <w:u w:val="single"/>
              </w:rPr>
              <w:t>24</w:t>
            </w:r>
            <w:r>
              <w:rPr>
                <w:rFonts w:hint="eastAsia" w:ascii="Times New Roman" w:hAnsi="Times New Roman" w:eastAsia="宋体" w:cs="Times New Roman"/>
                <w:color w:val="auto"/>
                <w:sz w:val="24"/>
                <w:szCs w:val="24"/>
                <w:u w:val="single"/>
              </w:rPr>
              <w:t>m，底坡</w:t>
            </w:r>
            <w:r>
              <w:rPr>
                <w:rFonts w:hint="default" w:ascii="Times New Roman" w:hAnsi="Times New Roman" w:eastAsia="宋体" w:cs="Times New Roman"/>
                <w:color w:val="auto"/>
                <w:sz w:val="24"/>
                <w:szCs w:val="24"/>
                <w:u w:val="single"/>
              </w:rPr>
              <w:t>i=1/1000</w:t>
            </w:r>
            <w:r>
              <w:rPr>
                <w:rFonts w:hint="eastAsia" w:ascii="Times New Roman" w:hAnsi="Times New Roman" w:eastAsia="宋体" w:cs="Times New Roman"/>
                <w:color w:val="auto"/>
                <w:sz w:val="24"/>
                <w:szCs w:val="24"/>
                <w:u w:val="single"/>
              </w:rPr>
              <w:t>，为C25钢筋砼箱涵结构，箱涵净空尺寸为</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m（B×H），箱涵壁厚</w:t>
            </w:r>
            <w:r>
              <w:rPr>
                <w:rFonts w:hint="default" w:ascii="Times New Roman" w:hAnsi="Times New Roman" w:eastAsia="宋体" w:cs="Times New Roman"/>
                <w:color w:val="auto"/>
                <w:sz w:val="24"/>
                <w:szCs w:val="24"/>
                <w:u w:val="single"/>
              </w:rPr>
              <w:t>300</w:t>
            </w:r>
            <w:r>
              <w:rPr>
                <w:rFonts w:hint="eastAsia" w:ascii="Times New Roman" w:hAnsi="Times New Roman" w:eastAsia="宋体" w:cs="Times New Roman"/>
                <w:color w:val="auto"/>
                <w:sz w:val="24"/>
                <w:szCs w:val="24"/>
                <w:u w:val="single"/>
              </w:rPr>
              <w:t>mm，垫层采用厚100mm C15砼，箱涵每</w:t>
            </w:r>
            <w:r>
              <w:rPr>
                <w:rFonts w:hint="default" w:ascii="Times New Roman" w:hAnsi="Times New Roman" w:eastAsia="宋体" w:cs="Times New Roman"/>
                <w:color w:val="auto"/>
                <w:sz w:val="24"/>
                <w:szCs w:val="24"/>
                <w:u w:val="single"/>
              </w:rPr>
              <w:t>8.0</w:t>
            </w:r>
            <w:r>
              <w:rPr>
                <w:rFonts w:hint="eastAsia" w:ascii="Times New Roman" w:hAnsi="Times New Roman" w:eastAsia="宋体" w:cs="Times New Roman"/>
                <w:color w:val="auto"/>
                <w:sz w:val="24"/>
                <w:szCs w:val="24"/>
                <w:u w:val="single"/>
              </w:rPr>
              <w:t>m设伸缩缝1道，缝内设紫铜片+橡皮两道止水，沥青杉板嵌缝，进口设两道截水环阻挡渗流沿涵管纵向渗透。</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消力池段：出口消力池采用渐扩式底流消能，消力池长</w:t>
            </w:r>
            <w:r>
              <w:rPr>
                <w:rFonts w:hint="default" w:ascii="Times New Roman" w:hAnsi="Times New Roman" w:eastAsia="宋体" w:cs="Times New Roman"/>
                <w:color w:val="auto"/>
                <w:sz w:val="24"/>
                <w:szCs w:val="24"/>
                <w:u w:val="single"/>
              </w:rPr>
              <w:t>11.2</w:t>
            </w:r>
            <w:r>
              <w:rPr>
                <w:rFonts w:hint="eastAsia" w:ascii="Times New Roman" w:hAnsi="Times New Roman" w:eastAsia="宋体" w:cs="Times New Roman"/>
                <w:color w:val="auto"/>
                <w:sz w:val="24"/>
                <w:szCs w:val="24"/>
                <w:u w:val="single"/>
              </w:rPr>
              <w:t>m，池深0.</w:t>
            </w:r>
            <w:r>
              <w:rPr>
                <w:rFonts w:hint="default" w:ascii="Times New Roman" w:hAnsi="Times New Roman" w:eastAsia="宋体" w:cs="Times New Roman"/>
                <w:color w:val="auto"/>
                <w:sz w:val="24"/>
                <w:szCs w:val="24"/>
                <w:u w:val="single"/>
              </w:rPr>
              <w:t>8</w:t>
            </w:r>
            <w:r>
              <w:rPr>
                <w:rFonts w:hint="eastAsia" w:ascii="Times New Roman" w:hAnsi="Times New Roman" w:eastAsia="宋体" w:cs="Times New Roman"/>
                <w:color w:val="auto"/>
                <w:sz w:val="24"/>
                <w:szCs w:val="24"/>
                <w:u w:val="single"/>
              </w:rPr>
              <w:t>m，斜坡段长</w:t>
            </w:r>
            <w:r>
              <w:rPr>
                <w:rFonts w:hint="default" w:ascii="Times New Roman" w:hAnsi="Times New Roman" w:eastAsia="宋体" w:cs="Times New Roman"/>
                <w:color w:val="auto"/>
                <w:sz w:val="24"/>
                <w:szCs w:val="24"/>
                <w:u w:val="single"/>
              </w:rPr>
              <w:t>2.0</w:t>
            </w:r>
            <w:r>
              <w:rPr>
                <w:rFonts w:hint="eastAsia" w:ascii="Times New Roman" w:hAnsi="Times New Roman" w:eastAsia="宋体" w:cs="Times New Roman"/>
                <w:color w:val="auto"/>
                <w:sz w:val="24"/>
                <w:szCs w:val="24"/>
                <w:u w:val="single"/>
              </w:rPr>
              <w:t>m，坡比1:4.0，</w:t>
            </w:r>
            <w:r>
              <w:rPr>
                <w:rFonts w:hint="default" w:ascii="Times New Roman" w:hAnsi="Times New Roman" w:eastAsia="宋体" w:cs="Times New Roman"/>
                <w:color w:val="auto"/>
                <w:sz w:val="24"/>
                <w:szCs w:val="24"/>
                <w:u w:val="single"/>
              </w:rPr>
              <w:t>底板高程25.23m，</w:t>
            </w:r>
            <w:r>
              <w:rPr>
                <w:rFonts w:hint="eastAsia" w:ascii="Times New Roman" w:hAnsi="Times New Roman" w:eastAsia="宋体" w:cs="Times New Roman"/>
                <w:color w:val="auto"/>
                <w:sz w:val="24"/>
                <w:szCs w:val="24"/>
                <w:u w:val="single"/>
              </w:rPr>
              <w:t>出口翼墙为</w:t>
            </w:r>
            <w:r>
              <w:rPr>
                <w:rFonts w:hint="default" w:ascii="Times New Roman" w:hAnsi="Times New Roman" w:eastAsia="宋体" w:cs="Times New Roman"/>
                <w:color w:val="auto"/>
                <w:sz w:val="24"/>
                <w:szCs w:val="24"/>
                <w:u w:val="single"/>
              </w:rPr>
              <w:t>C20</w:t>
            </w:r>
            <w:r>
              <w:rPr>
                <w:rFonts w:hint="eastAsia" w:ascii="Times New Roman" w:hAnsi="Times New Roman" w:eastAsia="宋体" w:cs="Times New Roman"/>
                <w:color w:val="auto"/>
                <w:sz w:val="24"/>
                <w:szCs w:val="24"/>
                <w:u w:val="single"/>
              </w:rPr>
              <w:t>砼挡土墙。</w:t>
            </w:r>
          </w:p>
          <w:p>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3.5.2、</w:t>
            </w:r>
            <w:r>
              <w:rPr>
                <w:rFonts w:hint="eastAsia" w:ascii="Times New Roman" w:hAnsi="Times New Roman" w:eastAsia="宋体" w:cs="Times New Roman"/>
                <w:b/>
                <w:bCs/>
                <w:color w:val="auto"/>
                <w:sz w:val="24"/>
                <w:szCs w:val="24"/>
                <w:u w:val="single"/>
              </w:rPr>
              <w:t>泵站更新改造</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Times New Roman" w:hAnsi="Times New Roman"/>
                <w:color w:val="auto"/>
                <w:kern w:val="0"/>
                <w:szCs w:val="21"/>
              </w:rPr>
            </w:pPr>
            <w:r>
              <w:rPr>
                <w:rFonts w:hint="eastAsia" w:ascii="Times New Roman" w:hAnsi="Times New Roman" w:eastAsia="宋体" w:cs="Times New Roman"/>
                <w:color w:val="auto"/>
                <w:sz w:val="24"/>
                <w:szCs w:val="24"/>
                <w:u w:val="single"/>
              </w:rPr>
              <w:t>灌溉泵站更新改造共</w:t>
            </w:r>
            <w:r>
              <w:rPr>
                <w:rFonts w:hint="default" w:ascii="Times New Roman" w:hAnsi="Times New Roman" w:eastAsia="宋体" w:cs="Times New Roman"/>
                <w:color w:val="auto"/>
                <w:sz w:val="24"/>
                <w:szCs w:val="24"/>
                <w:u w:val="single"/>
              </w:rPr>
              <w:t>14</w:t>
            </w:r>
            <w:r>
              <w:rPr>
                <w:rFonts w:hint="eastAsia" w:ascii="Times New Roman" w:hAnsi="Times New Roman" w:eastAsia="宋体" w:cs="Times New Roman"/>
                <w:color w:val="auto"/>
                <w:sz w:val="24"/>
                <w:szCs w:val="24"/>
                <w:u w:val="single"/>
              </w:rPr>
              <w:t>处，灌溉泵站具体措施如下：白泥湖灌溉泵站、高峰十八组泵站、齐心泵站、郑家咀泵站、高峰大塘泵站、贺家山泵站、卜家岭泵站、</w:t>
            </w:r>
            <w:r>
              <w:rPr>
                <w:rFonts w:hint="default" w:ascii="Times New Roman" w:hAnsi="Times New Roman" w:eastAsia="宋体" w:cs="Times New Roman"/>
                <w:color w:val="auto"/>
                <w:sz w:val="24"/>
                <w:szCs w:val="24"/>
                <w:u w:val="single"/>
              </w:rPr>
              <w:t>更生泵站</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狮子山泵站</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龟形山泵站</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吴家山泵站</w:t>
            </w:r>
            <w:r>
              <w:rPr>
                <w:rFonts w:hint="eastAsia" w:ascii="Times New Roman" w:hAnsi="Times New Roman" w:eastAsia="宋体" w:cs="Times New Roman"/>
                <w:color w:val="auto"/>
                <w:sz w:val="24"/>
                <w:szCs w:val="24"/>
                <w:u w:val="single"/>
              </w:rPr>
              <w:t>、</w:t>
            </w:r>
            <w:r>
              <w:rPr>
                <w:rFonts w:hint="default" w:ascii="Times New Roman" w:hAnsi="Times New Roman" w:eastAsia="宋体" w:cs="Times New Roman"/>
                <w:color w:val="auto"/>
                <w:sz w:val="24"/>
                <w:szCs w:val="24"/>
                <w:u w:val="single"/>
              </w:rPr>
              <w:t>李公坝泵站</w:t>
            </w:r>
            <w:r>
              <w:rPr>
                <w:rFonts w:hint="eastAsia" w:ascii="Times New Roman" w:hAnsi="Times New Roman" w:eastAsia="宋体" w:cs="Times New Roman"/>
                <w:color w:val="auto"/>
                <w:sz w:val="24"/>
                <w:szCs w:val="24"/>
                <w:u w:val="single"/>
              </w:rPr>
              <w:t>等1</w:t>
            </w:r>
            <w:r>
              <w:rPr>
                <w:rFonts w:hint="default" w:ascii="Times New Roman" w:hAnsi="Times New Roman" w:eastAsia="宋体" w:cs="Times New Roman"/>
                <w:color w:val="auto"/>
                <w:sz w:val="24"/>
                <w:szCs w:val="24"/>
                <w:u w:val="single"/>
              </w:rPr>
              <w:t>2</w:t>
            </w:r>
            <w:r>
              <w:rPr>
                <w:rFonts w:hint="eastAsia" w:ascii="Times New Roman" w:hAnsi="Times New Roman" w:eastAsia="宋体" w:cs="Times New Roman"/>
                <w:color w:val="auto"/>
                <w:sz w:val="24"/>
                <w:szCs w:val="24"/>
                <w:u w:val="single"/>
              </w:rPr>
              <w:t>处灌溉泵站拆除重建，</w:t>
            </w:r>
            <w:r>
              <w:rPr>
                <w:rFonts w:hint="default" w:ascii="Times New Roman" w:hAnsi="Times New Roman" w:eastAsia="宋体" w:cs="Times New Roman"/>
                <w:color w:val="auto"/>
                <w:sz w:val="24"/>
                <w:szCs w:val="24"/>
                <w:u w:val="single"/>
              </w:rPr>
              <w:t>辛卯泵站</w:t>
            </w:r>
            <w:r>
              <w:rPr>
                <w:rFonts w:hint="eastAsia" w:ascii="Times New Roman" w:hAnsi="Times New Roman" w:eastAsia="宋体" w:cs="Times New Roman"/>
                <w:color w:val="auto"/>
                <w:sz w:val="24"/>
                <w:szCs w:val="24"/>
                <w:u w:val="single"/>
              </w:rPr>
              <w:t>和</w:t>
            </w:r>
            <w:r>
              <w:rPr>
                <w:rFonts w:hint="default" w:ascii="Times New Roman" w:hAnsi="Times New Roman" w:eastAsia="宋体" w:cs="Times New Roman"/>
                <w:color w:val="auto"/>
                <w:sz w:val="24"/>
                <w:szCs w:val="24"/>
                <w:u w:val="single"/>
              </w:rPr>
              <w:t>殷家汊泵站</w:t>
            </w:r>
            <w:r>
              <w:rPr>
                <w:rFonts w:hint="eastAsia" w:ascii="Times New Roman" w:hAnsi="Times New Roman" w:eastAsia="宋体" w:cs="Times New Roman"/>
                <w:color w:val="auto"/>
                <w:sz w:val="24"/>
                <w:szCs w:val="24"/>
                <w:u w:val="single"/>
              </w:rPr>
              <w:t>等2处泵站更换金结及机电设备</w:t>
            </w:r>
            <w:r>
              <w:rPr>
                <w:rFonts w:hint="eastAsia" w:ascii="Times New Roman" w:hAnsi="Times New Roman" w:cs="Times New Roman"/>
                <w:color w:val="auto"/>
                <w:sz w:val="24"/>
                <w:szCs w:val="24"/>
                <w:u w:val="singl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9" w:type="pct"/>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总平面及现场布置</w:t>
            </w:r>
          </w:p>
        </w:tc>
        <w:tc>
          <w:tcPr>
            <w:tcW w:w="4271" w:type="pct"/>
            <w:vAlign w:val="center"/>
          </w:tcPr>
          <w:p>
            <w:pPr>
              <w:adjustRightInd w:val="0"/>
              <w:spacing w:line="360" w:lineRule="auto"/>
              <w:rPr>
                <w:rFonts w:hint="eastAsia" w:ascii="Times New Roman" w:hAnsi="Times New Roman"/>
                <w:b/>
                <w:bCs/>
                <w:color w:val="auto"/>
                <w:sz w:val="24"/>
                <w:szCs w:val="24"/>
              </w:rPr>
            </w:pPr>
            <w:r>
              <w:rPr>
                <w:rFonts w:hint="eastAsia" w:ascii="Times New Roman" w:hAnsi="Times New Roman"/>
                <w:b/>
                <w:bCs/>
                <w:color w:val="auto"/>
                <w:sz w:val="24"/>
                <w:szCs w:val="24"/>
                <w:lang w:val="en-US" w:eastAsia="zh-CN"/>
              </w:rPr>
              <w:t>1、</w:t>
            </w:r>
            <w:r>
              <w:rPr>
                <w:rFonts w:hint="eastAsia" w:ascii="Times New Roman" w:hAnsi="Times New Roman"/>
                <w:b/>
                <w:bCs/>
                <w:color w:val="auto"/>
                <w:sz w:val="24"/>
                <w:szCs w:val="24"/>
              </w:rPr>
              <w:t>施工总布置</w:t>
            </w:r>
          </w:p>
          <w:p>
            <w:pPr>
              <w:adjustRightIn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本工程以土方开挖、土方回填、清淤疏浚、生态联锁块护坡、浆砌石砌筑等为主，施工布置内容主要包括风水电供应、施工工厂、施工仓库和生活设施等。总的布置原则为因地制宜、有利于施工生产、易于管理、安全经济。</w:t>
            </w:r>
          </w:p>
          <w:p>
            <w:pPr>
              <w:adjustRightIn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施工总平面布置为4片。施工仓库和生活设施集中布置，布置在范家坝湖附近空地，生活设施、施工工厂及施工仓库建筑等总建筑面积500m</w:t>
            </w:r>
            <w:r>
              <w:rPr>
                <w:rFonts w:hint="eastAsia" w:ascii="Times New Roman" w:hAnsi="Times New Roman"/>
                <w:color w:val="auto"/>
                <w:sz w:val="24"/>
                <w:szCs w:val="24"/>
                <w:vertAlign w:val="superscript"/>
                <w:lang w:val="en-US" w:eastAsia="zh-CN"/>
              </w:rPr>
              <w:t>2</w:t>
            </w:r>
            <w:r>
              <w:rPr>
                <w:rFonts w:hint="eastAsia" w:ascii="Times New Roman" w:hAnsi="Times New Roman"/>
                <w:color w:val="auto"/>
                <w:sz w:val="24"/>
                <w:szCs w:val="24"/>
              </w:rPr>
              <w:t>，总占地面积700m</w:t>
            </w:r>
            <w:r>
              <w:rPr>
                <w:rFonts w:hint="eastAsia" w:ascii="Times New Roman" w:hAnsi="Times New Roman"/>
                <w:color w:val="auto"/>
                <w:sz w:val="24"/>
                <w:szCs w:val="24"/>
                <w:vertAlign w:val="superscript"/>
                <w:lang w:val="en-US" w:eastAsia="zh-CN"/>
              </w:rPr>
              <w:t>2</w:t>
            </w:r>
            <w:r>
              <w:rPr>
                <w:rFonts w:hint="eastAsia" w:ascii="Times New Roman" w:hAnsi="Times New Roman"/>
                <w:color w:val="auto"/>
                <w:sz w:val="24"/>
                <w:szCs w:val="24"/>
              </w:rPr>
              <w:t>。</w:t>
            </w:r>
          </w:p>
          <w:p>
            <w:pPr>
              <w:adjustRightInd w:val="0"/>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根据河道实际情况，挖砂船布置应减少对周围环境和居民的生产生活的影响，挖砂船应在设计清淤范围内移动，同时陆上排泥管线不能穿过居民聚集的区域。</w:t>
            </w:r>
          </w:p>
          <w:p>
            <w:pPr>
              <w:adjustRightInd w:val="0"/>
              <w:spacing w:line="360" w:lineRule="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2、工程施工布置</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1</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对外交通</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工程区位于湘阴县石塘镇</w:t>
            </w:r>
            <w:r>
              <w:rPr>
                <w:rFonts w:hint="eastAsia" w:ascii="Times New Roman" w:hAnsi="Times New Roman"/>
                <w:bCs/>
                <w:color w:val="auto"/>
                <w:sz w:val="24"/>
                <w:szCs w:val="24"/>
                <w:lang w:eastAsia="zh-CN"/>
              </w:rPr>
              <w:t>、</w:t>
            </w:r>
            <w:r>
              <w:rPr>
                <w:rFonts w:hint="default" w:ascii="Times New Roman" w:hAnsi="Times New Roman" w:eastAsia="宋体" w:cs="Times New Roman"/>
                <w:color w:val="auto"/>
                <w:kern w:val="0"/>
                <w:sz w:val="24"/>
                <w:szCs w:val="24"/>
              </w:rPr>
              <w:t>东塘镇</w:t>
            </w:r>
            <w:r>
              <w:rPr>
                <w:rFonts w:hint="eastAsia" w:ascii="Times New Roman" w:hAnsi="Times New Roman"/>
                <w:bCs/>
                <w:color w:val="auto"/>
                <w:sz w:val="24"/>
                <w:szCs w:val="24"/>
              </w:rPr>
              <w:t>和三塘镇，对外交通便利。县内有公路可直达施工现场附近，工程所需的器材和设备均可通过公路运抵各施工现场。对外交通运输主要指建筑材料水泥、钢筋、钢材、油料及施工设备等，采用公路运输，可利用现有公路，无需另修对外运输公路。</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2</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场内交通</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场内交通可利用堤顶公路或乡村公路作为施工道路，另需增加临时施工道路，长3km，主要用于涵闸、泵站和运输挖泥船工程建设，临时施工道路宽4.0m，为泥结石路面。</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3</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施工营地设施</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根据本工程施工内容和特点，需设置1个施工营地，位于范家坝湖空地处，施工营地包括综合加工间、施工仓库、办公生活设施等。</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施工营地主要承担工程施工机械如汽车、反铲、推土机、拖拉机、振动碾、拌和机等维修和小型零配件的制作。本工程施工仓库有：材料仓库。办公生活设施可租用在相应施工项目区附近的民居。</w:t>
            </w:r>
          </w:p>
          <w:p>
            <w:pPr>
              <w:adjustRightInd w:val="0"/>
              <w:spacing w:line="360" w:lineRule="auto"/>
              <w:ind w:firstLine="480" w:firstLineChars="200"/>
              <w:rPr>
                <w:b/>
                <w:color w:val="auto"/>
              </w:rPr>
            </w:pPr>
            <w:r>
              <w:rPr>
                <w:rFonts w:hint="eastAsia" w:ascii="Times New Roman" w:hAnsi="Times New Roman"/>
                <w:bCs/>
                <w:color w:val="auto"/>
                <w:sz w:val="24"/>
                <w:szCs w:val="24"/>
                <w:lang w:eastAsia="zh-CN"/>
              </w:rPr>
              <w:t>施工工厂、施工仓库、施工生活设施面积及占地具体如表</w:t>
            </w:r>
            <w:r>
              <w:rPr>
                <w:rFonts w:hint="eastAsia" w:ascii="Times New Roman" w:hAnsi="Times New Roman"/>
                <w:bCs/>
                <w:color w:val="auto"/>
                <w:sz w:val="24"/>
                <w:szCs w:val="24"/>
                <w:lang w:val="en-US" w:eastAsia="zh-CN"/>
              </w:rPr>
              <w:t>2-6</w:t>
            </w:r>
            <w:r>
              <w:rPr>
                <w:rFonts w:hint="eastAsia" w:ascii="Times New Roman" w:hAnsi="Times New Roman"/>
                <w:bCs/>
                <w:color w:val="auto"/>
                <w:sz w:val="24"/>
                <w:szCs w:val="24"/>
                <w:lang w:eastAsia="zh-CN"/>
              </w:rPr>
              <w:t>。</w:t>
            </w:r>
            <w:r>
              <w:rPr>
                <w:b/>
                <w:color w:val="auto"/>
              </w:rPr>
              <w:br w:type="page"/>
            </w:r>
          </w:p>
          <w:p>
            <w:pPr>
              <w:jc w:val="center"/>
              <w:rPr>
                <w:rFonts w:ascii="Times New Roman" w:hAnsi="Times New Roman"/>
                <w:b/>
                <w:color w:val="auto"/>
                <w:szCs w:val="21"/>
              </w:rPr>
            </w:pPr>
            <w:r>
              <w:rPr>
                <w:rFonts w:hint="eastAsia" w:ascii="Times New Roman" w:hAnsi="Times New Roman"/>
                <w:b/>
                <w:color w:val="auto"/>
                <w:szCs w:val="21"/>
              </w:rPr>
              <w:t>表</w:t>
            </w:r>
            <w:r>
              <w:rPr>
                <w:rFonts w:hint="eastAsia" w:ascii="Times New Roman" w:hAnsi="Times New Roman"/>
                <w:b/>
                <w:color w:val="auto"/>
                <w:szCs w:val="21"/>
                <w:lang w:val="en-US" w:eastAsia="zh-CN"/>
              </w:rPr>
              <w:t xml:space="preserve">2-6  </w:t>
            </w:r>
            <w:r>
              <w:rPr>
                <w:rFonts w:hint="eastAsia" w:ascii="Times New Roman" w:hAnsi="Times New Roman"/>
                <w:b/>
                <w:color w:val="auto"/>
                <w:szCs w:val="21"/>
              </w:rPr>
              <w:t>施工临建设施一览</w:t>
            </w:r>
            <w:r>
              <w:rPr>
                <w:rFonts w:ascii="Times New Roman" w:hAnsi="Times New Roman"/>
                <w:b/>
                <w:color w:val="auto"/>
                <w:szCs w:val="21"/>
              </w:rPr>
              <w:t>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89"/>
              <w:gridCol w:w="808"/>
              <w:gridCol w:w="1802"/>
              <w:gridCol w:w="767"/>
              <w:gridCol w:w="1204"/>
              <w:gridCol w:w="1160"/>
              <w:gridCol w:w="142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blHeader/>
                <w:jc w:val="center"/>
              </w:trPr>
              <w:tc>
                <w:tcPr>
                  <w:tcW w:w="438" w:type="pct"/>
                  <w:vMerge w:val="restar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部位</w:t>
                  </w:r>
                </w:p>
              </w:tc>
              <w:tc>
                <w:tcPr>
                  <w:tcW w:w="51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编号</w:t>
                  </w:r>
                </w:p>
              </w:tc>
              <w:tc>
                <w:tcPr>
                  <w:tcW w:w="1145"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项目</w:t>
                  </w:r>
                </w:p>
              </w:tc>
              <w:tc>
                <w:tcPr>
                  <w:tcW w:w="48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单位</w:t>
                  </w:r>
                </w:p>
              </w:tc>
              <w:tc>
                <w:tcPr>
                  <w:tcW w:w="766"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建筑面积</w:t>
                  </w:r>
                </w:p>
              </w:tc>
              <w:tc>
                <w:tcPr>
                  <w:tcW w:w="73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占地面积</w:t>
                  </w:r>
                </w:p>
              </w:tc>
              <w:tc>
                <w:tcPr>
                  <w:tcW w:w="90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438" w:type="pct"/>
                  <w:vMerge w:val="continue"/>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c>
                <w:tcPr>
                  <w:tcW w:w="51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w:t>
                  </w:r>
                </w:p>
              </w:tc>
              <w:tc>
                <w:tcPr>
                  <w:tcW w:w="1145"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综合加工间</w:t>
                  </w:r>
                </w:p>
              </w:tc>
              <w:tc>
                <w:tcPr>
                  <w:tcW w:w="48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m²</w:t>
                  </w:r>
                </w:p>
              </w:tc>
              <w:tc>
                <w:tcPr>
                  <w:tcW w:w="766"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100</w:t>
                  </w:r>
                </w:p>
              </w:tc>
              <w:tc>
                <w:tcPr>
                  <w:tcW w:w="73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250</w:t>
                  </w:r>
                </w:p>
              </w:tc>
              <w:tc>
                <w:tcPr>
                  <w:tcW w:w="90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438" w:type="pct"/>
                  <w:vMerge w:val="continue"/>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c>
                <w:tcPr>
                  <w:tcW w:w="51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w:t>
                  </w:r>
                </w:p>
              </w:tc>
              <w:tc>
                <w:tcPr>
                  <w:tcW w:w="1145"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砼拌和站</w:t>
                  </w:r>
                </w:p>
              </w:tc>
              <w:tc>
                <w:tcPr>
                  <w:tcW w:w="48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m²</w:t>
                  </w:r>
                </w:p>
              </w:tc>
              <w:tc>
                <w:tcPr>
                  <w:tcW w:w="766"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100</w:t>
                  </w:r>
                </w:p>
              </w:tc>
              <w:tc>
                <w:tcPr>
                  <w:tcW w:w="73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200</w:t>
                  </w:r>
                </w:p>
              </w:tc>
              <w:tc>
                <w:tcPr>
                  <w:tcW w:w="90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438" w:type="pct"/>
                  <w:vMerge w:val="continue"/>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c>
                <w:tcPr>
                  <w:tcW w:w="51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3</w:t>
                  </w:r>
                </w:p>
              </w:tc>
              <w:tc>
                <w:tcPr>
                  <w:tcW w:w="1145"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生产物资仓库</w:t>
                  </w:r>
                </w:p>
              </w:tc>
              <w:tc>
                <w:tcPr>
                  <w:tcW w:w="48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m²</w:t>
                  </w:r>
                </w:p>
              </w:tc>
              <w:tc>
                <w:tcPr>
                  <w:tcW w:w="766"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100</w:t>
                  </w:r>
                </w:p>
              </w:tc>
              <w:tc>
                <w:tcPr>
                  <w:tcW w:w="73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250</w:t>
                  </w:r>
                </w:p>
              </w:tc>
              <w:tc>
                <w:tcPr>
                  <w:tcW w:w="90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438" w:type="pct"/>
                  <w:vMerge w:val="continue"/>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c>
                <w:tcPr>
                  <w:tcW w:w="514"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4</w:t>
                  </w:r>
                </w:p>
              </w:tc>
              <w:tc>
                <w:tcPr>
                  <w:tcW w:w="1145"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办公生活设施</w:t>
                  </w:r>
                </w:p>
              </w:tc>
              <w:tc>
                <w:tcPr>
                  <w:tcW w:w="48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m²</w:t>
                  </w:r>
                </w:p>
              </w:tc>
              <w:tc>
                <w:tcPr>
                  <w:tcW w:w="766"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200</w:t>
                  </w:r>
                </w:p>
              </w:tc>
              <w:tc>
                <w:tcPr>
                  <w:tcW w:w="73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w:t>
                  </w:r>
                </w:p>
              </w:tc>
              <w:tc>
                <w:tcPr>
                  <w:tcW w:w="90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租用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098" w:type="pct"/>
                  <w:gridSpan w:val="3"/>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合计</w:t>
                  </w:r>
                </w:p>
              </w:tc>
              <w:tc>
                <w:tcPr>
                  <w:tcW w:w="48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m²</w:t>
                  </w:r>
                </w:p>
              </w:tc>
              <w:tc>
                <w:tcPr>
                  <w:tcW w:w="766"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500</w:t>
                  </w:r>
                </w:p>
              </w:tc>
              <w:tc>
                <w:tcPr>
                  <w:tcW w:w="73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700</w:t>
                  </w:r>
                </w:p>
              </w:tc>
              <w:tc>
                <w:tcPr>
                  <w:tcW w:w="908" w:type="pct"/>
                  <w:tcBorders>
                    <w:tl2br w:val="nil"/>
                    <w:tr2bl w:val="nil"/>
                  </w:tcBorders>
                  <w:noWrap w:val="0"/>
                  <w:vAlign w:val="center"/>
                </w:tcPr>
                <w:p>
                  <w:pPr>
                    <w:snapToGrid w:val="0"/>
                    <w:spacing w:line="240" w:lineRule="auto"/>
                    <w:ind w:firstLine="0" w:firstLineChars="0"/>
                    <w:jc w:val="center"/>
                    <w:rPr>
                      <w:rFonts w:hint="default" w:ascii="Times New Roman" w:hAnsi="Times New Roman" w:eastAsia="宋体" w:cs="Times New Roman"/>
                      <w:snapToGrid w:val="0"/>
                      <w:color w:val="auto"/>
                      <w:sz w:val="21"/>
                      <w:szCs w:val="21"/>
                    </w:rPr>
                  </w:pPr>
                </w:p>
              </w:tc>
            </w:tr>
          </w:tbl>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4</w:t>
            </w:r>
            <w:r>
              <w:rPr>
                <w:rFonts w:hint="eastAsia" w:ascii="Times New Roman" w:hAnsi="Times New Roman"/>
                <w:bCs/>
                <w:color w:val="auto"/>
                <w:sz w:val="24"/>
                <w:szCs w:val="24"/>
                <w:lang w:eastAsia="zh-CN"/>
              </w:rPr>
              <w:t>）</w:t>
            </w:r>
            <w:r>
              <w:rPr>
                <w:rFonts w:hint="eastAsia" w:ascii="Times New Roman" w:hAnsi="Times New Roman"/>
                <w:bCs/>
                <w:color w:val="auto"/>
                <w:sz w:val="24"/>
                <w:szCs w:val="24"/>
              </w:rPr>
              <w:t>风、水、电、通信及照明</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施工用风主要为少量的施工辅助企业用风，需风量较小，均采用3m³/min的空压机。</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施工用水主要为生产和生活用水，生产用水主要为砼、砂浆、拌和、浇筑养护用水、土方填筑洒水、机械设备用水、施工辅企用水等，选用型号为IS80-65-160水泵从湖泊内直接抽取，满足工程的生产用水。生活用水用工程所在地居民用水。</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施工用电从农村电网接线到工地配电间。</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rPr>
              <w:t>施工期通讯可利用当地现有通讯网络，安装程控电话，施工单位可自行配备适量的移动通讯设备</w:t>
            </w:r>
            <w:r>
              <w:rPr>
                <w:rFonts w:hint="eastAsia" w:ascii="Times New Roman" w:hAnsi="Times New Roman"/>
                <w:bCs/>
                <w:color w:val="auto"/>
                <w:sz w:val="24"/>
                <w:szCs w:val="24"/>
                <w:lang w:eastAsia="zh-CN"/>
              </w:rPr>
              <w:t>。</w:t>
            </w:r>
          </w:p>
          <w:p>
            <w:pPr>
              <w:adjustRightInd w:val="0"/>
              <w:spacing w:line="360" w:lineRule="auto"/>
              <w:rPr>
                <w:rFonts w:hint="eastAsia" w:ascii="Times New Roman" w:hAnsi="Times New Roman"/>
                <w:b/>
                <w:bCs w:val="0"/>
                <w:color w:val="auto"/>
                <w:sz w:val="24"/>
                <w:szCs w:val="24"/>
                <w:lang w:eastAsia="zh-CN"/>
              </w:rPr>
            </w:pPr>
            <w:r>
              <w:rPr>
                <w:rFonts w:hint="eastAsia" w:ascii="Times New Roman" w:hAnsi="Times New Roman"/>
                <w:b/>
                <w:bCs w:val="0"/>
                <w:color w:val="auto"/>
                <w:sz w:val="24"/>
                <w:szCs w:val="24"/>
                <w:lang w:val="en-US" w:eastAsia="zh-CN"/>
              </w:rPr>
              <w:t>3、</w:t>
            </w:r>
            <w:r>
              <w:rPr>
                <w:rFonts w:hint="eastAsia" w:ascii="Times New Roman" w:hAnsi="Times New Roman"/>
                <w:b/>
                <w:bCs w:val="0"/>
                <w:color w:val="auto"/>
                <w:sz w:val="24"/>
                <w:szCs w:val="24"/>
                <w:lang w:eastAsia="zh-CN"/>
              </w:rPr>
              <w:t>主要建筑材料</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（1）土料</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项目区地形平坦开阔，根据初步</w:t>
            </w:r>
            <w:r>
              <w:rPr>
                <w:rFonts w:hint="eastAsia" w:ascii="Times New Roman" w:hAnsi="Times New Roman"/>
                <w:bCs/>
                <w:color w:val="auto"/>
                <w:sz w:val="24"/>
                <w:szCs w:val="24"/>
                <w:lang w:val="en-US" w:eastAsia="zh-CN"/>
              </w:rPr>
              <w:t>设计方案</w:t>
            </w:r>
            <w:r>
              <w:rPr>
                <w:rFonts w:hint="eastAsia" w:ascii="Times New Roman" w:hAnsi="Times New Roman"/>
                <w:bCs/>
                <w:color w:val="auto"/>
                <w:sz w:val="24"/>
                <w:szCs w:val="24"/>
                <w:lang w:eastAsia="zh-CN"/>
              </w:rPr>
              <w:t>，七里冲村、黄泥村、齐心村都可作为本次设计土料场。这3处料场属于丘陵地貌，地形较平缓，多为丘陵，局部旱田，生长马尾松、杉树等，有用层为棕红色黏土，呈硬塑状，粘粒含量 50%~70%，开采条件较好，平均运距约 8km。</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（2）砂砾石料</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项目区内无砂卵砾石料产地，工程用料来源于长康镇石板村潘家组内石料场，成分主要为石英、长石，含少量云母片状矿物，有公路直达工程区，可直接购买，平均运距25km。</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（3）块石</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项目所需块石可从湘阴县长康镇石板村直接购买，主要岩性为中-细粒黑云母二长花岗岩，中细粒花岗结构，块状构造。岩石致密坚硬，抗风化能力强，地表露头多为弱～微风化，平均运距25km。</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val="en-US" w:eastAsia="zh-CN"/>
              </w:rPr>
              <w:t>根据本项目地勘报告</w:t>
            </w:r>
            <w:r>
              <w:rPr>
                <w:rFonts w:hint="eastAsia" w:ascii="Times New Roman" w:hAnsi="Times New Roman"/>
                <w:bCs/>
                <w:color w:val="auto"/>
                <w:sz w:val="24"/>
                <w:szCs w:val="24"/>
                <w:lang w:eastAsia="zh-CN"/>
              </w:rPr>
              <w:t>：查明土料储量80×10</w:t>
            </w:r>
            <w:r>
              <w:rPr>
                <w:rFonts w:hint="eastAsia" w:ascii="Times New Roman" w:hAnsi="Times New Roman"/>
                <w:bCs/>
                <w:color w:val="auto"/>
                <w:sz w:val="24"/>
                <w:szCs w:val="24"/>
                <w:vertAlign w:val="superscript"/>
                <w:lang w:eastAsia="zh-CN"/>
              </w:rPr>
              <w:t>4</w:t>
            </w:r>
            <w:r>
              <w:rPr>
                <w:rFonts w:hint="eastAsia" w:ascii="Times New Roman" w:hAnsi="Times New Roman"/>
                <w:bCs/>
                <w:color w:val="auto"/>
                <w:sz w:val="24"/>
                <w:szCs w:val="24"/>
                <w:lang w:eastAsia="zh-CN"/>
              </w:rPr>
              <w:t>m</w:t>
            </w:r>
            <w:r>
              <w:rPr>
                <w:rFonts w:hint="eastAsia" w:ascii="Times New Roman" w:hAnsi="Times New Roman"/>
                <w:bCs/>
                <w:color w:val="auto"/>
                <w:sz w:val="24"/>
                <w:szCs w:val="24"/>
                <w:vertAlign w:val="superscript"/>
                <w:lang w:eastAsia="zh-CN"/>
              </w:rPr>
              <w:t>3</w:t>
            </w:r>
            <w:r>
              <w:rPr>
                <w:rFonts w:hint="eastAsia" w:ascii="Times New Roman" w:hAnsi="Times New Roman"/>
                <w:bCs/>
                <w:color w:val="auto"/>
                <w:sz w:val="24"/>
                <w:szCs w:val="24"/>
                <w:lang w:eastAsia="zh-CN"/>
              </w:rPr>
              <w:t>、砂砾石料20×10</w:t>
            </w:r>
            <w:r>
              <w:rPr>
                <w:rFonts w:hint="eastAsia" w:ascii="Times New Roman" w:hAnsi="Times New Roman"/>
                <w:bCs/>
                <w:color w:val="auto"/>
                <w:sz w:val="24"/>
                <w:szCs w:val="24"/>
                <w:vertAlign w:val="superscript"/>
                <w:lang w:eastAsia="zh-CN"/>
              </w:rPr>
              <w:t>4</w:t>
            </w:r>
            <w:r>
              <w:rPr>
                <w:rFonts w:hint="eastAsia" w:ascii="Times New Roman" w:hAnsi="Times New Roman"/>
                <w:bCs/>
                <w:color w:val="auto"/>
                <w:sz w:val="24"/>
                <w:szCs w:val="24"/>
                <w:lang w:eastAsia="zh-CN"/>
              </w:rPr>
              <w:t>m</w:t>
            </w:r>
            <w:r>
              <w:rPr>
                <w:rFonts w:hint="eastAsia" w:ascii="Times New Roman" w:hAnsi="Times New Roman"/>
                <w:bCs/>
                <w:color w:val="auto"/>
                <w:sz w:val="24"/>
                <w:szCs w:val="24"/>
                <w:vertAlign w:val="superscript"/>
                <w:lang w:eastAsia="zh-CN"/>
              </w:rPr>
              <w:t>3</w:t>
            </w:r>
            <w:r>
              <w:rPr>
                <w:rFonts w:hint="eastAsia" w:ascii="Times New Roman" w:hAnsi="Times New Roman"/>
                <w:bCs/>
                <w:color w:val="auto"/>
                <w:sz w:val="24"/>
                <w:szCs w:val="24"/>
                <w:lang w:eastAsia="zh-CN"/>
              </w:rPr>
              <w:t>、块石料10×10</w:t>
            </w:r>
            <w:r>
              <w:rPr>
                <w:rFonts w:hint="eastAsia" w:ascii="Times New Roman" w:hAnsi="Times New Roman"/>
                <w:bCs/>
                <w:color w:val="auto"/>
                <w:sz w:val="24"/>
                <w:szCs w:val="24"/>
                <w:vertAlign w:val="superscript"/>
                <w:lang w:eastAsia="zh-CN"/>
              </w:rPr>
              <w:t>4</w:t>
            </w:r>
            <w:r>
              <w:rPr>
                <w:rFonts w:hint="eastAsia" w:ascii="Times New Roman" w:hAnsi="Times New Roman"/>
                <w:bCs/>
                <w:color w:val="auto"/>
                <w:sz w:val="24"/>
                <w:szCs w:val="24"/>
                <w:lang w:eastAsia="zh-CN"/>
              </w:rPr>
              <w:t>m</w:t>
            </w:r>
            <w:r>
              <w:rPr>
                <w:rFonts w:hint="eastAsia" w:ascii="Times New Roman" w:hAnsi="Times New Roman"/>
                <w:bCs/>
                <w:color w:val="auto"/>
                <w:sz w:val="24"/>
                <w:szCs w:val="24"/>
                <w:vertAlign w:val="superscript"/>
                <w:lang w:eastAsia="zh-CN"/>
              </w:rPr>
              <w:t>3</w:t>
            </w:r>
            <w:r>
              <w:rPr>
                <w:rFonts w:hint="eastAsia" w:ascii="Times New Roman" w:hAnsi="Times New Roman"/>
                <w:bCs/>
                <w:color w:val="auto"/>
                <w:sz w:val="24"/>
                <w:szCs w:val="24"/>
                <w:lang w:eastAsia="zh-CN"/>
              </w:rPr>
              <w:t>，土料、砂砾石料和块石料质量及储量满足本阶段设计需要。</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（4）水泥、钢材、木材、油料等</w:t>
            </w:r>
          </w:p>
          <w:p>
            <w:pPr>
              <w:adjustRightInd w:val="0"/>
              <w:spacing w:line="360" w:lineRule="auto"/>
              <w:ind w:firstLine="480" w:firstLineChars="200"/>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项目所需的水泥、木材、油料、钢材等均可从湘阴县城购买，运距约 15km。</w:t>
            </w:r>
          </w:p>
          <w:p>
            <w:pPr>
              <w:adjustRightInd w:val="0"/>
              <w:spacing w:line="360" w:lineRule="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4、工程占地及拆迁安置</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lang w:val="en-US" w:eastAsia="zh-CN"/>
              </w:rPr>
              <w:t>根据项目初设报告，</w:t>
            </w:r>
            <w:r>
              <w:rPr>
                <w:rFonts w:hint="eastAsia" w:ascii="Times New Roman" w:hAnsi="Times New Roman"/>
                <w:bCs/>
                <w:color w:val="auto"/>
                <w:sz w:val="24"/>
                <w:szCs w:val="24"/>
              </w:rPr>
              <w:t>经调查统计，填塘固基需占用永久用地，占用水塘水面面积为269.75亩。本工程施工临时占地</w:t>
            </w:r>
            <w:r>
              <w:rPr>
                <w:rFonts w:hint="eastAsia" w:ascii="Times New Roman" w:hAnsi="Times New Roman"/>
                <w:bCs/>
                <w:color w:val="auto"/>
                <w:sz w:val="24"/>
                <w:szCs w:val="24"/>
                <w:lang w:val="en-US" w:eastAsia="zh-CN"/>
              </w:rPr>
              <w:t>97400</w:t>
            </w:r>
            <w:r>
              <w:rPr>
                <w:rFonts w:hint="eastAsia" w:ascii="Times New Roman" w:hAnsi="Times New Roman"/>
                <w:bCs/>
                <w:color w:val="auto"/>
                <w:sz w:val="24"/>
                <w:szCs w:val="24"/>
              </w:rPr>
              <w:t>m</w:t>
            </w:r>
            <w:r>
              <w:rPr>
                <w:rFonts w:hint="eastAsia" w:ascii="Times New Roman" w:hAnsi="Times New Roman"/>
                <w:bCs/>
                <w:color w:val="auto"/>
                <w:sz w:val="24"/>
                <w:szCs w:val="24"/>
                <w:vertAlign w:val="superscript"/>
              </w:rPr>
              <w:t>2</w:t>
            </w:r>
            <w:r>
              <w:rPr>
                <w:rFonts w:hint="eastAsia" w:ascii="Times New Roman" w:hAnsi="Times New Roman"/>
                <w:bCs/>
                <w:color w:val="auto"/>
                <w:sz w:val="24"/>
                <w:szCs w:val="24"/>
              </w:rPr>
              <w:t>（约</w:t>
            </w:r>
            <w:r>
              <w:rPr>
                <w:rFonts w:hint="eastAsia" w:ascii="Times New Roman" w:hAnsi="Times New Roman"/>
                <w:bCs/>
                <w:color w:val="auto"/>
                <w:sz w:val="24"/>
                <w:szCs w:val="24"/>
                <w:lang w:val="en-US" w:eastAsia="zh-CN"/>
              </w:rPr>
              <w:t>146.03</w:t>
            </w:r>
            <w:r>
              <w:rPr>
                <w:rFonts w:hint="eastAsia" w:ascii="Times New Roman" w:hAnsi="Times New Roman"/>
                <w:bCs/>
                <w:color w:val="auto"/>
                <w:sz w:val="24"/>
                <w:szCs w:val="24"/>
              </w:rPr>
              <w:t>亩）。临时占地尽量利用各施工区内的闲置土地。</w:t>
            </w:r>
          </w:p>
          <w:p>
            <w:pPr>
              <w:adjustRightInd w:val="0"/>
              <w:spacing w:line="360" w:lineRule="auto"/>
              <w:ind w:firstLine="480" w:firstLineChars="200"/>
              <w:rPr>
                <w:rFonts w:ascii="Times New Roman" w:hAnsi="Times New Roman"/>
                <w:color w:val="auto"/>
                <w:sz w:val="24"/>
                <w:szCs w:val="24"/>
              </w:rPr>
            </w:pPr>
            <w:r>
              <w:rPr>
                <w:rFonts w:hint="eastAsia" w:ascii="Times New Roman" w:hAnsi="Times New Roman"/>
                <w:bCs/>
                <w:color w:val="auto"/>
                <w:sz w:val="24"/>
                <w:szCs w:val="24"/>
              </w:rPr>
              <w:t>本工程不涉及房屋拆迁和移民安置，</w:t>
            </w:r>
            <w:r>
              <w:rPr>
                <w:rFonts w:hint="eastAsia" w:ascii="Times New Roman" w:hAnsi="Times New Roman"/>
                <w:bCs/>
                <w:color w:val="auto"/>
                <w:sz w:val="24"/>
                <w:szCs w:val="24"/>
                <w:lang w:val="en-US" w:eastAsia="zh-CN"/>
              </w:rPr>
              <w:t>临时</w:t>
            </w:r>
            <w:r>
              <w:rPr>
                <w:rFonts w:hint="eastAsia" w:ascii="Times New Roman" w:hAnsi="Times New Roman"/>
                <w:bCs/>
                <w:color w:val="auto"/>
                <w:sz w:val="24"/>
                <w:szCs w:val="24"/>
              </w:rPr>
              <w:t>占地不涉及基本农田。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29" w:type="pct"/>
            <w:vAlign w:val="center"/>
          </w:tcPr>
          <w:p>
            <w:pPr>
              <w:spacing w:line="360" w:lineRule="auto"/>
              <w:jc w:val="both"/>
              <w:rPr>
                <w:rFonts w:ascii="Times New Roman" w:hAnsi="Times New Roman"/>
                <w:color w:val="auto"/>
                <w:kern w:val="0"/>
                <w:sz w:val="24"/>
                <w:szCs w:val="24"/>
              </w:rPr>
            </w:pPr>
            <w:r>
              <w:rPr>
                <w:rFonts w:ascii="Times New Roman" w:hAnsi="Times New Roman"/>
                <w:color w:val="auto"/>
                <w:kern w:val="0"/>
                <w:sz w:val="24"/>
                <w:szCs w:val="24"/>
              </w:rPr>
              <w:t>施工方案</w:t>
            </w:r>
          </w:p>
        </w:tc>
        <w:tc>
          <w:tcPr>
            <w:tcW w:w="4271" w:type="pct"/>
          </w:tcPr>
          <w:p>
            <w:pPr>
              <w:pStyle w:val="7"/>
              <w:pageBreakBefore w:val="0"/>
              <w:widowControl w:val="0"/>
              <w:kinsoku/>
              <w:wordWrap/>
              <w:overflowPunct/>
              <w:topLinePunct w:val="0"/>
              <w:autoSpaceDE/>
              <w:autoSpaceDN/>
              <w:bidi w:val="0"/>
              <w:textAlignment w:val="auto"/>
              <w:rPr>
                <w:rFonts w:hint="default" w:ascii="Times New Roman" w:hAnsi="Times New Roman" w:eastAsia="宋体" w:cs="Times New Roman"/>
                <w:color w:val="auto"/>
                <w:sz w:val="24"/>
                <w:szCs w:val="24"/>
              </w:rPr>
            </w:pPr>
            <w:bookmarkStart w:id="17" w:name="_Toc138548796"/>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 xml:space="preserve"> 施工围堰</w:t>
            </w:r>
            <w:bookmarkEnd w:id="17"/>
          </w:p>
          <w:p>
            <w:pPr>
              <w:pStyle w:val="8"/>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洪水标准</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根据《水利水电工程等级划分及洪水标准》（SL252-2017），本工程临时性水工建筑物级别为5级，相应的洪水重现期为10～5年。本工程采用土石围堰，本次围堰洪水标准重现期为5年。</w:t>
            </w:r>
          </w:p>
          <w:p>
            <w:pPr>
              <w:pStyle w:val="8"/>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导流及施工围堰</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1）导流时段</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根据工程量大小，施工进度安排，建筑物导流时段选择在10月～次年3月。每一处建筑物的施工期限均在一个枯水期完成。</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各建筑物施工水位成果见表</w:t>
            </w:r>
            <w:r>
              <w:rPr>
                <w:rFonts w:hint="eastAsia"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rPr>
              <w:t>。</w:t>
            </w:r>
          </w:p>
          <w:p>
            <w:pPr>
              <w:jc w:val="center"/>
              <w:rPr>
                <w:rFonts w:ascii="Times New Roman" w:hAnsi="Times New Roman" w:cs="Times New Roman"/>
                <w:b/>
                <w:color w:val="auto"/>
                <w:szCs w:val="21"/>
              </w:rPr>
            </w:pPr>
            <w:r>
              <w:rPr>
                <w:rFonts w:hint="eastAsia" w:ascii="Times New Roman" w:hAnsi="Times New Roman" w:cs="Times New Roman"/>
                <w:b/>
                <w:color w:val="auto"/>
                <w:szCs w:val="21"/>
              </w:rPr>
              <w:t>表</w:t>
            </w:r>
            <w:r>
              <w:rPr>
                <w:rFonts w:hint="eastAsia" w:ascii="Times New Roman" w:hAnsi="Times New Roman" w:cs="Times New Roman"/>
                <w:b/>
                <w:color w:val="auto"/>
                <w:szCs w:val="21"/>
                <w:lang w:val="en-US" w:eastAsia="zh-CN"/>
              </w:rPr>
              <w:t xml:space="preserve">2-7  </w:t>
            </w:r>
            <w:r>
              <w:rPr>
                <w:rFonts w:hint="eastAsia" w:ascii="Times New Roman" w:hAnsi="Times New Roman" w:cs="Times New Roman"/>
                <w:b/>
                <w:color w:val="auto"/>
                <w:szCs w:val="21"/>
              </w:rPr>
              <w:t>泵站进水池施工期水位</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2620"/>
              <w:gridCol w:w="26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泵站名称</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取水水源</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进水池施工期水位（m）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更生泵站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龟形山泵站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李公坝泵站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狮子山泵站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吴家山泵站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辛卯泵站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殷家汊泵站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三汊港湖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白泥湖泵站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白泥湖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高峰十八组泵站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范家坝湖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齐心泵站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范家坝湖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郑家咀泵站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范家坝湖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高峰大塘泵站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范家坝湖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贺家山泵站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范家坝湖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pct"/>
                  <w:tcBorders>
                    <w:tl2br w:val="nil"/>
                    <w:tr2bl w:val="nil"/>
                  </w:tcBorders>
                  <w:noWrap/>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卜家岭泵站</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范家坝湖</w:t>
                  </w:r>
                </w:p>
              </w:tc>
              <w:tc>
                <w:tcPr>
                  <w:tcW w:w="1666" w:type="pct"/>
                  <w:tcBorders>
                    <w:tl2br w:val="nil"/>
                    <w:tr2bl w:val="nil"/>
                  </w:tcBorders>
                  <w:noWrap w:val="0"/>
                  <w:vAlign w:val="center"/>
                </w:tcPr>
                <w:p>
                  <w:pPr>
                    <w:pStyle w:val="51"/>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24.16</w:t>
                  </w:r>
                </w:p>
              </w:tc>
            </w:tr>
          </w:tbl>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2）导流方式</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根据工程项目及施工特性，本工程分项目进行施工，需进行施工导流的项目有渍堤加高培厚、涵闸泵站更新改造工程，可利用现有控制闸和排涝泵站进行导流，并将内湖水位提前放至最低控制水位。</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3）围堰设计</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水利水电工程施工组织设计规范》SL303-2017，导流建筑物级别为5级，施工围堰安全加高为0.5m。泵站和涵闸进出口需要修筑围堰，同时因清淤疏浚水下采用绞吸式挖泥船或钻探式抽沙船施工，并用排泥管线输送至对应的清淤料中转临时堆场，临时堆场周围需修筑施工围堰，并做好排水措施。施工围堰选用散装粘土围堰，临时堆场施工围堰宽3.0m，内外坡比均为1：2.0，围堰高3.0m，涵闸及泵站进口围堰顶宽2.0m，内外坡比均为1：2.0，施工围堰总量9797.60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围堰材料利用清淤开挖料，围堰拆除采用1m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挖掘机挖除，8t自卸汽车运至弃渣场。</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4）基坑排水</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基坑排水分为初期排水和经常性排水。初期排水就是在围堰填筑后，排除基坑积水、堰体及堰基渗水的过程。因涵闸施工基坑较小，且在枯期施工，施工时段较短，围堰渗水和雨水组成的经常性排水量较小，基坑排水主要为初期排水。围堰形成后，每处基坑各配备泥浆泵进行初期排水</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经常性排水主要由围堰渗水、施工弃水及降雨等组成。穿堤建筑物在枯期施工，施工时段较短，围堰渗水和雨水组成的经常性排水量较小。经常性排水利用初期排水设备。</w:t>
            </w:r>
          </w:p>
          <w:p>
            <w:pPr>
              <w:pStyle w:val="8"/>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1.3、</w:t>
            </w:r>
            <w:r>
              <w:rPr>
                <w:rFonts w:hint="default" w:ascii="Times New Roman" w:hAnsi="Times New Roman" w:eastAsia="宋体" w:cs="Times New Roman"/>
                <w:color w:val="auto"/>
                <w:sz w:val="24"/>
                <w:szCs w:val="24"/>
              </w:rPr>
              <w:t>工程度汛</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施工进度安排，本工程均安排在枯水季节施工，并按照“开工一段，完成一段”的原则实施；涵闸及泵站工程量较小，能够在一个枯水期内完工。因此，当年开工堤段及该堤段涵闸及泵站均在汛前具备运行条件，可安全度汛。</w:t>
            </w:r>
          </w:p>
          <w:p>
            <w:pPr>
              <w:pStyle w:val="7"/>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bookmarkStart w:id="18" w:name="_Toc138548797"/>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主体工程施工</w:t>
            </w:r>
            <w:bookmarkEnd w:id="18"/>
          </w:p>
          <w:p>
            <w:pPr>
              <w:pStyle w:val="8"/>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bookmarkStart w:id="19" w:name="_Toc497403575"/>
            <w:bookmarkStart w:id="20" w:name="_Toc155070780"/>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清淤</w:t>
            </w:r>
            <w:bookmarkEnd w:id="19"/>
          </w:p>
          <w:p>
            <w:pPr>
              <w:pageBreakBefore w:val="0"/>
              <w:widowControl w:val="0"/>
              <w:kinsoku/>
              <w:wordWrap/>
              <w:overflowPunct/>
              <w:topLinePunct w:val="0"/>
              <w:autoSpaceDE/>
              <w:autoSpaceDN/>
              <w:bidi w:val="0"/>
              <w:spacing w:line="360" w:lineRule="auto"/>
              <w:textAlignment w:val="auto"/>
              <w:outlineLvl w:val="3"/>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2.1.1、</w:t>
            </w:r>
            <w:r>
              <w:rPr>
                <w:rFonts w:hint="default" w:ascii="Times New Roman" w:hAnsi="Times New Roman" w:eastAsia="宋体" w:cs="Times New Roman"/>
                <w:b/>
                <w:bCs/>
                <w:color w:val="auto"/>
                <w:sz w:val="24"/>
                <w:szCs w:val="24"/>
              </w:rPr>
              <w:t>一般清淤</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沟渠清淤包括连通渠整治、连通建筑物等处，沟渠清淤施工时段为10月～次年3月，采用人工配合1.0m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长臂反铲开挖，8t自卸汽车运至弃渣场，弃渣平均运距15km。</w:t>
            </w:r>
          </w:p>
          <w:p>
            <w:pPr>
              <w:pageBreakBefore w:val="0"/>
              <w:widowControl w:val="0"/>
              <w:kinsoku/>
              <w:wordWrap/>
              <w:overflowPunct/>
              <w:topLinePunct w:val="0"/>
              <w:autoSpaceDE/>
              <w:autoSpaceDN/>
              <w:bidi w:val="0"/>
              <w:spacing w:line="360" w:lineRule="auto"/>
              <w:textAlignment w:val="auto"/>
              <w:outlineLvl w:val="3"/>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1.2</w:t>
            </w: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湖泊清淤</w:t>
            </w:r>
          </w:p>
          <w:bookmarkEnd w:id="20"/>
          <w:p>
            <w:pPr>
              <w:pStyle w:val="74"/>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rPr>
              <w:t>本次湖泊清淤疏浚工程量共计742.02万m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，其中</w:t>
            </w:r>
            <w:r>
              <w:rPr>
                <w:rFonts w:hint="eastAsia" w:ascii="Times New Roman" w:hAnsi="Times New Roman" w:cs="Times New Roman"/>
                <w:color w:val="auto"/>
                <w:sz w:val="24"/>
                <w:szCs w:val="24"/>
                <w:u w:val="single"/>
                <w:lang w:val="en-US" w:eastAsia="zh-CN"/>
              </w:rPr>
              <w:t>220.97</w:t>
            </w:r>
            <w:r>
              <w:rPr>
                <w:rFonts w:hint="default" w:ascii="Times New Roman" w:hAnsi="Times New Roman" w:eastAsia="宋体" w:cs="Times New Roman"/>
                <w:color w:val="auto"/>
                <w:sz w:val="24"/>
                <w:szCs w:val="24"/>
                <w:u w:val="single"/>
              </w:rPr>
              <w:t>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为增加的渗漏库容；</w:t>
            </w:r>
            <w:r>
              <w:rPr>
                <w:rFonts w:hint="eastAsia" w:ascii="Times New Roman" w:hAnsi="Times New Roman" w:eastAsia="宋体" w:cs="Times New Roman"/>
                <w:color w:val="auto"/>
                <w:sz w:val="24"/>
                <w:szCs w:val="24"/>
                <w:u w:val="single"/>
                <w:lang w:val="en-US" w:eastAsia="zh-CN"/>
              </w:rPr>
              <w:t>其中：</w:t>
            </w:r>
            <w:r>
              <w:rPr>
                <w:rFonts w:hint="default" w:ascii="Times New Roman" w:hAnsi="Times New Roman" w:eastAsia="宋体" w:cs="Times New Roman"/>
                <w:color w:val="auto"/>
                <w:sz w:val="24"/>
                <w:szCs w:val="24"/>
                <w:u w:val="single"/>
              </w:rPr>
              <w:t>白泥湖清淤面积102.46万m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平均疏挖深度约0.6m，</w:t>
            </w:r>
            <w:r>
              <w:rPr>
                <w:rFonts w:hint="default" w:ascii="Times New Roman" w:hAnsi="Times New Roman" w:eastAsia="宋体" w:cs="Times New Roman"/>
                <w:color w:val="auto"/>
                <w:sz w:val="24"/>
                <w:szCs w:val="24"/>
                <w:u w:val="single"/>
              </w:rPr>
              <w:t>清淤量为59.93万m</w:t>
            </w:r>
            <w:r>
              <w:rPr>
                <w:rFonts w:hint="default" w:ascii="Times New Roman" w:hAnsi="Times New Roman" w:eastAsia="宋体" w:cs="Times New Roman"/>
                <w:color w:val="auto"/>
                <w:sz w:val="24"/>
                <w:szCs w:val="24"/>
                <w:u w:val="single"/>
                <w:vertAlign w:val="superscript"/>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范家坝湖清淤面积77.80万m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平均疏挖深度约4.62m，</w:t>
            </w:r>
            <w:r>
              <w:rPr>
                <w:rFonts w:hint="default" w:ascii="Times New Roman" w:hAnsi="Times New Roman" w:eastAsia="宋体" w:cs="Times New Roman"/>
                <w:color w:val="auto"/>
                <w:sz w:val="24"/>
                <w:szCs w:val="24"/>
                <w:u w:val="single"/>
              </w:rPr>
              <w:t>清淤量为361.80万m</w:t>
            </w:r>
            <w:r>
              <w:rPr>
                <w:rFonts w:hint="default" w:ascii="Times New Roman" w:hAnsi="Times New Roman" w:eastAsia="宋体" w:cs="Times New Roman"/>
                <w:color w:val="auto"/>
                <w:sz w:val="24"/>
                <w:szCs w:val="24"/>
                <w:u w:val="single"/>
                <w:vertAlign w:val="superscript"/>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三汊港湖清淤面积68.93万m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平均疏挖深度约4.70m，</w:t>
            </w:r>
            <w:r>
              <w:rPr>
                <w:rFonts w:hint="default" w:ascii="Times New Roman" w:hAnsi="Times New Roman" w:eastAsia="宋体" w:cs="Times New Roman"/>
                <w:color w:val="auto"/>
                <w:sz w:val="24"/>
                <w:szCs w:val="24"/>
                <w:u w:val="single"/>
              </w:rPr>
              <w:t>清淤量为320.29万m</w:t>
            </w:r>
            <w:r>
              <w:rPr>
                <w:rFonts w:hint="default" w:ascii="Times New Roman" w:hAnsi="Times New Roman" w:eastAsia="宋体" w:cs="Times New Roman"/>
                <w:color w:val="auto"/>
                <w:sz w:val="24"/>
                <w:szCs w:val="24"/>
                <w:u w:val="single"/>
                <w:vertAlign w:val="superscript"/>
              </w:rPr>
              <w:t>3</w:t>
            </w:r>
            <w:r>
              <w:rPr>
                <w:rFonts w:hint="eastAsia" w:ascii="Times New Roman" w:hAnsi="Times New Roman" w:cs="Times New Roman"/>
                <w:color w:val="auto"/>
                <w:sz w:val="24"/>
                <w:szCs w:val="24"/>
                <w:u w:val="single"/>
                <w:lang w:eastAsia="zh-CN"/>
              </w:rPr>
              <w:t>。</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白泥湖、范家坝湖属于北湖垸内蓄湖，三汊港湖属于三汊港垸内蓄湖。</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据钻探揭露，场地内地层主要为第四系填土、粉质黏土、砾砂，现将各土层特征自上而下分别描述如下（其中&lt;1&gt;～&lt;5&gt;为地层序号）：</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①素填土（Q</w:t>
            </w:r>
            <w:r>
              <w:rPr>
                <w:rFonts w:hint="default" w:ascii="Times New Roman" w:hAnsi="Times New Roman" w:eastAsia="宋体" w:cs="Times New Roman"/>
                <w:color w:val="auto"/>
                <w:sz w:val="24"/>
                <w:szCs w:val="24"/>
                <w:vertAlign w:val="subscript"/>
              </w:rPr>
              <w:t>4</w:t>
            </w:r>
            <w:r>
              <w:rPr>
                <w:rFonts w:hint="default" w:ascii="Times New Roman" w:hAnsi="Times New Roman" w:eastAsia="宋体" w:cs="Times New Roman"/>
                <w:color w:val="auto"/>
                <w:sz w:val="24"/>
                <w:szCs w:val="24"/>
                <w:vertAlign w:val="superscript"/>
              </w:rPr>
              <w:t>ml</w:t>
            </w:r>
            <w:r>
              <w:rPr>
                <w:rFonts w:hint="default" w:ascii="Times New Roman" w:hAnsi="Times New Roman" w:eastAsia="宋体" w:cs="Times New Roman"/>
                <w:color w:val="auto"/>
                <w:sz w:val="24"/>
                <w:szCs w:val="24"/>
              </w:rPr>
              <w:t>）&lt;1&gt;：褐黄色，松散～稍密状，稍湿～湿，由黏性土回填而成，回填年限大于10年，采取率为85%。</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②粉质黏土（Q</w:t>
            </w:r>
            <w:r>
              <w:rPr>
                <w:rFonts w:hint="default" w:ascii="Times New Roman" w:hAnsi="Times New Roman" w:eastAsia="宋体" w:cs="Times New Roman"/>
                <w:color w:val="auto"/>
                <w:sz w:val="24"/>
                <w:szCs w:val="24"/>
                <w:vertAlign w:val="subscript"/>
              </w:rPr>
              <w:t>4</w:t>
            </w:r>
            <w:r>
              <w:rPr>
                <w:rFonts w:hint="default" w:ascii="Times New Roman" w:hAnsi="Times New Roman" w:eastAsia="宋体" w:cs="Times New Roman"/>
                <w:color w:val="auto"/>
                <w:sz w:val="24"/>
                <w:szCs w:val="24"/>
                <w:vertAlign w:val="superscript"/>
              </w:rPr>
              <w:t>al+pl</w:t>
            </w:r>
            <w:r>
              <w:rPr>
                <w:rFonts w:hint="default" w:ascii="Times New Roman" w:hAnsi="Times New Roman" w:eastAsia="宋体" w:cs="Times New Roman"/>
                <w:color w:val="auto"/>
                <w:sz w:val="24"/>
                <w:szCs w:val="24"/>
              </w:rPr>
              <w:t>）&lt;2&gt;：褐灰色，软塑状态，摇振无反应，稍有光泽，干强度中等，韧性中等，采取率为90%。</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③粉质黏土（Q</w:t>
            </w:r>
            <w:r>
              <w:rPr>
                <w:rFonts w:hint="default" w:ascii="Times New Roman" w:hAnsi="Times New Roman" w:eastAsia="宋体" w:cs="Times New Roman"/>
                <w:color w:val="auto"/>
                <w:sz w:val="24"/>
                <w:szCs w:val="24"/>
                <w:vertAlign w:val="subscript"/>
              </w:rPr>
              <w:t>4</w:t>
            </w:r>
            <w:r>
              <w:rPr>
                <w:rFonts w:hint="default" w:ascii="Times New Roman" w:hAnsi="Times New Roman" w:eastAsia="宋体" w:cs="Times New Roman"/>
                <w:color w:val="auto"/>
                <w:sz w:val="24"/>
                <w:szCs w:val="24"/>
                <w:vertAlign w:val="superscript"/>
              </w:rPr>
              <w:t>al+pl</w:t>
            </w:r>
            <w:r>
              <w:rPr>
                <w:rFonts w:hint="default" w:ascii="Times New Roman" w:hAnsi="Times New Roman" w:eastAsia="宋体" w:cs="Times New Roman"/>
                <w:color w:val="auto"/>
                <w:sz w:val="24"/>
                <w:szCs w:val="24"/>
              </w:rPr>
              <w:t>）&lt;3&gt;：褐黄色，可～硬塑状态，摇振无反应，稍有光泽，干强度高，韧性中等，底部含少量中细砂，采取率为90%</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④砾砂（Q</w:t>
            </w:r>
            <w:r>
              <w:rPr>
                <w:rFonts w:hint="default" w:ascii="Times New Roman" w:hAnsi="Times New Roman" w:eastAsia="宋体" w:cs="Times New Roman"/>
                <w:color w:val="auto"/>
                <w:sz w:val="24"/>
                <w:szCs w:val="24"/>
                <w:vertAlign w:val="subscript"/>
              </w:rPr>
              <w:t>4</w:t>
            </w:r>
            <w:r>
              <w:rPr>
                <w:rFonts w:hint="default" w:ascii="Times New Roman" w:hAnsi="Times New Roman" w:eastAsia="宋体" w:cs="Times New Roman"/>
                <w:color w:val="auto"/>
                <w:sz w:val="24"/>
                <w:szCs w:val="24"/>
                <w:vertAlign w:val="superscript"/>
              </w:rPr>
              <w:t>al+pl</w:t>
            </w:r>
            <w:r>
              <w:rPr>
                <w:rFonts w:hint="default" w:ascii="Times New Roman" w:hAnsi="Times New Roman" w:eastAsia="宋体" w:cs="Times New Roman"/>
                <w:color w:val="auto"/>
                <w:sz w:val="24"/>
                <w:szCs w:val="24"/>
              </w:rPr>
              <w:t>）&lt;4&gt;：灰黄色，灰白色、灰褐色，饱和，呈松散～稍密状，主要成分为石英，泥质含量约10%～15%，圆砾含量约5%～10%，采取率为90%</w:t>
            </w:r>
          </w:p>
          <w:p>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⑤粉质黏土（Q</w:t>
            </w:r>
            <w:r>
              <w:rPr>
                <w:rFonts w:hint="default" w:ascii="Times New Roman" w:hAnsi="Times New Roman" w:eastAsia="宋体" w:cs="Times New Roman"/>
                <w:color w:val="auto"/>
                <w:sz w:val="24"/>
                <w:szCs w:val="24"/>
                <w:vertAlign w:val="subscript"/>
              </w:rPr>
              <w:t>4</w:t>
            </w:r>
            <w:r>
              <w:rPr>
                <w:rFonts w:hint="default" w:ascii="Times New Roman" w:hAnsi="Times New Roman" w:eastAsia="宋体" w:cs="Times New Roman"/>
                <w:color w:val="auto"/>
                <w:sz w:val="24"/>
                <w:szCs w:val="24"/>
                <w:vertAlign w:val="superscript"/>
              </w:rPr>
              <w:t>al+pl</w:t>
            </w:r>
            <w:r>
              <w:rPr>
                <w:rFonts w:hint="default" w:ascii="Times New Roman" w:hAnsi="Times New Roman" w:eastAsia="宋体" w:cs="Times New Roman"/>
                <w:color w:val="auto"/>
                <w:sz w:val="24"/>
                <w:szCs w:val="24"/>
              </w:rPr>
              <w:t>）&lt;5&gt;：褐黄色，可～硬塑状态，摇振无反应，稍有光泽，干强度高，韧性中等，底部含少量中细砂，采取率为90%</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napToGrid w:val="0"/>
                <w:color w:val="auto"/>
                <w:kern w:val="24"/>
                <w:sz w:val="24"/>
                <w:szCs w:val="24"/>
              </w:rPr>
            </w:pPr>
            <w:r>
              <w:rPr>
                <w:rFonts w:hint="default" w:ascii="Times New Roman" w:hAnsi="Times New Roman" w:eastAsia="宋体" w:cs="Times New Roman"/>
                <w:snapToGrid w:val="0"/>
                <w:color w:val="auto"/>
                <w:kern w:val="24"/>
                <w:sz w:val="24"/>
                <w:szCs w:val="24"/>
              </w:rPr>
              <w:t>1）设备选型</w:t>
            </w:r>
          </w:p>
          <w:p>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sz w:val="24"/>
                <w:szCs w:val="24"/>
              </w:rPr>
              <w:t>白泥湖、范家坝湖及三汊港湖</w:t>
            </w:r>
            <w:r>
              <w:rPr>
                <w:rFonts w:hint="default" w:ascii="Times New Roman" w:hAnsi="Times New Roman" w:eastAsia="宋体" w:cs="Times New Roman"/>
                <w:snapToGrid w:val="0"/>
                <w:color w:val="auto"/>
                <w:kern w:val="24"/>
                <w:sz w:val="24"/>
                <w:szCs w:val="24"/>
              </w:rPr>
              <w:t>清淤疏浚工程量大</w:t>
            </w:r>
            <w:r>
              <w:rPr>
                <w:rFonts w:hint="default" w:ascii="Times New Roman" w:hAnsi="Times New Roman" w:eastAsia="宋体" w:cs="Times New Roman"/>
                <w:snapToGrid w:val="0"/>
                <w:color w:val="auto"/>
                <w:kern w:val="0"/>
                <w:sz w:val="24"/>
                <w:szCs w:val="24"/>
              </w:rPr>
              <w:t>，水深，不适合人工或者陆上机械清淤，适合于采用工程船舶。在疏浚行业，按其工作方式，工程船舶可分为机械式和水力式挖泥船，前者有链斗式、抓斗式和铲斗式挖泥船等，后者有耙吸式、绞吸式、斗轮式、吸扬式挖泥船等，各种挖泥船适用范围不一样。</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机械式挖泥船结构较简单，类似于陆用挖掘机械，缺点是不能远距离输送所挖物料，生产效率较低，优点是可在诸如船坞、港口及码头等受限制的水域内施工。其中，链斗式挖泥船虽然效率高，但不适合粘土层。</w:t>
            </w:r>
          </w:p>
          <w:p>
            <w:pPr>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水力式挖泥船不仅可以挖掘物料，而且还可以用泥泵将疏浚土料经排泥管输送到卸料区，或先贮存在船上的泥舱内而后再运至卸料区。由于水力式挖泥船既可以自行挖泥又可自行排泥的连续作业，故具有多功能、较高的效率和经济性。</w:t>
            </w:r>
          </w:p>
          <w:p>
            <w:pPr>
              <w:pageBreakBefore w:val="0"/>
              <w:widowControl w:val="0"/>
              <w:kinsoku/>
              <w:wordWrap/>
              <w:overflowPunct/>
              <w:topLinePunct w:val="0"/>
              <w:autoSpaceDE/>
              <w:autoSpaceDN/>
              <w:bidi w:val="0"/>
              <w:adjustRightInd w:val="0"/>
              <w:spacing w:line="360" w:lineRule="auto"/>
              <w:ind w:firstLine="422" w:firstLineChars="200"/>
              <w:jc w:val="center"/>
              <w:textAlignment w:val="auto"/>
              <w:rPr>
                <w:rFonts w:hint="eastAsia" w:ascii="Times New Roman" w:hAnsi="Times New Roman" w:eastAsia="宋体" w:cs="Times New Roman"/>
                <w:snapToGrid w:val="0"/>
                <w:color w:val="auto"/>
                <w:kern w:val="0"/>
                <w:sz w:val="24"/>
                <w:szCs w:val="24"/>
                <w:lang w:eastAsia="zh-CN"/>
              </w:rPr>
            </w:pPr>
            <w:r>
              <w:rPr>
                <w:rFonts w:hint="eastAsia" w:ascii="Times New Roman" w:hAnsi="Times New Roman" w:cs="Times New Roman"/>
                <w:b/>
                <w:color w:val="auto"/>
                <w:szCs w:val="21"/>
                <w:lang w:val="en-US" w:eastAsia="zh-CN"/>
              </w:rPr>
              <w:t xml:space="preserve">表2-8  </w:t>
            </w:r>
            <w:r>
              <w:rPr>
                <w:rFonts w:hint="default" w:ascii="Times New Roman" w:hAnsi="Times New Roman" w:cs="Times New Roman"/>
                <w:b/>
                <w:color w:val="auto"/>
                <w:szCs w:val="21"/>
              </w:rPr>
              <w:t>各种型式的挖泥船工作原理及特点和适应性</w:t>
            </w:r>
            <w:r>
              <w:rPr>
                <w:rFonts w:hint="eastAsia" w:ascii="Times New Roman" w:hAnsi="Times New Roman" w:cs="Times New Roman"/>
                <w:b/>
                <w:color w:val="auto"/>
                <w:szCs w:val="21"/>
                <w:lang w:val="en-US" w:eastAsia="zh-CN"/>
              </w:rPr>
              <w:t>一览表</w:t>
            </w:r>
          </w:p>
          <w:tbl>
            <w:tblPr>
              <w:tblStyle w:val="25"/>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886"/>
              <w:gridCol w:w="2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船型</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工作原理及特点</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适应性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绞吸式挖泥船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以装于船首的绞刀，搅动和切削土层，并形成泥浆，利用离心式泥泵自水下吸取泥浆，通过吸泥管、泥泵和排泥管（浮管</w:t>
                  </w:r>
                  <w:r>
                    <w:rPr>
                      <w:rFonts w:hint="eastAsia"/>
                      <w:snapToGrid w:val="0"/>
                      <w:color w:val="auto"/>
                      <w:kern w:val="0"/>
                      <w:sz w:val="21"/>
                      <w:szCs w:val="21"/>
                    </w:rPr>
                    <w:t>+</w:t>
                  </w:r>
                  <w:r>
                    <w:rPr>
                      <w:rFonts w:hint="eastAsia" w:ascii="宋体" w:hAnsi="宋体" w:cs="宋体"/>
                      <w:snapToGrid w:val="0"/>
                      <w:color w:val="auto"/>
                      <w:kern w:val="0"/>
                      <w:sz w:val="21"/>
                      <w:szCs w:val="21"/>
                    </w:rPr>
                    <w:t>岸管）输送到排泥区的一种挖泥船型；一般为非自航；按结构分整体式和组合式；安装潜泵，可以获得更大的挖深和更高的生产率；主要采取逆流开挖</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适应性很强，</w:t>
                  </w:r>
                  <w:r>
                    <w:rPr>
                      <w:rFonts w:hint="eastAsia"/>
                      <w:snapToGrid w:val="0"/>
                      <w:color w:val="auto"/>
                      <w:kern w:val="0"/>
                      <w:sz w:val="21"/>
                      <w:szCs w:val="21"/>
                    </w:rPr>
                    <w:t>40MPa</w:t>
                  </w:r>
                  <w:r>
                    <w:rPr>
                      <w:rFonts w:hint="eastAsia" w:ascii="宋体" w:hAnsi="宋体" w:cs="宋体"/>
                      <w:snapToGrid w:val="0"/>
                      <w:color w:val="auto"/>
                      <w:kern w:val="0"/>
                      <w:sz w:val="21"/>
                      <w:szCs w:val="21"/>
                    </w:rPr>
                    <w:t>以下的软岩可以开挖，各种类型的土（粘土、粉土、淤泥质土、砂砾石、淤泥）都可以。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链斗式挖泥船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以一定数量的挖泥斗通过链节串联组成斗链，斗链支承在斗桥的上下导轮和滚轮上，借助导轮的驱动，在斗桥上连续循环转动，使挖泥斗用斗刃或斗齿在水下切割、挖掘砂石（土壤）并保留在挖泥斗中，挖泥斗随着链节的提升，上升到斗塔上部后倾卸入泥井，经溜槽装驳船运出。通过升降斗桥改变挖深，通过船上的首尾和边锚绞车控制船体的横移、前移，从而完成对砂石（土壤）的挖取，还要配备泥驳、砂驳来转移运送疏挖料从而完成疏挖项目；通常采取逆流开挖；</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除对细砂、粉细砂、淤泥质土的挖取工效较低外，其余类型的土体均合适。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铲斗式挖泥船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利用吊杆与斗柄把铲斗伸入水中，切入挖掘层进行铲挖，然后经主起升钢缆和变幅钢缆绕过滑轮把铲斗连同吊杆一并扬起适当的高度，并旋转到卸泥处，拉开斗门卸泥，卸泥后旋回至挖掘点，依次循环进行作业；泥土的转运和输送同</w:t>
                  </w:r>
                  <w:r>
                    <w:rPr>
                      <w:snapToGrid w:val="0"/>
                      <w:color w:val="auto"/>
                      <w:kern w:val="0"/>
                      <w:sz w:val="21"/>
                      <w:szCs w:val="21"/>
                    </w:rPr>
                    <w:t>“</w:t>
                  </w:r>
                  <w:r>
                    <w:rPr>
                      <w:rFonts w:hint="eastAsia" w:ascii="宋体" w:hAnsi="宋体" w:cs="宋体"/>
                      <w:snapToGrid w:val="0"/>
                      <w:color w:val="auto"/>
                      <w:kern w:val="0"/>
                      <w:sz w:val="21"/>
                      <w:szCs w:val="21"/>
                    </w:rPr>
                    <w:t>链斗式挖泥船</w:t>
                  </w:r>
                  <w:r>
                    <w:rPr>
                      <w:rFonts w:hint="eastAsia"/>
                      <w:snapToGrid w:val="0"/>
                      <w:color w:val="auto"/>
                      <w:kern w:val="0"/>
                      <w:sz w:val="21"/>
                      <w:szCs w:val="21"/>
                    </w:rPr>
                    <w:t>”</w:t>
                  </w:r>
                  <w:r>
                    <w:rPr>
                      <w:rFonts w:hint="eastAsia" w:ascii="宋体" w:hAnsi="宋体" w:cs="宋体"/>
                      <w:snapToGrid w:val="0"/>
                      <w:color w:val="auto"/>
                      <w:kern w:val="0"/>
                      <w:sz w:val="21"/>
                      <w:szCs w:val="21"/>
                    </w:rPr>
                    <w:t>；多为非自航式；</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对细砂、稀泥和粘性土不适用。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抓斗式挖泥船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包括船体和挖泥装置，挖泥装置由吊机、吊杆和抓斗组成。吊机是抓放抓斗的起重机械，安装在可旋转</w:t>
                  </w:r>
                  <w:r>
                    <w:rPr>
                      <w:rFonts w:hint="eastAsia"/>
                      <w:snapToGrid w:val="0"/>
                      <w:color w:val="auto"/>
                      <w:kern w:val="0"/>
                      <w:sz w:val="21"/>
                      <w:szCs w:val="21"/>
                    </w:rPr>
                    <w:t>360</w:t>
                  </w:r>
                  <w:r>
                    <w:rPr>
                      <w:rFonts w:hint="eastAsia"/>
                      <w:snapToGrid w:val="0"/>
                      <w:color w:val="auto"/>
                      <w:kern w:val="0"/>
                      <w:sz w:val="21"/>
                      <w:szCs w:val="21"/>
                      <w:vertAlign w:val="superscript"/>
                    </w:rPr>
                    <w:t>0</w:t>
                  </w:r>
                  <w:r>
                    <w:rPr>
                      <w:rFonts w:hint="eastAsia" w:ascii="宋体" w:hAnsi="宋体" w:cs="宋体"/>
                      <w:snapToGrid w:val="0"/>
                      <w:color w:val="auto"/>
                      <w:kern w:val="0"/>
                      <w:sz w:val="21"/>
                      <w:szCs w:val="21"/>
                    </w:rPr>
                    <w:t>的转盘上，抓斗用吊杆和钢丝绳悬挂，挖泥时利用抓斗的自重，切入泥土，然后斗索起吊并关闭抓斗，使</w:t>
                  </w:r>
                  <w:r>
                    <w:rPr>
                      <w:rFonts w:hint="eastAsia"/>
                      <w:snapToGrid w:val="0"/>
                      <w:color w:val="auto"/>
                      <w:kern w:val="0"/>
                      <w:sz w:val="21"/>
                      <w:szCs w:val="21"/>
                    </w:rPr>
                    <w:t xml:space="preserve"> </w:t>
                  </w:r>
                  <w:r>
                    <w:rPr>
                      <w:rFonts w:hint="eastAsia" w:ascii="宋体" w:hAnsi="宋体" w:cs="宋体"/>
                      <w:snapToGrid w:val="0"/>
                      <w:color w:val="auto"/>
                      <w:kern w:val="0"/>
                      <w:sz w:val="21"/>
                      <w:szCs w:val="21"/>
                    </w:rPr>
                    <w:t>抓起的泥土提升至水面以上，转动吊机到预定位置（驳船或转料点），开启抓斗而卸泥，完成一次抓泥作业，重复上述动作进行循环施工，从而达到疏浚效果；泥土的转运和输送同</w:t>
                  </w:r>
                  <w:r>
                    <w:rPr>
                      <w:snapToGrid w:val="0"/>
                      <w:color w:val="auto"/>
                      <w:kern w:val="0"/>
                      <w:sz w:val="21"/>
                      <w:szCs w:val="21"/>
                    </w:rPr>
                    <w:t>“</w:t>
                  </w:r>
                  <w:r>
                    <w:rPr>
                      <w:rFonts w:hint="eastAsia" w:ascii="宋体" w:hAnsi="宋体" w:cs="宋体"/>
                      <w:snapToGrid w:val="0"/>
                      <w:color w:val="auto"/>
                      <w:kern w:val="0"/>
                      <w:sz w:val="21"/>
                      <w:szCs w:val="21"/>
                    </w:rPr>
                    <w:t>链斗式挖泥船</w:t>
                  </w:r>
                  <w:r>
                    <w:rPr>
                      <w:rFonts w:hint="eastAsia"/>
                      <w:snapToGrid w:val="0"/>
                      <w:color w:val="auto"/>
                      <w:kern w:val="0"/>
                      <w:sz w:val="21"/>
                      <w:szCs w:val="21"/>
                    </w:rPr>
                    <w:t>”</w:t>
                  </w:r>
                  <w:r>
                    <w:rPr>
                      <w:rFonts w:hint="eastAsia" w:ascii="宋体" w:hAnsi="宋体" w:cs="宋体"/>
                      <w:snapToGrid w:val="0"/>
                      <w:color w:val="auto"/>
                      <w:kern w:val="0"/>
                      <w:sz w:val="21"/>
                      <w:szCs w:val="21"/>
                    </w:rPr>
                    <w:t>；多采取顺流开挖；多为非自航式；</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对细砂、粉细砂、淤泥质土不适用（泄露大、工效差、污染大），粘土、砾石、卵石等土体和较大石块均合适。现在最新的发展是把抓泥装置安置在大型浮箱组合船或趸船上。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耙吸式挖泥船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在航行过程中借助耙头在水下将泥土挖送，由泥泵通过吸泥管吸入泥沙，并排至自身泥舱，当满舱后，航行到卸泥区，打开泥门进行卸泥。之后又出发，进行下一个循环；外形类似运输货船，有航行和挖泥两套系统，均为自航式；除深水开舱排泥外，还有</w:t>
                  </w:r>
                  <w:r>
                    <w:rPr>
                      <w:snapToGrid w:val="0"/>
                      <w:color w:val="auto"/>
                      <w:kern w:val="0"/>
                      <w:sz w:val="21"/>
                      <w:szCs w:val="21"/>
                    </w:rPr>
                    <w:t>“</w:t>
                  </w:r>
                  <w:r>
                    <w:rPr>
                      <w:rFonts w:hint="eastAsia" w:ascii="宋体" w:hAnsi="宋体" w:cs="宋体"/>
                      <w:snapToGrid w:val="0"/>
                      <w:color w:val="auto"/>
                      <w:kern w:val="0"/>
                      <w:sz w:val="21"/>
                      <w:szCs w:val="21"/>
                    </w:rPr>
                    <w:t>边排架排泥、装舱接岸管自排、指定点集沙区倾卸，其他挖泥船二次挖取</w:t>
                  </w:r>
                  <w:r>
                    <w:rPr>
                      <w:snapToGrid w:val="0"/>
                      <w:color w:val="auto"/>
                      <w:kern w:val="0"/>
                      <w:sz w:val="21"/>
                      <w:szCs w:val="21"/>
                    </w:rPr>
                    <w:t>”</w:t>
                  </w:r>
                  <w:r>
                    <w:rPr>
                      <w:rFonts w:hint="eastAsia" w:ascii="宋体" w:hAnsi="宋体" w:cs="宋体"/>
                      <w:snapToGrid w:val="0"/>
                      <w:color w:val="auto"/>
                      <w:kern w:val="0"/>
                      <w:sz w:val="21"/>
                      <w:szCs w:val="21"/>
                    </w:rPr>
                    <w:t>等作业方式。但是作业时间利用率低、施工质量难控制、吃水深度较大；</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适合挖取淤泥、壤土、松散沙土。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气动泵挖泥船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以压缩空气为动力的水下清淤设备。由泵体（</w:t>
                  </w:r>
                  <w:r>
                    <w:rPr>
                      <w:rFonts w:hint="eastAsia"/>
                      <w:snapToGrid w:val="0"/>
                      <w:color w:val="auto"/>
                      <w:kern w:val="0"/>
                      <w:sz w:val="21"/>
                      <w:szCs w:val="21"/>
                    </w:rPr>
                    <w:t>2~3</w:t>
                  </w:r>
                  <w:r>
                    <w:rPr>
                      <w:rFonts w:hint="eastAsia" w:ascii="宋体" w:hAnsi="宋体" w:cs="宋体"/>
                      <w:snapToGrid w:val="0"/>
                      <w:color w:val="auto"/>
                      <w:kern w:val="0"/>
                      <w:sz w:val="21"/>
                      <w:szCs w:val="21"/>
                    </w:rPr>
                    <w:t>个泵桶，每个泵桶由进气管、进泥管、排泥管、进泥阀、排泥阀和空气阀组成）、压缩空气及空气分配器、控制系统、排泥管系和悬吊、移船、操纵系统。气动泵挖泥时，先操纵移船系统将泵体移到清淤部位并下落到泥沙淤积面，旋转绞刀搅动并切削淤泥土形成泥浆，在压力差作用下，泥浆进入泵桶，当泥浆充满泵桶时，进泥阀门关闭，压缩空气通过分配器进入泵桶，泥浆在压缩空气作用下顶开排泥阀经排泥管排出。适合于近距离排泥或接驳。挖深达</w:t>
                  </w:r>
                  <w:r>
                    <w:rPr>
                      <w:rFonts w:hint="eastAsia"/>
                      <w:snapToGrid w:val="0"/>
                      <w:color w:val="auto"/>
                      <w:kern w:val="0"/>
                      <w:sz w:val="21"/>
                      <w:szCs w:val="21"/>
                    </w:rPr>
                    <w:t>50m</w:t>
                  </w:r>
                  <w:r>
                    <w:rPr>
                      <w:rFonts w:hint="eastAsia" w:ascii="宋体" w:hAnsi="宋体" w:cs="宋体"/>
                      <w:snapToGrid w:val="0"/>
                      <w:color w:val="auto"/>
                      <w:kern w:val="0"/>
                      <w:sz w:val="21"/>
                      <w:szCs w:val="21"/>
                    </w:rPr>
                    <w:t>以上，泥浆浓度高（</w:t>
                  </w:r>
                  <w:r>
                    <w:rPr>
                      <w:rFonts w:hint="eastAsia"/>
                      <w:snapToGrid w:val="0"/>
                      <w:color w:val="auto"/>
                      <w:kern w:val="0"/>
                      <w:sz w:val="21"/>
                      <w:szCs w:val="21"/>
                    </w:rPr>
                    <w:t>40%~60%</w:t>
                  </w:r>
                  <w:r>
                    <w:rPr>
                      <w:rFonts w:hint="eastAsia" w:ascii="宋体" w:hAnsi="宋体" w:cs="宋体"/>
                      <w:snapToGrid w:val="0"/>
                      <w:color w:val="auto"/>
                      <w:kern w:val="0"/>
                      <w:sz w:val="21"/>
                      <w:szCs w:val="21"/>
                    </w:rPr>
                    <w:t>），生产率不高，但是碎石、卵石、杂物容易堵塞泵桶，施工成本高；</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适合挖取数量不多、比较深、地方狭窄处的淤泥。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snapToGrid w:val="0"/>
                      <w:color w:val="auto"/>
                      <w:kern w:val="0"/>
                      <w:sz w:val="21"/>
                      <w:szCs w:val="21"/>
                    </w:rPr>
                    <w:t>水陆两栖式挖泥船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遇水靠螺旋桨推进、遇陆地靠轮胎行走，用挖斗挖取疏浚范围内的泥土卸入接收斗，通过管路或泥驳将疏浚物送到岸上；</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对水位变化幅度较大、交通不便的区域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eastAsia="宋体"/>
                      <w:snapToGrid w:val="0"/>
                      <w:color w:val="auto"/>
                      <w:kern w:val="0"/>
                      <w:sz w:val="21"/>
                      <w:szCs w:val="21"/>
                    </w:rPr>
                    <w:t>水力冲挖机组</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以高压水枪为工具，将沉积的淤泥冲稀、冲散，随着水流汇到泥浆泵进口，通过管道送到弃土区或集浆池；</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适用于工程量分散的清淤，但是生产率不大，增加了淤泥的含水量。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snapToGrid w:val="0"/>
                      <w:color w:val="auto"/>
                      <w:kern w:val="0"/>
                      <w:sz w:val="21"/>
                      <w:szCs w:val="21"/>
                    </w:rPr>
                    <w:t>智能环保清淤船</w:t>
                  </w:r>
                </w:p>
              </w:tc>
              <w:tc>
                <w:tcPr>
                  <w:tcW w:w="3109"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由水下低扰动作业车、水中长管路、水面作业母船及泥浆浓缩设备、高浓泥浆输送管路、岸基固化处理站组成，集清淤、输送、脱水固化于一体的新研发的设备，</w:t>
                  </w:r>
                  <w:r>
                    <w:rPr>
                      <w:rFonts w:hint="eastAsia"/>
                      <w:snapToGrid w:val="0"/>
                      <w:color w:val="auto"/>
                      <w:kern w:val="0"/>
                      <w:sz w:val="21"/>
                      <w:szCs w:val="21"/>
                    </w:rPr>
                    <w:t xml:space="preserve"> </w:t>
                  </w:r>
                  <w:r>
                    <w:rPr>
                      <w:rFonts w:hint="eastAsia" w:ascii="宋体" w:hAnsi="宋体" w:cs="宋体"/>
                      <w:snapToGrid w:val="0"/>
                      <w:color w:val="auto"/>
                      <w:kern w:val="0"/>
                      <w:sz w:val="21"/>
                      <w:szCs w:val="21"/>
                    </w:rPr>
                    <w:t>对周围污染少；</w:t>
                  </w:r>
                </w:p>
              </w:tc>
              <w:tc>
                <w:tcPr>
                  <w:tcW w:w="1292" w:type="pct"/>
                  <w:tcBorders>
                    <w:tl2br w:val="nil"/>
                    <w:tr2bl w:val="nil"/>
                  </w:tcBorders>
                  <w:noWrap w:val="0"/>
                  <w:vAlign w:val="center"/>
                </w:tcPr>
                <w:p>
                  <w:pPr>
                    <w:pStyle w:val="51"/>
                    <w:spacing w:line="240" w:lineRule="auto"/>
                    <w:ind w:firstLine="0" w:firstLineChars="0"/>
                    <w:jc w:val="center"/>
                    <w:rPr>
                      <w:snapToGrid w:val="0"/>
                      <w:color w:val="auto"/>
                      <w:kern w:val="0"/>
                      <w:sz w:val="21"/>
                      <w:szCs w:val="21"/>
                    </w:rPr>
                  </w:pPr>
                  <w:r>
                    <w:rPr>
                      <w:rFonts w:hint="eastAsia" w:ascii="宋体" w:hAnsi="宋体" w:cs="宋体"/>
                      <w:snapToGrid w:val="0"/>
                      <w:color w:val="auto"/>
                      <w:kern w:val="0"/>
                      <w:sz w:val="21"/>
                      <w:szCs w:val="21"/>
                    </w:rPr>
                    <w:t>适用于工程量不大，且水深变化大部位的清淤，生产率不大。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rFonts w:ascii="宋体" w:hAnsi="宋体"/>
                      <w:snapToGrid w:val="0"/>
                      <w:color w:val="auto"/>
                      <w:kern w:val="0"/>
                      <w:sz w:val="21"/>
                      <w:szCs w:val="21"/>
                    </w:rPr>
                  </w:pPr>
                  <w:r>
                    <w:rPr>
                      <w:rFonts w:hint="eastAsia" w:ascii="宋体" w:hAnsi="宋体"/>
                      <w:snapToGrid w:val="0"/>
                      <w:color w:val="auto"/>
                      <w:kern w:val="0"/>
                      <w:sz w:val="21"/>
                      <w:szCs w:val="21"/>
                    </w:rPr>
                    <w:t>吸扬式挖泥船</w:t>
                  </w:r>
                </w:p>
              </w:tc>
              <w:tc>
                <w:tcPr>
                  <w:tcW w:w="3109" w:type="pct"/>
                  <w:tcBorders>
                    <w:tl2br w:val="nil"/>
                    <w:tr2bl w:val="nil"/>
                  </w:tcBorders>
                  <w:noWrap w:val="0"/>
                  <w:vAlign w:val="center"/>
                </w:tcPr>
                <w:p>
                  <w:pPr>
                    <w:adjustRightInd w:val="0"/>
                    <w:snapToGrid w:val="0"/>
                    <w:spacing w:line="240" w:lineRule="auto"/>
                    <w:ind w:firstLine="0" w:firstLineChars="0"/>
                    <w:jc w:val="center"/>
                    <w:rPr>
                      <w:rFonts w:ascii="宋体" w:hAnsi="宋体" w:cs="宋体"/>
                      <w:snapToGrid w:val="0"/>
                      <w:color w:val="auto"/>
                      <w:kern w:val="0"/>
                      <w:sz w:val="21"/>
                      <w:szCs w:val="21"/>
                    </w:rPr>
                  </w:pPr>
                  <w:r>
                    <w:rPr>
                      <w:rFonts w:hint="eastAsia"/>
                      <w:color w:val="auto"/>
                      <w:sz w:val="21"/>
                      <w:szCs w:val="21"/>
                    </w:rPr>
                    <w:t>主要是依靠船上安装的离心式泥泵的作用，在其吸入管中产生一定的真空度，经吸泥头将水底的淤泥 、沙和其他较松散物质与水一起吸起，并提升出水，经泥泵的排出管，将所吸起的泥浆排入泥驳或输送到规定的抛泥地区，最大挖深为50m，会形成象火山口形的底部剖面。</w:t>
                  </w:r>
                </w:p>
              </w:tc>
              <w:tc>
                <w:tcPr>
                  <w:tcW w:w="1292" w:type="pct"/>
                  <w:tcBorders>
                    <w:tl2br w:val="nil"/>
                    <w:tr2bl w:val="nil"/>
                  </w:tcBorders>
                  <w:noWrap w:val="0"/>
                  <w:vAlign w:val="center"/>
                </w:tcPr>
                <w:p>
                  <w:pPr>
                    <w:pStyle w:val="51"/>
                    <w:spacing w:line="240" w:lineRule="auto"/>
                    <w:ind w:firstLine="0" w:firstLineChars="0"/>
                    <w:jc w:val="center"/>
                    <w:rPr>
                      <w:rFonts w:ascii="宋体" w:hAnsi="宋体" w:cs="宋体"/>
                      <w:snapToGrid w:val="0"/>
                      <w:color w:val="auto"/>
                      <w:kern w:val="0"/>
                      <w:sz w:val="21"/>
                      <w:szCs w:val="21"/>
                    </w:rPr>
                  </w:pPr>
                  <w:r>
                    <w:rPr>
                      <w:rFonts w:hint="eastAsia"/>
                      <w:color w:val="auto"/>
                      <w:sz w:val="21"/>
                      <w:szCs w:val="21"/>
                    </w:rPr>
                    <w:t>适合于非粘性砂、砾石。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98" w:type="pct"/>
                  <w:tcBorders>
                    <w:tl2br w:val="nil"/>
                    <w:tr2bl w:val="nil"/>
                  </w:tcBorders>
                  <w:noWrap w:val="0"/>
                  <w:vAlign w:val="center"/>
                </w:tcPr>
                <w:p>
                  <w:pPr>
                    <w:pStyle w:val="51"/>
                    <w:spacing w:line="240" w:lineRule="auto"/>
                    <w:ind w:firstLine="0" w:firstLineChars="0"/>
                    <w:jc w:val="center"/>
                    <w:rPr>
                      <w:rFonts w:ascii="宋体" w:hAnsi="宋体"/>
                      <w:snapToGrid w:val="0"/>
                      <w:color w:val="auto"/>
                      <w:kern w:val="0"/>
                      <w:sz w:val="21"/>
                      <w:szCs w:val="21"/>
                    </w:rPr>
                  </w:pPr>
                  <w:r>
                    <w:rPr>
                      <w:rFonts w:hint="eastAsia" w:ascii="宋体" w:hAnsi="宋体"/>
                      <w:snapToGrid w:val="0"/>
                      <w:color w:val="auto"/>
                      <w:kern w:val="0"/>
                      <w:sz w:val="21"/>
                      <w:szCs w:val="21"/>
                    </w:rPr>
                    <w:t>钻探式抽沙船</w:t>
                  </w:r>
                </w:p>
              </w:tc>
              <w:tc>
                <w:tcPr>
                  <w:tcW w:w="3109" w:type="pct"/>
                  <w:tcBorders>
                    <w:tl2br w:val="nil"/>
                    <w:tr2bl w:val="nil"/>
                  </w:tcBorders>
                  <w:noWrap w:val="0"/>
                  <w:vAlign w:val="center"/>
                </w:tcPr>
                <w:p>
                  <w:pPr>
                    <w:pStyle w:val="51"/>
                    <w:spacing w:line="240" w:lineRule="auto"/>
                    <w:ind w:firstLine="0" w:firstLineChars="0"/>
                    <w:jc w:val="center"/>
                    <w:rPr>
                      <w:color w:val="auto"/>
                      <w:sz w:val="21"/>
                      <w:szCs w:val="21"/>
                    </w:rPr>
                  </w:pPr>
                  <w:r>
                    <w:rPr>
                      <w:rFonts w:hint="eastAsia"/>
                      <w:color w:val="auto"/>
                      <w:sz w:val="21"/>
                      <w:szCs w:val="21"/>
                    </w:rPr>
                    <w:t>钻探式抽沙船是用钻探杆和旋转钻头打通厚厚的泥层，钻探头直接接触沙层并高速旋转，将泥沙层强力搅拌，然后通过高压射水泵射出高压水，将泥层下的砂层冲散，主柴油机再带动大功率抽沙泵，使抽沙泵高速旋转，吸入管产生真空，将钻探头绞散的沙、水、石子混合物从吸入管吸入，然后通过排沙管排到指定位置。钻探式抽沙船机动灵活，经济，投资及运行成本均比绞吸式抽沙船低。产沙量由沙场情况、配套动力及抽沙泵流量决定，大可出沙500立方/小时。抽沙深度深，可达水下20-30米。</w:t>
                  </w:r>
                </w:p>
              </w:tc>
              <w:tc>
                <w:tcPr>
                  <w:tcW w:w="1292" w:type="pct"/>
                  <w:tcBorders>
                    <w:tl2br w:val="nil"/>
                    <w:tr2bl w:val="nil"/>
                  </w:tcBorders>
                  <w:noWrap w:val="0"/>
                  <w:vAlign w:val="center"/>
                </w:tcPr>
                <w:p>
                  <w:pPr>
                    <w:pStyle w:val="51"/>
                    <w:spacing w:line="240" w:lineRule="auto"/>
                    <w:ind w:firstLine="0" w:firstLineChars="0"/>
                    <w:jc w:val="center"/>
                    <w:rPr>
                      <w:color w:val="auto"/>
                      <w:sz w:val="21"/>
                      <w:szCs w:val="21"/>
                    </w:rPr>
                  </w:pPr>
                  <w:r>
                    <w:rPr>
                      <w:rFonts w:hint="eastAsia"/>
                      <w:color w:val="auto"/>
                      <w:sz w:val="21"/>
                      <w:szCs w:val="21"/>
                    </w:rPr>
                    <w:t>钻探式抽沙船适用于河道内泥层厚而且泥层较硬，用绞吸船和射流船均难以施工的复杂地形。</w:t>
                  </w:r>
                </w:p>
              </w:tc>
            </w:tr>
          </w:tbl>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工程特点，白泥湖采用表层清淤扩容措施，可直接用绞吸式挖泥船施工，清淤废弃料可直接用于堤线南岸填塘固基；范家坝湖和三汊港湖抽取粘土层下层的砂石，绞吸式挖泥船对粘土层破坏性大，且施工过程需要大面积的弃渣场， 根据初步计算，按堆场平均厚度</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米计，约需弃渣场2700亩， 通过实地查勘以及与业主、水利部门和国土部门对接讨论，范家坝湖和三汊港湖附近没有合适的区域作为弃渣场，经综合考虑，范家坝湖和三汊港湖水下区域疏浚推荐采用钻探式抽沙船，清淤副产品可直接用于当地建设，清淤副产品按每 3 天进行一次转运，只需约 42 亩的临时堆场，通过实地查勘以及与业主、水利部门和 国土部门对接讨论，范家坝湖和三汊港湖附近有约 114 亩水利设施用地可作为临时堆场。</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按照工程规划，需增加湖泊容积742.02万m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，其中 220.97万m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为增加的渗漏库容，相当于平均挖深约5m，湖底地层上部为淤泥和粉质粘土，下部为砂和砂砾石。白泥湖采用自上而下进行疏挖，清淤弃料可直接吹填至南堤外坡附近的水塘，用以填塘固基。但如果范家坝湖和三汊港湖采用自上而下进行疏挖，疏挖料主要为淤泥和粉质粘土，可以采用绞吸式挖泥船进行疏挖， 需要在疏挖区附近设置大型吹填区，周边找不到如此大的吹填区，而且按照</w:t>
            </w:r>
            <w:r>
              <w:rPr>
                <w:rFonts w:hint="eastAsia" w:ascii="Times New Roman" w:hAnsi="Times New Roman" w:cs="Times New Roman"/>
                <w:color w:val="auto"/>
                <w:sz w:val="24"/>
                <w:szCs w:val="24"/>
                <w:lang w:val="en-US" w:eastAsia="zh-CN"/>
              </w:rPr>
              <w:t>相关</w:t>
            </w:r>
            <w:r>
              <w:rPr>
                <w:rFonts w:hint="default" w:ascii="Times New Roman" w:hAnsi="Times New Roman" w:eastAsia="宋体" w:cs="Times New Roman"/>
                <w:color w:val="auto"/>
                <w:sz w:val="24"/>
                <w:szCs w:val="24"/>
              </w:rPr>
              <w:t>法规，工程活动应防止对保护区生态环境造成破坏，所以自上而下疏挖方案不可行。考虑到下部疏挖料为砂和砂砾石，可作为建筑原料，具有较高的经济效益。可以由当地建设单位作为建筑用砂，不需要设弃渣场，还能充分利用疏挖料的价值，故本阶段推荐采用下部抽砂的方案，采用抽砂船配合皮带输送机上驳船施工的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受堤防和道路等阻隔，白泥湖、范家坝湖和三汊港湖与湘江之间不能通航，船舶需要采用拖车运至湖泊附近，再组装下水。抽砂船利用抽沙泵作为主要的取砂部件，将钻探头绞散的沙、水、石子混合物从吸入管吸入，然后通过驳船运到指定位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napToGrid w:val="0"/>
                <w:color w:val="auto"/>
                <w:kern w:val="0"/>
                <w:sz w:val="24"/>
                <w:szCs w:val="24"/>
                <w:u w:val="single"/>
              </w:rPr>
            </w:pPr>
            <w:r>
              <w:rPr>
                <w:rFonts w:hint="default" w:ascii="Times New Roman" w:hAnsi="Times New Roman" w:eastAsia="宋体" w:cs="Times New Roman"/>
                <w:snapToGrid w:val="0"/>
                <w:color w:val="auto"/>
                <w:kern w:val="0"/>
                <w:sz w:val="24"/>
                <w:szCs w:val="24"/>
                <w:u w:val="single"/>
              </w:rPr>
              <w:t>2）施工方法</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snapToGrid w:val="0"/>
                <w:color w:val="auto"/>
                <w:kern w:val="0"/>
                <w:sz w:val="24"/>
                <w:szCs w:val="24"/>
                <w:u w:val="single"/>
              </w:rPr>
            </w:pPr>
            <w:r>
              <w:rPr>
                <w:rFonts w:hint="default" w:ascii="Times New Roman" w:hAnsi="Times New Roman" w:eastAsia="宋体" w:cs="Times New Roman"/>
                <w:b/>
                <w:bCs/>
                <w:snapToGrid w:val="0"/>
                <w:color w:val="auto"/>
                <w:kern w:val="0"/>
                <w:sz w:val="24"/>
                <w:szCs w:val="24"/>
                <w:u w:val="single"/>
              </w:rPr>
              <w:t>a.绞吸式挖泥船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本工程采用1台500m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h绞吸式挖泥船开挖，利用吸水管前端围绕吸水管装设旋转绞刀装臵，将库底泥沙进行切割和搅动，再经吸泥管将绞起的泥沙物料，借助强大泵力，经排泥管线，输送到临时堆场内。为了使泥沙尽快干结，须将开挖的泥沙做成沟槽状，并在退水口与排水沟相连。</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eastAsia="宋体" w:cs="Times New Roman"/>
                <w:b/>
                <w:bCs/>
                <w:snapToGrid w:val="0"/>
                <w:color w:val="auto"/>
                <w:kern w:val="0"/>
                <w:sz w:val="24"/>
                <w:szCs w:val="24"/>
                <w:u w:val="single"/>
              </w:rPr>
            </w:pPr>
            <w:r>
              <w:rPr>
                <w:rFonts w:hint="default" w:ascii="Times New Roman" w:hAnsi="Times New Roman" w:eastAsia="宋体" w:cs="Times New Roman"/>
                <w:b/>
                <w:bCs/>
                <w:snapToGrid w:val="0"/>
                <w:color w:val="auto"/>
                <w:kern w:val="0"/>
                <w:sz w:val="24"/>
                <w:szCs w:val="24"/>
                <w:u w:val="single"/>
              </w:rPr>
              <w:t>b.钻探式抽沙船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napToGrid w:val="0"/>
                <w:color w:val="auto"/>
                <w:kern w:val="0"/>
                <w:sz w:val="24"/>
                <w:szCs w:val="24"/>
                <w:u w:val="single"/>
              </w:rPr>
            </w:pPr>
            <w:r>
              <w:rPr>
                <w:rFonts w:hint="default" w:ascii="Times New Roman" w:hAnsi="Times New Roman" w:eastAsia="宋体" w:cs="Times New Roman"/>
                <w:snapToGrid w:val="0"/>
                <w:color w:val="auto"/>
                <w:kern w:val="0"/>
                <w:sz w:val="24"/>
                <w:szCs w:val="24"/>
                <w:u w:val="single"/>
              </w:rPr>
              <w:t>钻探式抽沙船一般是可拆卸</w:t>
            </w:r>
            <w:r>
              <w:rPr>
                <w:rFonts w:hint="default" w:ascii="Times New Roman" w:hAnsi="Times New Roman" w:eastAsia="宋体" w:cs="Times New Roman"/>
                <w:color w:val="auto"/>
                <w:sz w:val="24"/>
                <w:szCs w:val="24"/>
                <w:u w:val="single"/>
              </w:rPr>
              <w:t>型的平底船，一般相对较轻，由锚缆定位。根据工程区实际情况，本工程宜选择驳船装运型吸扬式挖泥船，它通过喷嘴喷射系统将泥舱内物料转移至停靠在船边的</w:t>
            </w:r>
            <w:r>
              <w:rPr>
                <w:rFonts w:hint="default" w:ascii="Times New Roman" w:hAnsi="Times New Roman" w:eastAsia="宋体" w:cs="Times New Roman"/>
                <w:snapToGrid w:val="0"/>
                <w:color w:val="auto"/>
                <w:kern w:val="0"/>
                <w:sz w:val="24"/>
                <w:szCs w:val="24"/>
                <w:u w:val="single"/>
              </w:rPr>
              <w:t>驳船上。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工程采用1台20寸泵钻探式抽沙船开挖，钻探式抽沙船是用钻探杆和旋转钻头打通厚厚的泥层，钻探头直接接触沙层并高速旋转，将泥沙层强力搅拌，然后通过高压射水泵射出高压水，将泥层下的砂层冲散，主柴油机再带动大功率抽沙泵，使抽沙泵高速旋转，吸入管产生真空，将钻探头绞散的沙、水、石子混合物从吸入管吸入，然后通过排沙管排到指定位置。抽上来的沙、水、石子混合物，再进行筛分和水洗。为了使泥沙尽快干结，须将开挖的泥沙做成沟槽状，并在退水口与排水沟相连。</w:t>
            </w:r>
            <w:r>
              <w:rPr>
                <w:rFonts w:hint="default" w:ascii="Times New Roman" w:hAnsi="Times New Roman" w:eastAsia="宋体" w:cs="Times New Roman"/>
                <w:snapToGrid w:val="0"/>
                <w:color w:val="auto"/>
                <w:kern w:val="0"/>
                <w:sz w:val="24"/>
                <w:szCs w:val="24"/>
                <w:u w:val="single"/>
              </w:rPr>
              <w:t>在施工时，抽沙船可通过绞车系统缓慢向前移动</w:t>
            </w:r>
            <w:r>
              <w:rPr>
                <w:rFonts w:hint="default" w:ascii="Times New Roman" w:hAnsi="Times New Roman" w:eastAsia="宋体" w:cs="Times New Roman"/>
                <w:color w:val="auto"/>
                <w:sz w:val="24"/>
                <w:szCs w:val="24"/>
                <w:u w:val="single"/>
              </w:rPr>
              <w:t>。</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本工程可选600m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/h钻探式抽沙船，主要参数参考如下：总长40m，总宽12m，型深2.0m，平均吃水0.9m，功率2000马力，最大挖深15±0.5m，抽沙泵20寸，高压水泵14寸。</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rPr>
              <w:t>3）施工</w:t>
            </w:r>
            <w:r>
              <w:rPr>
                <w:rFonts w:hint="eastAsia" w:ascii="Times New Roman" w:hAnsi="Times New Roman" w:cs="Times New Roman"/>
                <w:color w:val="auto"/>
                <w:sz w:val="24"/>
                <w:szCs w:val="24"/>
                <w:u w:val="single"/>
                <w:lang w:val="en-US" w:eastAsia="zh-CN"/>
              </w:rPr>
              <w:t>时序</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（1）测量放线</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根据测量基准点、基准线和水准点等资料复测各控制点的数据并设立自己的施工控制网。</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（2）挖泥船定位</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挖沙船被拖到或自航到起始点位置附近时，用交通艇配合全站仪，先下放斗桥至河底临时固定船位，再依次抛主锚、尾锚和边锚，精确就位。</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3）锚固方法</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在开挖河段的一岸埋设地垅锚固挖泥船的左右横移，生产时用左右横移摆动挖沙，停产时与定位桩一起固定船位。</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4）挖泥船施工方法</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用钻探杆和旋转钻头打通厚厚的泥层至指定高程，钻探头直接接触沙层并高速旋转，将泥沙层强力搅拌，然后通过高压射水泵射出高压水，将泥层下的砂层冲散，主柴油机再带动大功率抽沙泵，使抽沙泵高速旋转，吸入管产生真空，将钻探头绞散的沙、水、石子混合物从吸入管吸入，然后通过排沙管排到指定位置。抽上来的沙、水、石子混合物，再进行筛分和水洗。为了使泥沙尽快干结，须将开挖的泥沙做成沟槽状，并在退水口与排水沟相连。在施工时，抽沙船可通过绞车系统缓慢向前移动。</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5）挖泥船移位</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挖泥船开挖过程中，应监视实时疏挖高程，疏挖至设计指定高程后，应将挖泥船及时移位至下一开挖点，以保证疏挖区域形状等满足设计要求。</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6）疏挖后平整</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疏挖区域内疏挖完成后，应及时测量水下地形，要求疏挖后的形状与高程满足设计要求。</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如果疏挖后疏挖区的范围和平整度不满足设计要求，需要再次进行修整或者疏挖，可以采用链斗式挖泥船或者水上挖机进行，直至满足设计要求，达到治理砂石尾堆四乱、改善行洪条件和保障安全出行等目的。</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（4）临时转存场设置</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受地形影响，周边可以设置临时转存场的场地有限，仅有有零散鱼塘和山地可供布置临时转存场。</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（5）疏浚安排</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汛期时，抽砂船和运砂船施工不能影响当地防洪度汛工作，当湖泊水位超过超警戒水位时，疏挖工作应停止工作。</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bookmarkStart w:id="21" w:name="_Toc266781544"/>
            <w:bookmarkStart w:id="22" w:name="_Toc266871577"/>
            <w:r>
              <w:rPr>
                <w:rFonts w:hint="default" w:ascii="Times New Roman" w:hAnsi="Times New Roman" w:eastAsia="宋体" w:cs="Times New Roman"/>
                <w:color w:val="auto"/>
                <w:sz w:val="24"/>
                <w:szCs w:val="24"/>
                <w:u w:val="single"/>
              </w:rPr>
              <w:t>（6）疏浚工程的质量控制</w:t>
            </w:r>
            <w:bookmarkEnd w:id="21"/>
            <w:bookmarkEnd w:id="22"/>
            <w:r>
              <w:rPr>
                <w:rFonts w:hint="default" w:ascii="Times New Roman" w:hAnsi="Times New Roman" w:eastAsia="宋体" w:cs="Times New Roman"/>
                <w:color w:val="auto"/>
                <w:sz w:val="24"/>
                <w:szCs w:val="24"/>
                <w:u w:val="single"/>
              </w:rPr>
              <w:t>标准</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本疏浚工程质量控制标准为：</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纵断面测点间距不应大于100m，横断面测点间距不应大于30m。</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断面中心线偏移不得大于10m。开挖宽度和深度应符合设计要求，断面边线不允许超出设计边线，允许偏差值为-5m～0。</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高程方面，原则上不允许欠挖，不允许有连续2个欠挖点，局部欠挖不得大于0.3m，允许超挖值为0.5m。浅埂长度小于2.5m。</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水下断面边坡按不陡于1:5控制疏挖。</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疏浚工程施工前，施工单位应仔细研究施工图纸及相关技术资料，对施工作业人员进行技术交底。施工单位应制定复核测量和加密控制的方案，进行放样，在施工中尽量将直线型构造物的主轴线或平行线纳入平面控制网内，根据设计图纸经常校核平面位置、水平标高、控制桩号、边坡坡度是否符合施工图纸要求。</w:t>
            </w:r>
          </w:p>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土方开挖</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bookmarkStart w:id="23" w:name="_Toc270440308"/>
            <w:r>
              <w:rPr>
                <w:rFonts w:hint="default" w:ascii="Times New Roman" w:hAnsi="Times New Roman" w:eastAsia="宋体" w:cs="Times New Roman"/>
                <w:color w:val="auto"/>
                <w:sz w:val="24"/>
                <w:szCs w:val="24"/>
              </w:rPr>
              <w:t>1）土方开挖</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土方开挖包括清基土方开挖和削坡土方开挖，采用0.6m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反铲挖掘机和74kw推土机施工为主、人工施工为辅。其中，清基土方开挖料主要为含草杂土和淤泥质土，全部弃至弃渣场；削坡土方开挖料部分用于自身回填，其余削坡土方就近弃至弃渣场。</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清基边界在设计基面边线外30cm～50cm，基面的淤泥、腐殖土、泥炭土等不合格土和草皮、杂植土等杂物必须清除干净，清基深度一般为30cm。</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2）其他土方开挖</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土方开挖采用0.6m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反铲挖掘机开挖，74kw推土机推运。开挖土料部分堆置于回填部位附近，以备回填之用。其余弃料推运至弃渣场。</w:t>
            </w:r>
          </w:p>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土方回填</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1）土方回填</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堤防回填施工前先清除表土层，清表厚度30cm，土料质量应符合《堤防工程设计规范》（GB50286—2013）及设计的要求，不得含杂草、树根等有机物及石块，不得含腐殖土。相邻施工段的作业面须均衡上升，避免出现陡坎高差。全部回填完成以后，须作整坡压实，保证线型流畅，坡面平顺。</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回填土料采用0.6m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反铲挖装8t自卸汽车运至填筑段作业面卸料，采用59kw推土机平土，74kw拖拉机牵引13.5t振动碾压实。</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土方填筑主要控制指标为：①坡面开挖符合设计要求；②土料含水量符合规程规定；③堤防回填土料压实度不小于0.91（大坝回填土料压实度不小于0.95）；④每400m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填筑料取样一个，其干密度合格率大于80%；⑤竣工后的堤顶线、堤坡线与设计轮廓线的平面误差不超过-5cm～3cm。</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2）其他土方填筑</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方填筑对就近堆存利用土料，采用反铲直接挖装至填筑面，对料场取料，采用8t自卸汽车运输至回填作业面卸料，74kW推土机铺平，每层铺土厚度30cm，回填工作面较大处采用13.5t振动碾压实，工作面较窄处或者边角部位采用人工夯实或蛙式打夯机逐层夯实，填筑土料压实度不小于0.91。</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土方回填与刚性建筑物相接时还应符合下列要求：</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（1）建筑物周边回填土方，宜在建筑物强度达到设计强度70%的情况下施工；</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（2）填土前，应清除建筑物表面的乳皮、粉尘及油污等；对便面的外露铁件宜割除；</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（3）填筑时，需先将建筑物表面湿润，边涂泥浆、边铺土、边夯实，涂浆高度应与铺土厚度一致，并应与下部涂层衔接，严禁泥浆干固后再铺土、夯实；</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（4）建筑物两侧填土，应保持均衡上升。</w:t>
            </w:r>
          </w:p>
          <w:bookmarkEnd w:id="23"/>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雷诺护坡</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雷诺护坡可采用机械和人工相结合的施工方法。雷诺护坡施工，先整坡，使坡比、表面平整度达到设计要求，然后铺设雷诺护垫。雷诺护垫铺设应平整美观。</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（1）整坡</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本次护坡工程采用机械整坡，使坡比、表面平整度达到设计要求，与岸坡的结合面采用刨毛或挖齿槽，对坡面进行整平夯实。</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（2）雷诺护垫铺筑</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雷诺护垫铺筑，先工厂化生产制作出半成品，施工现场按施工图进行组装定型。然后采用机械进行配合吊装铺筑。</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雷诺护垫专业厂家预制，雷诺护垫施工现场需由专业厂家指导施工；其具体施工工艺见相关产品说明书。</w:t>
            </w:r>
          </w:p>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格宾脚槽</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格宾脚槽可采用机械和人工相结合的施工方法。</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（1）格宾组装</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形状规则、绞合牢固、所有竖直面板上边缘在同一水平面上并且确保盖板边缘能够与面板上端水平边缘绞合。</w:t>
            </w:r>
            <w:bookmarkStart w:id="24" w:name="_Toc419445746"/>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（2）格宾摆放、连接要求</w:t>
            </w:r>
            <w:bookmarkEnd w:id="24"/>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摆放时应面（板）对面（板）、背（板）对背（板）；尽量将边板一侧朝向面墙；摆放好的格宾外轮廓线应该整齐划一，边缘链接、绞合紧密。</w:t>
            </w:r>
            <w:bookmarkStart w:id="25" w:name="_Toc419445747"/>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（3）石料装填要求</w:t>
            </w:r>
            <w:bookmarkEnd w:id="25"/>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石料根据当地实际情况，可选择卵石或者片石、块石，石料的粒径需符合设计要求，薄片、条状等形状的石料不宜采用；风化岩石、泥岩等亦不得用作充填石料。格宾要求石料粒径100～300mm为宜,空隙率不超过30％，要求石料质地坚硬，强度等级MU30，比重不小于2.5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，遇水不易崩解和水解，抗风化。特殊情况下可以选择格宾网箱四周装填大石料，中间装填适量的小石料。</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面墙部分施工是关系到格宾挡墙整体外观效果的关键，需选用表面平整、粒径适宜且粗细均匀的石料，格宾靠墙面30cm范围内采取干砌的标准进行摆放。</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考虑到石头沉降，填充石头要有2.5cm～4cm的超高，并且要对上表面进行平整，尽量减小空隙率。</w:t>
            </w:r>
            <w:bookmarkStart w:id="26" w:name="_Toc419445748"/>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（4）盖板闭合作业要求</w:t>
            </w:r>
            <w:bookmarkEnd w:id="26"/>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所有的边缘需绞合到位，所有绞合边缘成一直线，而且绞合点的几根边缘钢丝紧密靠拢。</w:t>
            </w:r>
          </w:p>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2.6、</w:t>
            </w:r>
            <w:r>
              <w:rPr>
                <w:rFonts w:hint="default" w:ascii="Times New Roman" w:hAnsi="Times New Roman" w:eastAsia="宋体" w:cs="Times New Roman"/>
                <w:color w:val="auto"/>
                <w:sz w:val="24"/>
                <w:szCs w:val="24"/>
              </w:rPr>
              <w:t>草皮护坡施工</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草皮护坡采用人工铺草或人工播草籽培育施工。铺草皮前要求坡面铲槽、贴紧、拍平，不宜草皮生长的堤防应先铺设一层腐殖土。草皮铺设要均匀，厚度一般约3cm，并做好浇水养护。</w:t>
            </w:r>
          </w:p>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2.7、</w:t>
            </w:r>
            <w:r>
              <w:rPr>
                <w:rFonts w:hint="default" w:ascii="Times New Roman" w:hAnsi="Times New Roman" w:eastAsia="宋体" w:cs="Times New Roman"/>
                <w:color w:val="auto"/>
                <w:sz w:val="24"/>
                <w:szCs w:val="24"/>
              </w:rPr>
              <w:t>土工布铺设施工</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土工布铺设要求：①基面上无带尖棱硬物，填平坑凹，平整土面或修好坡面按工程要求裁剪、拼幅；②避免织物被损伤和受脏物污染，符合《水利水电工程土工合成材料应用技术规范》（L/T225-98）4.5.4条要求，回填料不得含有损于织物的物质，其压实度符合设计要求；③平地搭接≥30cm，不平或极软地搭接≥50cm；水下适当加宽，有较大位移地段采用缝接坡顶≥50cm，坡趾≥200cm。</w:t>
            </w:r>
          </w:p>
          <w:p>
            <w:pPr>
              <w:pStyle w:val="8"/>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rPr>
              <w:t>脉动灌浆</w:t>
            </w:r>
          </w:p>
          <w:p>
            <w:pPr>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bookmarkStart w:id="27" w:name="_Toc17275884"/>
            <w:r>
              <w:rPr>
                <w:rFonts w:hint="eastAsia" w:ascii="Times New Roman" w:hAnsi="Times New Roman" w:eastAsia="宋体" w:cs="Times New Roman"/>
                <w:b/>
                <w:bCs/>
                <w:color w:val="auto"/>
                <w:sz w:val="24"/>
                <w:szCs w:val="24"/>
                <w:lang w:val="en-US" w:eastAsia="zh-CN"/>
              </w:rPr>
              <w:t>2.8.1、</w:t>
            </w:r>
            <w:r>
              <w:rPr>
                <w:rFonts w:hint="default" w:ascii="Times New Roman" w:hAnsi="Times New Roman" w:eastAsia="宋体" w:cs="Times New Roman"/>
                <w:b/>
                <w:bCs/>
                <w:color w:val="auto"/>
                <w:sz w:val="24"/>
                <w:szCs w:val="24"/>
              </w:rPr>
              <w:t>工艺流程</w:t>
            </w:r>
            <w:bookmarkEnd w:id="27"/>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钻孔、灌浆准备→孔口处下套管并安装灌浆器→灌浆段钻孔洗孔→灌浆段灌入封闭浆体→封闭浆体待凝→选择合适浆液灌浆→自下而上小间隔提升灌注→本灌浆段灌浆结束→进行下一段灌浆→全孔灌浆结束封孔。</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eastAsia="宋体" w:cs="Times New Roman"/>
                <w:color w:val="auto"/>
                <w:sz w:val="24"/>
                <w:szCs w:val="24"/>
              </w:rPr>
              <w:t>施工工艺流程见下图</w:t>
            </w:r>
            <w:r>
              <w:rPr>
                <w:rFonts w:hint="eastAsia" w:ascii="Times New Roman" w:hAnsi="Times New Roman" w:cs="Times New Roman"/>
                <w:color w:val="auto"/>
                <w:sz w:val="24"/>
                <w:szCs w:val="24"/>
                <w:lang w:eastAsia="zh-CN"/>
              </w:rPr>
              <w:t>。</w:t>
            </w:r>
          </w:p>
          <w:p>
            <w:pPr>
              <w:tabs>
                <w:tab w:val="left" w:pos="0"/>
              </w:tabs>
              <w:suppressAutoHyphens/>
              <w:spacing w:line="360" w:lineRule="auto"/>
              <w:rPr>
                <w:color w:val="auto"/>
                <w:sz w:val="28"/>
                <w:szCs w:val="28"/>
              </w:rPr>
            </w:pPr>
            <w:r>
              <w:rPr>
                <w:color w:val="auto"/>
                <w:sz w:val="28"/>
                <w:szCs w:val="28"/>
              </w:rPr>
              <w:drawing>
                <wp:inline distT="0" distB="0" distL="114300" distR="114300">
                  <wp:extent cx="5180965" cy="5175250"/>
                  <wp:effectExtent l="0" t="0" r="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rcRect t="11929" r="2280"/>
                          <a:stretch>
                            <a:fillRect/>
                          </a:stretch>
                        </pic:blipFill>
                        <pic:spPr>
                          <a:xfrm>
                            <a:off x="0" y="0"/>
                            <a:ext cx="5180965" cy="5175250"/>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val="0"/>
              <w:spacing w:line="360" w:lineRule="auto"/>
              <w:ind w:firstLine="422" w:firstLineChars="200"/>
              <w:jc w:val="center"/>
              <w:textAlignment w:val="auto"/>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图2-1  可控挤入复合膏浆防渗灌浆流程图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bookmarkStart w:id="28" w:name="_Toc17275885"/>
            <w:r>
              <w:rPr>
                <w:rFonts w:hint="eastAsia" w:ascii="Times New Roman" w:hAnsi="Times New Roman" w:eastAsia="宋体" w:cs="Times New Roman"/>
                <w:b/>
                <w:bCs/>
                <w:color w:val="auto"/>
                <w:sz w:val="24"/>
                <w:szCs w:val="24"/>
                <w:lang w:val="en-US" w:eastAsia="zh-CN"/>
              </w:rPr>
              <w:t>2.8.2、</w:t>
            </w:r>
            <w:r>
              <w:rPr>
                <w:rFonts w:hint="default" w:ascii="Times New Roman" w:hAnsi="Times New Roman" w:eastAsia="宋体" w:cs="Times New Roman"/>
                <w:b/>
                <w:bCs/>
                <w:color w:val="auto"/>
                <w:sz w:val="24"/>
                <w:szCs w:val="24"/>
              </w:rPr>
              <w:t>钻孔</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1）帷幕灌浆钻孔采用分两序加密的原则进行，双排孔先施工外侧排再施工内侧排；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2）钻孔孔径：终孔孔径不小于φ75mm；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3）钻孔深度：帷幕幕底以进入基岩0.5m进行控制；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4）钻孔施工采用地质钻机跟管配合泥浆护壁钻进；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先导孔施工按照第一排Ⅰ序孔的10%布置，每个单元不小于1个原则布置先导孔。先导孔要求全孔取芯，并绘制先导孔钻孔柱状图和地质剖面图。记录钻孔探明的各地层分布范围、深度、厚度等。先导孔终孔后做注水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bookmarkStart w:id="29" w:name="_Toc17275886"/>
            <w:r>
              <w:rPr>
                <w:rFonts w:hint="eastAsia" w:ascii="Times New Roman" w:hAnsi="Times New Roman" w:eastAsia="宋体" w:cs="Times New Roman"/>
                <w:b/>
                <w:bCs/>
                <w:color w:val="auto"/>
                <w:sz w:val="24"/>
                <w:szCs w:val="24"/>
                <w:lang w:val="en-US" w:eastAsia="zh-CN"/>
              </w:rPr>
              <w:t>2.8.3、</w:t>
            </w:r>
            <w:r>
              <w:rPr>
                <w:rFonts w:hint="default" w:ascii="Times New Roman" w:hAnsi="Times New Roman" w:eastAsia="宋体" w:cs="Times New Roman"/>
                <w:b/>
                <w:bCs/>
                <w:color w:val="auto"/>
                <w:sz w:val="24"/>
                <w:szCs w:val="24"/>
              </w:rPr>
              <w:t>孔口管埋设和灌浆管安装</w:t>
            </w:r>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钻孔验收合格后，首先根据覆盖层厚度埋设孔口管，孔口管采用硬质管材，孔口管露出施工面的高度在10cm左右，长度2.0m。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孔口管埋设后，下入灌浆管至孔底,然后用黏土或细沙回填灌浆管与钻孔之间的环隙至钻孔顶部，安装孔口封闭器。灌浆管的外径与钻孔孔径之差宜为10mm~20mm，若用钻杆作为灌浆管应采用平接头连接。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各段灌浆时灌浆管必须深入灌浆段底部，管口离孔底的距离不得大于50cm。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bookmarkStart w:id="30" w:name="_Toc17275887"/>
            <w:r>
              <w:rPr>
                <w:rFonts w:hint="eastAsia" w:ascii="Times New Roman" w:hAnsi="Times New Roman" w:eastAsia="宋体" w:cs="Times New Roman"/>
                <w:b/>
                <w:bCs/>
                <w:color w:val="auto"/>
                <w:sz w:val="24"/>
                <w:szCs w:val="24"/>
                <w:lang w:val="en-US" w:eastAsia="zh-CN"/>
              </w:rPr>
              <w:t>2.8.4、</w:t>
            </w:r>
            <w:r>
              <w:rPr>
                <w:rFonts w:hint="default" w:ascii="Times New Roman" w:hAnsi="Times New Roman" w:eastAsia="宋体" w:cs="Times New Roman"/>
                <w:b/>
                <w:bCs/>
                <w:color w:val="auto"/>
                <w:sz w:val="24"/>
                <w:szCs w:val="24"/>
              </w:rPr>
              <w:t>灌浆</w:t>
            </w:r>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1）浆体封闭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流程为下灌浆管→浆体配制→泵送灌入→管内赶浆→封闭待凝。其中管内赶浆(灌注浆液进行管内替换)，避免浆体在灌浆管内凝结堵管。为防止封闭浆体返回灌浆管内，对普通的钻杆射浆孔处进行改进，在出浆孔处加设高弹性橡皮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2）灌浆配合比及制浆方法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（1）灌浆配合比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根据类似工程经验成果，拟定灌浆施工浆材采用的配比见下表。</w:t>
            </w:r>
          </w:p>
          <w:p>
            <w:pPr>
              <w:pageBreakBefore w:val="0"/>
              <w:widowControl w:val="0"/>
              <w:kinsoku/>
              <w:wordWrap/>
              <w:overflowPunct/>
              <w:topLinePunct w:val="0"/>
              <w:autoSpaceDE/>
              <w:autoSpaceDN/>
              <w:bidi w:val="0"/>
              <w:adjustRightInd w:val="0"/>
              <w:spacing w:line="360" w:lineRule="auto"/>
              <w:ind w:firstLine="422" w:firstLineChars="200"/>
              <w:jc w:val="center"/>
              <w:textAlignment w:val="auto"/>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表2-9  浆材配比表</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728"/>
              <w:gridCol w:w="851"/>
              <w:gridCol w:w="728"/>
              <w:gridCol w:w="976"/>
              <w:gridCol w:w="976"/>
              <w:gridCol w:w="963"/>
              <w:gridCol w:w="1034"/>
              <w:gridCol w:w="10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3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编号</w:t>
                  </w:r>
                </w:p>
              </w:tc>
              <w:tc>
                <w:tcPr>
                  <w:tcW w:w="4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水泥</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(kg)</w:t>
                  </w:r>
                </w:p>
              </w:tc>
              <w:tc>
                <w:tcPr>
                  <w:tcW w:w="55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膨润土</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(kg)</w:t>
                  </w:r>
                </w:p>
              </w:tc>
              <w:tc>
                <w:tcPr>
                  <w:tcW w:w="4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粘土</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(kg)</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水</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(kg)</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改性剂</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HY-1</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(kg)</w:t>
                  </w:r>
                </w:p>
              </w:tc>
              <w:tc>
                <w:tcPr>
                  <w:tcW w:w="55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流动度</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（mm）</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结合体</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28d强度</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（MPa）</w:t>
                  </w:r>
                </w:p>
              </w:tc>
              <w:tc>
                <w:tcPr>
                  <w:tcW w:w="67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结石体</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抗渗系数</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4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w:t>
                  </w:r>
                </w:p>
              </w:tc>
              <w:tc>
                <w:tcPr>
                  <w:tcW w:w="55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40</w:t>
                  </w:r>
                </w:p>
              </w:tc>
              <w:tc>
                <w:tcPr>
                  <w:tcW w:w="4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60</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140～160</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5～10</w:t>
                  </w:r>
                </w:p>
              </w:tc>
              <w:tc>
                <w:tcPr>
                  <w:tcW w:w="55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65～110</w:t>
                  </w:r>
                </w:p>
              </w:tc>
              <w:tc>
                <w:tcPr>
                  <w:tcW w:w="6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1.6～3.2</w:t>
                  </w:r>
                </w:p>
              </w:tc>
              <w:tc>
                <w:tcPr>
                  <w:tcW w:w="67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1～5*10</w:t>
                  </w:r>
                  <w:r>
                    <w:rPr>
                      <w:rFonts w:hint="default" w:ascii="Times New Roman" w:hAnsi="Times New Roman" w:eastAsia="宋体" w:cs="Times New Roman"/>
                      <w:color w:val="auto"/>
                      <w:kern w:val="0"/>
                      <w:sz w:val="21"/>
                      <w:szCs w:val="21"/>
                      <w:vertAlign w:val="superscript"/>
                    </w:rPr>
                    <w:t>-5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（2）浆液配制方法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 泥浆配制为集中制浆，按（膨润土+粘土）：水(1000kg：1000kg)配制成粘土原浆，配制成的泥浆比重在1.20~1.30g/cm³；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 水泥浆配制为集中制浆，自水泥罐下料至高速制浆机内，按0.6~0.8：1水灰比配制成浓浆，配制成的水泥浆比重在1.70~1.80 g/cm³；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 将一定量的成品泥浆抽至膏浆制浆机内，按比例加入水泥浆进行混合搅拌；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 按比例加入改性剂及早凝型结构剂进行搅拌，搅拌时间大于1min，搅拌均匀。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3）灌浆压力与注入量控制</w:t>
            </w:r>
          </w:p>
          <w:p>
            <w:pPr>
              <w:pageBreakBefore w:val="0"/>
              <w:widowControl w:val="0"/>
              <w:kinsoku/>
              <w:wordWrap/>
              <w:overflowPunct/>
              <w:topLinePunct w:val="0"/>
              <w:autoSpaceDE/>
              <w:autoSpaceDN/>
              <w:bidi w:val="0"/>
              <w:adjustRightInd w:val="0"/>
              <w:spacing w:line="360" w:lineRule="auto"/>
              <w:ind w:firstLine="422" w:firstLineChars="200"/>
              <w:jc w:val="center"/>
              <w:textAlignment w:val="auto"/>
              <w:rPr>
                <w:rFonts w:hint="eastAsia" w:ascii="Times New Roman" w:hAnsi="Times New Roman" w:cs="Times New Roman"/>
                <w:b/>
                <w:color w:val="auto"/>
                <w:szCs w:val="21"/>
                <w:lang w:val="en-US" w:eastAsia="zh-CN"/>
              </w:rPr>
            </w:pPr>
            <w:r>
              <w:rPr>
                <w:rFonts w:hint="eastAsia" w:ascii="Times New Roman" w:hAnsi="Times New Roman" w:cs="Times New Roman"/>
                <w:b/>
                <w:color w:val="auto"/>
                <w:szCs w:val="21"/>
                <w:lang w:val="en-US" w:eastAsia="zh-CN"/>
              </w:rPr>
              <w:t>表2-10  灌浆压力与注入量控制推荐值</w:t>
            </w:r>
          </w:p>
          <w:tbl>
            <w:tblPr>
              <w:tblStyle w:val="25"/>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798"/>
              <w:gridCol w:w="852"/>
              <w:gridCol w:w="838"/>
              <w:gridCol w:w="816"/>
              <w:gridCol w:w="798"/>
              <w:gridCol w:w="852"/>
              <w:gridCol w:w="838"/>
              <w:gridCol w:w="8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tcBorders>
                    <w:tl2br w:val="nil"/>
                    <w:tr2bl w:val="nil"/>
                  </w:tcBorders>
                  <w:noWrap w:val="0"/>
                  <w:vAlign w:val="center"/>
                </w:tcPr>
                <w:p>
                  <w:pPr>
                    <w:widowControl/>
                    <w:spacing w:line="240" w:lineRule="auto"/>
                    <w:ind w:firstLine="0" w:firstLineChars="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孔深（m）</w:t>
                  </w:r>
                </w:p>
              </w:tc>
              <w:tc>
                <w:tcPr>
                  <w:tcW w:w="2102" w:type="pct"/>
                  <w:gridSpan w:val="4"/>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5</w:t>
                  </w:r>
                  <w:r>
                    <w:rPr>
                      <w:rFonts w:hint="default" w:ascii="Times New Roman" w:hAnsi="Times New Roman" w:cs="Times New Roman"/>
                      <w:color w:val="auto"/>
                      <w:kern w:val="0"/>
                      <w:sz w:val="21"/>
                      <w:szCs w:val="21"/>
                    </w:rPr>
                    <w:t>～</w:t>
                  </w:r>
                  <w:r>
                    <w:rPr>
                      <w:rFonts w:hint="default" w:ascii="Times New Roman" w:hAnsi="Times New Roman" w:eastAsia="等线" w:cs="Times New Roman"/>
                      <w:color w:val="auto"/>
                      <w:kern w:val="0"/>
                      <w:sz w:val="21"/>
                      <w:szCs w:val="21"/>
                    </w:rPr>
                    <w:t>10</w:t>
                  </w:r>
                </w:p>
              </w:tc>
              <w:tc>
                <w:tcPr>
                  <w:tcW w:w="2102" w:type="pct"/>
                  <w:gridSpan w:val="4"/>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10</w:t>
                  </w:r>
                  <w:r>
                    <w:rPr>
                      <w:rFonts w:hint="default" w:ascii="Times New Roman" w:hAnsi="Times New Roman" w:cs="Times New Roman"/>
                      <w:color w:val="auto"/>
                      <w:kern w:val="0"/>
                      <w:sz w:val="21"/>
                      <w:szCs w:val="21"/>
                    </w:rPr>
                    <w:t>～</w:t>
                  </w:r>
                  <w:r>
                    <w:rPr>
                      <w:rFonts w:hint="default" w:ascii="Times New Roman" w:hAnsi="Times New Roman" w:eastAsia="等线" w:cs="Times New Roman"/>
                      <w:color w:val="auto"/>
                      <w:kern w:val="0"/>
                      <w:sz w:val="21"/>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tcBorders>
                    <w:tl2br w:val="nil"/>
                    <w:tr2bl w:val="nil"/>
                  </w:tcBorders>
                  <w:noWrap w:val="0"/>
                  <w:vAlign w:val="center"/>
                </w:tcPr>
                <w:p>
                  <w:pPr>
                    <w:widowControl/>
                    <w:spacing w:line="240" w:lineRule="auto"/>
                    <w:ind w:firstLine="0" w:firstLineChars="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提升间隔（m）</w:t>
                  </w:r>
                </w:p>
              </w:tc>
              <w:tc>
                <w:tcPr>
                  <w:tcW w:w="2102" w:type="pct"/>
                  <w:gridSpan w:val="4"/>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0.5</w:t>
                  </w:r>
                </w:p>
              </w:tc>
              <w:tc>
                <w:tcPr>
                  <w:tcW w:w="2102" w:type="pct"/>
                  <w:gridSpan w:val="4"/>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tcBorders>
                    <w:tl2br w:val="nil"/>
                    <w:tr2bl w:val="nil"/>
                  </w:tcBorders>
                  <w:noWrap w:val="0"/>
                  <w:vAlign w:val="center"/>
                </w:tcPr>
                <w:p>
                  <w:pPr>
                    <w:widowControl/>
                    <w:spacing w:line="240" w:lineRule="auto"/>
                    <w:ind w:firstLine="0" w:firstLineChars="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控制参数</w:t>
                  </w:r>
                </w:p>
              </w:tc>
              <w:tc>
                <w:tcPr>
                  <w:tcW w:w="50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Pmin</w:t>
                  </w:r>
                </w:p>
              </w:tc>
              <w:tc>
                <w:tcPr>
                  <w:tcW w:w="54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Vmax</w:t>
                  </w:r>
                </w:p>
              </w:tc>
              <w:tc>
                <w:tcPr>
                  <w:tcW w:w="53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Pmax</w:t>
                  </w:r>
                </w:p>
              </w:tc>
              <w:tc>
                <w:tcPr>
                  <w:tcW w:w="516"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Vmin</w:t>
                  </w:r>
                </w:p>
              </w:tc>
              <w:tc>
                <w:tcPr>
                  <w:tcW w:w="50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Pmin</w:t>
                  </w:r>
                </w:p>
              </w:tc>
              <w:tc>
                <w:tcPr>
                  <w:tcW w:w="54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Vmax</w:t>
                  </w:r>
                </w:p>
              </w:tc>
              <w:tc>
                <w:tcPr>
                  <w:tcW w:w="53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Pmax</w:t>
                  </w:r>
                </w:p>
              </w:tc>
              <w:tc>
                <w:tcPr>
                  <w:tcW w:w="517"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Vmin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Ⅰ</w:t>
                  </w:r>
                  <w:r>
                    <w:rPr>
                      <w:rFonts w:hint="default" w:ascii="Times New Roman" w:hAnsi="Times New Roman" w:cs="Times New Roman"/>
                      <w:color w:val="auto"/>
                      <w:kern w:val="0"/>
                      <w:sz w:val="21"/>
                      <w:szCs w:val="21"/>
                    </w:rPr>
                    <w:t>序孔</w:t>
                  </w:r>
                </w:p>
              </w:tc>
              <w:tc>
                <w:tcPr>
                  <w:tcW w:w="50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0.5</w:t>
                  </w:r>
                </w:p>
              </w:tc>
              <w:tc>
                <w:tcPr>
                  <w:tcW w:w="54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500</w:t>
                  </w:r>
                </w:p>
              </w:tc>
              <w:tc>
                <w:tcPr>
                  <w:tcW w:w="53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1.2</w:t>
                  </w:r>
                </w:p>
              </w:tc>
              <w:tc>
                <w:tcPr>
                  <w:tcW w:w="516"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300</w:t>
                  </w:r>
                </w:p>
              </w:tc>
              <w:tc>
                <w:tcPr>
                  <w:tcW w:w="50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1</w:t>
                  </w:r>
                </w:p>
              </w:tc>
              <w:tc>
                <w:tcPr>
                  <w:tcW w:w="54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800</w:t>
                  </w:r>
                </w:p>
              </w:tc>
              <w:tc>
                <w:tcPr>
                  <w:tcW w:w="53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2</w:t>
                  </w:r>
                </w:p>
              </w:tc>
              <w:tc>
                <w:tcPr>
                  <w:tcW w:w="517"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Ⅱ</w:t>
                  </w:r>
                  <w:r>
                    <w:rPr>
                      <w:rFonts w:hint="default" w:ascii="Times New Roman" w:hAnsi="Times New Roman" w:cs="Times New Roman"/>
                      <w:color w:val="auto"/>
                      <w:kern w:val="0"/>
                      <w:sz w:val="21"/>
                      <w:szCs w:val="21"/>
                    </w:rPr>
                    <w:t>序孔</w:t>
                  </w:r>
                </w:p>
              </w:tc>
              <w:tc>
                <w:tcPr>
                  <w:tcW w:w="50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0.7</w:t>
                  </w:r>
                </w:p>
              </w:tc>
              <w:tc>
                <w:tcPr>
                  <w:tcW w:w="54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500</w:t>
                  </w:r>
                </w:p>
              </w:tc>
              <w:tc>
                <w:tcPr>
                  <w:tcW w:w="53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1.5</w:t>
                  </w:r>
                </w:p>
              </w:tc>
              <w:tc>
                <w:tcPr>
                  <w:tcW w:w="516"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200</w:t>
                  </w:r>
                </w:p>
              </w:tc>
              <w:tc>
                <w:tcPr>
                  <w:tcW w:w="508"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1.3</w:t>
                  </w:r>
                </w:p>
              </w:tc>
              <w:tc>
                <w:tcPr>
                  <w:tcW w:w="542"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700</w:t>
                  </w:r>
                </w:p>
              </w:tc>
              <w:tc>
                <w:tcPr>
                  <w:tcW w:w="533"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2.2</w:t>
                  </w:r>
                </w:p>
              </w:tc>
              <w:tc>
                <w:tcPr>
                  <w:tcW w:w="517" w:type="pct"/>
                  <w:tcBorders>
                    <w:tl2br w:val="nil"/>
                    <w:tr2bl w:val="nil"/>
                  </w:tcBorders>
                  <w:noWrap w:val="0"/>
                  <w:vAlign w:val="center"/>
                </w:tcPr>
                <w:p>
                  <w:pPr>
                    <w:widowControl/>
                    <w:spacing w:line="240" w:lineRule="auto"/>
                    <w:ind w:firstLine="0" w:firstLineChars="0"/>
                    <w:jc w:val="center"/>
                    <w:rPr>
                      <w:rFonts w:hint="default" w:ascii="Times New Roman" w:hAnsi="Times New Roman" w:eastAsia="等线" w:cs="Times New Roman"/>
                      <w:color w:val="auto"/>
                      <w:kern w:val="0"/>
                      <w:sz w:val="21"/>
                      <w:szCs w:val="21"/>
                    </w:rPr>
                  </w:pPr>
                  <w:r>
                    <w:rPr>
                      <w:rFonts w:hint="default" w:ascii="Times New Roman" w:hAnsi="Times New Roman" w:eastAsia="等线" w:cs="Times New Roman"/>
                      <w:color w:val="auto"/>
                      <w:kern w:val="0"/>
                      <w:sz w:val="21"/>
                      <w:szCs w:val="21"/>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40" w:hRule="atLeast"/>
              </w:trPr>
              <w:tc>
                <w:tcPr>
                  <w:tcW w:w="5000" w:type="pct"/>
                  <w:gridSpan w:val="9"/>
                  <w:tcBorders>
                    <w:tl2br w:val="nil"/>
                    <w:tr2bl w:val="nil"/>
                  </w:tcBorders>
                  <w:noWrap w:val="0"/>
                  <w:vAlign w:val="center"/>
                </w:tcPr>
                <w:p>
                  <w:pPr>
                    <w:widowControl/>
                    <w:spacing w:line="240" w:lineRule="auto"/>
                    <w:ind w:firstLine="0" w:firstLineChars="0"/>
                    <w:jc w:val="both"/>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注：1、遇松散、架空、洞隙等注入率较大的孔段，先原位膏浆低压充填灌注，再按上表参数高压劈裂挤密提升灌注。2、表中数据可根据先施工的I、Ⅱ序孔的实际情况，进行动态调整。</w:t>
                  </w:r>
                  <w:r>
                    <w:rPr>
                      <w:rFonts w:hint="default" w:ascii="Times New Roman" w:hAnsi="Times New Roman" w:eastAsia="等线" w:cs="Times New Roman"/>
                      <w:color w:val="auto"/>
                      <w:kern w:val="0"/>
                      <w:sz w:val="21"/>
                      <w:szCs w:val="21"/>
                    </w:rPr>
                    <w:t>3</w:t>
                  </w:r>
                  <w:r>
                    <w:rPr>
                      <w:rFonts w:hint="default" w:ascii="Times New Roman" w:hAnsi="Times New Roman" w:cs="Times New Roman"/>
                      <w:color w:val="auto"/>
                      <w:kern w:val="0"/>
                      <w:sz w:val="21"/>
                      <w:szCs w:val="21"/>
                    </w:rPr>
                    <w:t>、当灌浆段距离孔口</w:t>
                  </w:r>
                  <w:r>
                    <w:rPr>
                      <w:rFonts w:hint="default" w:ascii="Times New Roman" w:hAnsi="Times New Roman" w:eastAsia="等线" w:cs="Times New Roman"/>
                      <w:color w:val="auto"/>
                      <w:kern w:val="0"/>
                      <w:sz w:val="21"/>
                      <w:szCs w:val="21"/>
                    </w:rPr>
                    <w:t>5m</w:t>
                  </w:r>
                  <w:r>
                    <w:rPr>
                      <w:rFonts w:hint="default" w:ascii="Times New Roman" w:hAnsi="Times New Roman" w:cs="Times New Roman"/>
                      <w:color w:val="auto"/>
                      <w:kern w:val="0"/>
                      <w:sz w:val="21"/>
                      <w:szCs w:val="21"/>
                    </w:rPr>
                    <w:t>以内时，灌浆量在</w:t>
                  </w:r>
                  <w:r>
                    <w:rPr>
                      <w:rFonts w:hint="default" w:ascii="Times New Roman" w:hAnsi="Times New Roman" w:eastAsia="等线" w:cs="Times New Roman"/>
                      <w:color w:val="auto"/>
                      <w:kern w:val="0"/>
                      <w:sz w:val="21"/>
                      <w:szCs w:val="21"/>
                    </w:rPr>
                    <w:t>5</w:t>
                  </w:r>
                  <w:r>
                    <w:rPr>
                      <w:rFonts w:hint="default" w:ascii="Times New Roman" w:hAnsi="Times New Roman" w:cs="Times New Roman"/>
                      <w:color w:val="auto"/>
                      <w:kern w:val="0"/>
                      <w:sz w:val="21"/>
                      <w:szCs w:val="21"/>
                    </w:rPr>
                    <w:t>～</w:t>
                  </w:r>
                  <w:r>
                    <w:rPr>
                      <w:rFonts w:hint="default" w:ascii="Times New Roman" w:hAnsi="Times New Roman" w:eastAsia="等线" w:cs="Times New Roman"/>
                      <w:color w:val="auto"/>
                      <w:kern w:val="0"/>
                      <w:sz w:val="21"/>
                      <w:szCs w:val="21"/>
                    </w:rPr>
                    <w:t>10m</w:t>
                  </w:r>
                  <w:r>
                    <w:rPr>
                      <w:rFonts w:hint="default" w:ascii="Times New Roman" w:hAnsi="Times New Roman" w:cs="Times New Roman"/>
                      <w:color w:val="auto"/>
                      <w:kern w:val="0"/>
                      <w:sz w:val="21"/>
                      <w:szCs w:val="21"/>
                    </w:rPr>
                    <w:t>段的基础之上，减半控制。</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4）注入量控制与结束标准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根据选用的浆材所具有的可控特点，为保证灌浆质量、提高灌浆效率，节约浆材，可控灌浆注入量根据拟定的浆量控制标准进行控制。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拟定注入量控制标准：单位注入量为500L/m；在离地面0～5m距离内根据实际现场情况压力及灌注量可减半控制。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控制提升标准：达到以下条件之一，可结束本段提升灌浆管灌注上一段。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（1）达到最大设计压力、最小注入量，结束本段灌浆上提；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（2）达到最大注入量、最小设计压力，结束本段灌浆上提；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（3）吸浆量较大的段，注入率达到拟定控制注入量无法提升至设计压力下限者，加大注入量至设计的1.5倍时，可结束本段灌浆。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5）灌浆孔封孔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单孔灌浆结束后，用浓低流动性膏浆进行注浆封孔，压入浆液析水凝固后，留下的空间用水泥砂浆填实抹平。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z w:val="24"/>
                <w:szCs w:val="24"/>
              </w:rPr>
            </w:pPr>
            <w:bookmarkStart w:id="31" w:name="_Toc17275888"/>
            <w:r>
              <w:rPr>
                <w:rFonts w:hint="eastAsia" w:ascii="Times New Roman" w:hAnsi="Times New Roman" w:cs="Times New Roman"/>
                <w:b/>
                <w:bCs/>
                <w:color w:val="auto"/>
                <w:sz w:val="24"/>
                <w:szCs w:val="24"/>
                <w:lang w:val="en-US" w:eastAsia="zh-CN"/>
              </w:rPr>
              <w:t>2.8.5、</w:t>
            </w:r>
            <w:r>
              <w:rPr>
                <w:rFonts w:hint="eastAsia" w:ascii="Times New Roman" w:hAnsi="Times New Roman" w:eastAsia="宋体" w:cs="Times New Roman"/>
                <w:b/>
                <w:bCs/>
                <w:color w:val="auto"/>
                <w:sz w:val="24"/>
                <w:szCs w:val="24"/>
              </w:rPr>
              <w:t>灌浆质量检查</w:t>
            </w:r>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bookmarkStart w:id="32" w:name="_Toc17275889"/>
            <w:r>
              <w:rPr>
                <w:rFonts w:hint="eastAsia" w:ascii="Times New Roman" w:hAnsi="Times New Roman" w:eastAsia="宋体" w:cs="Times New Roman"/>
                <w:color w:val="auto"/>
                <w:sz w:val="24"/>
                <w:szCs w:val="24"/>
              </w:rPr>
              <w:t>1）检查孔布置</w:t>
            </w:r>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检查孔是检查钻孔注浆在孔间的交联状态、交联部位的厚度，浆液结石体的物理性能、水力性质和帷幕的防渗效率的一种最直接的手段。检查孔的数量一般为注浆钻孔数量的5%，深度应与灌浆孔一致。检查孔的布置原则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（1）帷幕中心线上。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（2）地质条件复杂的部位。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（3）末序孔注入量大的孔段附近。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（4）钻孔偏斜过大、注浆情况不正常以及经分析资料认为对帷幕注浆质量有影响的部位。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bookmarkStart w:id="33" w:name="_Toc17275890"/>
            <w:r>
              <w:rPr>
                <w:rFonts w:hint="eastAsia" w:ascii="Times New Roman" w:hAnsi="Times New Roman" w:eastAsia="宋体" w:cs="Times New Roman"/>
                <w:color w:val="auto"/>
                <w:sz w:val="24"/>
                <w:szCs w:val="24"/>
              </w:rPr>
              <w:t>2）注水试验</w:t>
            </w:r>
            <w:bookmarkEnd w:id="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（1）钻孔注水试验按《注水试验规程》的要求实施；试验段孔径不小于110mm；试验时采用套管隔离试段，管脚应止水，并要求孔口套管高出地面至少0.2m。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（2）在土层中注水试验采用降水头法，在砂砾石中注水试验采用常水头法。试验前应测量稳定水位（停钻时间大于2小时），流量观测时间应大于1小时。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bookmarkStart w:id="34" w:name="_Toc17275891"/>
            <w:r>
              <w:rPr>
                <w:rFonts w:hint="eastAsia" w:ascii="Times New Roman" w:hAnsi="Times New Roman" w:eastAsia="宋体" w:cs="Times New Roman"/>
                <w:color w:val="auto"/>
                <w:sz w:val="24"/>
                <w:szCs w:val="24"/>
              </w:rPr>
              <w:t>3）防渗标准</w:t>
            </w:r>
            <w:bookmarkEnd w:id="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注水试验渗透系数不大于5×10</w:t>
            </w:r>
            <w:r>
              <w:rPr>
                <w:rFonts w:hint="eastAsia" w:ascii="Times New Roman" w:hAnsi="Times New Roman" w:eastAsia="宋体" w:cs="Times New Roman"/>
                <w:color w:val="auto"/>
                <w:sz w:val="24"/>
                <w:szCs w:val="24"/>
                <w:vertAlign w:val="superscript"/>
              </w:rPr>
              <w:t>-5</w:t>
            </w:r>
            <w:r>
              <w:rPr>
                <w:rFonts w:hint="eastAsia" w:ascii="Times New Roman" w:hAnsi="Times New Roman" w:eastAsia="宋体" w:cs="Times New Roman"/>
                <w:color w:val="auto"/>
                <w:sz w:val="24"/>
                <w:szCs w:val="24"/>
              </w:rPr>
              <w:t>cm/s。</w:t>
            </w:r>
          </w:p>
          <w:p>
            <w:pPr>
              <w:pStyle w:val="8"/>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2.9、</w:t>
            </w:r>
            <w:r>
              <w:rPr>
                <w:rFonts w:hint="default" w:ascii="Times New Roman" w:hAnsi="Times New Roman" w:eastAsia="宋体" w:cs="Times New Roman"/>
                <w:color w:val="auto"/>
                <w:sz w:val="24"/>
                <w:szCs w:val="24"/>
              </w:rPr>
              <w:t>砼及钢筋砼施工</w:t>
            </w:r>
          </w:p>
          <w:p>
            <w:pPr>
              <w:pStyle w:val="12"/>
              <w:keepLines w:val="0"/>
              <w:pageBreakBefore w:val="0"/>
              <w:widowControl w:val="0"/>
              <w:kinsoku/>
              <w:wordWrap/>
              <w:overflowPunct/>
              <w:topLinePunct w:val="0"/>
              <w:autoSpaceDE/>
              <w:autoSpaceDN/>
              <w:bidi w:val="0"/>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现浇混凝土主要为输水涵闸、溢洪道等，所有砼均有拌和站拌制。采用0.4m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的混凝土拌和机拌和，手推胶轮车入仓，2.2kW插入式振捣器平仓捣实。入仓后，用插入式振捣器振捣。</w:t>
            </w:r>
          </w:p>
          <w:p>
            <w:pPr>
              <w:keepLines w:val="0"/>
              <w:pageBreakBefore w:val="0"/>
              <w:widowControl w:val="0"/>
              <w:tabs>
                <w:tab w:val="left" w:pos="525"/>
                <w:tab w:val="center" w:pos="5002"/>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lang w:val="en-GB"/>
              </w:rPr>
            </w:pPr>
            <w:r>
              <w:rPr>
                <w:rFonts w:hint="default" w:ascii="Times New Roman" w:hAnsi="Times New Roman" w:eastAsia="宋体" w:cs="Times New Roman"/>
                <w:color w:val="auto"/>
                <w:sz w:val="24"/>
                <w:szCs w:val="24"/>
                <w:lang w:val="en-GB"/>
              </w:rPr>
              <w:t>砼施工技术要求：</w:t>
            </w:r>
            <w:r>
              <w:rPr>
                <w:rFonts w:hint="default" w:ascii="Times New Roman" w:hAnsi="Times New Roman" w:eastAsia="宋体" w:cs="Times New Roman"/>
                <w:color w:val="auto"/>
                <w:sz w:val="24"/>
                <w:szCs w:val="24"/>
                <w:lang w:val="en-GB"/>
              </w:rPr>
              <w:tab/>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1）材料选择及配合比设计原则</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砼的原材料必须按设计有关规范提供，其原材料的储量必须满足施工强度的要求，其中闸体所用水泥要求3天水化热不超过251kJ/kg，7天水化热不超过293 kJ/kg。</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砼的配比原则：</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①水灰比的选定主要根据所要求的强度和耐久性。</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②用水量在满足施工和易性的条件下，力求单位用水量最小。</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③最大的粗骨料粒径根据结构断面和钢筋稠密度等情况确定，初步核定水闸闸体采用2级配。</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④砂率根据选定的骨料级配和易性要求，选择最优砂率。</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2）砼的拌和</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本工程砼采用拌和机生产砼。砼的拌和每班都应进必要的常规试验，检验各项性能指标，并根据实验结果及时进行砼配合比、拌和等的优化和调整。</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3）砼浇筑</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砼的浇筑工艺流程：清仓→入仓铺料→平仓振捣→养护。</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①仓面准备工作：包括基础面处理、施工缝处理、立模、冷动管理埋设、仓面清理等。以上工作完成后，经验收合格后，方能签署准浇令进行砼浇筑。</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铺料：采用分层铺筑，每层间隔时间不超过2小时。平底板砼浇筑时，一般先浇筑齿槽，然后再从一端向另一端浇筑，当底板砼方量较大时，可安排两个作业班组分层通仓浇筑。齿槽浇筑完后，一组从上游开始，另一组从下游开始，交替连环浇筑，缩短每块时间间隔，加快进度，避免产生施工冷缝。</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③平仓振捣：平仓采用人工平仓，砼振捣采用高频振捣器，振捣按序进行，快插慢拔，不漏振或过振，以砼表面不显著下沉，不出现气泡，并开始泛浆为结束标准。</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砼养护：砼浇筑完毕12～18h即开始人工洒水养护，经保证砼面湿润。在炎热或干燥气候情况下，应提前养护。早期砼表面应采用水饱和的覆盖物进行遮盖，以免太阳光直接曝晒，砼养护时间不得小于14天，重要部位和利用后期强度的砼，以及炎热干燥气候条件下，应延长养护时间，一般不得少于28天，养护工作配专人负责，并做好养护记录。</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2）砼冬雨季施工</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雨季施工时，砼浇筑前应排干仓内积水，砼浇筑完应用防水布覆盖，防止雨淋；冬季施工时，在温度较低时应及时对浇筑后的砼用麻袋或草袋覆盖，防止砼冻坏。温度低于零度时，应停止砼工程施工。</w:t>
            </w:r>
          </w:p>
          <w:p>
            <w:pPr>
              <w:keepLines w:val="0"/>
              <w:pageBreakBefore w:val="0"/>
              <w:widowControl w:val="0"/>
              <w:tabs>
                <w:tab w:val="left" w:pos="525"/>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3）混凝土质量控制</w:t>
            </w:r>
          </w:p>
          <w:p>
            <w:pPr>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保证混凝土施工质量满足设计要求，应对施工中各主要环节及硬化后的混凝土质量进行控制和检查。混过凝土施工质量控制采用混凝土强度标准差б＜3.0~4.0；强度保证率P≥90%。且最小强度应大于混凝土设计强度的90%。</w:t>
            </w:r>
          </w:p>
          <w:p>
            <w:pPr>
              <w:pStyle w:val="12"/>
              <w:keepLines w:val="0"/>
              <w:pageBreakBefore w:val="0"/>
              <w:widowControl w:val="0"/>
              <w:kinsoku/>
              <w:wordWrap/>
              <w:overflowPunct/>
              <w:topLinePunct w:val="0"/>
              <w:autoSpaceDE/>
              <w:autoSpaceDN/>
              <w:bidi w:val="0"/>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钢筋加工制作在钢筋加工厂进行，配备CT7-40钢筋弯曲机1台，4KWGQ50B型切断机1台，25KvA电焊机1台，钢筋现场绑扎或焊结。</w:t>
            </w:r>
          </w:p>
          <w:p>
            <w:pPr>
              <w:pStyle w:val="8"/>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2.10、</w:t>
            </w:r>
            <w:r>
              <w:rPr>
                <w:rFonts w:hint="default" w:ascii="Times New Roman" w:hAnsi="Times New Roman" w:eastAsia="宋体" w:cs="Times New Roman"/>
                <w:color w:val="auto"/>
                <w:sz w:val="24"/>
                <w:szCs w:val="24"/>
              </w:rPr>
              <w:t>浆砌石砌筑</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浆砌石采用座浆法分层砌筑，砌筑前应在砌体外将石料上的泥垢冲洗干净，砌筑时保持砌石表面湿润，铺浆厚宜3cm～5cm，随铺浆随砌石，砌缝需用砂浆填充饱满，不得无浆直接贴靠，砌缝内砂浆应采用扁铁插捣密实；严禁先堆砌石块再用砂浆灌缝；上下层砌石应错缝砌筑；砌体外露面应平整美观，外露面上的砌缝应预留约4cm深的空隙，以备勾缝处理；水平缝宽不大于2.5cm，竖缝宽应不大于4cm；砌筑时应避免震动下层砌体；勾缝前必须清缝，用水冲净并保持缝槽内湿润，砂浆应分次向缝内填塞密实；勾缝砂浆标号要高于砌体砂浆。本工程采用水泥砂浆标号为M15，由0.2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移动式砂浆搅拌机拌制，随拌随用。砂料宜用中细砂，水泥宜用42.5普通硅酸盐水泥。石块的形状要大致整齐，边尖应敲去，块重以30～50kg为宜，采用M15砂浆勾缝。块石及砂卵石用8T自卸汽车运输至施工地点，人工抬运至施工仓面。</w:t>
            </w:r>
          </w:p>
          <w:p>
            <w:pPr>
              <w:pStyle w:val="8"/>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2.11、</w:t>
            </w:r>
            <w:r>
              <w:rPr>
                <w:rFonts w:hint="default" w:ascii="Times New Roman" w:hAnsi="Times New Roman" w:eastAsia="宋体" w:cs="Times New Roman"/>
                <w:color w:val="auto"/>
                <w:sz w:val="24"/>
                <w:szCs w:val="24"/>
              </w:rPr>
              <w:t>水下抛石施工</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水下抛护施工一般程序：划分网格，准确定位，掌握落距，定量抛投。</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（1）施工准备</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下抛石护岸为水下隐蔽工程，一般应在枯水季节低水位时施工。施工前，施工单位须按要求做好抛护段测量工作，各施工段每个抛护单元施工前都要实测水下断面图及水流流速，并计算抛石落距。同时，要保证抛护材料的充分供应。石料的尺寸和质量应符合设计要求，大小均匀，级配合理，质地坚硬。</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（2）定位船定位</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水下抛护施工采用定位船控制平面位置，近岸部位铺以小驳船位。定位船经岸上控制点通过经纬仪确定位置后由锚缆固定，船体垂直于水流方向。定位船局部移动，用调节锚缆的方法实现。</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（3）水下抛投施工</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抛护段上、下游端设置标杆，垂直整治线每隔20m划分一个断面，从抛护起始高程起，垂直断面线每隔10m向江中划分，组成施工网格。按坐标网格均匀抛投，不能留空挡。利用机械（一般为反铲挖掘机）抛投。抛投时应自上游往下游进行，横断面上一般由库内向岸边施工。</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整个抛投施工要统一组织，统一指挥，做到准确、平稳、均匀、足量。</w:t>
            </w:r>
          </w:p>
          <w:p>
            <w:pPr>
              <w:pStyle w:val="8"/>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2.12、</w:t>
            </w:r>
            <w:r>
              <w:rPr>
                <w:rFonts w:hint="default" w:ascii="Times New Roman" w:hAnsi="Times New Roman" w:eastAsia="宋体" w:cs="Times New Roman"/>
                <w:color w:val="auto"/>
                <w:sz w:val="24"/>
                <w:szCs w:val="24"/>
              </w:rPr>
              <w:t>防汛公路路面硬化</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路面施工顺序为：路面平整压实</w:t>
            </w:r>
            <w:r>
              <w:rPr>
                <w:rFonts w:hint="default" w:ascii="Times New Roman" w:hAnsi="Times New Roman" w:eastAsia="宋体" w:cs="Times New Roman"/>
                <w:bCs/>
                <w:color w:val="auto"/>
                <w:kern w:val="0"/>
                <w:sz w:val="24"/>
                <w:szCs w:val="24"/>
              </w:rPr>
              <w:t>→</w:t>
            </w:r>
            <w:r>
              <w:rPr>
                <w:rFonts w:hint="default" w:ascii="Times New Roman" w:hAnsi="Times New Roman" w:eastAsia="宋体" w:cs="Times New Roman"/>
                <w:color w:val="auto"/>
                <w:sz w:val="24"/>
                <w:szCs w:val="24"/>
              </w:rPr>
              <w:t>砂石稳定层施工</w:t>
            </w:r>
            <w:r>
              <w:rPr>
                <w:rFonts w:hint="default" w:ascii="Times New Roman" w:hAnsi="Times New Roman" w:eastAsia="宋体" w:cs="Times New Roman"/>
                <w:bCs/>
                <w:color w:val="auto"/>
                <w:kern w:val="0"/>
                <w:sz w:val="24"/>
                <w:szCs w:val="24"/>
              </w:rPr>
              <w:t>→</w:t>
            </w:r>
            <w:r>
              <w:rPr>
                <w:rFonts w:hint="default" w:ascii="Times New Roman" w:hAnsi="Times New Roman" w:eastAsia="宋体" w:cs="Times New Roman"/>
                <w:color w:val="auto"/>
                <w:sz w:val="24"/>
                <w:szCs w:val="24"/>
              </w:rPr>
              <w:t>砼路面施工。</w:t>
            </w:r>
          </w:p>
          <w:p>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路面按《水泥混凝土路面施工及验收规范》施工，公路整平后，用压路机往返予以压实，再铺设碎石垫层，压实整平后再</w:t>
            </w:r>
            <w:r>
              <w:rPr>
                <w:rFonts w:hint="default" w:ascii="Times New Roman" w:hAnsi="Times New Roman" w:eastAsia="宋体" w:cs="Times New Roman"/>
                <w:bCs/>
                <w:color w:val="auto"/>
                <w:sz w:val="24"/>
                <w:szCs w:val="24"/>
              </w:rPr>
              <w:t>浇筑</w:t>
            </w:r>
            <w:r>
              <w:rPr>
                <w:rFonts w:hint="default" w:ascii="Times New Roman" w:hAnsi="Times New Roman" w:eastAsia="宋体" w:cs="Times New Roman"/>
                <w:color w:val="auto"/>
                <w:sz w:val="24"/>
                <w:szCs w:val="24"/>
              </w:rPr>
              <w:t>砼。砼采用移动式0.4m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拌和机拌和，双胶轮车运料、人工平仓，平板式振捣器捣实。</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Times New Roman" w:hAnsi="Times New Roman" w:eastAsia="宋体" w:cs="Times New Roman"/>
                <w:b/>
                <w:bCs w:val="0"/>
                <w:color w:val="auto"/>
                <w:sz w:val="24"/>
                <w:szCs w:val="24"/>
                <w:u w:val="single"/>
                <w:lang w:val="en-US" w:eastAsia="zh-CN"/>
              </w:rPr>
            </w:pPr>
            <w:r>
              <w:rPr>
                <w:rFonts w:hint="eastAsia" w:ascii="Times New Roman" w:hAnsi="Times New Roman" w:eastAsia="宋体" w:cs="Times New Roman"/>
                <w:b/>
                <w:bCs w:val="0"/>
                <w:color w:val="auto"/>
                <w:sz w:val="24"/>
                <w:szCs w:val="24"/>
                <w:u w:val="single"/>
                <w:lang w:val="en-US" w:eastAsia="zh-CN"/>
              </w:rPr>
              <w:t>3、施工总进度</w:t>
            </w:r>
          </w:p>
          <w:p>
            <w:pPr>
              <w:keepNext w:val="0"/>
              <w:keepLines w:val="0"/>
              <w:pageBreakBefore w:val="0"/>
              <w:kinsoku/>
              <w:wordWrap/>
              <w:overflowPunct/>
              <w:topLinePunct w:val="0"/>
              <w:autoSpaceDE/>
              <w:autoSpaceDN/>
              <w:bidi w:val="0"/>
              <w:snapToGrid/>
              <w:spacing w:line="360" w:lineRule="auto"/>
              <w:ind w:firstLine="480" w:firstLineChars="200"/>
              <w:textAlignment w:val="auto"/>
              <w:rPr>
                <w:rFonts w:ascii="Times New Roman" w:hAnsi="Times New Roman"/>
                <w:bCs/>
                <w:color w:val="auto"/>
                <w:szCs w:val="21"/>
                <w:u w:val="single"/>
              </w:rPr>
            </w:pPr>
            <w:r>
              <w:rPr>
                <w:rFonts w:hint="eastAsia" w:ascii="Times New Roman" w:hAnsi="Times New Roman" w:eastAsia="宋体" w:cs="Times New Roman"/>
                <w:bCs/>
                <w:color w:val="auto"/>
                <w:sz w:val="24"/>
                <w:szCs w:val="24"/>
                <w:u w:val="single"/>
                <w:lang w:val="en-US" w:eastAsia="zh-CN"/>
              </w:rPr>
              <w:t>根据工程实际情况，本工程拟在枯水期内（当年10月至次年5月）安排施工，每个枯水期完成部分工程施工。本工程施工总工期24个月，施工准备期为2个月（第1年10月～11月），主体工程工期为19个月（第1年12月～第2年5月，第2年10月～第3年5月，第3年10月～第4年2月），扫尾期为2个月（第四年3月～4月），第四年5月进行工程竣工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29" w:type="pct"/>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 w:val="24"/>
                <w:szCs w:val="24"/>
              </w:rPr>
              <w:t>其他</w:t>
            </w:r>
          </w:p>
        </w:tc>
        <w:tc>
          <w:tcPr>
            <w:tcW w:w="4271" w:type="pct"/>
          </w:tcPr>
          <w:p>
            <w:pPr>
              <w:keepNext w:val="0"/>
              <w:keepLines w:val="0"/>
              <w:pageBreakBefore w:val="0"/>
              <w:widowControl w:val="0"/>
              <w:kinsoku/>
              <w:wordWrap/>
              <w:overflowPunct/>
              <w:topLinePunct w:val="0"/>
              <w:autoSpaceDE/>
              <w:autoSpaceDN/>
              <w:bidi w:val="0"/>
              <w:snapToGrid/>
              <w:spacing w:line="360" w:lineRule="auto"/>
              <w:textAlignment w:val="auto"/>
              <w:rPr>
                <w:rFonts w:hint="eastAsia" w:ascii="Times New Roman" w:hAnsi="Times New Roman" w:eastAsia="宋体" w:cs="Times New Roman"/>
                <w:b/>
                <w:bCs w:val="0"/>
                <w:color w:val="auto"/>
                <w:sz w:val="24"/>
                <w:szCs w:val="24"/>
                <w:u w:val="single"/>
                <w:lang w:val="en-US" w:eastAsia="zh-CN"/>
              </w:rPr>
            </w:pPr>
            <w:r>
              <w:rPr>
                <w:rFonts w:hint="eastAsia" w:ascii="Times New Roman" w:hAnsi="Times New Roman" w:cs="Times New Roman"/>
                <w:b/>
                <w:bCs w:val="0"/>
                <w:color w:val="auto"/>
                <w:sz w:val="24"/>
                <w:szCs w:val="24"/>
                <w:u w:val="single"/>
                <w:lang w:val="en-US" w:eastAsia="zh-CN"/>
              </w:rPr>
              <w:t>1、</w:t>
            </w:r>
            <w:r>
              <w:rPr>
                <w:rFonts w:hint="eastAsia" w:ascii="Times New Roman" w:hAnsi="Times New Roman" w:eastAsia="宋体" w:cs="Times New Roman"/>
                <w:b/>
                <w:bCs w:val="0"/>
                <w:color w:val="auto"/>
                <w:sz w:val="24"/>
                <w:szCs w:val="24"/>
                <w:u w:val="single"/>
                <w:lang w:val="en-US" w:eastAsia="zh-CN"/>
              </w:rPr>
              <w:t>工程土石方平衡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本工程土石方开挖共计</w:t>
            </w:r>
            <w:r>
              <w:rPr>
                <w:rFonts w:hint="eastAsia" w:ascii="Times New Roman" w:hAnsi="Times New Roman" w:cs="Times New Roman"/>
                <w:color w:val="auto"/>
                <w:sz w:val="24"/>
                <w:szCs w:val="24"/>
                <w:u w:val="single"/>
                <w:lang w:val="en-US" w:eastAsia="zh-CN"/>
              </w:rPr>
              <w:t>747.09</w:t>
            </w:r>
            <w:r>
              <w:rPr>
                <w:rFonts w:hint="default" w:ascii="Times New Roman" w:hAnsi="Times New Roman" w:eastAsia="宋体" w:cs="Times New Roman"/>
                <w:color w:val="auto"/>
                <w:sz w:val="24"/>
                <w:szCs w:val="24"/>
                <w:u w:val="single"/>
              </w:rPr>
              <w:t>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，土方填筑共计</w:t>
            </w:r>
            <w:r>
              <w:rPr>
                <w:rFonts w:hint="eastAsia" w:ascii="Times New Roman" w:hAnsi="Times New Roman" w:cs="Times New Roman"/>
                <w:color w:val="auto"/>
                <w:sz w:val="24"/>
                <w:szCs w:val="24"/>
                <w:u w:val="single"/>
                <w:lang w:val="en-US" w:eastAsia="zh-CN"/>
              </w:rPr>
              <w:t>5.06</w:t>
            </w:r>
            <w:r>
              <w:rPr>
                <w:rFonts w:hint="default" w:ascii="Times New Roman" w:hAnsi="Times New Roman" w:eastAsia="宋体" w:cs="Times New Roman"/>
                <w:color w:val="auto"/>
                <w:sz w:val="24"/>
                <w:szCs w:val="24"/>
                <w:u w:val="single"/>
              </w:rPr>
              <w:t>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。其中土石方开挖料部分用于自身回填。经土石方平衡规划，共计利用土石方开挖料为</w:t>
            </w:r>
            <w:r>
              <w:rPr>
                <w:rFonts w:hint="eastAsia" w:ascii="Times New Roman" w:hAnsi="Times New Roman" w:cs="Times New Roman"/>
                <w:color w:val="auto"/>
                <w:sz w:val="24"/>
                <w:szCs w:val="24"/>
                <w:u w:val="single"/>
                <w:lang w:val="en-US" w:eastAsia="zh-CN"/>
              </w:rPr>
              <w:t>3.54</w:t>
            </w:r>
            <w:r>
              <w:rPr>
                <w:rFonts w:hint="default" w:ascii="Times New Roman" w:hAnsi="Times New Roman" w:eastAsia="宋体" w:cs="Times New Roman"/>
                <w:color w:val="auto"/>
                <w:sz w:val="24"/>
                <w:szCs w:val="24"/>
                <w:u w:val="single"/>
              </w:rPr>
              <w:t>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剩余清淤料684.26</w:t>
            </w:r>
            <w:r>
              <w:rPr>
                <w:rFonts w:hint="default" w:ascii="Times New Roman" w:hAnsi="Times New Roman" w:eastAsia="宋体" w:cs="Times New Roman"/>
                <w:color w:val="auto"/>
                <w:sz w:val="24"/>
                <w:szCs w:val="24"/>
                <w:u w:val="single"/>
              </w:rPr>
              <w:t>万m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，计算结果详见表</w:t>
            </w:r>
            <w:r>
              <w:rPr>
                <w:rFonts w:hint="eastAsia" w:ascii="Times New Roman" w:hAnsi="Times New Roman" w:eastAsia="宋体" w:cs="Times New Roman"/>
                <w:color w:val="auto"/>
                <w:sz w:val="24"/>
                <w:szCs w:val="24"/>
                <w:u w:val="single"/>
                <w:lang w:val="en-US" w:eastAsia="zh-CN"/>
              </w:rPr>
              <w:t>2-</w:t>
            </w:r>
            <w:r>
              <w:rPr>
                <w:rFonts w:hint="eastAsia" w:ascii="Times New Roman" w:hAnsi="Times New Roman" w:cs="Times New Roman"/>
                <w:color w:val="auto"/>
                <w:sz w:val="24"/>
                <w:szCs w:val="24"/>
                <w:u w:val="single"/>
                <w:lang w:val="en-US" w:eastAsia="zh-CN"/>
              </w:rPr>
              <w:t>11</w:t>
            </w:r>
            <w:r>
              <w:rPr>
                <w:rFonts w:hint="default" w:ascii="Times New Roman" w:hAnsi="Times New Roman" w:eastAsia="宋体" w:cs="Times New Roman"/>
                <w:color w:val="auto"/>
                <w:sz w:val="24"/>
                <w:szCs w:val="24"/>
                <w:u w:val="single"/>
              </w:rPr>
              <w:t>。</w:t>
            </w:r>
          </w:p>
          <w:p>
            <w:pPr>
              <w:pStyle w:val="54"/>
              <w:keepNext w:val="0"/>
              <w:keepLines w:val="0"/>
              <w:pageBreakBefore w:val="0"/>
              <w:widowControl w:val="0"/>
              <w:tabs>
                <w:tab w:val="center" w:pos="4156"/>
                <w:tab w:val="left" w:pos="7117"/>
              </w:tabs>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b/>
                <w:color w:val="auto"/>
                <w:sz w:val="21"/>
                <w:szCs w:val="21"/>
                <w:u w:val="single"/>
              </w:rPr>
            </w:pPr>
          </w:p>
          <w:p>
            <w:pPr>
              <w:pStyle w:val="54"/>
              <w:keepNext w:val="0"/>
              <w:keepLines w:val="0"/>
              <w:pageBreakBefore w:val="0"/>
              <w:widowControl w:val="0"/>
              <w:tabs>
                <w:tab w:val="center" w:pos="4156"/>
                <w:tab w:val="left" w:pos="7117"/>
              </w:tabs>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eastAsiaTheme="minorEastAsia"/>
                <w:bCs/>
                <w:color w:val="auto"/>
                <w:sz w:val="21"/>
                <w:szCs w:val="21"/>
                <w:u w:val="single"/>
              </w:rPr>
            </w:pPr>
            <w:r>
              <w:rPr>
                <w:rFonts w:hint="default" w:ascii="Times New Roman" w:hAnsi="Times New Roman" w:cs="Times New Roman" w:eastAsiaTheme="minorEastAsia"/>
                <w:b/>
                <w:color w:val="auto"/>
                <w:sz w:val="21"/>
                <w:szCs w:val="21"/>
                <w:u w:val="single"/>
              </w:rPr>
              <w:t>表</w:t>
            </w:r>
            <w:r>
              <w:rPr>
                <w:rFonts w:hint="default" w:ascii="Times New Roman" w:hAnsi="Times New Roman" w:cs="Times New Roman" w:eastAsiaTheme="minorEastAsia"/>
                <w:b/>
                <w:color w:val="auto"/>
                <w:sz w:val="21"/>
                <w:szCs w:val="21"/>
                <w:u w:val="single"/>
                <w:lang w:val="en-US" w:eastAsia="zh-CN"/>
              </w:rPr>
              <w:t>2-</w:t>
            </w:r>
            <w:r>
              <w:rPr>
                <w:rFonts w:hint="eastAsia" w:ascii="Times New Roman" w:hAnsi="Times New Roman" w:cs="Times New Roman" w:eastAsiaTheme="minorEastAsia"/>
                <w:b/>
                <w:color w:val="auto"/>
                <w:sz w:val="21"/>
                <w:szCs w:val="21"/>
                <w:u w:val="single"/>
                <w:lang w:val="en-US" w:eastAsia="zh-CN"/>
              </w:rPr>
              <w:t>11</w:t>
            </w:r>
            <w:r>
              <w:rPr>
                <w:rFonts w:hint="default" w:ascii="Times New Roman" w:hAnsi="Times New Roman" w:cs="Times New Roman" w:eastAsiaTheme="minorEastAsia"/>
                <w:b/>
                <w:color w:val="auto"/>
                <w:sz w:val="21"/>
                <w:szCs w:val="21"/>
                <w:u w:val="single"/>
                <w:lang w:val="en-US" w:eastAsia="zh-CN"/>
              </w:rPr>
              <w:t xml:space="preserve">  </w:t>
            </w:r>
            <w:r>
              <w:rPr>
                <w:rFonts w:hint="default" w:ascii="Times New Roman" w:hAnsi="Times New Roman" w:cs="Times New Roman" w:eastAsiaTheme="minorEastAsia"/>
                <w:b/>
                <w:color w:val="auto"/>
                <w:sz w:val="21"/>
                <w:szCs w:val="21"/>
                <w:u w:val="single"/>
              </w:rPr>
              <w:t>土石方平衡计算表</w:t>
            </w:r>
          </w:p>
          <w:tbl>
            <w:tblPr>
              <w:tblStyle w:val="25"/>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94"/>
              <w:gridCol w:w="923"/>
              <w:gridCol w:w="1215"/>
              <w:gridCol w:w="1223"/>
              <w:gridCol w:w="1014"/>
              <w:gridCol w:w="1017"/>
              <w:gridCol w:w="107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9" w:type="pct"/>
                  <w:vMerge w:val="restar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项目</w:t>
                  </w:r>
                </w:p>
              </w:tc>
              <w:tc>
                <w:tcPr>
                  <w:tcW w:w="2132" w:type="pct"/>
                  <w:gridSpan w:val="3"/>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土石方开挖</w:t>
                  </w:r>
                </w:p>
              </w:tc>
              <w:tc>
                <w:tcPr>
                  <w:tcW w:w="1295" w:type="pct"/>
                  <w:gridSpan w:val="2"/>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土方填筑</w:t>
                  </w:r>
                </w:p>
              </w:tc>
              <w:tc>
                <w:tcPr>
                  <w:tcW w:w="682" w:type="pct"/>
                  <w:vMerge w:val="restar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highlight w:val="yellow"/>
                      <w:u w:val="single"/>
                    </w:rPr>
                  </w:pPr>
                  <w:r>
                    <w:rPr>
                      <w:rFonts w:hint="default" w:ascii="Times New Roman" w:hAnsi="Times New Roman" w:eastAsia="宋体" w:cs="Times New Roman"/>
                      <w:color w:val="auto"/>
                      <w:kern w:val="0"/>
                      <w:sz w:val="21"/>
                      <w:szCs w:val="21"/>
                      <w:u w:val="single"/>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9" w:type="pct"/>
                  <w:vMerge w:val="continue"/>
                  <w:tcBorders>
                    <w:tl2br w:val="nil"/>
                    <w:tr2bl w:val="nil"/>
                  </w:tcBorders>
                  <w:noWrap w:val="0"/>
                  <w:tcMar>
                    <w:top w:w="15" w:type="dxa"/>
                    <w:left w:w="15" w:type="dxa"/>
                    <w:right w:w="15" w:type="dxa"/>
                  </w:tcMar>
                  <w:vAlign w:val="center"/>
                </w:tcPr>
                <w:p>
                  <w:pPr>
                    <w:widowControl/>
                    <w:spacing w:line="360" w:lineRule="auto"/>
                    <w:ind w:firstLine="0" w:firstLineChars="0"/>
                    <w:jc w:val="center"/>
                    <w:rPr>
                      <w:rFonts w:hint="default" w:ascii="Times New Roman" w:hAnsi="Times New Roman" w:eastAsia="宋体" w:cs="Times New Roman"/>
                      <w:color w:val="auto"/>
                      <w:sz w:val="21"/>
                      <w:szCs w:val="21"/>
                      <w:u w:val="single"/>
                    </w:rPr>
                  </w:pPr>
                </w:p>
              </w:tc>
              <w:tc>
                <w:tcPr>
                  <w:tcW w:w="2132" w:type="pct"/>
                  <w:gridSpan w:val="3"/>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（m</w:t>
                  </w:r>
                  <w:r>
                    <w:rPr>
                      <w:rFonts w:hint="default" w:ascii="Times New Roman" w:hAnsi="Times New Roman" w:eastAsia="宋体" w:cs="Times New Roman"/>
                      <w:color w:val="auto"/>
                      <w:kern w:val="0"/>
                      <w:sz w:val="21"/>
                      <w:szCs w:val="21"/>
                      <w:u w:val="single"/>
                      <w:vertAlign w:val="superscript"/>
                    </w:rPr>
                    <w:t>3</w:t>
                  </w:r>
                  <w:r>
                    <w:rPr>
                      <w:rFonts w:hint="default" w:ascii="Times New Roman" w:hAnsi="Times New Roman" w:eastAsia="宋体" w:cs="Times New Roman"/>
                      <w:color w:val="auto"/>
                      <w:kern w:val="0"/>
                      <w:sz w:val="21"/>
                      <w:szCs w:val="21"/>
                      <w:u w:val="single"/>
                    </w:rPr>
                    <w:t>）</w:t>
                  </w:r>
                </w:p>
              </w:tc>
              <w:tc>
                <w:tcPr>
                  <w:tcW w:w="1295" w:type="pct"/>
                  <w:gridSpan w:val="2"/>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（m</w:t>
                  </w:r>
                  <w:r>
                    <w:rPr>
                      <w:rFonts w:hint="default" w:ascii="Times New Roman" w:hAnsi="Times New Roman" w:eastAsia="宋体" w:cs="Times New Roman"/>
                      <w:color w:val="auto"/>
                      <w:kern w:val="0"/>
                      <w:sz w:val="21"/>
                      <w:szCs w:val="21"/>
                      <w:u w:val="single"/>
                      <w:vertAlign w:val="superscript"/>
                    </w:rPr>
                    <w:t>3</w:t>
                  </w:r>
                  <w:r>
                    <w:rPr>
                      <w:rFonts w:hint="default" w:ascii="Times New Roman" w:hAnsi="Times New Roman" w:eastAsia="宋体" w:cs="Times New Roman"/>
                      <w:color w:val="auto"/>
                      <w:kern w:val="0"/>
                      <w:sz w:val="21"/>
                      <w:szCs w:val="21"/>
                      <w:u w:val="single"/>
                    </w:rPr>
                    <w:t>）</w:t>
                  </w:r>
                </w:p>
              </w:tc>
              <w:tc>
                <w:tcPr>
                  <w:tcW w:w="682" w:type="pct"/>
                  <w:vMerge w:val="continue"/>
                  <w:tcBorders>
                    <w:tl2br w:val="nil"/>
                    <w:tr2bl w:val="nil"/>
                  </w:tcBorders>
                  <w:noWrap w:val="0"/>
                  <w:tcMar>
                    <w:top w:w="15" w:type="dxa"/>
                    <w:left w:w="15" w:type="dxa"/>
                    <w:right w:w="15" w:type="dxa"/>
                  </w:tcMar>
                  <w:vAlign w:val="center"/>
                </w:tcPr>
                <w:p>
                  <w:pPr>
                    <w:widowControl/>
                    <w:spacing w:line="360" w:lineRule="auto"/>
                    <w:ind w:firstLine="0" w:firstLineChars="0"/>
                    <w:jc w:val="center"/>
                    <w:rPr>
                      <w:rFonts w:hint="default" w:ascii="Times New Roman" w:hAnsi="Times New Roman" w:eastAsia="宋体" w:cs="Times New Roman"/>
                      <w:color w:val="auto"/>
                      <w:sz w:val="21"/>
                      <w:szCs w:val="21"/>
                      <w:highlight w:val="yellow"/>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89" w:type="pct"/>
                  <w:vMerge w:val="continue"/>
                  <w:tcBorders>
                    <w:tl2br w:val="nil"/>
                    <w:tr2bl w:val="nil"/>
                  </w:tcBorders>
                  <w:noWrap w:val="0"/>
                  <w:tcMar>
                    <w:top w:w="15" w:type="dxa"/>
                    <w:left w:w="15" w:type="dxa"/>
                    <w:right w:w="15" w:type="dxa"/>
                  </w:tcMar>
                  <w:vAlign w:val="center"/>
                </w:tcPr>
                <w:p>
                  <w:pPr>
                    <w:widowControl/>
                    <w:spacing w:line="360" w:lineRule="auto"/>
                    <w:ind w:firstLine="0" w:firstLineChars="0"/>
                    <w:jc w:val="center"/>
                    <w:rPr>
                      <w:rFonts w:hint="default" w:ascii="Times New Roman" w:hAnsi="Times New Roman" w:eastAsia="宋体" w:cs="Times New Roman"/>
                      <w:color w:val="auto"/>
                      <w:sz w:val="21"/>
                      <w:szCs w:val="21"/>
                      <w:u w:val="single"/>
                    </w:rPr>
                  </w:pPr>
                </w:p>
              </w:tc>
              <w:tc>
                <w:tcPr>
                  <w:tcW w:w="577"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开挖量</w:t>
                  </w:r>
                </w:p>
              </w:tc>
              <w:tc>
                <w:tcPr>
                  <w:tcW w:w="775"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利用量</w:t>
                  </w:r>
                </w:p>
              </w:tc>
              <w:tc>
                <w:tcPr>
                  <w:tcW w:w="779"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kern w:val="0"/>
                      <w:sz w:val="21"/>
                      <w:szCs w:val="21"/>
                      <w:u w:val="single"/>
                      <w:lang w:val="en-US" w:eastAsia="zh-CN"/>
                    </w:rPr>
                    <w:t>剩余清淤料</w:t>
                  </w:r>
                </w:p>
              </w:tc>
              <w:tc>
                <w:tcPr>
                  <w:tcW w:w="647"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填筑量</w:t>
                  </w:r>
                </w:p>
              </w:tc>
              <w:tc>
                <w:tcPr>
                  <w:tcW w:w="647"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利用量</w:t>
                  </w:r>
                </w:p>
              </w:tc>
              <w:tc>
                <w:tcPr>
                  <w:tcW w:w="682" w:type="pct"/>
                  <w:vMerge w:val="restar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eastAsia" w:ascii="Times New Roman" w:hAnsi="Times New Roman" w:eastAsia="宋体" w:cs="Times New Roman"/>
                      <w:color w:val="auto"/>
                      <w:sz w:val="21"/>
                      <w:szCs w:val="21"/>
                      <w:highlight w:val="yellow"/>
                      <w:u w:val="single"/>
                      <w:lang w:val="en-US" w:eastAsia="zh-CN"/>
                    </w:rPr>
                  </w:pPr>
                  <w:r>
                    <w:rPr>
                      <w:rFonts w:hint="eastAsia" w:ascii="Times New Roman" w:hAnsi="Times New Roman" w:eastAsia="宋体" w:cs="Times New Roman"/>
                      <w:color w:val="auto"/>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9"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清淤</w:t>
                  </w:r>
                </w:p>
              </w:tc>
              <w:tc>
                <w:tcPr>
                  <w:tcW w:w="907"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7420401.0</w:t>
                  </w:r>
                </w:p>
              </w:tc>
              <w:tc>
                <w:tcPr>
                  <w:tcW w:w="1218"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593000.0</w:t>
                  </w:r>
                </w:p>
              </w:tc>
              <w:tc>
                <w:tcPr>
                  <w:tcW w:w="1226"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6827401.0</w:t>
                  </w:r>
                </w:p>
              </w:tc>
              <w:tc>
                <w:tcPr>
                  <w:tcW w:w="2035" w:type="dxa"/>
                  <w:gridSpan w:val="2"/>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w:t>
                  </w:r>
                </w:p>
              </w:tc>
              <w:tc>
                <w:tcPr>
                  <w:tcW w:w="682" w:type="pct"/>
                  <w:vMerge w:val="continue"/>
                  <w:tcBorders>
                    <w:tl2br w:val="nil"/>
                    <w:tr2bl w:val="nil"/>
                  </w:tcBorders>
                  <w:noWrap w:val="0"/>
                  <w:tcMar>
                    <w:top w:w="15" w:type="dxa"/>
                    <w:left w:w="15" w:type="dxa"/>
                    <w:right w:w="15" w:type="dxa"/>
                  </w:tcMar>
                  <w:vAlign w:val="center"/>
                </w:tcPr>
                <w:p>
                  <w:pPr>
                    <w:widowControl/>
                    <w:spacing w:line="360" w:lineRule="auto"/>
                    <w:ind w:firstLine="0" w:firstLineChars="0"/>
                    <w:jc w:val="center"/>
                    <w:rPr>
                      <w:rFonts w:hint="default" w:ascii="Times New Roman" w:hAnsi="Times New Roman" w:eastAsia="宋体" w:cs="Times New Roman"/>
                      <w:color w:val="auto"/>
                      <w:sz w:val="21"/>
                      <w:szCs w:val="21"/>
                      <w:highlight w:val="yellow"/>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9" w:type="pct"/>
                  <w:tcBorders>
                    <w:tl2br w:val="nil"/>
                    <w:tr2bl w:val="nil"/>
                  </w:tcBorders>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涵闸、泵站改造工程</w:t>
                  </w:r>
                </w:p>
              </w:tc>
              <w:tc>
                <w:tcPr>
                  <w:tcW w:w="907"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50543.6</w:t>
                  </w:r>
                </w:p>
              </w:tc>
              <w:tc>
                <w:tcPr>
                  <w:tcW w:w="1218"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35380.5</w:t>
                  </w:r>
                </w:p>
              </w:tc>
              <w:tc>
                <w:tcPr>
                  <w:tcW w:w="1226"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15163.1</w:t>
                  </w:r>
                </w:p>
              </w:tc>
              <w:tc>
                <w:tcPr>
                  <w:tcW w:w="1015"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50623.4</w:t>
                  </w:r>
                </w:p>
              </w:tc>
              <w:tc>
                <w:tcPr>
                  <w:tcW w:w="1020"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35380.5</w:t>
                  </w:r>
                </w:p>
              </w:tc>
              <w:tc>
                <w:tcPr>
                  <w:tcW w:w="682" w:type="pct"/>
                  <w:vMerge w:val="continue"/>
                  <w:tcBorders>
                    <w:tl2br w:val="nil"/>
                    <w:tr2bl w:val="nil"/>
                  </w:tcBorders>
                  <w:noWrap w:val="0"/>
                  <w:tcMar>
                    <w:top w:w="15" w:type="dxa"/>
                    <w:left w:w="15" w:type="dxa"/>
                    <w:right w:w="15" w:type="dxa"/>
                  </w:tcMar>
                  <w:vAlign w:val="center"/>
                </w:tcPr>
                <w:p>
                  <w:pPr>
                    <w:widowControl/>
                    <w:spacing w:line="360" w:lineRule="auto"/>
                    <w:ind w:firstLine="0" w:firstLineChars="0"/>
                    <w:jc w:val="center"/>
                    <w:rPr>
                      <w:rFonts w:hint="default" w:ascii="Times New Roman" w:hAnsi="Times New Roman" w:eastAsia="宋体" w:cs="Times New Roman"/>
                      <w:color w:val="auto"/>
                      <w:sz w:val="21"/>
                      <w:szCs w:val="21"/>
                      <w:highlight w:val="yellow"/>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85" w:hRule="atLeast"/>
              </w:trPr>
              <w:tc>
                <w:tcPr>
                  <w:tcW w:w="889" w:type="pct"/>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kern w:val="0"/>
                      <w:sz w:val="21"/>
                      <w:szCs w:val="21"/>
                      <w:u w:val="single"/>
                    </w:rPr>
                    <w:t>合计</w:t>
                  </w:r>
                </w:p>
              </w:tc>
              <w:tc>
                <w:tcPr>
                  <w:tcW w:w="907"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7470944.6</w:t>
                  </w:r>
                </w:p>
              </w:tc>
              <w:tc>
                <w:tcPr>
                  <w:tcW w:w="1218"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628380.5</w:t>
                  </w:r>
                </w:p>
              </w:tc>
              <w:tc>
                <w:tcPr>
                  <w:tcW w:w="1226"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6842564.1</w:t>
                  </w:r>
                </w:p>
              </w:tc>
              <w:tc>
                <w:tcPr>
                  <w:tcW w:w="1015"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50623.4</w:t>
                  </w:r>
                </w:p>
              </w:tc>
              <w:tc>
                <w:tcPr>
                  <w:tcW w:w="1020" w:type="dxa"/>
                  <w:tcBorders>
                    <w:tl2br w:val="nil"/>
                    <w:tr2bl w:val="nil"/>
                  </w:tcBorders>
                  <w:noWrap w:val="0"/>
                  <w:tcMar>
                    <w:top w:w="15" w:type="dxa"/>
                    <w:left w:w="15" w:type="dxa"/>
                    <w:right w:w="15" w:type="dxa"/>
                  </w:tcMar>
                  <w:vAlign w:val="center"/>
                </w:tcPr>
                <w:p>
                  <w:pPr>
                    <w:widowControl/>
                    <w:spacing w:line="360" w:lineRule="auto"/>
                    <w:ind w:firstLine="0" w:firstLine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u w:val="single"/>
                    </w:rPr>
                    <w:t>35380.5</w:t>
                  </w:r>
                </w:p>
              </w:tc>
              <w:tc>
                <w:tcPr>
                  <w:tcW w:w="682" w:type="pct"/>
                  <w:vMerge w:val="continue"/>
                  <w:tcBorders>
                    <w:tl2br w:val="nil"/>
                    <w:tr2bl w:val="nil"/>
                  </w:tcBorders>
                  <w:noWrap w:val="0"/>
                  <w:tcMar>
                    <w:top w:w="15" w:type="dxa"/>
                    <w:left w:w="15" w:type="dxa"/>
                    <w:right w:w="15" w:type="dxa"/>
                  </w:tcMar>
                  <w:vAlign w:val="center"/>
                </w:tcPr>
                <w:p>
                  <w:pPr>
                    <w:widowControl/>
                    <w:spacing w:line="360" w:lineRule="auto"/>
                    <w:ind w:firstLine="0" w:firstLineChars="0"/>
                    <w:jc w:val="center"/>
                    <w:rPr>
                      <w:rFonts w:hint="default" w:ascii="Times New Roman" w:hAnsi="Times New Roman" w:eastAsia="宋体" w:cs="Times New Roman"/>
                      <w:color w:val="auto"/>
                      <w:sz w:val="21"/>
                      <w:szCs w:val="21"/>
                      <w:u w:val="single"/>
                    </w:rPr>
                  </w:pPr>
                </w:p>
              </w:tc>
            </w:tr>
          </w:tbl>
          <w:p>
            <w:pPr>
              <w:keepNext w:val="0"/>
              <w:keepLines w:val="0"/>
              <w:pageBreakBefore w:val="0"/>
              <w:widowControl w:val="0"/>
              <w:kinsoku/>
              <w:wordWrap/>
              <w:overflowPunct/>
              <w:topLinePunct w:val="0"/>
              <w:autoSpaceDE/>
              <w:autoSpaceDN/>
              <w:bidi w:val="0"/>
              <w:snapToGrid/>
              <w:spacing w:line="360" w:lineRule="auto"/>
              <w:textAlignment w:val="auto"/>
              <w:rPr>
                <w:rFonts w:hint="eastAsia" w:ascii="Times New Roman" w:hAnsi="Times New Roman" w:cs="Times New Roman"/>
                <w:b/>
                <w:bCs w:val="0"/>
                <w:color w:val="auto"/>
                <w:sz w:val="24"/>
                <w:szCs w:val="24"/>
                <w:u w:val="single"/>
                <w:lang w:val="en-US" w:eastAsia="zh-CN"/>
              </w:rPr>
            </w:pPr>
            <w:r>
              <w:rPr>
                <w:rFonts w:hint="eastAsia" w:ascii="Times New Roman" w:hAnsi="Times New Roman" w:cs="Times New Roman"/>
                <w:b/>
                <w:bCs w:val="0"/>
                <w:color w:val="auto"/>
                <w:sz w:val="24"/>
                <w:szCs w:val="24"/>
                <w:u w:val="single"/>
                <w:lang w:val="en-US" w:eastAsia="zh-CN"/>
              </w:rPr>
              <w:t>2、弃渣场设计</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Times New Roman" w:hAnsi="Times New Roman" w:cs="Times New Roman"/>
                <w:b/>
                <w:bCs w:val="0"/>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余方全部利用到其他建设项目用作其建筑材料来源，本工程不设置弃渣场。</w:t>
            </w:r>
          </w:p>
          <w:p>
            <w:pPr>
              <w:keepNext w:val="0"/>
              <w:keepLines w:val="0"/>
              <w:pageBreakBefore w:val="0"/>
              <w:widowControl w:val="0"/>
              <w:kinsoku/>
              <w:wordWrap/>
              <w:overflowPunct/>
              <w:topLinePunct w:val="0"/>
              <w:autoSpaceDE/>
              <w:autoSpaceDN/>
              <w:bidi w:val="0"/>
              <w:snapToGrid/>
              <w:spacing w:line="360" w:lineRule="auto"/>
              <w:textAlignment w:val="auto"/>
              <w:rPr>
                <w:rFonts w:hint="default" w:ascii="Times New Roman" w:hAnsi="Times New Roman" w:cs="Times New Roman"/>
                <w:b/>
                <w:bCs w:val="0"/>
                <w:color w:val="auto"/>
                <w:sz w:val="24"/>
                <w:szCs w:val="24"/>
                <w:u w:val="single"/>
                <w:lang w:val="en-US" w:eastAsia="zh-CN"/>
              </w:rPr>
            </w:pPr>
            <w:r>
              <w:rPr>
                <w:rFonts w:hint="eastAsia" w:ascii="Times New Roman" w:hAnsi="Times New Roman" w:cs="Times New Roman"/>
                <w:b/>
                <w:bCs w:val="0"/>
                <w:color w:val="auto"/>
                <w:sz w:val="24"/>
                <w:szCs w:val="24"/>
                <w:u w:val="single"/>
                <w:lang w:val="en-US" w:eastAsia="zh-CN"/>
              </w:rPr>
              <w:t>3、</w:t>
            </w:r>
            <w:r>
              <w:rPr>
                <w:rFonts w:hint="default" w:ascii="Times New Roman" w:hAnsi="Times New Roman" w:cs="Times New Roman"/>
                <w:b/>
                <w:bCs w:val="0"/>
                <w:color w:val="auto"/>
                <w:sz w:val="24"/>
                <w:szCs w:val="24"/>
                <w:u w:val="single"/>
                <w:lang w:val="en-US" w:eastAsia="zh-CN"/>
              </w:rPr>
              <w:t>临时堆场位置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本项目存在施工量较大，弃渣量较大，施工期长等特点，结合对项目建设区周边实地调查及业主建议，本次工程设置有5处清淤料中转临时堆场，其中范家坝湖3处，三汊港湖2处。范家坝湖共设置</w:t>
            </w:r>
            <w:r>
              <w:rPr>
                <w:rFonts w:hint="eastAsia" w:ascii="Times New Roman" w:hAnsi="Times New Roman" w:cs="Times New Roman"/>
                <w:color w:val="auto"/>
                <w:sz w:val="24"/>
                <w:szCs w:val="24"/>
                <w:u w:val="single"/>
                <w:lang w:val="en-US" w:eastAsia="zh-CN"/>
              </w:rPr>
              <w:t>3</w:t>
            </w:r>
            <w:r>
              <w:rPr>
                <w:rFonts w:hint="default" w:ascii="Times New Roman" w:hAnsi="Times New Roman" w:eastAsia="宋体" w:cs="Times New Roman"/>
                <w:color w:val="auto"/>
                <w:sz w:val="24"/>
                <w:szCs w:val="24"/>
                <w:u w:val="single"/>
              </w:rPr>
              <w:t>处清淤料中转临时堆场，临时堆场总面积分别为40000m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；三汊港湖共设置</w:t>
            </w:r>
            <w:r>
              <w:rPr>
                <w:rFonts w:hint="eastAsia" w:ascii="Times New Roman" w:hAnsi="Times New Roman" w:cs="Times New Roman"/>
                <w:color w:val="auto"/>
                <w:sz w:val="24"/>
                <w:szCs w:val="24"/>
                <w:u w:val="single"/>
                <w:lang w:val="en-US" w:eastAsia="zh-CN"/>
              </w:rPr>
              <w:t>2</w:t>
            </w:r>
            <w:r>
              <w:rPr>
                <w:rFonts w:hint="default" w:ascii="Times New Roman" w:hAnsi="Times New Roman" w:eastAsia="宋体" w:cs="Times New Roman"/>
                <w:color w:val="auto"/>
                <w:sz w:val="24"/>
                <w:szCs w:val="24"/>
                <w:u w:val="single"/>
              </w:rPr>
              <w:t>处清淤料中转临时堆场，总面积为36000m</w:t>
            </w:r>
            <w:r>
              <w:rPr>
                <w:rFonts w:hint="default" w:ascii="Times New Roman" w:hAnsi="Times New Roman" w:eastAsia="宋体" w:cs="Times New Roman"/>
                <w:color w:val="auto"/>
                <w:sz w:val="24"/>
                <w:szCs w:val="24"/>
                <w:u w:val="single"/>
                <w:vertAlign w:val="superscript"/>
              </w:rPr>
              <w:t>2</w:t>
            </w:r>
            <w:r>
              <w:rPr>
                <w:rFonts w:hint="default" w:ascii="Times New Roman" w:hAnsi="Times New Roman" w:eastAsia="宋体" w:cs="Times New Roman"/>
                <w:color w:val="auto"/>
                <w:sz w:val="24"/>
                <w:szCs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临时堆场</w:t>
            </w:r>
            <w:r>
              <w:rPr>
                <w:rFonts w:hint="eastAsia" w:ascii="Times New Roman" w:hAnsi="Times New Roman" w:cs="Times New Roman"/>
                <w:color w:val="auto"/>
                <w:sz w:val="24"/>
                <w:szCs w:val="24"/>
                <w:u w:val="single"/>
                <w:lang w:val="en-US" w:eastAsia="zh-CN"/>
              </w:rPr>
              <w:t>中的清淤料经加工处理后</w:t>
            </w:r>
            <w:r>
              <w:rPr>
                <w:rFonts w:hint="eastAsia" w:ascii="Times New Roman" w:hAnsi="Times New Roman" w:eastAsia="宋体" w:cs="Times New Roman"/>
                <w:color w:val="auto"/>
                <w:sz w:val="24"/>
                <w:szCs w:val="24"/>
                <w:u w:val="single"/>
              </w:rPr>
              <w:t>可作为建筑材料另行利用，</w:t>
            </w:r>
            <w:r>
              <w:rPr>
                <w:rFonts w:hint="eastAsia" w:ascii="Times New Roman" w:hAnsi="Times New Roman" w:cs="Times New Roman"/>
                <w:color w:val="auto"/>
                <w:sz w:val="24"/>
                <w:szCs w:val="24"/>
                <w:u w:val="single"/>
                <w:lang w:val="en-US" w:eastAsia="zh-CN"/>
              </w:rPr>
              <w:t>利用方案由当地政府另行设计，</w:t>
            </w:r>
            <w:r>
              <w:rPr>
                <w:rFonts w:hint="eastAsia" w:ascii="Times New Roman" w:hAnsi="Times New Roman" w:eastAsia="宋体" w:cs="Times New Roman"/>
                <w:color w:val="auto"/>
                <w:sz w:val="24"/>
                <w:szCs w:val="24"/>
                <w:u w:val="single"/>
                <w:lang w:val="en-US" w:eastAsia="zh-CN"/>
              </w:rPr>
              <w:t>本</w:t>
            </w:r>
            <w:r>
              <w:rPr>
                <w:rFonts w:hint="eastAsia" w:ascii="Times New Roman" w:hAnsi="Times New Roman" w:cs="Times New Roman"/>
                <w:color w:val="auto"/>
                <w:sz w:val="24"/>
                <w:szCs w:val="24"/>
                <w:u w:val="single"/>
                <w:lang w:val="en-US" w:eastAsia="zh-CN"/>
              </w:rPr>
              <w:t>环评</w:t>
            </w:r>
            <w:r>
              <w:rPr>
                <w:rFonts w:hint="eastAsia" w:ascii="Times New Roman" w:hAnsi="Times New Roman" w:eastAsia="宋体" w:cs="Times New Roman"/>
                <w:color w:val="auto"/>
                <w:sz w:val="24"/>
                <w:szCs w:val="24"/>
                <w:u w:val="single"/>
                <w:lang w:val="en-US" w:eastAsia="zh-CN"/>
              </w:rPr>
              <w:t>不包括</w:t>
            </w:r>
            <w:r>
              <w:rPr>
                <w:rFonts w:hint="eastAsia" w:ascii="Times New Roman" w:hAnsi="Times New Roman" w:cs="Times New Roman"/>
                <w:color w:val="auto"/>
                <w:sz w:val="24"/>
                <w:szCs w:val="24"/>
                <w:u w:val="single"/>
                <w:lang w:val="en-US" w:eastAsia="zh-CN"/>
              </w:rPr>
              <w:t>清淤料后续</w:t>
            </w:r>
            <w:r>
              <w:rPr>
                <w:rFonts w:hint="eastAsia" w:ascii="Times New Roman" w:hAnsi="Times New Roman" w:eastAsia="宋体" w:cs="Times New Roman"/>
                <w:color w:val="auto"/>
                <w:sz w:val="24"/>
                <w:szCs w:val="24"/>
                <w:u w:val="single"/>
              </w:rPr>
              <w:t>利用方案</w:t>
            </w:r>
            <w:r>
              <w:rPr>
                <w:rFonts w:hint="eastAsia" w:ascii="Times New Roman" w:hAnsi="Times New Roman" w:cs="Times New Roman"/>
                <w:color w:val="auto"/>
                <w:sz w:val="24"/>
                <w:szCs w:val="24"/>
                <w:u w:val="single"/>
                <w:lang w:val="en-US" w:eastAsia="zh-CN"/>
              </w:rPr>
              <w:t>的评价</w:t>
            </w:r>
            <w:r>
              <w:rPr>
                <w:rFonts w:hint="eastAsia" w:ascii="Times New Roman" w:hAnsi="Times New Roman" w:eastAsia="宋体" w:cs="Times New Roman"/>
                <w:color w:val="auto"/>
                <w:sz w:val="24"/>
                <w:szCs w:val="24"/>
                <w:u w:val="single"/>
              </w:rPr>
              <w:t>。</w:t>
            </w: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ascii="Times New Roman" w:hAnsi="Times New Roman"/>
                <w:color w:val="auto"/>
                <w:u w:val="single"/>
              </w:rPr>
            </w:pPr>
          </w:p>
          <w:p>
            <w:pPr>
              <w:pStyle w:val="14"/>
              <w:rPr>
                <w:rFonts w:hint="eastAsia" w:ascii="Times New Roman" w:hAnsi="Times New Roman"/>
                <w:color w:val="auto"/>
                <w:u w:val="single"/>
                <w:lang w:val="en-US" w:eastAsia="zh-CN"/>
              </w:rPr>
            </w:pPr>
          </w:p>
          <w:p>
            <w:pPr>
              <w:pStyle w:val="14"/>
              <w:rPr>
                <w:rFonts w:hint="default" w:ascii="Times New Roman" w:hAnsi="Times New Roman" w:eastAsia="宋体"/>
                <w:color w:val="auto"/>
                <w:u w:val="single"/>
                <w:lang w:val="en-US" w:eastAsia="zh-CN"/>
              </w:rPr>
            </w:pPr>
          </w:p>
        </w:tc>
      </w:tr>
    </w:tbl>
    <w:p>
      <w:pPr>
        <w:pStyle w:val="22"/>
        <w:jc w:val="center"/>
        <w:outlineLvl w:val="0"/>
        <w:rPr>
          <w:rFonts w:ascii="Times New Roman" w:hAnsi="Times New Roman" w:eastAsia="黑体"/>
          <w:snapToGrid w:val="0"/>
          <w:color w:val="auto"/>
          <w:sz w:val="30"/>
          <w:szCs w:val="30"/>
        </w:rPr>
      </w:pPr>
      <w:r>
        <w:rPr>
          <w:rFonts w:ascii="Times New Roman" w:hAnsi="Times New Roman" w:eastAsia="仿宋_GB2312"/>
          <w:b/>
          <w:bCs/>
          <w:color w:val="auto"/>
        </w:rPr>
        <w:br w:type="page"/>
      </w:r>
      <w:bookmarkStart w:id="35" w:name="_Toc23753"/>
      <w:r>
        <w:rPr>
          <w:rFonts w:ascii="Times New Roman" w:hAnsi="Times New Roman" w:eastAsia="黑体"/>
          <w:snapToGrid w:val="0"/>
          <w:color w:val="auto"/>
          <w:sz w:val="30"/>
          <w:szCs w:val="30"/>
        </w:rPr>
        <w:t>三、生态环境现状、保护目标及评价标准</w:t>
      </w:r>
      <w:bookmarkEnd w:id="35"/>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66" w:type="pct"/>
            <w:vAlign w:val="center"/>
          </w:tcPr>
          <w:p>
            <w:pPr>
              <w:adjustRightInd w:val="0"/>
              <w:snapToGrid w:val="0"/>
              <w:jc w:val="center"/>
              <w:rPr>
                <w:rFonts w:ascii="Times New Roman" w:hAnsi="Times New Roman"/>
                <w:color w:val="auto"/>
                <w:kern w:val="0"/>
                <w:szCs w:val="21"/>
              </w:rPr>
            </w:pPr>
            <w:r>
              <w:rPr>
                <w:rFonts w:ascii="Times New Roman" w:hAnsi="Times New Roman"/>
                <w:color w:val="auto"/>
                <w:kern w:val="0"/>
                <w:sz w:val="24"/>
                <w:szCs w:val="24"/>
              </w:rPr>
              <w:t>生态环境现状</w:t>
            </w:r>
          </w:p>
        </w:tc>
        <w:tc>
          <w:tcPr>
            <w:tcW w:w="473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eastAsia="zh-CN"/>
              </w:rPr>
              <w:t>本次环评环境现状采用《</w:t>
            </w:r>
            <w:r>
              <w:rPr>
                <w:rFonts w:hint="eastAsia" w:ascii="Times New Roman" w:hAnsi="Times New Roman" w:eastAsia="宋体" w:cs="Times New Roman"/>
                <w:color w:val="auto"/>
                <w:sz w:val="24"/>
                <w:szCs w:val="24"/>
              </w:rPr>
              <w:t>湘阴县（白泥湖、范家坝、三汊港南湖）内湖采砂规划（2023~2027年）环境影响报告书</w:t>
            </w:r>
            <w:r>
              <w:rPr>
                <w:rFonts w:hint="eastAsia" w:ascii="Times New Roman" w:hAnsi="Times New Roman" w:eastAsia="宋体" w:cs="Times New Roman"/>
                <w:color w:val="auto"/>
                <w:sz w:val="24"/>
                <w:szCs w:val="24"/>
                <w:lang w:val="en-US" w:eastAsia="zh-CN"/>
              </w:rPr>
              <w:t>》（2022年11月）中的相关资料。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val="en-US" w:eastAsia="zh-CN"/>
              </w:rPr>
              <w:t>1、</w:t>
            </w:r>
            <w:r>
              <w:rPr>
                <w:rFonts w:hint="eastAsia" w:ascii="Times New Roman" w:hAnsi="Times New Roman" w:eastAsia="宋体" w:cs="Times New Roman"/>
                <w:b/>
                <w:bCs/>
                <w:color w:val="auto"/>
                <w:sz w:val="24"/>
                <w:szCs w:val="24"/>
              </w:rPr>
              <w:t>生态环境现状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1.1、生态系统现状调查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1.1.1、</w:t>
            </w:r>
            <w:r>
              <w:rPr>
                <w:rFonts w:hint="default" w:ascii="Times New Roman" w:hAnsi="Times New Roman" w:cs="Times New Roman"/>
                <w:b/>
                <w:bCs/>
                <w:color w:val="auto"/>
                <w:sz w:val="24"/>
                <w:szCs w:val="24"/>
                <w:lang w:val="en-US" w:eastAsia="zh-CN"/>
              </w:rPr>
              <w:t>森林生态系统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评</w:t>
            </w:r>
            <w:r>
              <w:rPr>
                <w:rFonts w:hint="default" w:ascii="Times New Roman" w:hAnsi="Times New Roman" w:eastAsia="宋体" w:cs="Times New Roman"/>
                <w:color w:val="auto"/>
                <w:spacing w:val="15"/>
                <w:sz w:val="24"/>
                <w:szCs w:val="24"/>
              </w:rPr>
              <w:t>价</w:t>
            </w:r>
            <w:r>
              <w:rPr>
                <w:rFonts w:hint="default" w:ascii="Times New Roman" w:hAnsi="Times New Roman" w:eastAsia="宋体" w:cs="Times New Roman"/>
                <w:color w:val="auto"/>
                <w:spacing w:val="9"/>
                <w:sz w:val="24"/>
                <w:szCs w:val="24"/>
              </w:rPr>
              <w:t>区森林生态系统主要集中在村落附近，根据现场踏勘结合遥感图片解译，</w:t>
            </w:r>
            <w:r>
              <w:rPr>
                <w:rFonts w:hint="default" w:ascii="Times New Roman" w:hAnsi="Times New Roman" w:eastAsia="宋体" w:cs="Times New Roman"/>
                <w:color w:val="auto"/>
                <w:spacing w:val="1"/>
                <w:position w:val="1"/>
                <w:sz w:val="24"/>
                <w:szCs w:val="24"/>
              </w:rPr>
              <w:t>评价区森林生态系统面</w:t>
            </w:r>
            <w:r>
              <w:rPr>
                <w:rFonts w:hint="default" w:ascii="Times New Roman" w:hAnsi="Times New Roman" w:eastAsia="宋体" w:cs="Times New Roman"/>
                <w:color w:val="auto"/>
                <w:position w:val="1"/>
                <w:sz w:val="24"/>
                <w:szCs w:val="24"/>
              </w:rPr>
              <w:t>积为267.45hm</w:t>
            </w:r>
            <w:r>
              <w:rPr>
                <w:rFonts w:hint="eastAsia" w:ascii="Times New Roman" w:hAnsi="Times New Roman" w:eastAsia="宋体" w:cs="Times New Roman"/>
                <w:color w:val="auto"/>
                <w:position w:val="1"/>
                <w:sz w:val="24"/>
                <w:szCs w:val="24"/>
                <w:vertAlign w:val="superscript"/>
                <w:lang w:val="en-US" w:eastAsia="zh-CN"/>
              </w:rPr>
              <w:t>2</w:t>
            </w:r>
            <w:r>
              <w:rPr>
                <w:rFonts w:hint="default" w:ascii="Times New Roman" w:hAnsi="Times New Roman" w:eastAsia="宋体" w:cs="Times New Roman"/>
                <w:color w:val="auto"/>
                <w:position w:val="1"/>
                <w:sz w:val="24"/>
                <w:szCs w:val="24"/>
              </w:rPr>
              <w:t>，占评价区总面积的 8.25%。</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2"/>
                <w:sz w:val="24"/>
                <w:szCs w:val="24"/>
              </w:rPr>
              <w:t>一</w:t>
            </w:r>
            <w:r>
              <w:rPr>
                <w:rFonts w:hint="default" w:ascii="Times New Roman" w:hAnsi="Times New Roman" w:eastAsia="宋体" w:cs="Times New Roman"/>
                <w:color w:val="auto"/>
                <w:spacing w:val="8"/>
                <w:position w:val="2"/>
                <w:sz w:val="24"/>
                <w:szCs w:val="24"/>
              </w:rPr>
              <w:t>、生态系统结构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评</w:t>
            </w:r>
            <w:r>
              <w:rPr>
                <w:rFonts w:hint="default" w:ascii="Times New Roman" w:hAnsi="Times New Roman" w:eastAsia="宋体" w:cs="Times New Roman"/>
                <w:color w:val="auto"/>
                <w:spacing w:val="6"/>
                <w:sz w:val="24"/>
                <w:szCs w:val="24"/>
              </w:rPr>
              <w:t>价</w:t>
            </w:r>
            <w:r>
              <w:rPr>
                <w:rFonts w:hint="default" w:ascii="Times New Roman" w:hAnsi="Times New Roman" w:eastAsia="宋体" w:cs="Times New Roman"/>
                <w:color w:val="auto"/>
                <w:spacing w:val="5"/>
                <w:sz w:val="24"/>
                <w:szCs w:val="24"/>
              </w:rPr>
              <w:t>区森林生态系统由次生植被组成，包括落叶阔叶林、常绿针叶林、竹林等，</w:t>
            </w:r>
            <w:r>
              <w:rPr>
                <w:rFonts w:hint="default" w:ascii="Times New Roman" w:hAnsi="Times New Roman" w:eastAsia="宋体" w:cs="Times New Roman"/>
                <w:color w:val="auto"/>
                <w:spacing w:val="3"/>
                <w:sz w:val="24"/>
                <w:szCs w:val="24"/>
              </w:rPr>
              <w:t>主要群系有楝林(</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Melia</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azedarach</w:t>
            </w:r>
            <w:r>
              <w:rPr>
                <w:rFonts w:hint="default" w:ascii="Times New Roman" w:hAnsi="Times New Roman" w:eastAsia="宋体" w:cs="Times New Roman"/>
                <w:color w:val="auto"/>
                <w:spacing w:val="3"/>
                <w:sz w:val="24"/>
                <w:szCs w:val="24"/>
              </w:rPr>
              <w:t>)、樟林(</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3"/>
                <w:sz w:val="24"/>
                <w:szCs w:val="24"/>
              </w:rPr>
              <w:t>.(</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Melia</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azedarach</w:t>
            </w:r>
            <w:r>
              <w:rPr>
                <w:rFonts w:hint="default" w:ascii="Times New Roman" w:hAnsi="Times New Roman" w:eastAsia="宋体" w:cs="Times New Roman"/>
                <w:color w:val="auto"/>
                <w:spacing w:val="3"/>
                <w:sz w:val="24"/>
                <w:szCs w:val="24"/>
              </w:rPr>
              <w:t>))、</w:t>
            </w:r>
            <w:r>
              <w:rPr>
                <w:rFonts w:hint="default" w:ascii="Times New Roman" w:hAnsi="Times New Roman" w:eastAsia="宋体" w:cs="Times New Roman"/>
                <w:color w:val="auto"/>
                <w:spacing w:val="13"/>
                <w:sz w:val="24"/>
                <w:szCs w:val="24"/>
              </w:rPr>
              <w:t>淡</w:t>
            </w:r>
            <w:r>
              <w:rPr>
                <w:rFonts w:hint="default" w:ascii="Times New Roman" w:hAnsi="Times New Roman" w:eastAsia="宋体" w:cs="Times New Roman"/>
                <w:color w:val="auto"/>
                <w:spacing w:val="8"/>
                <w:sz w:val="24"/>
                <w:szCs w:val="24"/>
              </w:rPr>
              <w:t>竹林(</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Phyllostachys</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glauca</w:t>
            </w:r>
            <w:r>
              <w:rPr>
                <w:rFonts w:hint="default" w:ascii="Times New Roman" w:hAnsi="Times New Roman" w:eastAsia="宋体" w:cs="Times New Roman"/>
                <w:color w:val="auto"/>
                <w:spacing w:val="8"/>
                <w:sz w:val="24"/>
                <w:szCs w:val="24"/>
              </w:rPr>
              <w:t>)等，其他常见的组成森林生态系统的植物种类</w:t>
            </w:r>
            <w:r>
              <w:rPr>
                <w:rFonts w:hint="default" w:ascii="Times New Roman" w:hAnsi="Times New Roman" w:eastAsia="宋体" w:cs="Times New Roman"/>
                <w:color w:val="auto"/>
                <w:spacing w:val="14"/>
                <w:sz w:val="24"/>
                <w:szCs w:val="24"/>
              </w:rPr>
              <w:t>有</w:t>
            </w:r>
            <w:r>
              <w:rPr>
                <w:rFonts w:hint="default" w:ascii="Times New Roman" w:hAnsi="Times New Roman" w:eastAsia="宋体" w:cs="Times New Roman"/>
                <w:color w:val="auto"/>
                <w:spacing w:val="7"/>
                <w:sz w:val="24"/>
                <w:szCs w:val="24"/>
              </w:rPr>
              <w:t>盐肤木(</w:t>
            </w:r>
            <w:r>
              <w:rPr>
                <w:rFonts w:hint="default" w:ascii="Times New Roman" w:hAnsi="Times New Roman" w:eastAsia="宋体" w:cs="Times New Roman"/>
                <w:i/>
                <w:iCs/>
                <w:color w:val="auto"/>
                <w:sz w:val="24"/>
                <w:szCs w:val="24"/>
              </w:rPr>
              <w:t>Rhus</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chinensis</w:t>
            </w:r>
            <w:r>
              <w:rPr>
                <w:rFonts w:hint="default" w:ascii="Times New Roman" w:hAnsi="Times New Roman" w:eastAsia="宋体" w:cs="Times New Roman"/>
                <w:color w:val="auto"/>
                <w:spacing w:val="7"/>
                <w:sz w:val="24"/>
                <w:szCs w:val="24"/>
              </w:rPr>
              <w:t xml:space="preserve"> )、乌桕(</w:t>
            </w:r>
            <w:r>
              <w:rPr>
                <w:rFonts w:hint="default" w:ascii="Times New Roman" w:hAnsi="Times New Roman" w:eastAsia="宋体" w:cs="Times New Roman"/>
                <w:i/>
                <w:iCs/>
                <w:color w:val="auto"/>
                <w:sz w:val="24"/>
                <w:szCs w:val="24"/>
              </w:rPr>
              <w:t>Sapium</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chihsinianum</w:t>
            </w:r>
            <w:r>
              <w:rPr>
                <w:rFonts w:hint="default" w:ascii="Times New Roman" w:hAnsi="Times New Roman" w:eastAsia="宋体" w:cs="Times New Roman"/>
                <w:color w:val="auto"/>
                <w:spacing w:val="7"/>
                <w:sz w:val="24"/>
                <w:szCs w:val="24"/>
              </w:rPr>
              <w:t xml:space="preserve"> )、绦柳(</w:t>
            </w:r>
            <w:r>
              <w:rPr>
                <w:rFonts w:hint="default" w:ascii="Times New Roman" w:hAnsi="Times New Roman" w:eastAsia="宋体" w:cs="Times New Roman"/>
                <w:i/>
                <w:iCs/>
                <w:color w:val="auto"/>
                <w:sz w:val="24"/>
                <w:szCs w:val="24"/>
              </w:rPr>
              <w:t>Salix</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matsudana</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var</w:t>
            </w:r>
            <w:r>
              <w:rPr>
                <w:rFonts w:hint="default" w:ascii="Times New Roman" w:hAnsi="Times New Roman" w:eastAsia="宋体" w:cs="Times New Roman"/>
                <w:i/>
                <w:iCs/>
                <w:color w:val="auto"/>
                <w:spacing w:val="12"/>
                <w:sz w:val="24"/>
                <w:szCs w:val="24"/>
              </w:rPr>
              <w:t>.</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matsudanaf</w:t>
            </w:r>
            <w:r>
              <w:rPr>
                <w:rFonts w:hint="default" w:ascii="Times New Roman" w:hAnsi="Times New Roman" w:eastAsia="宋体" w:cs="Times New Roman"/>
                <w:i/>
                <w:iCs/>
                <w:color w:val="auto"/>
                <w:spacing w:val="9"/>
                <w:sz w:val="24"/>
                <w:szCs w:val="24"/>
              </w:rPr>
              <w:t>.</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pendula</w:t>
            </w:r>
            <w:r>
              <w:rPr>
                <w:rFonts w:hint="default" w:ascii="Times New Roman" w:hAnsi="Times New Roman" w:eastAsia="宋体" w:cs="Times New Roman"/>
                <w:color w:val="auto"/>
                <w:spacing w:val="9"/>
                <w:sz w:val="24"/>
                <w:szCs w:val="24"/>
              </w:rPr>
              <w:t xml:space="preserve"> )、毛竹(</w:t>
            </w:r>
            <w:r>
              <w:rPr>
                <w:rFonts w:hint="default" w:ascii="Times New Roman" w:hAnsi="Times New Roman" w:eastAsia="宋体" w:cs="Times New Roman"/>
                <w:i/>
                <w:iCs/>
                <w:color w:val="auto"/>
                <w:sz w:val="24"/>
                <w:szCs w:val="24"/>
              </w:rPr>
              <w:t>Phyllostachys</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h</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edulis</w:t>
            </w:r>
            <w:r>
              <w:rPr>
                <w:rFonts w:hint="default" w:ascii="Times New Roman" w:hAnsi="Times New Roman" w:eastAsia="宋体" w:cs="Times New Roman"/>
                <w:color w:val="auto"/>
                <w:spacing w:val="9"/>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2</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动物现</w:t>
            </w:r>
            <w:r>
              <w:rPr>
                <w:rFonts w:hint="default" w:ascii="Times New Roman" w:hAnsi="Times New Roman" w:eastAsia="宋体" w:cs="Times New Roman"/>
                <w:color w:val="auto"/>
                <w:spacing w:val="19"/>
                <w:sz w:val="24"/>
                <w:szCs w:val="24"/>
              </w:rPr>
              <w:t>状</w:t>
            </w:r>
          </w:p>
          <w:p>
            <w:pPr>
              <w:keepNext w:val="0"/>
              <w:keepLines w:val="0"/>
              <w:pageBreakBefore w:val="0"/>
              <w:widowControl w:val="0"/>
              <w:tabs>
                <w:tab w:val="left" w:pos="247"/>
              </w:tabs>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规划</w:t>
            </w:r>
            <w:r>
              <w:rPr>
                <w:rFonts w:hint="default" w:ascii="Times New Roman" w:hAnsi="Times New Roman" w:eastAsia="宋体" w:cs="Times New Roman"/>
                <w:color w:val="auto"/>
                <w:spacing w:val="14"/>
                <w:sz w:val="24"/>
                <w:szCs w:val="24"/>
              </w:rPr>
              <w:t>区</w:t>
            </w:r>
            <w:r>
              <w:rPr>
                <w:rFonts w:hint="default" w:ascii="Times New Roman" w:hAnsi="Times New Roman" w:eastAsia="宋体" w:cs="Times New Roman"/>
                <w:color w:val="auto"/>
                <w:spacing w:val="9"/>
                <w:sz w:val="24"/>
                <w:szCs w:val="24"/>
              </w:rPr>
              <w:t>域森林生态系统面积较小，主要是分布在村落附近的四旁树。该区域分</w:t>
            </w:r>
            <w:r>
              <w:rPr>
                <w:rFonts w:hint="default" w:ascii="Times New Roman" w:hAnsi="Times New Roman" w:eastAsia="宋体" w:cs="Times New Roman"/>
                <w:color w:val="auto"/>
                <w:spacing w:val="20"/>
                <w:sz w:val="24"/>
                <w:szCs w:val="24"/>
              </w:rPr>
              <w:t>布的动物主要有常见的林鸟，常见的有棕背伯劳(</w:t>
            </w:r>
            <w:r>
              <w:rPr>
                <w:rFonts w:hint="default" w:ascii="Times New Roman" w:hAnsi="Times New Roman" w:eastAsia="宋体" w:cs="Times New Roman"/>
                <w:i/>
                <w:iCs/>
                <w:color w:val="auto"/>
                <w:sz w:val="24"/>
                <w:szCs w:val="24"/>
              </w:rPr>
              <w:t>Lanius</w:t>
            </w:r>
            <w:r>
              <w:rPr>
                <w:rFonts w:hint="default" w:ascii="Times New Roman" w:hAnsi="Times New Roman" w:eastAsia="宋体" w:cs="Times New Roman"/>
                <w:color w:val="auto"/>
                <w:spacing w:val="20"/>
                <w:sz w:val="24"/>
                <w:szCs w:val="24"/>
              </w:rPr>
              <w:t xml:space="preserve"> </w:t>
            </w:r>
            <w:r>
              <w:rPr>
                <w:rFonts w:hint="default" w:ascii="Times New Roman" w:hAnsi="Times New Roman" w:eastAsia="宋体" w:cs="Times New Roman"/>
                <w:i/>
                <w:iCs/>
                <w:color w:val="auto"/>
                <w:sz w:val="24"/>
                <w:szCs w:val="24"/>
              </w:rPr>
              <w:t>schach</w:t>
            </w:r>
            <w:r>
              <w:rPr>
                <w:rFonts w:hint="default" w:ascii="Times New Roman" w:hAnsi="Times New Roman" w:eastAsia="宋体" w:cs="Times New Roman"/>
                <w:color w:val="auto"/>
                <w:spacing w:val="20"/>
                <w:sz w:val="24"/>
                <w:szCs w:val="24"/>
              </w:rPr>
              <w:t>)、黑尾蜡嘴</w:t>
            </w:r>
            <w:r>
              <w:rPr>
                <w:rFonts w:hint="default" w:ascii="Times New Roman" w:hAnsi="Times New Roman" w:eastAsia="宋体" w:cs="Times New Roman"/>
                <w:color w:val="auto"/>
                <w:spacing w:val="19"/>
                <w:sz w:val="24"/>
                <w:szCs w:val="24"/>
              </w:rPr>
              <w:t>雀</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i/>
                <w:iCs/>
                <w:color w:val="auto"/>
                <w:spacing w:val="-1"/>
                <w:sz w:val="24"/>
                <w:szCs w:val="24"/>
              </w:rPr>
              <w:t>Eophona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pacing w:val="-1"/>
                <w:sz w:val="24"/>
                <w:szCs w:val="24"/>
              </w:rPr>
              <w:t>migratoria</w:t>
            </w:r>
            <w:r>
              <w:rPr>
                <w:rFonts w:hint="default" w:ascii="Times New Roman" w:hAnsi="Times New Roman" w:eastAsia="宋体" w:cs="Times New Roman"/>
                <w:color w:val="auto"/>
                <w:spacing w:val="-1"/>
                <w:sz w:val="24"/>
                <w:szCs w:val="24"/>
              </w:rPr>
              <w:t xml:space="preserve"> )、丝光椋鸟(</w:t>
            </w:r>
            <w:r>
              <w:rPr>
                <w:rFonts w:hint="default" w:ascii="Times New Roman" w:hAnsi="Times New Roman" w:eastAsia="宋体" w:cs="Times New Roman"/>
                <w:i/>
                <w:iCs/>
                <w:color w:val="auto"/>
                <w:spacing w:val="-1"/>
                <w:sz w:val="24"/>
                <w:szCs w:val="24"/>
              </w:rPr>
              <w:t>Spodiopsar</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pacing w:val="-1"/>
                <w:sz w:val="24"/>
                <w:szCs w:val="24"/>
              </w:rPr>
              <w:t>sericeu</w:t>
            </w:r>
            <w:r>
              <w:rPr>
                <w:rFonts w:hint="default" w:ascii="Times New Roman" w:hAnsi="Times New Roman" w:eastAsia="宋体" w:cs="Times New Roman"/>
                <w:i/>
                <w:iCs/>
                <w:color w:val="auto"/>
                <w:sz w:val="24"/>
                <w:szCs w:val="24"/>
              </w:rPr>
              <w:t>s</w:t>
            </w:r>
            <w:r>
              <w:rPr>
                <w:rFonts w:hint="default" w:ascii="Times New Roman" w:hAnsi="Times New Roman" w:eastAsia="宋体" w:cs="Times New Roman"/>
                <w:color w:val="auto"/>
                <w:spacing w:val="-1"/>
                <w:sz w:val="24"/>
                <w:szCs w:val="24"/>
              </w:rPr>
              <w:t xml:space="preserve"> )、金翅雀(</w:t>
            </w:r>
            <w:r>
              <w:rPr>
                <w:rFonts w:hint="default" w:ascii="Times New Roman" w:hAnsi="Times New Roman" w:eastAsia="宋体" w:cs="Times New Roman"/>
                <w:i/>
                <w:iCs/>
                <w:color w:val="auto"/>
                <w:sz w:val="24"/>
                <w:szCs w:val="24"/>
              </w:rPr>
              <w:t>Chloris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sinica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
                <w:sz w:val="24"/>
                <w:szCs w:val="24"/>
              </w:rPr>
              <w:t>大山雀 (</w:t>
            </w:r>
            <w:r>
              <w:rPr>
                <w:rFonts w:hint="default" w:ascii="Times New Roman" w:hAnsi="Times New Roman" w:eastAsia="宋体" w:cs="Times New Roman"/>
                <w:i/>
                <w:iCs/>
                <w:color w:val="auto"/>
                <w:spacing w:val="-1"/>
                <w:sz w:val="24"/>
                <w:szCs w:val="24"/>
              </w:rPr>
              <w:t>Parus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pacing w:val="-1"/>
                <w:sz w:val="24"/>
                <w:szCs w:val="24"/>
              </w:rPr>
              <w:t>major</w:t>
            </w:r>
            <w:r>
              <w:rPr>
                <w:rFonts w:hint="default" w:ascii="Times New Roman" w:hAnsi="Times New Roman" w:eastAsia="宋体" w:cs="Times New Roman"/>
                <w:color w:val="auto"/>
                <w:spacing w:val="-1"/>
                <w:sz w:val="24"/>
                <w:szCs w:val="24"/>
              </w:rPr>
              <w:t xml:space="preserve"> )、乌鸫 (</w:t>
            </w:r>
            <w:r>
              <w:rPr>
                <w:rFonts w:hint="default" w:ascii="Times New Roman" w:hAnsi="Times New Roman" w:eastAsia="宋体" w:cs="Times New Roman"/>
                <w:i/>
                <w:iCs/>
                <w:color w:val="auto"/>
                <w:spacing w:val="-1"/>
                <w:sz w:val="24"/>
                <w:szCs w:val="24"/>
              </w:rPr>
              <w:t>Turdus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pacing w:val="-1"/>
                <w:sz w:val="24"/>
                <w:szCs w:val="24"/>
              </w:rPr>
              <w:t>mandarinus</w:t>
            </w:r>
            <w:r>
              <w:rPr>
                <w:rFonts w:hint="default" w:ascii="Times New Roman" w:hAnsi="Times New Roman" w:eastAsia="宋体" w:cs="Times New Roman"/>
                <w:color w:val="auto"/>
                <w:spacing w:val="-1"/>
                <w:sz w:val="24"/>
                <w:szCs w:val="24"/>
              </w:rPr>
              <w:t>)、八哥(</w:t>
            </w:r>
            <w:r>
              <w:rPr>
                <w:rFonts w:hint="default" w:ascii="Times New Roman" w:hAnsi="Times New Roman" w:eastAsia="宋体" w:cs="Times New Roman"/>
                <w:i/>
                <w:iCs/>
                <w:color w:val="auto"/>
                <w:spacing w:val="-1"/>
                <w:sz w:val="24"/>
                <w:szCs w:val="24"/>
              </w:rPr>
              <w:t>Acridotheres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pacing w:val="-1"/>
                <w:sz w:val="24"/>
                <w:szCs w:val="24"/>
              </w:rPr>
              <w:t>cris</w:t>
            </w:r>
            <w:r>
              <w:rPr>
                <w:rFonts w:hint="default" w:ascii="Times New Roman" w:hAnsi="Times New Roman" w:eastAsia="宋体" w:cs="Times New Roman"/>
                <w:i/>
                <w:iCs/>
                <w:color w:val="auto"/>
                <w:sz w:val="24"/>
                <w:szCs w:val="24"/>
              </w:rPr>
              <w:t>tatellus</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pacing w:val="16"/>
                <w:sz w:val="24"/>
                <w:szCs w:val="24"/>
              </w:rPr>
              <w:t>等</w:t>
            </w:r>
            <w:r>
              <w:rPr>
                <w:rFonts w:hint="default" w:ascii="Times New Roman" w:hAnsi="Times New Roman" w:eastAsia="宋体" w:cs="Times New Roman"/>
                <w:color w:val="auto"/>
                <w:spacing w:val="15"/>
                <w:sz w:val="24"/>
                <w:szCs w:val="24"/>
              </w:rPr>
              <w:t>，</w:t>
            </w:r>
            <w:r>
              <w:rPr>
                <w:rFonts w:hint="default" w:ascii="Times New Roman" w:hAnsi="Times New Roman" w:eastAsia="宋体" w:cs="Times New Roman"/>
                <w:color w:val="auto"/>
                <w:spacing w:val="8"/>
                <w:sz w:val="24"/>
                <w:szCs w:val="24"/>
              </w:rPr>
              <w:t>白泥湖西南角分布有少量乔木林，该区域常见白鹭(</w:t>
            </w:r>
            <w:r>
              <w:rPr>
                <w:rFonts w:hint="default" w:ascii="Times New Roman" w:hAnsi="Times New Roman" w:eastAsia="宋体" w:cs="Times New Roman"/>
                <w:i/>
                <w:iCs/>
                <w:color w:val="auto"/>
                <w:sz w:val="24"/>
                <w:szCs w:val="24"/>
              </w:rPr>
              <w:t>Egretta</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garzetta</w:t>
            </w:r>
            <w:r>
              <w:rPr>
                <w:rFonts w:hint="default" w:ascii="Times New Roman" w:hAnsi="Times New Roman" w:eastAsia="宋体" w:cs="Times New Roman"/>
                <w:color w:val="auto"/>
                <w:spacing w:val="8"/>
                <w:sz w:val="24"/>
                <w:szCs w:val="24"/>
              </w:rPr>
              <w:t xml:space="preserve"> )、池鹭</w:t>
            </w:r>
            <w:r>
              <w:rPr>
                <w:rFonts w:hint="default" w:ascii="Times New Roman" w:hAnsi="Times New Roman" w:eastAsia="宋体" w:cs="Times New Roman"/>
                <w:color w:val="auto"/>
                <w:spacing w:val="10"/>
                <w:sz w:val="24"/>
                <w:szCs w:val="24"/>
              </w:rPr>
              <w:t>(</w:t>
            </w:r>
            <w:r>
              <w:rPr>
                <w:rFonts w:hint="default" w:ascii="Times New Roman" w:hAnsi="Times New Roman" w:eastAsia="宋体" w:cs="Times New Roman"/>
                <w:i/>
                <w:iCs/>
                <w:color w:val="auto"/>
                <w:sz w:val="24"/>
                <w:szCs w:val="24"/>
              </w:rPr>
              <w:t>Ardeola</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bacchus</w:t>
            </w:r>
            <w:r>
              <w:rPr>
                <w:rFonts w:hint="default" w:ascii="Times New Roman" w:hAnsi="Times New Roman" w:eastAsia="宋体" w:cs="Times New Roman"/>
                <w:color w:val="auto"/>
                <w:spacing w:val="5"/>
                <w:sz w:val="24"/>
                <w:szCs w:val="24"/>
              </w:rPr>
              <w:t xml:space="preserve"> )等在乔木上栖息，夜间，普通鸬鹚 (</w:t>
            </w:r>
            <w:r>
              <w:rPr>
                <w:rFonts w:hint="default" w:ascii="Times New Roman" w:hAnsi="Times New Roman" w:eastAsia="宋体" w:cs="Times New Roman"/>
                <w:i/>
                <w:iCs/>
                <w:color w:val="auto"/>
                <w:sz w:val="24"/>
                <w:szCs w:val="24"/>
              </w:rPr>
              <w:t>Phalacrocorax</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z w:val="24"/>
                <w:szCs w:val="24"/>
              </w:rPr>
              <w:t>carbo</w:t>
            </w:r>
            <w:r>
              <w:rPr>
                <w:rFonts w:hint="default" w:ascii="Times New Roman" w:hAnsi="Times New Roman" w:eastAsia="宋体" w:cs="Times New Roman"/>
                <w:color w:val="auto"/>
                <w:spacing w:val="5"/>
                <w:sz w:val="24"/>
                <w:szCs w:val="24"/>
              </w:rPr>
              <w:t xml:space="preserve"> )等常</w:t>
            </w:r>
            <w:r>
              <w:rPr>
                <w:rFonts w:hint="default" w:ascii="Times New Roman" w:hAnsi="Times New Roman" w:eastAsia="宋体" w:cs="Times New Roman"/>
                <w:color w:val="auto"/>
                <w:spacing w:val="11"/>
                <w:sz w:val="24"/>
                <w:szCs w:val="24"/>
              </w:rPr>
              <w:t>在</w:t>
            </w:r>
            <w:r>
              <w:rPr>
                <w:rFonts w:hint="default" w:ascii="Times New Roman" w:hAnsi="Times New Roman" w:eastAsia="宋体" w:cs="Times New Roman"/>
                <w:color w:val="auto"/>
                <w:spacing w:val="8"/>
                <w:sz w:val="24"/>
                <w:szCs w:val="24"/>
              </w:rPr>
              <w:t>近水域的乔木上栖息。</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1"/>
                <w:sz w:val="24"/>
                <w:szCs w:val="24"/>
              </w:rPr>
              <w:t>二</w:t>
            </w:r>
            <w:r>
              <w:rPr>
                <w:rFonts w:hint="default" w:ascii="Times New Roman" w:hAnsi="Times New Roman" w:eastAsia="宋体" w:cs="Times New Roman"/>
                <w:color w:val="auto"/>
                <w:spacing w:val="8"/>
                <w:position w:val="1"/>
                <w:sz w:val="24"/>
                <w:szCs w:val="24"/>
              </w:rPr>
              <w:t>、生态系统功能</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森林</w:t>
            </w:r>
            <w:r>
              <w:rPr>
                <w:rFonts w:hint="default" w:ascii="Times New Roman" w:hAnsi="Times New Roman" w:eastAsia="宋体" w:cs="Times New Roman"/>
                <w:color w:val="auto"/>
                <w:spacing w:val="15"/>
                <w:sz w:val="24"/>
                <w:szCs w:val="24"/>
              </w:rPr>
              <w:t>生</w:t>
            </w:r>
            <w:r>
              <w:rPr>
                <w:rFonts w:hint="default" w:ascii="Times New Roman" w:hAnsi="Times New Roman" w:eastAsia="宋体" w:cs="Times New Roman"/>
                <w:color w:val="auto"/>
                <w:spacing w:val="9"/>
                <w:sz w:val="24"/>
                <w:szCs w:val="24"/>
              </w:rPr>
              <w:t>态系统是森林群落与其环境在功能流的作用下形成一定结构、功能和自</w:t>
            </w:r>
            <w:r>
              <w:rPr>
                <w:rFonts w:hint="default" w:ascii="Times New Roman" w:hAnsi="Times New Roman" w:eastAsia="宋体" w:cs="Times New Roman"/>
                <w:color w:val="auto"/>
                <w:spacing w:val="18"/>
                <w:sz w:val="24"/>
                <w:szCs w:val="24"/>
              </w:rPr>
              <w:t>调控</w:t>
            </w:r>
            <w:r>
              <w:rPr>
                <w:rFonts w:hint="default" w:ascii="Times New Roman" w:hAnsi="Times New Roman" w:eastAsia="宋体" w:cs="Times New Roman"/>
                <w:color w:val="auto"/>
                <w:spacing w:val="15"/>
                <w:sz w:val="24"/>
                <w:szCs w:val="24"/>
              </w:rPr>
              <w:t>的</w:t>
            </w:r>
            <w:r>
              <w:rPr>
                <w:rFonts w:hint="default" w:ascii="Times New Roman" w:hAnsi="Times New Roman" w:eastAsia="宋体" w:cs="Times New Roman"/>
                <w:color w:val="auto"/>
                <w:spacing w:val="9"/>
                <w:sz w:val="24"/>
                <w:szCs w:val="24"/>
              </w:rPr>
              <w:t>自然综合体，是陆地生态系统中面积最多、最重要的自然生态系统。评价</w:t>
            </w:r>
            <w:r>
              <w:rPr>
                <w:rFonts w:hint="default" w:ascii="Times New Roman" w:hAnsi="Times New Roman" w:eastAsia="宋体" w:cs="Times New Roman"/>
                <w:color w:val="auto"/>
                <w:spacing w:val="18"/>
                <w:sz w:val="24"/>
                <w:szCs w:val="24"/>
              </w:rPr>
              <w:t>区内</w:t>
            </w:r>
            <w:r>
              <w:rPr>
                <w:rFonts w:hint="default" w:ascii="Times New Roman" w:hAnsi="Times New Roman" w:eastAsia="宋体" w:cs="Times New Roman"/>
                <w:color w:val="auto"/>
                <w:spacing w:val="15"/>
                <w:sz w:val="24"/>
                <w:szCs w:val="24"/>
              </w:rPr>
              <w:t>森</w:t>
            </w:r>
            <w:r>
              <w:rPr>
                <w:rFonts w:hint="default" w:ascii="Times New Roman" w:hAnsi="Times New Roman" w:eastAsia="宋体" w:cs="Times New Roman"/>
                <w:color w:val="auto"/>
                <w:spacing w:val="9"/>
                <w:sz w:val="24"/>
                <w:szCs w:val="24"/>
              </w:rPr>
              <w:t>林生态系统面积占比小，主要分布于居民区附近，其主要生态功能为防风固</w:t>
            </w:r>
            <w:r>
              <w:rPr>
                <w:rFonts w:hint="default" w:ascii="Times New Roman" w:hAnsi="Times New Roman" w:eastAsia="宋体" w:cs="Times New Roman"/>
                <w:color w:val="auto"/>
                <w:spacing w:val="18"/>
                <w:sz w:val="24"/>
                <w:szCs w:val="24"/>
              </w:rPr>
              <w:t>沙</w:t>
            </w:r>
            <w:r>
              <w:rPr>
                <w:rFonts w:hint="default" w:ascii="Times New Roman" w:hAnsi="Times New Roman" w:eastAsia="宋体" w:cs="Times New Roman"/>
                <w:color w:val="auto"/>
                <w:spacing w:val="13"/>
                <w:sz w:val="24"/>
                <w:szCs w:val="24"/>
              </w:rPr>
              <w:t>、</w:t>
            </w:r>
            <w:r>
              <w:rPr>
                <w:rFonts w:hint="default" w:ascii="Times New Roman" w:hAnsi="Times New Roman" w:eastAsia="宋体" w:cs="Times New Roman"/>
                <w:color w:val="auto"/>
                <w:spacing w:val="9"/>
                <w:sz w:val="24"/>
                <w:szCs w:val="24"/>
              </w:rPr>
              <w:t>水土保持</w:t>
            </w:r>
            <w:r>
              <w:rPr>
                <w:rFonts w:hint="eastAsia" w:ascii="Times New Roman" w:hAnsi="Times New Roman" w:eastAsia="宋体" w:cs="Times New Roman"/>
                <w:color w:val="auto"/>
                <w:spacing w:val="9"/>
                <w:sz w:val="24"/>
                <w:szCs w:val="24"/>
                <w:lang w:eastAsia="zh-CN"/>
              </w:rPr>
              <w:t>、</w:t>
            </w:r>
            <w:r>
              <w:rPr>
                <w:rFonts w:hint="default" w:ascii="Times New Roman" w:hAnsi="Times New Roman" w:eastAsia="宋体" w:cs="Times New Roman"/>
                <w:color w:val="auto"/>
                <w:spacing w:val="9"/>
                <w:sz w:val="24"/>
                <w:szCs w:val="24"/>
              </w:rPr>
              <w:t>控制水土流失、净化环境、孕育和保存生物多样性等几个方面。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1.1.2、灌丛生态系统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根据现场踏勘结合遥感图片解译，评价区灌丛生态系统面积为13.79</w:t>
            </w:r>
            <w:r>
              <w:rPr>
                <w:rFonts w:hint="default" w:ascii="Times New Roman" w:hAnsi="Times New Roman" w:eastAsia="宋体" w:cs="Times New Roman"/>
                <w:color w:val="auto"/>
                <w:sz w:val="24"/>
                <w:szCs w:val="24"/>
              </w:rPr>
              <w:t>hm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4"/>
                <w:sz w:val="24"/>
                <w:szCs w:val="24"/>
              </w:rPr>
              <w:t>，占</w:t>
            </w:r>
            <w:r>
              <w:rPr>
                <w:rFonts w:hint="default" w:ascii="Times New Roman" w:hAnsi="Times New Roman" w:eastAsia="宋体" w:cs="Times New Roman"/>
                <w:color w:val="auto"/>
                <w:spacing w:val="2"/>
                <w:sz w:val="24"/>
                <w:szCs w:val="24"/>
              </w:rPr>
              <w:t>评</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2"/>
                <w:sz w:val="24"/>
                <w:szCs w:val="24"/>
              </w:rPr>
              <w:t>价区总面积的</w:t>
            </w:r>
            <w:r>
              <w:rPr>
                <w:rFonts w:hint="default" w:ascii="Times New Roman" w:hAnsi="Times New Roman" w:eastAsia="宋体" w:cs="Times New Roman"/>
                <w:color w:val="auto"/>
                <w:spacing w:val="1"/>
                <w:sz w:val="24"/>
                <w:szCs w:val="24"/>
              </w:rPr>
              <w:t>0.43%。</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2"/>
                <w:sz w:val="24"/>
                <w:szCs w:val="24"/>
              </w:rPr>
              <w:t>一</w:t>
            </w:r>
            <w:r>
              <w:rPr>
                <w:rFonts w:hint="default" w:ascii="Times New Roman" w:hAnsi="Times New Roman" w:eastAsia="宋体" w:cs="Times New Roman"/>
                <w:color w:val="auto"/>
                <w:spacing w:val="8"/>
                <w:position w:val="2"/>
                <w:sz w:val="24"/>
                <w:szCs w:val="24"/>
              </w:rPr>
              <w:t>、生态系统结构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植被现</w:t>
            </w:r>
            <w:r>
              <w:rPr>
                <w:rFonts w:hint="default" w:ascii="Times New Roman" w:hAnsi="Times New Roman" w:eastAsia="宋体" w:cs="Times New Roman"/>
                <w:color w:val="auto"/>
                <w:spacing w:val="19"/>
                <w:sz w:val="24"/>
                <w:szCs w:val="24"/>
              </w:rPr>
              <w:t>状</w:t>
            </w:r>
          </w:p>
          <w:p>
            <w:pPr>
              <w:keepNext w:val="0"/>
              <w:keepLines w:val="0"/>
              <w:pageBreakBefore w:val="0"/>
              <w:widowControl w:val="0"/>
              <w:tabs>
                <w:tab w:val="left" w:pos="247"/>
              </w:tabs>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评价</w:t>
            </w:r>
            <w:r>
              <w:rPr>
                <w:rFonts w:hint="default" w:ascii="Times New Roman" w:hAnsi="Times New Roman" w:eastAsia="宋体" w:cs="Times New Roman"/>
                <w:color w:val="auto"/>
                <w:spacing w:val="16"/>
                <w:sz w:val="24"/>
                <w:szCs w:val="24"/>
              </w:rPr>
              <w:t>区</w:t>
            </w:r>
            <w:r>
              <w:rPr>
                <w:rFonts w:hint="default" w:ascii="Times New Roman" w:hAnsi="Times New Roman" w:eastAsia="宋体" w:cs="Times New Roman"/>
                <w:color w:val="auto"/>
                <w:spacing w:val="9"/>
                <w:sz w:val="24"/>
                <w:szCs w:val="24"/>
              </w:rPr>
              <w:t>灌丛生态系统由次生植被组成，主要为落叶阔叶灌丛，主要群系有构树</w:t>
            </w:r>
            <w:r>
              <w:rPr>
                <w:rFonts w:hint="default" w:ascii="Times New Roman" w:hAnsi="Times New Roman" w:eastAsia="宋体" w:cs="Times New Roman"/>
                <w:color w:val="auto"/>
                <w:spacing w:val="12"/>
                <w:sz w:val="24"/>
                <w:szCs w:val="24"/>
              </w:rPr>
              <w:t>灌丛</w:t>
            </w:r>
            <w:r>
              <w:rPr>
                <w:rFonts w:hint="default" w:ascii="Times New Roman" w:hAnsi="Times New Roman" w:eastAsia="宋体" w:cs="Times New Roman"/>
                <w:color w:val="auto"/>
                <w:spacing w:val="9"/>
                <w:sz w:val="24"/>
                <w:szCs w:val="24"/>
              </w:rPr>
              <w:t>(</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z w:val="24"/>
                <w:szCs w:val="24"/>
              </w:rPr>
              <w:t>Broussonetia</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z w:val="24"/>
                <w:szCs w:val="24"/>
              </w:rPr>
              <w:t>papyrifera</w:t>
            </w:r>
            <w:r>
              <w:rPr>
                <w:rFonts w:hint="default" w:ascii="Times New Roman" w:hAnsi="Times New Roman" w:eastAsia="宋体" w:cs="Times New Roman"/>
                <w:color w:val="auto"/>
                <w:spacing w:val="6"/>
                <w:sz w:val="24"/>
                <w:szCs w:val="24"/>
              </w:rPr>
              <w:t xml:space="preserve"> )等，其他常见的组成森林生态系统的植物种类</w:t>
            </w:r>
            <w:r>
              <w:rPr>
                <w:rFonts w:hint="default" w:ascii="Times New Roman" w:hAnsi="Times New Roman" w:eastAsia="宋体" w:cs="Times New Roman"/>
                <w:color w:val="auto"/>
                <w:spacing w:val="18"/>
                <w:sz w:val="24"/>
                <w:szCs w:val="24"/>
              </w:rPr>
              <w:t>有</w:t>
            </w:r>
            <w:r>
              <w:rPr>
                <w:rFonts w:hint="default" w:ascii="Times New Roman" w:hAnsi="Times New Roman" w:eastAsia="宋体" w:cs="Times New Roman"/>
                <w:color w:val="auto"/>
                <w:spacing w:val="10"/>
                <w:sz w:val="24"/>
                <w:szCs w:val="24"/>
              </w:rPr>
              <w:t>盐</w:t>
            </w:r>
            <w:r>
              <w:rPr>
                <w:rFonts w:hint="default" w:ascii="Times New Roman" w:hAnsi="Times New Roman" w:eastAsia="宋体" w:cs="Times New Roman"/>
                <w:color w:val="auto"/>
                <w:spacing w:val="9"/>
                <w:sz w:val="24"/>
                <w:szCs w:val="24"/>
              </w:rPr>
              <w:t>肤木、乌桕、白背叶(</w:t>
            </w:r>
            <w:r>
              <w:rPr>
                <w:rFonts w:hint="default" w:ascii="Times New Roman" w:hAnsi="Times New Roman" w:eastAsia="宋体" w:cs="Times New Roman"/>
                <w:i/>
                <w:iCs/>
                <w:color w:val="auto"/>
                <w:sz w:val="24"/>
                <w:szCs w:val="24"/>
              </w:rPr>
              <w:t>Mallotus</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apelta</w:t>
            </w:r>
            <w:r>
              <w:rPr>
                <w:rFonts w:hint="default" w:ascii="Times New Roman" w:hAnsi="Times New Roman" w:eastAsia="宋体" w:cs="Times New Roman"/>
                <w:color w:val="auto"/>
                <w:spacing w:val="9"/>
                <w:sz w:val="24"/>
                <w:szCs w:val="24"/>
              </w:rPr>
              <w:t xml:space="preserve"> )、寒莓 (</w:t>
            </w:r>
            <w:r>
              <w:rPr>
                <w:rFonts w:hint="default" w:ascii="Times New Roman" w:hAnsi="Times New Roman" w:eastAsia="宋体" w:cs="Times New Roman"/>
                <w:i/>
                <w:iCs/>
                <w:color w:val="auto"/>
                <w:sz w:val="24"/>
                <w:szCs w:val="24"/>
              </w:rPr>
              <w:t>Rubus</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buergeri</w:t>
            </w:r>
            <w:r>
              <w:rPr>
                <w:rFonts w:hint="default" w:ascii="Times New Roman" w:hAnsi="Times New Roman" w:eastAsia="宋体" w:cs="Times New Roman"/>
                <w:color w:val="auto"/>
                <w:spacing w:val="9"/>
                <w:sz w:val="24"/>
                <w:szCs w:val="24"/>
              </w:rPr>
              <w:t>)、桑(</w:t>
            </w:r>
            <w:r>
              <w:rPr>
                <w:rFonts w:hint="default" w:ascii="Times New Roman" w:hAnsi="Times New Roman" w:eastAsia="宋体" w:cs="Times New Roman"/>
                <w:i/>
                <w:iCs/>
                <w:color w:val="auto"/>
                <w:sz w:val="24"/>
                <w:szCs w:val="24"/>
              </w:rPr>
              <w:t>Morus</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alba</w:t>
            </w:r>
            <w:r>
              <w:rPr>
                <w:rFonts w:hint="default" w:ascii="Times New Roman" w:hAnsi="Times New Roman" w:eastAsia="宋体" w:cs="Times New Roman"/>
                <w:color w:val="auto"/>
                <w:spacing w:val="14"/>
                <w:sz w:val="24"/>
                <w:szCs w:val="24"/>
              </w:rPr>
              <w:t xml:space="preserve"> )</w:t>
            </w:r>
            <w:r>
              <w:rPr>
                <w:rFonts w:hint="default" w:ascii="Times New Roman" w:hAnsi="Times New Roman" w:eastAsia="宋体" w:cs="Times New Roman"/>
                <w:color w:val="auto"/>
                <w:spacing w:val="7"/>
                <w:sz w:val="24"/>
                <w:szCs w:val="24"/>
              </w:rPr>
              <w:t>、野蔷薇(</w:t>
            </w:r>
            <w:r>
              <w:rPr>
                <w:rFonts w:hint="default" w:ascii="Times New Roman" w:hAnsi="Times New Roman" w:eastAsia="宋体" w:cs="Times New Roman"/>
                <w:i/>
                <w:iCs/>
                <w:color w:val="auto"/>
                <w:sz w:val="24"/>
                <w:szCs w:val="24"/>
              </w:rPr>
              <w:t>Rosa</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multiflora</w:t>
            </w:r>
            <w:r>
              <w:rPr>
                <w:rFonts w:hint="default" w:ascii="Times New Roman" w:hAnsi="Times New Roman" w:eastAsia="宋体" w:cs="Times New Roman"/>
                <w:color w:val="auto"/>
                <w:spacing w:val="7"/>
                <w:sz w:val="24"/>
                <w:szCs w:val="24"/>
              </w:rPr>
              <w:t>)、竹叶花椒 (</w:t>
            </w:r>
            <w:r>
              <w:rPr>
                <w:rFonts w:hint="default" w:ascii="Times New Roman" w:hAnsi="Times New Roman" w:eastAsia="宋体" w:cs="Times New Roman"/>
                <w:i/>
                <w:iCs/>
                <w:color w:val="auto"/>
                <w:sz w:val="24"/>
                <w:szCs w:val="24"/>
              </w:rPr>
              <w:t>Zanthoxylum</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armatum</w:t>
            </w:r>
            <w:r>
              <w:rPr>
                <w:rFonts w:hint="default" w:ascii="Times New Roman" w:hAnsi="Times New Roman" w:eastAsia="宋体" w:cs="Times New Roman"/>
                <w:color w:val="auto"/>
                <w:spacing w:val="7"/>
                <w:sz w:val="24"/>
                <w:szCs w:val="24"/>
              </w:rPr>
              <w:t xml:space="preserve"> )、黑果菝葜</w:t>
            </w:r>
            <w:r>
              <w:rPr>
                <w:rFonts w:hint="default" w:ascii="Times New Roman" w:hAnsi="Times New Roman" w:eastAsia="宋体" w:cs="Times New Roman"/>
                <w:color w:val="auto"/>
                <w:spacing w:val="20"/>
                <w:sz w:val="24"/>
                <w:szCs w:val="24"/>
              </w:rPr>
              <w:t>(</w:t>
            </w:r>
            <w:r>
              <w:rPr>
                <w:rFonts w:hint="default" w:ascii="Times New Roman" w:hAnsi="Times New Roman" w:eastAsia="宋体" w:cs="Times New Roman"/>
                <w:i/>
                <w:iCs/>
                <w:color w:val="auto"/>
                <w:sz w:val="24"/>
                <w:szCs w:val="24"/>
              </w:rPr>
              <w:t>Smilax</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i/>
                <w:iCs/>
                <w:color w:val="auto"/>
                <w:sz w:val="24"/>
                <w:szCs w:val="24"/>
              </w:rPr>
              <w:t>glaucochina</w:t>
            </w:r>
            <w:r>
              <w:rPr>
                <w:rFonts w:hint="default" w:ascii="Times New Roman" w:hAnsi="Times New Roman" w:eastAsia="宋体" w:cs="Times New Roman"/>
                <w:color w:val="auto"/>
                <w:spacing w:val="10"/>
                <w:sz w:val="24"/>
                <w:szCs w:val="24"/>
              </w:rPr>
              <w:t xml:space="preserve"> )</w:t>
            </w:r>
            <w:r>
              <w:rPr>
                <w:rFonts w:hint="eastAsia" w:ascii="Times New Roman" w:hAnsi="Times New Roman" w:eastAsia="宋体" w:cs="Times New Roman"/>
                <w:color w:val="auto"/>
                <w:spacing w:val="10"/>
                <w:sz w:val="24"/>
                <w:szCs w:val="24"/>
                <w:lang w:eastAsia="zh-CN"/>
              </w:rPr>
              <w:t>、</w:t>
            </w:r>
            <w:r>
              <w:rPr>
                <w:rFonts w:hint="default" w:ascii="Times New Roman" w:hAnsi="Times New Roman" w:eastAsia="宋体" w:cs="Times New Roman"/>
                <w:color w:val="auto"/>
                <w:spacing w:val="10"/>
                <w:sz w:val="24"/>
                <w:szCs w:val="24"/>
              </w:rPr>
              <w:t>毛排钱树 (</w:t>
            </w:r>
            <w:r>
              <w:rPr>
                <w:rFonts w:hint="default" w:ascii="Times New Roman" w:hAnsi="Times New Roman" w:eastAsia="宋体" w:cs="Times New Roman"/>
                <w:i/>
                <w:iCs/>
                <w:color w:val="auto"/>
                <w:sz w:val="24"/>
                <w:szCs w:val="24"/>
              </w:rPr>
              <w:t>Phyllodium</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i/>
                <w:iCs/>
                <w:color w:val="auto"/>
                <w:sz w:val="24"/>
                <w:szCs w:val="24"/>
              </w:rPr>
              <w:t>elegans</w:t>
            </w:r>
            <w:r>
              <w:rPr>
                <w:rFonts w:hint="default" w:ascii="Times New Roman" w:hAnsi="Times New Roman" w:eastAsia="宋体" w:cs="Times New Roman"/>
                <w:color w:val="auto"/>
                <w:spacing w:val="10"/>
                <w:sz w:val="24"/>
                <w:szCs w:val="24"/>
              </w:rPr>
              <w:t>)、楝等。</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2</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动物现</w:t>
            </w:r>
            <w:r>
              <w:rPr>
                <w:rFonts w:hint="default" w:ascii="Times New Roman" w:hAnsi="Times New Roman" w:eastAsia="宋体" w:cs="Times New Roman"/>
                <w:color w:val="auto"/>
                <w:spacing w:val="19"/>
                <w:sz w:val="24"/>
                <w:szCs w:val="24"/>
              </w:rPr>
              <w:t>状</w:t>
            </w:r>
          </w:p>
          <w:p>
            <w:pPr>
              <w:keepNext w:val="0"/>
              <w:keepLines w:val="0"/>
              <w:pageBreakBefore w:val="0"/>
              <w:widowControl w:val="0"/>
              <w:tabs>
                <w:tab w:val="left" w:pos="247"/>
              </w:tabs>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规划</w:t>
            </w:r>
            <w:r>
              <w:rPr>
                <w:rFonts w:hint="default" w:ascii="Times New Roman" w:hAnsi="Times New Roman" w:eastAsia="宋体" w:cs="Times New Roman"/>
                <w:color w:val="auto"/>
                <w:spacing w:val="14"/>
                <w:sz w:val="24"/>
                <w:szCs w:val="24"/>
              </w:rPr>
              <w:t>区</w:t>
            </w:r>
            <w:r>
              <w:rPr>
                <w:rFonts w:hint="default" w:ascii="Times New Roman" w:hAnsi="Times New Roman" w:eastAsia="宋体" w:cs="Times New Roman"/>
                <w:color w:val="auto"/>
                <w:spacing w:val="9"/>
                <w:sz w:val="24"/>
                <w:szCs w:val="24"/>
              </w:rPr>
              <w:t>域灌丛生态系统主要分布在湖区附近的道路两侧，常见的动物主要有中</w:t>
            </w:r>
            <w:r>
              <w:rPr>
                <w:rFonts w:hint="default" w:ascii="Times New Roman" w:hAnsi="Times New Roman" w:eastAsia="宋体" w:cs="Times New Roman"/>
                <w:color w:val="auto"/>
                <w:spacing w:val="-1"/>
                <w:sz w:val="24"/>
                <w:szCs w:val="24"/>
              </w:rPr>
              <w:t>华蟾蜍(</w:t>
            </w:r>
            <w:r>
              <w:rPr>
                <w:rFonts w:hint="default" w:ascii="Times New Roman" w:hAnsi="Times New Roman" w:eastAsia="宋体" w:cs="Times New Roman"/>
                <w:i/>
                <w:iCs/>
                <w:color w:val="auto"/>
                <w:spacing w:val="-1"/>
                <w:sz w:val="24"/>
                <w:szCs w:val="24"/>
              </w:rPr>
              <w:t>Bufo</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pacing w:val="-1"/>
                <w:sz w:val="24"/>
                <w:szCs w:val="24"/>
              </w:rPr>
              <w:t>gargarizans</w:t>
            </w:r>
            <w:r>
              <w:rPr>
                <w:rFonts w:hint="default" w:ascii="Times New Roman" w:hAnsi="Times New Roman" w:eastAsia="宋体" w:cs="Times New Roman"/>
                <w:color w:val="auto"/>
                <w:spacing w:val="-1"/>
                <w:sz w:val="24"/>
                <w:szCs w:val="24"/>
              </w:rPr>
              <w:t>)、饰纹姬蛙(</w:t>
            </w:r>
            <w:r>
              <w:rPr>
                <w:rFonts w:hint="default" w:ascii="Times New Roman" w:hAnsi="Times New Roman" w:eastAsia="宋体" w:cs="Times New Roman"/>
                <w:i/>
                <w:iCs/>
                <w:color w:val="auto"/>
                <w:spacing w:val="-1"/>
                <w:sz w:val="24"/>
                <w:szCs w:val="24"/>
              </w:rPr>
              <w:t>Mic</w:t>
            </w:r>
            <w:r>
              <w:rPr>
                <w:rFonts w:hint="default" w:ascii="Times New Roman" w:hAnsi="Times New Roman" w:eastAsia="宋体" w:cs="Times New Roman"/>
                <w:i/>
                <w:iCs/>
                <w:color w:val="auto"/>
                <w:sz w:val="24"/>
                <w:szCs w:val="24"/>
              </w:rPr>
              <w:t>rohyla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ornata</w:t>
            </w:r>
            <w:r>
              <w:rPr>
                <w:rFonts w:hint="default" w:ascii="Times New Roman" w:hAnsi="Times New Roman" w:eastAsia="宋体" w:cs="Times New Roman"/>
                <w:color w:val="auto"/>
                <w:spacing w:val="-1"/>
                <w:sz w:val="24"/>
                <w:szCs w:val="24"/>
              </w:rPr>
              <w:t xml:space="preserve"> )、铜蜓蜥(</w:t>
            </w:r>
            <w:r>
              <w:rPr>
                <w:rFonts w:hint="default" w:ascii="Times New Roman" w:hAnsi="Times New Roman" w:eastAsia="宋体" w:cs="Times New Roman"/>
                <w:color w:val="auto"/>
                <w:sz w:val="24"/>
                <w:szCs w:val="24"/>
              </w:rPr>
              <w:t>Sphenomorphus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29"/>
                <w:sz w:val="24"/>
                <w:szCs w:val="24"/>
              </w:rPr>
              <w:t>北</w:t>
            </w:r>
            <w:r>
              <w:rPr>
                <w:rFonts w:hint="default" w:ascii="Times New Roman" w:hAnsi="Times New Roman" w:eastAsia="宋体" w:cs="Times New Roman"/>
                <w:color w:val="auto"/>
                <w:spacing w:val="16"/>
                <w:sz w:val="24"/>
                <w:szCs w:val="24"/>
              </w:rPr>
              <w:t>草蜥(</w:t>
            </w:r>
            <w:r>
              <w:rPr>
                <w:rFonts w:hint="default" w:ascii="Times New Roman" w:hAnsi="Times New Roman" w:eastAsia="宋体" w:cs="Times New Roman"/>
                <w:i/>
                <w:iCs/>
                <w:color w:val="auto"/>
                <w:sz w:val="24"/>
                <w:szCs w:val="24"/>
              </w:rPr>
              <w:t>Takydromus</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i/>
                <w:iCs/>
                <w:color w:val="auto"/>
                <w:sz w:val="24"/>
                <w:szCs w:val="24"/>
              </w:rPr>
              <w:t>septentrionalis</w:t>
            </w:r>
            <w:r>
              <w:rPr>
                <w:rFonts w:hint="default" w:ascii="Times New Roman" w:hAnsi="Times New Roman" w:eastAsia="宋体" w:cs="Times New Roman"/>
                <w:color w:val="auto"/>
                <w:spacing w:val="16"/>
                <w:sz w:val="24"/>
                <w:szCs w:val="24"/>
              </w:rPr>
              <w:t xml:space="preserve"> )</w:t>
            </w:r>
            <w:r>
              <w:rPr>
                <w:rFonts w:hint="eastAsia" w:ascii="Times New Roman" w:hAnsi="Times New Roman" w:eastAsia="宋体" w:cs="Times New Roman"/>
                <w:color w:val="auto"/>
                <w:spacing w:val="16"/>
                <w:sz w:val="24"/>
                <w:szCs w:val="24"/>
                <w:lang w:eastAsia="zh-CN"/>
              </w:rPr>
              <w:t>、</w:t>
            </w:r>
            <w:r>
              <w:rPr>
                <w:rFonts w:hint="default" w:ascii="Times New Roman" w:hAnsi="Times New Roman" w:eastAsia="宋体" w:cs="Times New Roman"/>
                <w:color w:val="auto"/>
                <w:spacing w:val="16"/>
                <w:sz w:val="24"/>
                <w:szCs w:val="24"/>
              </w:rPr>
              <w:t>白头鹎(</w:t>
            </w:r>
            <w:r>
              <w:rPr>
                <w:rFonts w:hint="default" w:ascii="Times New Roman" w:hAnsi="Times New Roman" w:eastAsia="宋体" w:cs="Times New Roman"/>
                <w:i/>
                <w:iCs/>
                <w:color w:val="auto"/>
                <w:sz w:val="24"/>
                <w:szCs w:val="24"/>
              </w:rPr>
              <w:t>Pyconotus</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i/>
                <w:iCs/>
                <w:color w:val="auto"/>
                <w:sz w:val="24"/>
                <w:szCs w:val="24"/>
              </w:rPr>
              <w:t>sinensis</w:t>
            </w:r>
            <w:r>
              <w:rPr>
                <w:rFonts w:hint="default" w:ascii="Times New Roman" w:hAnsi="Times New Roman" w:eastAsia="宋体" w:cs="Times New Roman"/>
                <w:color w:val="auto"/>
                <w:spacing w:val="16"/>
                <w:sz w:val="24"/>
                <w:szCs w:val="24"/>
              </w:rPr>
              <w:t xml:space="preserve"> )、棕头鸦雀</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pacing w:val="-3"/>
                <w:sz w:val="24"/>
                <w:szCs w:val="24"/>
              </w:rPr>
              <w:t>Paradoxornis</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pacing w:val="-3"/>
                <w:sz w:val="24"/>
                <w:szCs w:val="24"/>
              </w:rPr>
              <w:t>webbianus</w:t>
            </w:r>
            <w:r>
              <w:rPr>
                <w:rFonts w:hint="default" w:ascii="Times New Roman" w:hAnsi="Times New Roman" w:eastAsia="宋体" w:cs="Times New Roman"/>
                <w:color w:val="auto"/>
                <w:spacing w:val="-6"/>
                <w:sz w:val="24"/>
                <w:szCs w:val="24"/>
              </w:rPr>
              <w:t xml:space="preserve"> )、暗绿绣眼</w:t>
            </w:r>
            <w:r>
              <w:rPr>
                <w:rFonts w:hint="default" w:ascii="Times New Roman" w:hAnsi="Times New Roman" w:eastAsia="宋体" w:cs="Times New Roman"/>
                <w:color w:val="auto"/>
                <w:spacing w:val="-3"/>
                <w:sz w:val="24"/>
                <w:szCs w:val="24"/>
              </w:rPr>
              <w:t>鸟(</w:t>
            </w:r>
            <w:r>
              <w:rPr>
                <w:rFonts w:hint="default" w:ascii="Times New Roman" w:hAnsi="Times New Roman" w:eastAsia="宋体" w:cs="Times New Roman"/>
                <w:i/>
                <w:iCs/>
                <w:color w:val="auto"/>
                <w:spacing w:val="-3"/>
                <w:sz w:val="24"/>
                <w:szCs w:val="24"/>
              </w:rPr>
              <w:t>Zosterops</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pacing w:val="-3"/>
                <w:sz w:val="24"/>
                <w:szCs w:val="24"/>
              </w:rPr>
              <w:t>japonicus</w:t>
            </w:r>
            <w:r>
              <w:rPr>
                <w:rFonts w:hint="default" w:ascii="Times New Roman" w:hAnsi="Times New Roman" w:eastAsia="宋体" w:cs="Times New Roman"/>
                <w:color w:val="auto"/>
                <w:spacing w:val="-3"/>
                <w:sz w:val="24"/>
                <w:szCs w:val="24"/>
              </w:rPr>
              <w:t xml:space="preserve"> )、北红尾鸲</w:t>
            </w:r>
            <w:r>
              <w:rPr>
                <w:rFonts w:hint="default" w:ascii="Times New Roman" w:hAnsi="Times New Roman" w:eastAsia="宋体" w:cs="Times New Roman"/>
                <w:color w:val="auto"/>
                <w:spacing w:val="16"/>
                <w:sz w:val="24"/>
                <w:szCs w:val="24"/>
              </w:rPr>
              <w:t>(</w:t>
            </w:r>
            <w:r>
              <w:rPr>
                <w:rFonts w:hint="default" w:ascii="Times New Roman" w:hAnsi="Times New Roman" w:eastAsia="宋体" w:cs="Times New Roman"/>
                <w:i/>
                <w:iCs/>
                <w:color w:val="auto"/>
                <w:sz w:val="24"/>
                <w:szCs w:val="24"/>
              </w:rPr>
              <w:t>Phoenicurus</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i/>
                <w:iCs/>
                <w:color w:val="auto"/>
                <w:sz w:val="24"/>
                <w:szCs w:val="24"/>
              </w:rPr>
              <w:t>auroreus</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8"/>
                <w:sz w:val="24"/>
                <w:szCs w:val="24"/>
              </w:rPr>
              <w:t>)、领雀嘴鹎(</w:t>
            </w:r>
            <w:r>
              <w:rPr>
                <w:rFonts w:hint="default" w:ascii="Times New Roman" w:hAnsi="Times New Roman" w:eastAsia="宋体" w:cs="Times New Roman"/>
                <w:i/>
                <w:iCs/>
                <w:color w:val="auto"/>
                <w:sz w:val="24"/>
                <w:szCs w:val="24"/>
              </w:rPr>
              <w:t>Spizixos</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semitorques</w:t>
            </w:r>
            <w:r>
              <w:rPr>
                <w:rFonts w:hint="default" w:ascii="Times New Roman" w:hAnsi="Times New Roman" w:eastAsia="宋体" w:cs="Times New Roman"/>
                <w:color w:val="auto"/>
                <w:spacing w:val="8"/>
                <w:sz w:val="24"/>
                <w:szCs w:val="24"/>
              </w:rPr>
              <w:t>)、大山雀、金翅雀、麻雀</w:t>
            </w:r>
            <w:r>
              <w:rPr>
                <w:rFonts w:hint="default" w:ascii="Times New Roman" w:hAnsi="Times New Roman" w:eastAsia="宋体" w:cs="Times New Roman"/>
                <w:color w:val="auto"/>
                <w:spacing w:val="5"/>
                <w:sz w:val="24"/>
                <w:szCs w:val="24"/>
              </w:rPr>
              <w:t>(</w:t>
            </w:r>
            <w:r>
              <w:rPr>
                <w:rFonts w:hint="default" w:ascii="Times New Roman" w:hAnsi="Times New Roman" w:eastAsia="宋体" w:cs="Times New Roman"/>
                <w:i/>
                <w:iCs/>
                <w:color w:val="auto"/>
                <w:sz w:val="24"/>
                <w:szCs w:val="24"/>
              </w:rPr>
              <w:t>Passer</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z w:val="24"/>
                <w:szCs w:val="24"/>
              </w:rPr>
              <w:t>montanus</w:t>
            </w:r>
            <w:r>
              <w:rPr>
                <w:rFonts w:hint="default" w:ascii="Times New Roman" w:hAnsi="Times New Roman" w:eastAsia="宋体" w:cs="Times New Roman"/>
                <w:color w:val="auto"/>
                <w:spacing w:val="5"/>
                <w:sz w:val="24"/>
                <w:szCs w:val="24"/>
              </w:rPr>
              <w:t xml:space="preserve"> )、小家鼠(</w:t>
            </w:r>
            <w:r>
              <w:rPr>
                <w:rFonts w:hint="default" w:ascii="Times New Roman" w:hAnsi="Times New Roman" w:eastAsia="宋体" w:cs="Times New Roman"/>
                <w:i/>
                <w:iCs/>
                <w:color w:val="auto"/>
                <w:sz w:val="24"/>
                <w:szCs w:val="24"/>
              </w:rPr>
              <w:t>Mus</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z w:val="24"/>
                <w:szCs w:val="24"/>
              </w:rPr>
              <w:t>musculus</w:t>
            </w:r>
            <w:r>
              <w:rPr>
                <w:rFonts w:hint="default" w:ascii="Times New Roman" w:hAnsi="Times New Roman" w:eastAsia="宋体" w:cs="Times New Roman"/>
                <w:color w:val="auto"/>
                <w:spacing w:val="5"/>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1"/>
                <w:sz w:val="24"/>
                <w:szCs w:val="24"/>
              </w:rPr>
              <w:t>二</w:t>
            </w:r>
            <w:r>
              <w:rPr>
                <w:rFonts w:hint="default" w:ascii="Times New Roman" w:hAnsi="Times New Roman" w:eastAsia="宋体" w:cs="Times New Roman"/>
                <w:color w:val="auto"/>
                <w:spacing w:val="8"/>
                <w:position w:val="1"/>
                <w:sz w:val="24"/>
                <w:szCs w:val="24"/>
              </w:rPr>
              <w:t>、生态系统功能</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灌丛</w:t>
            </w:r>
            <w:r>
              <w:rPr>
                <w:rFonts w:hint="default" w:ascii="Times New Roman" w:hAnsi="Times New Roman" w:eastAsia="宋体" w:cs="Times New Roman"/>
                <w:color w:val="auto"/>
                <w:spacing w:val="12"/>
                <w:sz w:val="24"/>
                <w:szCs w:val="24"/>
              </w:rPr>
              <w:t>生</w:t>
            </w:r>
            <w:r>
              <w:rPr>
                <w:rFonts w:hint="default" w:ascii="Times New Roman" w:hAnsi="Times New Roman" w:eastAsia="宋体" w:cs="Times New Roman"/>
                <w:color w:val="auto"/>
                <w:spacing w:val="9"/>
                <w:sz w:val="24"/>
                <w:szCs w:val="24"/>
              </w:rPr>
              <w:t>态系统形态结构及营养结构相对简单，适应性强。在评价区内分布面积</w:t>
            </w:r>
            <w:r>
              <w:rPr>
                <w:rFonts w:hint="default" w:ascii="Times New Roman" w:hAnsi="Times New Roman" w:eastAsia="宋体" w:cs="Times New Roman"/>
                <w:color w:val="auto"/>
                <w:spacing w:val="16"/>
                <w:sz w:val="24"/>
                <w:szCs w:val="24"/>
              </w:rPr>
              <w:t>较</w:t>
            </w:r>
            <w:r>
              <w:rPr>
                <w:rFonts w:hint="default" w:ascii="Times New Roman" w:hAnsi="Times New Roman" w:eastAsia="宋体" w:cs="Times New Roman"/>
                <w:color w:val="auto"/>
                <w:spacing w:val="9"/>
                <w:sz w:val="24"/>
                <w:szCs w:val="24"/>
              </w:rPr>
              <w:t>小，其生态服务功能主要有保持水土、防风固沙等作用。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1.1.3、</w:t>
            </w:r>
            <w:r>
              <w:rPr>
                <w:rFonts w:hint="default" w:ascii="Times New Roman" w:hAnsi="Times New Roman" w:cs="Times New Roman"/>
                <w:b/>
                <w:bCs/>
                <w:color w:val="auto"/>
                <w:sz w:val="24"/>
                <w:szCs w:val="24"/>
                <w:lang w:val="en-US" w:eastAsia="zh-CN"/>
              </w:rPr>
              <w:t>草地生态系统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根据现场踏勘结合遥感图片解译，评价区草地生态系统面积为9.04</w:t>
            </w:r>
            <w:r>
              <w:rPr>
                <w:rFonts w:hint="default" w:ascii="Times New Roman" w:hAnsi="Times New Roman" w:eastAsia="宋体" w:cs="Times New Roman"/>
                <w:color w:val="auto"/>
                <w:sz w:val="24"/>
                <w:szCs w:val="24"/>
              </w:rPr>
              <w:t>hm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4"/>
                <w:sz w:val="24"/>
                <w:szCs w:val="24"/>
              </w:rPr>
              <w:t>，占</w:t>
            </w:r>
            <w:r>
              <w:rPr>
                <w:rFonts w:hint="default" w:ascii="Times New Roman" w:hAnsi="Times New Roman" w:eastAsia="宋体" w:cs="Times New Roman"/>
                <w:color w:val="auto"/>
                <w:spacing w:val="2"/>
                <w:sz w:val="24"/>
                <w:szCs w:val="24"/>
              </w:rPr>
              <w:t>评价区总面积的</w:t>
            </w:r>
            <w:r>
              <w:rPr>
                <w:rFonts w:hint="default" w:ascii="Times New Roman" w:hAnsi="Times New Roman" w:eastAsia="宋体" w:cs="Times New Roman"/>
                <w:color w:val="auto"/>
                <w:spacing w:val="1"/>
                <w:sz w:val="24"/>
                <w:szCs w:val="24"/>
              </w:rPr>
              <w:t>0.28%。</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2"/>
                <w:sz w:val="24"/>
                <w:szCs w:val="24"/>
              </w:rPr>
              <w:t>一</w:t>
            </w:r>
            <w:r>
              <w:rPr>
                <w:rFonts w:hint="default" w:ascii="Times New Roman" w:hAnsi="Times New Roman" w:eastAsia="宋体" w:cs="Times New Roman"/>
                <w:color w:val="auto"/>
                <w:spacing w:val="8"/>
                <w:position w:val="2"/>
                <w:sz w:val="24"/>
                <w:szCs w:val="24"/>
              </w:rPr>
              <w:t>、生态系统结构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评价</w:t>
            </w:r>
            <w:r>
              <w:rPr>
                <w:rFonts w:hint="default" w:ascii="Times New Roman" w:hAnsi="Times New Roman" w:eastAsia="宋体" w:cs="Times New Roman"/>
                <w:color w:val="auto"/>
                <w:spacing w:val="16"/>
                <w:sz w:val="24"/>
                <w:szCs w:val="24"/>
              </w:rPr>
              <w:t>区</w:t>
            </w:r>
            <w:r>
              <w:rPr>
                <w:rFonts w:hint="default" w:ascii="Times New Roman" w:hAnsi="Times New Roman" w:eastAsia="宋体" w:cs="Times New Roman"/>
                <w:color w:val="auto"/>
                <w:spacing w:val="9"/>
                <w:sz w:val="24"/>
                <w:szCs w:val="24"/>
              </w:rPr>
              <w:t>草地生态系统内植被以灌草丛为主，主要分布白泥湖、范家坝、三汊港</w:t>
            </w:r>
            <w:r>
              <w:rPr>
                <w:rFonts w:hint="default" w:ascii="Times New Roman" w:hAnsi="Times New Roman" w:eastAsia="宋体" w:cs="Times New Roman"/>
                <w:color w:val="auto"/>
                <w:spacing w:val="-12"/>
                <w:sz w:val="24"/>
                <w:szCs w:val="24"/>
              </w:rPr>
              <w:t>南</w:t>
            </w:r>
            <w:r>
              <w:rPr>
                <w:rFonts w:hint="default" w:ascii="Times New Roman" w:hAnsi="Times New Roman" w:eastAsia="宋体" w:cs="Times New Roman"/>
                <w:color w:val="auto"/>
                <w:spacing w:val="-10"/>
                <w:sz w:val="24"/>
                <w:szCs w:val="24"/>
              </w:rPr>
              <w:t xml:space="preserve">湖附近及农田周围，常见的群系有菊叶香藜灌草丛 ( From. </w:t>
            </w:r>
            <w:r>
              <w:rPr>
                <w:rFonts w:hint="default" w:ascii="Times New Roman" w:hAnsi="Times New Roman" w:eastAsia="宋体" w:cs="Times New Roman"/>
                <w:i/>
                <w:iCs/>
                <w:color w:val="auto"/>
                <w:spacing w:val="-10"/>
                <w:sz w:val="24"/>
                <w:szCs w:val="24"/>
              </w:rPr>
              <w:t>Chenopodium</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foetidum</w:t>
            </w:r>
            <w:r>
              <w:rPr>
                <w:rFonts w:hint="default" w:ascii="Times New Roman" w:hAnsi="Times New Roman" w:eastAsia="宋体" w:cs="Times New Roman"/>
                <w:color w:val="auto"/>
                <w:spacing w:val="20"/>
                <w:sz w:val="24"/>
                <w:szCs w:val="24"/>
              </w:rPr>
              <w:t xml:space="preserve"> </w:t>
            </w:r>
            <w:r>
              <w:rPr>
                <w:rFonts w:hint="default" w:ascii="Times New Roman" w:hAnsi="Times New Roman" w:eastAsia="宋体" w:cs="Times New Roman"/>
                <w:color w:val="auto"/>
                <w:spacing w:val="13"/>
                <w:sz w:val="24"/>
                <w:szCs w:val="24"/>
              </w:rPr>
              <w:t>)</w:t>
            </w:r>
            <w:r>
              <w:rPr>
                <w:rFonts w:hint="default" w:ascii="Times New Roman" w:hAnsi="Times New Roman" w:eastAsia="宋体" w:cs="Times New Roman"/>
                <w:color w:val="auto"/>
                <w:spacing w:val="10"/>
                <w:sz w:val="24"/>
                <w:szCs w:val="24"/>
              </w:rPr>
              <w:t>、酸模叶蓼灌草丛 (</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10"/>
                <w:sz w:val="24"/>
                <w:szCs w:val="24"/>
              </w:rPr>
              <w:t>.)、狗尾草灌草丛 (</w:t>
            </w:r>
            <w:r>
              <w:rPr>
                <w:rFonts w:hint="default" w:ascii="Times New Roman" w:hAnsi="Times New Roman" w:eastAsia="宋体" w:cs="Times New Roman"/>
                <w:color w:val="auto"/>
                <w:sz w:val="24"/>
                <w:szCs w:val="24"/>
              </w:rPr>
              <w:t>Form</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i/>
                <w:iCs/>
                <w:color w:val="auto"/>
                <w:sz w:val="24"/>
                <w:szCs w:val="24"/>
              </w:rPr>
              <w:t>Setaria</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i/>
                <w:iCs/>
                <w:color w:val="auto"/>
                <w:sz w:val="24"/>
                <w:szCs w:val="24"/>
              </w:rPr>
              <w:t>viridis</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15"/>
                <w:sz w:val="24"/>
                <w:szCs w:val="24"/>
              </w:rPr>
              <w:t>狗牙根灌草丛(</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15"/>
                <w:sz w:val="24"/>
                <w:szCs w:val="24"/>
              </w:rPr>
              <w:t xml:space="preserve">. </w:t>
            </w:r>
            <w:r>
              <w:rPr>
                <w:rFonts w:hint="default" w:ascii="Times New Roman" w:hAnsi="Times New Roman" w:eastAsia="宋体" w:cs="Times New Roman"/>
                <w:i/>
                <w:iCs/>
                <w:color w:val="auto"/>
                <w:sz w:val="24"/>
                <w:szCs w:val="24"/>
              </w:rPr>
              <w:t>Polygonum</w:t>
            </w:r>
            <w:r>
              <w:rPr>
                <w:rFonts w:hint="default" w:ascii="Times New Roman" w:hAnsi="Times New Roman" w:eastAsia="宋体" w:cs="Times New Roman"/>
                <w:color w:val="auto"/>
                <w:spacing w:val="15"/>
                <w:sz w:val="24"/>
                <w:szCs w:val="24"/>
              </w:rPr>
              <w:t xml:space="preserve"> </w:t>
            </w:r>
            <w:r>
              <w:rPr>
                <w:rFonts w:hint="default" w:ascii="Times New Roman" w:hAnsi="Times New Roman" w:eastAsia="宋体" w:cs="Times New Roman"/>
                <w:i/>
                <w:iCs/>
                <w:color w:val="auto"/>
                <w:sz w:val="24"/>
                <w:szCs w:val="24"/>
              </w:rPr>
              <w:t>lapathifolium</w:t>
            </w:r>
            <w:r>
              <w:rPr>
                <w:rFonts w:hint="default" w:ascii="Times New Roman" w:hAnsi="Times New Roman" w:eastAsia="宋体" w:cs="Times New Roman"/>
                <w:color w:val="auto"/>
                <w:spacing w:val="15"/>
                <w:sz w:val="24"/>
                <w:szCs w:val="24"/>
              </w:rPr>
              <w:t xml:space="preserve"> )、广州蔊菜灌草丛(</w:t>
            </w:r>
            <w:r>
              <w:rPr>
                <w:rFonts w:hint="default" w:ascii="Times New Roman" w:hAnsi="Times New Roman" w:eastAsia="宋体" w:cs="Times New Roman"/>
                <w:color w:val="auto"/>
                <w:sz w:val="24"/>
                <w:szCs w:val="24"/>
              </w:rPr>
              <w:t>From</w:t>
            </w:r>
            <w:r>
              <w:rPr>
                <w:rFonts w:hint="default" w:ascii="Times New Roman" w:hAnsi="Times New Roman" w:eastAsia="宋体" w:cs="Times New Roman"/>
                <w:color w:val="auto"/>
                <w:spacing w:val="15"/>
                <w:sz w:val="24"/>
                <w:szCs w:val="24"/>
              </w:rPr>
              <w:t>.</w:t>
            </w:r>
            <w:r>
              <w:rPr>
                <w:rFonts w:hint="default" w:ascii="Times New Roman" w:hAnsi="Times New Roman" w:eastAsia="宋体" w:cs="Times New Roman"/>
                <w:color w:val="auto"/>
                <w:spacing w:val="13"/>
                <w:sz w:val="24"/>
                <w:szCs w:val="24"/>
              </w:rPr>
              <w:t xml:space="preserve"> </w:t>
            </w:r>
            <w:r>
              <w:rPr>
                <w:rFonts w:hint="default" w:ascii="Times New Roman" w:hAnsi="Times New Roman" w:eastAsia="宋体" w:cs="Times New Roman"/>
                <w:i/>
                <w:iCs/>
                <w:color w:val="auto"/>
                <w:sz w:val="24"/>
                <w:szCs w:val="24"/>
              </w:rPr>
              <w:t>Rorippa</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cantoniensis</w:t>
            </w:r>
            <w:r>
              <w:rPr>
                <w:rFonts w:hint="default" w:ascii="Times New Roman" w:hAnsi="Times New Roman" w:eastAsia="宋体" w:cs="Times New Roman"/>
                <w:color w:val="auto"/>
                <w:spacing w:val="-1"/>
                <w:sz w:val="24"/>
                <w:szCs w:val="24"/>
              </w:rPr>
              <w:t xml:space="preserve"> )等。常见植物有酢浆草(</w:t>
            </w:r>
            <w:r>
              <w:rPr>
                <w:rFonts w:hint="default" w:ascii="Times New Roman" w:hAnsi="Times New Roman" w:eastAsia="宋体" w:cs="Times New Roman"/>
                <w:i/>
                <w:iCs/>
                <w:color w:val="auto"/>
                <w:sz w:val="24"/>
                <w:szCs w:val="24"/>
              </w:rPr>
              <w:t>Oxalis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corniculata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z w:val="24"/>
                <w:szCs w:val="24"/>
              </w:rPr>
              <w:t>铁苋菜(</w:t>
            </w:r>
            <w:r>
              <w:rPr>
                <w:rFonts w:hint="default" w:ascii="Times New Roman" w:hAnsi="Times New Roman" w:eastAsia="宋体" w:cs="Times New Roman"/>
                <w:i/>
                <w:iCs/>
                <w:color w:val="auto"/>
                <w:sz w:val="24"/>
                <w:szCs w:val="24"/>
              </w:rPr>
              <w:t>Acalypha</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australis</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1"/>
                <w:sz w:val="24"/>
                <w:szCs w:val="24"/>
              </w:rPr>
              <w:t>一</w:t>
            </w:r>
            <w:r>
              <w:rPr>
                <w:rFonts w:hint="default" w:ascii="Times New Roman" w:hAnsi="Times New Roman" w:eastAsia="宋体" w:cs="Times New Roman"/>
                <w:color w:val="auto"/>
                <w:spacing w:val="6"/>
                <w:sz w:val="24"/>
                <w:szCs w:val="24"/>
              </w:rPr>
              <w:t>点红(</w:t>
            </w:r>
            <w:r>
              <w:rPr>
                <w:rFonts w:hint="default" w:ascii="Times New Roman" w:hAnsi="Times New Roman" w:eastAsia="宋体" w:cs="Times New Roman"/>
                <w:i/>
                <w:iCs/>
                <w:color w:val="auto"/>
                <w:sz w:val="24"/>
                <w:szCs w:val="24"/>
              </w:rPr>
              <w:t>Emilia</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z w:val="24"/>
                <w:szCs w:val="24"/>
              </w:rPr>
              <w:t>sonchifolia</w:t>
            </w:r>
            <w:r>
              <w:rPr>
                <w:rFonts w:hint="default" w:ascii="Times New Roman" w:hAnsi="Times New Roman" w:eastAsia="宋体" w:cs="Times New Roman"/>
                <w:color w:val="auto"/>
                <w:spacing w:val="6"/>
                <w:sz w:val="24"/>
                <w:szCs w:val="24"/>
              </w:rPr>
              <w:t xml:space="preserve"> )、篱栏网(</w:t>
            </w:r>
            <w:r>
              <w:rPr>
                <w:rFonts w:hint="default" w:ascii="Times New Roman" w:hAnsi="Times New Roman" w:eastAsia="宋体" w:cs="Times New Roman"/>
                <w:i/>
                <w:iCs/>
                <w:color w:val="auto"/>
                <w:sz w:val="24"/>
                <w:szCs w:val="24"/>
              </w:rPr>
              <w:t>Merremia</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z w:val="24"/>
                <w:szCs w:val="24"/>
              </w:rPr>
              <w:t>hederacea</w:t>
            </w:r>
            <w:r>
              <w:rPr>
                <w:rFonts w:hint="default" w:ascii="Times New Roman" w:hAnsi="Times New Roman" w:eastAsia="宋体" w:cs="Times New Roman"/>
                <w:color w:val="auto"/>
                <w:spacing w:val="6"/>
                <w:sz w:val="24"/>
                <w:szCs w:val="24"/>
              </w:rPr>
              <w:t xml:space="preserve"> )、蛇床(</w:t>
            </w:r>
            <w:r>
              <w:rPr>
                <w:rFonts w:hint="default" w:ascii="Times New Roman" w:hAnsi="Times New Roman" w:eastAsia="宋体" w:cs="Times New Roman"/>
                <w:i/>
                <w:iCs/>
                <w:color w:val="auto"/>
                <w:sz w:val="24"/>
                <w:szCs w:val="24"/>
              </w:rPr>
              <w:t>Cnidium</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z w:val="24"/>
                <w:szCs w:val="24"/>
              </w:rPr>
              <w:t>monnieri</w:t>
            </w:r>
            <w:r>
              <w:rPr>
                <w:rFonts w:hint="default" w:ascii="Times New Roman" w:hAnsi="Times New Roman" w:eastAsia="宋体" w:cs="Times New Roman"/>
                <w:color w:val="auto"/>
                <w:spacing w:val="6"/>
                <w:sz w:val="24"/>
                <w:szCs w:val="24"/>
              </w:rPr>
              <w:t>)、皱</w:t>
            </w:r>
            <w:r>
              <w:rPr>
                <w:rFonts w:hint="default" w:ascii="Times New Roman" w:hAnsi="Times New Roman" w:eastAsia="宋体" w:cs="Times New Roman"/>
                <w:color w:val="auto"/>
                <w:spacing w:val="3"/>
                <w:sz w:val="24"/>
                <w:szCs w:val="24"/>
              </w:rPr>
              <w:t>叶酸模(</w:t>
            </w:r>
            <w:r>
              <w:rPr>
                <w:rFonts w:hint="default" w:ascii="Times New Roman" w:hAnsi="Times New Roman" w:eastAsia="宋体" w:cs="Times New Roman"/>
                <w:i/>
                <w:iCs/>
                <w:color w:val="auto"/>
                <w:sz w:val="24"/>
                <w:szCs w:val="24"/>
              </w:rPr>
              <w:t>Rumex</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crispus</w:t>
            </w:r>
            <w:r>
              <w:rPr>
                <w:rFonts w:hint="default" w:ascii="Times New Roman" w:hAnsi="Times New Roman" w:eastAsia="宋体" w:cs="Times New Roman"/>
                <w:color w:val="auto"/>
                <w:spacing w:val="3"/>
                <w:sz w:val="24"/>
                <w:szCs w:val="24"/>
              </w:rPr>
              <w:t>)、沼生蔊菜(</w:t>
            </w:r>
            <w:r>
              <w:rPr>
                <w:rFonts w:hint="default" w:ascii="Times New Roman" w:hAnsi="Times New Roman" w:eastAsia="宋体" w:cs="Times New Roman"/>
                <w:i/>
                <w:iCs/>
                <w:color w:val="auto"/>
                <w:sz w:val="24"/>
                <w:szCs w:val="24"/>
              </w:rPr>
              <w:t>Rorippa</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islandica</w:t>
            </w:r>
            <w:r>
              <w:rPr>
                <w:rFonts w:hint="default" w:ascii="Times New Roman" w:hAnsi="Times New Roman" w:eastAsia="宋体" w:cs="Times New Roman"/>
                <w:color w:val="auto"/>
                <w:spacing w:val="3"/>
                <w:sz w:val="24"/>
                <w:szCs w:val="24"/>
              </w:rPr>
              <w:t xml:space="preserve"> )、苍耳(</w:t>
            </w:r>
            <w:r>
              <w:rPr>
                <w:rFonts w:hint="default" w:ascii="Times New Roman" w:hAnsi="Times New Roman" w:eastAsia="宋体" w:cs="Times New Roman"/>
                <w:i/>
                <w:iCs/>
                <w:color w:val="auto"/>
                <w:sz w:val="24"/>
                <w:szCs w:val="24"/>
              </w:rPr>
              <w:t>Xanthium</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strumarium</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26"/>
                <w:sz w:val="24"/>
                <w:szCs w:val="24"/>
              </w:rPr>
              <w:t>等</w:t>
            </w:r>
            <w:r>
              <w:rPr>
                <w:rFonts w:hint="default" w:ascii="Times New Roman" w:hAnsi="Times New Roman" w:eastAsia="宋体" w:cs="Times New Roman"/>
                <w:color w:val="auto"/>
                <w:spacing w:val="2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2</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动物现</w:t>
            </w:r>
            <w:r>
              <w:rPr>
                <w:rFonts w:hint="default" w:ascii="Times New Roman" w:hAnsi="Times New Roman" w:eastAsia="宋体" w:cs="Times New Roman"/>
                <w:color w:val="auto"/>
                <w:spacing w:val="19"/>
                <w:sz w:val="24"/>
                <w:szCs w:val="24"/>
              </w:rPr>
              <w:t>状</w:t>
            </w:r>
          </w:p>
          <w:p>
            <w:pPr>
              <w:keepNext w:val="0"/>
              <w:keepLines w:val="0"/>
              <w:pageBreakBefore w:val="0"/>
              <w:widowControl w:val="0"/>
              <w:tabs>
                <w:tab w:val="left" w:pos="177"/>
              </w:tabs>
              <w:kinsoku/>
              <w:wordWrap/>
              <w:overflowPunct/>
              <w:topLinePunct w:val="0"/>
              <w:autoSpaceDE/>
              <w:autoSpaceDN/>
              <w:bidi w:val="0"/>
              <w:adjustRightInd/>
              <w:snapToGrid/>
              <w:spacing w:line="360" w:lineRule="auto"/>
              <w:ind w:left="0" w:right="0" w:firstLine="57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4"/>
                <w:sz w:val="24"/>
                <w:szCs w:val="24"/>
              </w:rPr>
              <w:t>规划区域草地生态系统常见的动物主要有中华蟾蜍、饰纹姬蛙、泽陆</w:t>
            </w:r>
            <w:r>
              <w:rPr>
                <w:rFonts w:hint="default" w:ascii="Times New Roman" w:hAnsi="Times New Roman" w:eastAsia="宋体" w:cs="Times New Roman"/>
                <w:color w:val="auto"/>
                <w:spacing w:val="21"/>
                <w:sz w:val="24"/>
                <w:szCs w:val="24"/>
              </w:rPr>
              <w:t>蛙</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pacing w:val="10"/>
                <w:sz w:val="24"/>
                <w:szCs w:val="24"/>
              </w:rPr>
              <w:t>(</w:t>
            </w:r>
            <w:r>
              <w:rPr>
                <w:rFonts w:hint="default" w:ascii="Times New Roman" w:hAnsi="Times New Roman" w:eastAsia="宋体" w:cs="Times New Roman"/>
                <w:i/>
                <w:iCs/>
                <w:color w:val="auto"/>
                <w:sz w:val="24"/>
                <w:szCs w:val="24"/>
              </w:rPr>
              <w:t>Fejervarya</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i/>
                <w:iCs/>
                <w:color w:val="auto"/>
                <w:sz w:val="24"/>
                <w:szCs w:val="24"/>
              </w:rPr>
              <w:t>multistriata</w:t>
            </w:r>
            <w:r>
              <w:rPr>
                <w:rFonts w:hint="default" w:ascii="Times New Roman" w:hAnsi="Times New Roman" w:eastAsia="宋体" w:cs="Times New Roman"/>
                <w:color w:val="auto"/>
                <w:spacing w:val="10"/>
                <w:sz w:val="24"/>
                <w:szCs w:val="24"/>
              </w:rPr>
              <w:t xml:space="preserve"> )、白鹭、红脚田鸡(</w:t>
            </w:r>
            <w:r>
              <w:rPr>
                <w:rFonts w:hint="default" w:ascii="Times New Roman" w:hAnsi="Times New Roman" w:eastAsia="宋体" w:cs="Times New Roman"/>
                <w:i/>
                <w:iCs/>
                <w:color w:val="auto"/>
                <w:sz w:val="24"/>
                <w:szCs w:val="24"/>
              </w:rPr>
              <w:t>Zapornia</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i/>
                <w:iCs/>
                <w:color w:val="auto"/>
                <w:sz w:val="24"/>
                <w:szCs w:val="24"/>
              </w:rPr>
              <w:t>akool</w:t>
            </w:r>
            <w:r>
              <w:rPr>
                <w:rFonts w:hint="default" w:ascii="Times New Roman" w:hAnsi="Times New Roman" w:eastAsia="宋体" w:cs="Times New Roman"/>
                <w:color w:val="auto"/>
                <w:spacing w:val="10"/>
                <w:sz w:val="24"/>
                <w:szCs w:val="24"/>
              </w:rPr>
              <w:t>) 、丝光椋鸟、珠</w:t>
            </w:r>
            <w:r>
              <w:rPr>
                <w:rFonts w:hint="default" w:ascii="Times New Roman" w:hAnsi="Times New Roman" w:eastAsia="宋体" w:cs="Times New Roman"/>
                <w:color w:val="auto"/>
                <w:spacing w:val="9"/>
                <w:sz w:val="24"/>
                <w:szCs w:val="24"/>
              </w:rPr>
              <w:t>颈</w:t>
            </w:r>
            <w:r>
              <w:rPr>
                <w:rFonts w:hint="default" w:ascii="Times New Roman" w:hAnsi="Times New Roman" w:eastAsia="宋体" w:cs="Times New Roman"/>
                <w:color w:val="auto"/>
                <w:spacing w:val="20"/>
                <w:sz w:val="24"/>
                <w:szCs w:val="24"/>
              </w:rPr>
              <w:t>斑鸠(</w:t>
            </w:r>
            <w:r>
              <w:rPr>
                <w:rFonts w:hint="default" w:ascii="Times New Roman" w:hAnsi="Times New Roman" w:eastAsia="宋体" w:cs="Times New Roman"/>
                <w:i/>
                <w:iCs/>
                <w:color w:val="auto"/>
                <w:sz w:val="24"/>
                <w:szCs w:val="24"/>
              </w:rPr>
              <w:t>Streptopelia</w:t>
            </w:r>
            <w:r>
              <w:rPr>
                <w:rFonts w:hint="default" w:ascii="Times New Roman" w:hAnsi="Times New Roman" w:eastAsia="宋体" w:cs="Times New Roman"/>
                <w:color w:val="auto"/>
                <w:spacing w:val="20"/>
                <w:sz w:val="24"/>
                <w:szCs w:val="24"/>
              </w:rPr>
              <w:t xml:space="preserve"> </w:t>
            </w:r>
            <w:r>
              <w:rPr>
                <w:rFonts w:hint="default" w:ascii="Times New Roman" w:hAnsi="Times New Roman" w:eastAsia="宋体" w:cs="Times New Roman"/>
                <w:i/>
                <w:iCs/>
                <w:color w:val="auto"/>
                <w:sz w:val="24"/>
                <w:szCs w:val="24"/>
              </w:rPr>
              <w:t>chinensis</w:t>
            </w:r>
            <w:r>
              <w:rPr>
                <w:rFonts w:hint="default" w:ascii="Times New Roman" w:hAnsi="Times New Roman" w:eastAsia="宋体" w:cs="Times New Roman"/>
                <w:color w:val="auto"/>
                <w:spacing w:val="20"/>
                <w:sz w:val="24"/>
                <w:szCs w:val="24"/>
              </w:rPr>
              <w:t xml:space="preserve"> )、八哥(</w:t>
            </w:r>
            <w:r>
              <w:rPr>
                <w:rFonts w:hint="default" w:ascii="Times New Roman" w:hAnsi="Times New Roman" w:eastAsia="宋体" w:cs="Times New Roman"/>
                <w:i/>
                <w:iCs/>
                <w:color w:val="auto"/>
                <w:sz w:val="24"/>
                <w:szCs w:val="24"/>
              </w:rPr>
              <w:t>Acridotheres</w:t>
            </w:r>
            <w:r>
              <w:rPr>
                <w:rFonts w:hint="default" w:ascii="Times New Roman" w:hAnsi="Times New Roman" w:eastAsia="宋体" w:cs="Times New Roman"/>
                <w:color w:val="auto"/>
                <w:spacing w:val="20"/>
                <w:sz w:val="24"/>
                <w:szCs w:val="24"/>
              </w:rPr>
              <w:t xml:space="preserve"> </w:t>
            </w:r>
            <w:r>
              <w:rPr>
                <w:rFonts w:hint="default" w:ascii="Times New Roman" w:hAnsi="Times New Roman" w:eastAsia="宋体" w:cs="Times New Roman"/>
                <w:i/>
                <w:iCs/>
                <w:color w:val="auto"/>
                <w:sz w:val="24"/>
                <w:szCs w:val="24"/>
              </w:rPr>
              <w:t>cristatellus</w:t>
            </w:r>
            <w:r>
              <w:rPr>
                <w:rFonts w:hint="default" w:ascii="Times New Roman" w:hAnsi="Times New Roman" w:eastAsia="宋体" w:cs="Times New Roman"/>
                <w:color w:val="auto"/>
                <w:spacing w:val="20"/>
                <w:sz w:val="24"/>
                <w:szCs w:val="24"/>
              </w:rPr>
              <w:t xml:space="preserve"> )、乌鸫(</w:t>
            </w:r>
            <w:r>
              <w:rPr>
                <w:rFonts w:hint="default" w:ascii="Times New Roman" w:hAnsi="Times New Roman" w:eastAsia="宋体" w:cs="Times New Roman"/>
                <w:color w:val="auto"/>
                <w:spacing w:val="18"/>
                <w:sz w:val="24"/>
                <w:szCs w:val="24"/>
              </w:rPr>
              <w:t xml:space="preserve"> </w:t>
            </w:r>
            <w:r>
              <w:rPr>
                <w:rFonts w:hint="default" w:ascii="Times New Roman" w:hAnsi="Times New Roman" w:eastAsia="宋体" w:cs="Times New Roman"/>
                <w:i/>
                <w:iCs/>
                <w:color w:val="auto"/>
                <w:sz w:val="24"/>
                <w:szCs w:val="24"/>
              </w:rPr>
              <w:t>Turdus</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mandarinus</w:t>
            </w:r>
            <w:r>
              <w:rPr>
                <w:rFonts w:hint="default" w:ascii="Times New Roman" w:hAnsi="Times New Roman" w:eastAsia="宋体" w:cs="Times New Roman"/>
                <w:color w:val="auto"/>
                <w:spacing w:val="8"/>
                <w:sz w:val="24"/>
                <w:szCs w:val="24"/>
              </w:rPr>
              <w:t>)</w:t>
            </w:r>
            <w:r>
              <w:rPr>
                <w:rFonts w:hint="default" w:ascii="Times New Roman" w:hAnsi="Times New Roman" w:eastAsia="宋体" w:cs="Times New Roman"/>
                <w:color w:val="auto"/>
                <w:spacing w:val="6"/>
                <w:sz w:val="24"/>
                <w:szCs w:val="24"/>
              </w:rPr>
              <w:t>、</w:t>
            </w:r>
            <w:r>
              <w:rPr>
                <w:rFonts w:hint="default" w:ascii="Times New Roman" w:hAnsi="Times New Roman" w:eastAsia="宋体" w:cs="Times New Roman"/>
                <w:color w:val="auto"/>
                <w:spacing w:val="4"/>
                <w:sz w:val="24"/>
                <w:szCs w:val="24"/>
              </w:rPr>
              <w:t>戴胜(</w:t>
            </w:r>
            <w:r>
              <w:rPr>
                <w:rFonts w:hint="default" w:ascii="Times New Roman" w:hAnsi="Times New Roman" w:eastAsia="宋体" w:cs="Times New Roman"/>
                <w:i/>
                <w:iCs/>
                <w:color w:val="auto"/>
                <w:sz w:val="24"/>
                <w:szCs w:val="24"/>
              </w:rPr>
              <w:t>Upupa</w:t>
            </w: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i/>
                <w:iCs/>
                <w:color w:val="auto"/>
                <w:sz w:val="24"/>
                <w:szCs w:val="24"/>
              </w:rPr>
              <w:t>epops</w:t>
            </w:r>
            <w:r>
              <w:rPr>
                <w:rFonts w:hint="default" w:ascii="Times New Roman" w:hAnsi="Times New Roman" w:eastAsia="宋体" w:cs="Times New Roman"/>
                <w:color w:val="auto"/>
                <w:spacing w:val="4"/>
                <w:sz w:val="24"/>
                <w:szCs w:val="24"/>
              </w:rPr>
              <w:t>)、斑文鸟(</w:t>
            </w:r>
            <w:r>
              <w:rPr>
                <w:rFonts w:hint="default" w:ascii="Times New Roman" w:hAnsi="Times New Roman" w:eastAsia="宋体" w:cs="Times New Roman"/>
                <w:i/>
                <w:iCs/>
                <w:color w:val="auto"/>
                <w:sz w:val="24"/>
                <w:szCs w:val="24"/>
              </w:rPr>
              <w:t>Lonchura</w:t>
            </w: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i/>
                <w:iCs/>
                <w:color w:val="auto"/>
                <w:sz w:val="24"/>
                <w:szCs w:val="24"/>
              </w:rPr>
              <w:t>punctulata</w:t>
            </w:r>
            <w:r>
              <w:rPr>
                <w:rFonts w:hint="default" w:ascii="Times New Roman" w:hAnsi="Times New Roman" w:eastAsia="宋体" w:cs="Times New Roman"/>
                <w:color w:val="auto"/>
                <w:spacing w:val="4"/>
                <w:sz w:val="24"/>
                <w:szCs w:val="24"/>
              </w:rPr>
              <w:t xml:space="preserve"> )、白鹡鸰(</w:t>
            </w:r>
            <w:r>
              <w:rPr>
                <w:rFonts w:hint="default" w:ascii="Times New Roman" w:hAnsi="Times New Roman" w:eastAsia="宋体" w:cs="Times New Roman"/>
                <w:i/>
                <w:iCs/>
                <w:color w:val="auto"/>
                <w:sz w:val="24"/>
                <w:szCs w:val="24"/>
              </w:rPr>
              <w:t>Motacilla</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alba</w:t>
            </w:r>
            <w:r>
              <w:rPr>
                <w:rFonts w:hint="default" w:ascii="Times New Roman" w:hAnsi="Times New Roman" w:eastAsia="宋体" w:cs="Times New Roman"/>
                <w:color w:val="auto"/>
                <w:spacing w:val="10"/>
                <w:sz w:val="24"/>
                <w:szCs w:val="24"/>
              </w:rPr>
              <w:t xml:space="preserve"> )</w:t>
            </w:r>
            <w:r>
              <w:rPr>
                <w:rFonts w:hint="default" w:ascii="Times New Roman" w:hAnsi="Times New Roman" w:eastAsia="宋体" w:cs="Times New Roman"/>
                <w:color w:val="auto"/>
                <w:spacing w:val="5"/>
                <w:sz w:val="24"/>
                <w:szCs w:val="24"/>
              </w:rPr>
              <w:t>、鹊鸲(</w:t>
            </w:r>
            <w:r>
              <w:rPr>
                <w:rFonts w:hint="default" w:ascii="Times New Roman" w:hAnsi="Times New Roman" w:eastAsia="宋体" w:cs="Times New Roman"/>
                <w:i/>
                <w:iCs/>
                <w:color w:val="auto"/>
                <w:sz w:val="24"/>
                <w:szCs w:val="24"/>
              </w:rPr>
              <w:t>Copsychus</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z w:val="24"/>
                <w:szCs w:val="24"/>
              </w:rPr>
              <w:t>saularis</w:t>
            </w:r>
            <w:r>
              <w:rPr>
                <w:rFonts w:hint="default" w:ascii="Times New Roman" w:hAnsi="Times New Roman" w:eastAsia="宋体" w:cs="Times New Roman"/>
                <w:color w:val="auto"/>
                <w:spacing w:val="5"/>
                <w:sz w:val="24"/>
                <w:szCs w:val="24"/>
              </w:rPr>
              <w:t xml:space="preserve"> )、棕头鸦雀、麻雀等。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1"/>
                <w:sz w:val="24"/>
                <w:szCs w:val="24"/>
              </w:rPr>
              <w:t>二</w:t>
            </w:r>
            <w:r>
              <w:rPr>
                <w:rFonts w:hint="default" w:ascii="Times New Roman" w:hAnsi="Times New Roman" w:eastAsia="宋体" w:cs="Times New Roman"/>
                <w:color w:val="auto"/>
                <w:spacing w:val="8"/>
                <w:position w:val="1"/>
                <w:sz w:val="24"/>
                <w:szCs w:val="24"/>
              </w:rPr>
              <w:t>、生态系统功能</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草地</w:t>
            </w:r>
            <w:r>
              <w:rPr>
                <w:rFonts w:hint="default" w:ascii="Times New Roman" w:hAnsi="Times New Roman" w:eastAsia="宋体" w:cs="Times New Roman"/>
                <w:color w:val="auto"/>
                <w:spacing w:val="13"/>
                <w:sz w:val="24"/>
                <w:szCs w:val="24"/>
              </w:rPr>
              <w:t>生</w:t>
            </w:r>
            <w:r>
              <w:rPr>
                <w:rFonts w:hint="default" w:ascii="Times New Roman" w:hAnsi="Times New Roman" w:eastAsia="宋体" w:cs="Times New Roman"/>
                <w:color w:val="auto"/>
                <w:spacing w:val="9"/>
                <w:sz w:val="24"/>
                <w:szCs w:val="24"/>
              </w:rPr>
              <w:t>态系统在植被组成上来看，以草丛为主，为森林破坏后的次生类型。草</w:t>
            </w:r>
            <w:r>
              <w:rPr>
                <w:rFonts w:hint="default" w:ascii="Times New Roman" w:hAnsi="Times New Roman" w:eastAsia="宋体" w:cs="Times New Roman"/>
                <w:color w:val="auto"/>
                <w:spacing w:val="18"/>
                <w:sz w:val="24"/>
                <w:szCs w:val="24"/>
              </w:rPr>
              <w:t>地生</w:t>
            </w:r>
            <w:r>
              <w:rPr>
                <w:rFonts w:hint="default" w:ascii="Times New Roman" w:hAnsi="Times New Roman" w:eastAsia="宋体" w:cs="Times New Roman"/>
                <w:color w:val="auto"/>
                <w:spacing w:val="17"/>
                <w:sz w:val="24"/>
                <w:szCs w:val="24"/>
              </w:rPr>
              <w:t>态</w:t>
            </w:r>
            <w:r>
              <w:rPr>
                <w:rFonts w:hint="default" w:ascii="Times New Roman" w:hAnsi="Times New Roman" w:eastAsia="宋体" w:cs="Times New Roman"/>
                <w:color w:val="auto"/>
                <w:spacing w:val="9"/>
                <w:sz w:val="24"/>
                <w:szCs w:val="24"/>
              </w:rPr>
              <w:t>系统相比森林生态系统的空间结构和营养链式结构简单，其生态服务功能主</w:t>
            </w:r>
            <w:r>
              <w:rPr>
                <w:rFonts w:hint="default" w:ascii="Times New Roman" w:hAnsi="Times New Roman" w:eastAsia="宋体" w:cs="Times New Roman"/>
                <w:color w:val="auto"/>
                <w:spacing w:val="16"/>
                <w:sz w:val="24"/>
                <w:szCs w:val="24"/>
              </w:rPr>
              <w:t>要</w:t>
            </w:r>
            <w:r>
              <w:rPr>
                <w:rFonts w:hint="default" w:ascii="Times New Roman" w:hAnsi="Times New Roman" w:eastAsia="宋体" w:cs="Times New Roman"/>
                <w:color w:val="auto"/>
                <w:spacing w:val="9"/>
                <w:sz w:val="24"/>
                <w:szCs w:val="24"/>
              </w:rPr>
              <w:t>有</w:t>
            </w:r>
            <w:r>
              <w:rPr>
                <w:rFonts w:hint="default" w:ascii="Times New Roman" w:hAnsi="Times New Roman" w:eastAsia="宋体" w:cs="Times New Roman"/>
                <w:color w:val="auto"/>
                <w:spacing w:val="8"/>
                <w:sz w:val="24"/>
                <w:szCs w:val="24"/>
              </w:rPr>
              <w:t>保育土壤、净化空气等功能。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1.1.4、</w:t>
            </w:r>
            <w:r>
              <w:rPr>
                <w:rFonts w:hint="default" w:ascii="Times New Roman" w:hAnsi="Times New Roman" w:cs="Times New Roman"/>
                <w:b/>
                <w:bCs/>
                <w:color w:val="auto"/>
                <w:sz w:val="24"/>
                <w:szCs w:val="24"/>
                <w:lang w:val="en-US" w:eastAsia="zh-CN"/>
              </w:rPr>
              <w:t>湿地生态系统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 xml:space="preserve">根据卫片解译，评价区湿地生态系统面积为1446 </w:t>
            </w:r>
            <w:r>
              <w:rPr>
                <w:rFonts w:hint="default" w:ascii="Times New Roman" w:hAnsi="Times New Roman" w:eastAsia="宋体" w:cs="Times New Roman"/>
                <w:color w:val="auto"/>
                <w:sz w:val="24"/>
                <w:szCs w:val="24"/>
              </w:rPr>
              <w:t>hm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2"/>
                <w:sz w:val="24"/>
                <w:szCs w:val="24"/>
              </w:rPr>
              <w:t>，占总面积的 44.5</w:t>
            </w:r>
            <w:r>
              <w:rPr>
                <w:rFonts w:hint="default" w:ascii="Times New Roman" w:hAnsi="Times New Roman" w:eastAsia="宋体" w:cs="Times New Roman"/>
                <w:color w:val="auto"/>
                <w:spacing w:val="1"/>
                <w:sz w:val="24"/>
                <w:szCs w:val="24"/>
              </w:rPr>
              <w:t>9</w:t>
            </w: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pacing w:val="16"/>
                <w:sz w:val="24"/>
                <w:szCs w:val="24"/>
              </w:rPr>
              <w:t>所</w:t>
            </w:r>
            <w:r>
              <w:rPr>
                <w:rFonts w:hint="default" w:ascii="Times New Roman" w:hAnsi="Times New Roman" w:eastAsia="宋体" w:cs="Times New Roman"/>
                <w:color w:val="auto"/>
                <w:spacing w:val="8"/>
                <w:sz w:val="24"/>
                <w:szCs w:val="24"/>
              </w:rPr>
              <w:t>有生态系统中面积占比最大。</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2"/>
                <w:sz w:val="24"/>
                <w:szCs w:val="24"/>
              </w:rPr>
              <w:t>一</w:t>
            </w:r>
            <w:r>
              <w:rPr>
                <w:rFonts w:hint="default" w:ascii="Times New Roman" w:hAnsi="Times New Roman" w:eastAsia="宋体" w:cs="Times New Roman"/>
                <w:color w:val="auto"/>
                <w:spacing w:val="8"/>
                <w:position w:val="2"/>
                <w:sz w:val="24"/>
                <w:szCs w:val="24"/>
              </w:rPr>
              <w:t>、生态系统结构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评价</w:t>
            </w:r>
            <w:r>
              <w:rPr>
                <w:rFonts w:hint="default" w:ascii="Times New Roman" w:hAnsi="Times New Roman" w:eastAsia="宋体" w:cs="Times New Roman"/>
                <w:color w:val="auto"/>
                <w:spacing w:val="16"/>
                <w:sz w:val="24"/>
                <w:szCs w:val="24"/>
              </w:rPr>
              <w:t>区</w:t>
            </w:r>
            <w:r>
              <w:rPr>
                <w:rFonts w:hint="default" w:ascii="Times New Roman" w:hAnsi="Times New Roman" w:eastAsia="宋体" w:cs="Times New Roman"/>
                <w:color w:val="auto"/>
                <w:spacing w:val="9"/>
                <w:sz w:val="24"/>
                <w:szCs w:val="24"/>
              </w:rPr>
              <w:t>湿地生态系统内植被以沼泽和水生植被为主，其多分布于白泥湖湖中及</w:t>
            </w:r>
            <w:r>
              <w:rPr>
                <w:rFonts w:hint="default" w:ascii="Times New Roman" w:hAnsi="Times New Roman" w:eastAsia="宋体" w:cs="Times New Roman"/>
                <w:color w:val="auto"/>
                <w:spacing w:val="3"/>
                <w:sz w:val="24"/>
                <w:szCs w:val="24"/>
              </w:rPr>
              <w:t>周边水域，常见的群系有芦苇群系(</w:t>
            </w:r>
            <w:r>
              <w:rPr>
                <w:rFonts w:hint="default" w:ascii="Times New Roman" w:hAnsi="Times New Roman" w:eastAsia="宋体" w:cs="Times New Roman"/>
                <w:color w:val="auto"/>
                <w:sz w:val="24"/>
                <w:szCs w:val="24"/>
              </w:rPr>
              <w:t>Form</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Phragmites</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z w:val="24"/>
                <w:szCs w:val="24"/>
              </w:rPr>
              <w:t>australis</w:t>
            </w:r>
            <w:r>
              <w:rPr>
                <w:rFonts w:hint="default" w:ascii="Times New Roman" w:hAnsi="Times New Roman" w:eastAsia="宋体" w:cs="Times New Roman"/>
                <w:color w:val="auto"/>
                <w:spacing w:val="3"/>
                <w:sz w:val="24"/>
                <w:szCs w:val="24"/>
              </w:rPr>
              <w:t xml:space="preserve">)、凤眼蓝群系 </w:t>
            </w:r>
            <w:r>
              <w:rPr>
                <w:rFonts w:hint="default" w:ascii="Times New Roman" w:hAnsi="Times New Roman" w:eastAsia="宋体" w:cs="Times New Roman"/>
                <w:color w:val="auto"/>
                <w:sz w:val="24"/>
                <w:szCs w:val="24"/>
              </w:rPr>
              <w:t xml:space="preserve">(Form. </w:t>
            </w:r>
            <w:r>
              <w:rPr>
                <w:rFonts w:hint="default" w:ascii="Times New Roman" w:hAnsi="Times New Roman" w:eastAsia="宋体" w:cs="Times New Roman"/>
                <w:i/>
                <w:iCs/>
                <w:color w:val="auto"/>
                <w:sz w:val="24"/>
                <w:szCs w:val="24"/>
              </w:rPr>
              <w:t>Eichhornia</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crassipes</w:t>
            </w:r>
            <w:r>
              <w:rPr>
                <w:rFonts w:hint="default" w:ascii="Times New Roman" w:hAnsi="Times New Roman" w:eastAsia="宋体" w:cs="Times New Roman"/>
                <w:color w:val="auto"/>
                <w:spacing w:val="7"/>
                <w:sz w:val="24"/>
                <w:szCs w:val="24"/>
              </w:rPr>
              <w:t>)</w:t>
            </w:r>
            <w:r>
              <w:rPr>
                <w:rFonts w:hint="default" w:ascii="Times New Roman" w:hAnsi="Times New Roman" w:eastAsia="宋体" w:cs="Times New Roman"/>
                <w:color w:val="auto"/>
                <w:spacing w:val="4"/>
                <w:sz w:val="24"/>
                <w:szCs w:val="24"/>
              </w:rPr>
              <w:t>、荻群系(</w:t>
            </w:r>
            <w:r>
              <w:rPr>
                <w:rFonts w:hint="default" w:ascii="Times New Roman" w:hAnsi="Times New Roman" w:eastAsia="宋体" w:cs="Times New Roman"/>
                <w:color w:val="auto"/>
                <w:sz w:val="24"/>
                <w:szCs w:val="24"/>
              </w:rPr>
              <w:t>Form</w:t>
            </w: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i/>
                <w:iCs/>
                <w:color w:val="auto"/>
                <w:sz w:val="24"/>
                <w:szCs w:val="24"/>
              </w:rPr>
              <w:t>Triarrhena</w:t>
            </w: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i/>
                <w:iCs/>
                <w:color w:val="auto"/>
                <w:sz w:val="24"/>
                <w:szCs w:val="24"/>
              </w:rPr>
              <w:t>sacchariflora</w:t>
            </w:r>
            <w:r>
              <w:rPr>
                <w:rFonts w:hint="default" w:ascii="Times New Roman" w:hAnsi="Times New Roman" w:eastAsia="宋体" w:cs="Times New Roman"/>
                <w:color w:val="auto"/>
                <w:spacing w:val="4"/>
                <w:sz w:val="24"/>
                <w:szCs w:val="24"/>
              </w:rPr>
              <w:t xml:space="preserve"> )等，伴生有浮萍(</w:t>
            </w:r>
            <w:r>
              <w:rPr>
                <w:rFonts w:hint="default" w:ascii="Times New Roman" w:hAnsi="Times New Roman" w:eastAsia="宋体" w:cs="Times New Roman"/>
                <w:i/>
                <w:iCs/>
                <w:color w:val="auto"/>
                <w:sz w:val="24"/>
                <w:szCs w:val="24"/>
              </w:rPr>
              <w:t>Lemna</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minor</w:t>
            </w:r>
            <w:r>
              <w:rPr>
                <w:rFonts w:hint="default" w:ascii="Times New Roman" w:hAnsi="Times New Roman" w:eastAsia="宋体" w:cs="Times New Roman"/>
                <w:color w:val="auto"/>
                <w:spacing w:val="26"/>
                <w:sz w:val="24"/>
                <w:szCs w:val="24"/>
              </w:rPr>
              <w:t xml:space="preserve"> </w:t>
            </w:r>
            <w:r>
              <w:rPr>
                <w:rFonts w:hint="default" w:ascii="Times New Roman" w:hAnsi="Times New Roman" w:eastAsia="宋体" w:cs="Times New Roman"/>
                <w:color w:val="auto"/>
                <w:spacing w:val="16"/>
                <w:sz w:val="24"/>
                <w:szCs w:val="24"/>
              </w:rPr>
              <w:t>)、喜旱莲子草(</w:t>
            </w:r>
            <w:r>
              <w:rPr>
                <w:rFonts w:hint="default" w:ascii="Times New Roman" w:hAnsi="Times New Roman" w:eastAsia="宋体" w:cs="Times New Roman"/>
                <w:i/>
                <w:iCs/>
                <w:color w:val="auto"/>
                <w:sz w:val="24"/>
                <w:szCs w:val="24"/>
              </w:rPr>
              <w:t>Alternanthera</w:t>
            </w:r>
            <w:r>
              <w:rPr>
                <w:rFonts w:hint="default" w:ascii="Times New Roman" w:hAnsi="Times New Roman" w:eastAsia="宋体" w:cs="Times New Roman"/>
                <w:color w:val="auto"/>
                <w:spacing w:val="16"/>
                <w:sz w:val="24"/>
                <w:szCs w:val="24"/>
              </w:rPr>
              <w:t xml:space="preserve"> </w:t>
            </w:r>
            <w:r>
              <w:rPr>
                <w:rFonts w:hint="default" w:ascii="Times New Roman" w:hAnsi="Times New Roman" w:eastAsia="宋体" w:cs="Times New Roman"/>
                <w:i/>
                <w:iCs/>
                <w:color w:val="auto"/>
                <w:sz w:val="24"/>
                <w:szCs w:val="24"/>
              </w:rPr>
              <w:t>philoxeroides</w:t>
            </w:r>
            <w:r>
              <w:rPr>
                <w:rFonts w:hint="default" w:ascii="Times New Roman" w:hAnsi="Times New Roman" w:eastAsia="宋体" w:cs="Times New Roman"/>
                <w:color w:val="auto"/>
                <w:spacing w:val="16"/>
                <w:sz w:val="24"/>
                <w:szCs w:val="24"/>
              </w:rPr>
              <w:t>)等</w:t>
            </w:r>
            <w:r>
              <w:rPr>
                <w:rFonts w:hint="eastAsia" w:ascii="Times New Roman" w:hAnsi="Times New Roman" w:eastAsia="宋体" w:cs="Times New Roman"/>
                <w:color w:val="auto"/>
                <w:spacing w:val="16"/>
                <w:sz w:val="24"/>
                <w:szCs w:val="24"/>
                <w:lang w:eastAsia="zh-CN"/>
              </w:rPr>
              <w:t>，</w:t>
            </w:r>
            <w:r>
              <w:rPr>
                <w:rFonts w:hint="default" w:ascii="Times New Roman" w:hAnsi="Times New Roman" w:eastAsia="宋体" w:cs="Times New Roman"/>
                <w:color w:val="auto"/>
                <w:spacing w:val="16"/>
                <w:sz w:val="24"/>
                <w:szCs w:val="24"/>
              </w:rPr>
              <w:t>有人工种植莲(</w:t>
            </w:r>
            <w:r>
              <w:rPr>
                <w:rFonts w:hint="default" w:ascii="Times New Roman" w:hAnsi="Times New Roman" w:eastAsia="宋体" w:cs="Times New Roman"/>
                <w:i/>
                <w:iCs/>
                <w:color w:val="auto"/>
                <w:sz w:val="24"/>
                <w:szCs w:val="24"/>
              </w:rPr>
              <w:t>Nelumbo</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nucifera</w:t>
            </w:r>
            <w:r>
              <w:rPr>
                <w:rFonts w:hint="default" w:ascii="Times New Roman" w:hAnsi="Times New Roman" w:eastAsia="宋体" w:cs="Times New Roman"/>
                <w:color w:val="auto"/>
                <w:spacing w:val="12"/>
                <w:sz w:val="24"/>
                <w:szCs w:val="24"/>
              </w:rPr>
              <w:t>)</w:t>
            </w:r>
            <w:r>
              <w:rPr>
                <w:rFonts w:hint="default" w:ascii="Times New Roman" w:hAnsi="Times New Roman" w:eastAsia="宋体" w:cs="Times New Roman"/>
                <w:color w:val="auto"/>
                <w:spacing w:val="7"/>
                <w:sz w:val="24"/>
                <w:szCs w:val="24"/>
              </w:rPr>
              <w:t>、</w:t>
            </w:r>
            <w:r>
              <w:rPr>
                <w:rFonts w:hint="default" w:ascii="Times New Roman" w:hAnsi="Times New Roman" w:eastAsia="宋体" w:cs="Times New Roman"/>
                <w:color w:val="auto"/>
                <w:spacing w:val="6"/>
                <w:sz w:val="24"/>
                <w:szCs w:val="24"/>
              </w:rPr>
              <w:t>芡实 (</w:t>
            </w:r>
            <w:r>
              <w:rPr>
                <w:rFonts w:hint="default" w:ascii="Times New Roman" w:hAnsi="Times New Roman" w:eastAsia="宋体" w:cs="Times New Roman"/>
                <w:i/>
                <w:iCs/>
                <w:color w:val="auto"/>
                <w:sz w:val="24"/>
                <w:szCs w:val="24"/>
              </w:rPr>
              <w:t>Euryaleferox</w:t>
            </w:r>
            <w:r>
              <w:rPr>
                <w:rFonts w:hint="default" w:ascii="Times New Roman" w:hAnsi="Times New Roman" w:eastAsia="宋体" w:cs="Times New Roman"/>
                <w:color w:val="auto"/>
                <w:spacing w:val="6"/>
                <w:sz w:val="24"/>
                <w:szCs w:val="24"/>
              </w:rPr>
              <w:t xml:space="preserve"> )、菰(</w:t>
            </w:r>
            <w:r>
              <w:rPr>
                <w:rFonts w:hint="default" w:ascii="Times New Roman" w:hAnsi="Times New Roman" w:eastAsia="宋体" w:cs="Times New Roman"/>
                <w:i/>
                <w:iCs/>
                <w:color w:val="auto"/>
                <w:sz w:val="24"/>
                <w:szCs w:val="24"/>
              </w:rPr>
              <w:t>Zizania</w:t>
            </w:r>
            <w:r>
              <w:rPr>
                <w:rFonts w:hint="default" w:ascii="Times New Roman" w:hAnsi="Times New Roman" w:eastAsia="宋体" w:cs="Times New Roman"/>
                <w:color w:val="auto"/>
                <w:spacing w:val="6"/>
                <w:sz w:val="24"/>
                <w:szCs w:val="24"/>
              </w:rPr>
              <w:t xml:space="preserve"> </w:t>
            </w:r>
            <w:r>
              <w:rPr>
                <w:rFonts w:hint="default" w:ascii="Times New Roman" w:hAnsi="Times New Roman" w:eastAsia="宋体" w:cs="Times New Roman"/>
                <w:i/>
                <w:iCs/>
                <w:color w:val="auto"/>
                <w:sz w:val="24"/>
                <w:szCs w:val="24"/>
              </w:rPr>
              <w:t>latifolia</w:t>
            </w:r>
            <w:r>
              <w:rPr>
                <w:rFonts w:hint="default" w:ascii="Times New Roman" w:hAnsi="Times New Roman" w:eastAsia="宋体" w:cs="Times New Roman"/>
                <w:color w:val="auto"/>
                <w:spacing w:val="6"/>
                <w:sz w:val="24"/>
                <w:szCs w:val="24"/>
              </w:rPr>
              <w:t xml:space="preserve"> )等；河湖泊及沟渠两岸主</w:t>
            </w:r>
            <w:r>
              <w:rPr>
                <w:rFonts w:hint="default" w:ascii="Times New Roman" w:hAnsi="Times New Roman" w:eastAsia="宋体" w:cs="Times New Roman"/>
                <w:color w:val="auto"/>
                <w:spacing w:val="16"/>
                <w:sz w:val="24"/>
                <w:szCs w:val="24"/>
              </w:rPr>
              <w:t>要</w:t>
            </w:r>
            <w:r>
              <w:rPr>
                <w:rFonts w:hint="default" w:ascii="Times New Roman" w:hAnsi="Times New Roman" w:eastAsia="宋体" w:cs="Times New Roman"/>
                <w:color w:val="auto"/>
                <w:spacing w:val="8"/>
                <w:sz w:val="24"/>
                <w:szCs w:val="24"/>
              </w:rPr>
              <w:t>有构树、响叶杨(</w:t>
            </w:r>
            <w:r>
              <w:rPr>
                <w:rFonts w:hint="default" w:ascii="Times New Roman" w:hAnsi="Times New Roman" w:eastAsia="宋体" w:cs="Times New Roman"/>
                <w:i/>
                <w:iCs/>
                <w:color w:val="auto"/>
                <w:sz w:val="24"/>
                <w:szCs w:val="24"/>
              </w:rPr>
              <w:t>Populus</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adenopoda</w:t>
            </w:r>
            <w:r>
              <w:rPr>
                <w:rFonts w:hint="default" w:ascii="Times New Roman" w:hAnsi="Times New Roman" w:eastAsia="宋体" w:cs="Times New Roman"/>
                <w:color w:val="auto"/>
                <w:spacing w:val="8"/>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2</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动物现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规划</w:t>
            </w:r>
            <w:r>
              <w:rPr>
                <w:rFonts w:hint="default" w:ascii="Times New Roman" w:hAnsi="Times New Roman" w:eastAsia="宋体" w:cs="Times New Roman"/>
                <w:color w:val="auto"/>
                <w:spacing w:val="14"/>
                <w:sz w:val="24"/>
                <w:szCs w:val="24"/>
              </w:rPr>
              <w:t>区</w:t>
            </w:r>
            <w:r>
              <w:rPr>
                <w:rFonts w:hint="default" w:ascii="Times New Roman" w:hAnsi="Times New Roman" w:eastAsia="宋体" w:cs="Times New Roman"/>
                <w:color w:val="auto"/>
                <w:spacing w:val="9"/>
                <w:sz w:val="24"/>
                <w:szCs w:val="24"/>
              </w:rPr>
              <w:t>域的湿地生态系统是动物的主要活动场所，常见的两栖类有静水型的黑斑侧褶蛙(</w:t>
            </w:r>
            <w:r>
              <w:rPr>
                <w:rFonts w:hint="default" w:ascii="Times New Roman" w:hAnsi="Times New Roman" w:eastAsia="宋体" w:cs="Times New Roman"/>
                <w:i/>
                <w:iCs/>
                <w:color w:val="auto"/>
                <w:sz w:val="24"/>
                <w:szCs w:val="24"/>
              </w:rPr>
              <w:t>Pelophylax</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nigromaculata</w:t>
            </w:r>
            <w:r>
              <w:rPr>
                <w:rFonts w:hint="default" w:ascii="Times New Roman" w:hAnsi="Times New Roman" w:eastAsia="宋体" w:cs="Times New Roman"/>
                <w:color w:val="auto"/>
                <w:spacing w:val="9"/>
                <w:sz w:val="24"/>
                <w:szCs w:val="24"/>
              </w:rPr>
              <w:t xml:space="preserve"> )、沼蛙(</w:t>
            </w:r>
            <w:r>
              <w:rPr>
                <w:rFonts w:hint="default" w:ascii="Times New Roman" w:hAnsi="Times New Roman" w:eastAsia="宋体" w:cs="Times New Roman"/>
                <w:i/>
                <w:iCs/>
                <w:color w:val="auto"/>
                <w:sz w:val="24"/>
                <w:szCs w:val="24"/>
              </w:rPr>
              <w:t>Boulengerana</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z w:val="24"/>
                <w:szCs w:val="24"/>
              </w:rPr>
              <w:t>guentheri</w:t>
            </w:r>
            <w:r>
              <w:rPr>
                <w:rFonts w:hint="default" w:ascii="Times New Roman" w:hAnsi="Times New Roman" w:eastAsia="宋体" w:cs="Times New Roman"/>
                <w:color w:val="auto"/>
                <w:spacing w:val="9"/>
                <w:sz w:val="24"/>
                <w:szCs w:val="24"/>
              </w:rPr>
              <w:t>) 等，繁殖</w:t>
            </w:r>
            <w:r>
              <w:rPr>
                <w:rFonts w:hint="default" w:ascii="Times New Roman" w:hAnsi="Times New Roman" w:eastAsia="宋体" w:cs="Times New Roman"/>
                <w:color w:val="auto"/>
                <w:spacing w:val="6"/>
                <w:sz w:val="24"/>
                <w:szCs w:val="24"/>
              </w:rPr>
              <w:t>期</w:t>
            </w:r>
            <w:r>
              <w:rPr>
                <w:rFonts w:hint="default" w:ascii="Times New Roman" w:hAnsi="Times New Roman" w:eastAsia="宋体" w:cs="Times New Roman"/>
                <w:color w:val="auto"/>
                <w:spacing w:val="18"/>
                <w:sz w:val="24"/>
                <w:szCs w:val="24"/>
              </w:rPr>
              <w:t>一些</w:t>
            </w:r>
            <w:r>
              <w:rPr>
                <w:rFonts w:hint="default" w:ascii="Times New Roman" w:hAnsi="Times New Roman" w:eastAsia="宋体" w:cs="Times New Roman"/>
                <w:color w:val="auto"/>
                <w:spacing w:val="17"/>
                <w:sz w:val="24"/>
                <w:szCs w:val="24"/>
              </w:rPr>
              <w:t>陆</w:t>
            </w:r>
            <w:r>
              <w:rPr>
                <w:rFonts w:hint="default" w:ascii="Times New Roman" w:hAnsi="Times New Roman" w:eastAsia="宋体" w:cs="Times New Roman"/>
                <w:color w:val="auto"/>
                <w:spacing w:val="9"/>
                <w:sz w:val="24"/>
                <w:szCs w:val="24"/>
              </w:rPr>
              <w:t>栖型的中华蟾蜍、泽陆蛙等也依赖湿地生态系统的静水环境；爬行类主要有</w:t>
            </w:r>
            <w:r>
              <w:rPr>
                <w:rFonts w:hint="default" w:ascii="Times New Roman" w:hAnsi="Times New Roman" w:eastAsia="宋体" w:cs="Times New Roman"/>
                <w:color w:val="auto"/>
                <w:spacing w:val="42"/>
                <w:sz w:val="24"/>
                <w:szCs w:val="24"/>
              </w:rPr>
              <w:t>水</w:t>
            </w:r>
            <w:r>
              <w:rPr>
                <w:rFonts w:hint="default" w:ascii="Times New Roman" w:hAnsi="Times New Roman" w:eastAsia="宋体" w:cs="Times New Roman"/>
                <w:color w:val="auto"/>
                <w:spacing w:val="27"/>
                <w:sz w:val="24"/>
                <w:szCs w:val="24"/>
              </w:rPr>
              <w:t>栖型的中华鳖(</w:t>
            </w:r>
            <w:r>
              <w:rPr>
                <w:rFonts w:hint="default" w:ascii="Times New Roman" w:hAnsi="Times New Roman" w:eastAsia="宋体" w:cs="Times New Roman"/>
                <w:i/>
                <w:iCs/>
                <w:color w:val="auto"/>
                <w:sz w:val="24"/>
                <w:szCs w:val="24"/>
              </w:rPr>
              <w:t>Pelodiscus</w:t>
            </w:r>
            <w:r>
              <w:rPr>
                <w:rFonts w:hint="default" w:ascii="Times New Roman" w:hAnsi="Times New Roman" w:eastAsia="宋体" w:cs="Times New Roman"/>
                <w:color w:val="auto"/>
                <w:spacing w:val="27"/>
                <w:sz w:val="24"/>
                <w:szCs w:val="24"/>
              </w:rPr>
              <w:t xml:space="preserve"> </w:t>
            </w:r>
            <w:r>
              <w:rPr>
                <w:rFonts w:hint="default" w:ascii="Times New Roman" w:hAnsi="Times New Roman" w:eastAsia="宋体" w:cs="Times New Roman"/>
                <w:i/>
                <w:iCs/>
                <w:color w:val="auto"/>
                <w:sz w:val="24"/>
                <w:szCs w:val="24"/>
              </w:rPr>
              <w:t>sinensis</w:t>
            </w:r>
            <w:r>
              <w:rPr>
                <w:rFonts w:hint="default" w:ascii="Times New Roman" w:hAnsi="Times New Roman" w:eastAsia="宋体" w:cs="Times New Roman"/>
                <w:color w:val="auto"/>
                <w:spacing w:val="27"/>
                <w:sz w:val="24"/>
                <w:szCs w:val="24"/>
              </w:rPr>
              <w:t xml:space="preserve"> )和半水栖型的红纹滞卵蛇( </w:t>
            </w:r>
            <w:r>
              <w:rPr>
                <w:rFonts w:hint="default" w:ascii="Times New Roman" w:hAnsi="Times New Roman" w:eastAsia="宋体" w:cs="Times New Roman"/>
                <w:i/>
                <w:iCs/>
                <w:color w:val="auto"/>
                <w:sz w:val="24"/>
                <w:szCs w:val="24"/>
              </w:rPr>
              <w:t>Oocatochusrufodorsatus</w:t>
            </w:r>
            <w:r>
              <w:rPr>
                <w:rFonts w:hint="default" w:ascii="Times New Roman" w:hAnsi="Times New Roman" w:eastAsia="宋体" w:cs="Times New Roman"/>
                <w:color w:val="auto"/>
                <w:spacing w:val="19"/>
                <w:sz w:val="24"/>
                <w:szCs w:val="24"/>
              </w:rPr>
              <w:t>)</w:t>
            </w:r>
            <w:r>
              <w:rPr>
                <w:rFonts w:hint="default" w:ascii="Times New Roman" w:hAnsi="Times New Roman" w:eastAsia="宋体" w:cs="Times New Roman"/>
                <w:color w:val="auto"/>
                <w:spacing w:val="10"/>
                <w:sz w:val="24"/>
                <w:szCs w:val="24"/>
              </w:rPr>
              <w:t>，林栖傍水型的蛇类也偶在湿地附近活动；鸟类主要是游禽和涉禽以</w:t>
            </w:r>
            <w:r>
              <w:rPr>
                <w:rFonts w:hint="default" w:ascii="Times New Roman" w:hAnsi="Times New Roman" w:eastAsia="宋体" w:cs="Times New Roman"/>
                <w:color w:val="auto"/>
                <w:spacing w:val="18"/>
                <w:sz w:val="24"/>
                <w:szCs w:val="24"/>
              </w:rPr>
              <w:t>及喜水</w:t>
            </w:r>
            <w:r>
              <w:rPr>
                <w:rFonts w:hint="default" w:ascii="Times New Roman" w:hAnsi="Times New Roman" w:eastAsia="宋体" w:cs="Times New Roman"/>
                <w:color w:val="auto"/>
                <w:spacing w:val="9"/>
                <w:sz w:val="24"/>
                <w:szCs w:val="24"/>
              </w:rPr>
              <w:t>边生活的鸟类，如游禽中雁形目鸭科、鸊鷉目鸊鷉科、鸻形目鸥科、鲣鸟目</w:t>
            </w:r>
            <w:r>
              <w:rPr>
                <w:rFonts w:hint="default" w:ascii="Times New Roman" w:hAnsi="Times New Roman" w:eastAsia="宋体" w:cs="Times New Roman"/>
                <w:color w:val="auto"/>
                <w:spacing w:val="18"/>
                <w:sz w:val="24"/>
                <w:szCs w:val="24"/>
              </w:rPr>
              <w:t>鸬</w:t>
            </w:r>
            <w:r>
              <w:rPr>
                <w:rFonts w:hint="default" w:ascii="Times New Roman" w:hAnsi="Times New Roman" w:eastAsia="宋体" w:cs="Times New Roman"/>
                <w:color w:val="auto"/>
                <w:spacing w:val="9"/>
                <w:sz w:val="24"/>
                <w:szCs w:val="24"/>
              </w:rPr>
              <w:t>鹚科的种类，涉禽中鹤形目、鸻形目(不包括鸥科) 、鹈形目的种类，以及近水</w:t>
            </w:r>
            <w:r>
              <w:rPr>
                <w:rFonts w:hint="default" w:ascii="Times New Roman" w:hAnsi="Times New Roman" w:eastAsia="宋体" w:cs="Times New Roman"/>
                <w:color w:val="auto"/>
                <w:spacing w:val="10"/>
                <w:sz w:val="24"/>
                <w:szCs w:val="24"/>
              </w:rPr>
              <w:t>生活的</w:t>
            </w:r>
            <w:r>
              <w:rPr>
                <w:rFonts w:hint="default" w:ascii="Times New Roman" w:hAnsi="Times New Roman" w:eastAsia="宋体" w:cs="Times New Roman"/>
                <w:color w:val="auto"/>
                <w:spacing w:val="5"/>
                <w:sz w:val="24"/>
                <w:szCs w:val="24"/>
              </w:rPr>
              <w:t>攀禽如普通翠鸟 (</w:t>
            </w:r>
            <w:r>
              <w:rPr>
                <w:rFonts w:hint="default" w:ascii="Times New Roman" w:hAnsi="Times New Roman" w:eastAsia="宋体" w:cs="Times New Roman"/>
                <w:i/>
                <w:iCs/>
                <w:color w:val="auto"/>
                <w:sz w:val="24"/>
                <w:szCs w:val="24"/>
              </w:rPr>
              <w:t>Alcedo</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z w:val="24"/>
                <w:szCs w:val="24"/>
              </w:rPr>
              <w:t>atthis</w:t>
            </w:r>
            <w:r>
              <w:rPr>
                <w:rFonts w:hint="default" w:ascii="Times New Roman" w:hAnsi="Times New Roman" w:eastAsia="宋体" w:cs="Times New Roman"/>
                <w:color w:val="auto"/>
                <w:spacing w:val="5"/>
                <w:sz w:val="24"/>
                <w:szCs w:val="24"/>
              </w:rPr>
              <w:t xml:space="preserve"> ) 、斑鱼狗 (</w:t>
            </w:r>
            <w:r>
              <w:rPr>
                <w:rFonts w:hint="default" w:ascii="Times New Roman" w:hAnsi="Times New Roman" w:eastAsia="宋体" w:cs="Times New Roman"/>
                <w:i/>
                <w:iCs/>
                <w:color w:val="auto"/>
                <w:sz w:val="24"/>
                <w:szCs w:val="24"/>
              </w:rPr>
              <w:t>Ceryle</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z w:val="24"/>
                <w:szCs w:val="24"/>
              </w:rPr>
              <w:t>rudis</w:t>
            </w:r>
            <w:r>
              <w:rPr>
                <w:rFonts w:hint="default" w:ascii="Times New Roman" w:hAnsi="Times New Roman" w:eastAsia="宋体" w:cs="Times New Roman"/>
                <w:color w:val="auto"/>
                <w:spacing w:val="5"/>
                <w:sz w:val="24"/>
                <w:szCs w:val="24"/>
              </w:rPr>
              <w:t xml:space="preserve"> ) 等；兽类常见的主</w:t>
            </w:r>
            <w:r>
              <w:rPr>
                <w:rFonts w:hint="default" w:ascii="Times New Roman" w:hAnsi="Times New Roman" w:eastAsia="宋体" w:cs="Times New Roman"/>
                <w:color w:val="auto"/>
                <w:spacing w:val="9"/>
                <w:sz w:val="24"/>
                <w:szCs w:val="24"/>
              </w:rPr>
              <w:t>要是在水域附近活动的啮齿目鼠科动物</w:t>
            </w:r>
            <w:r>
              <w:rPr>
                <w:rFonts w:hint="default" w:ascii="Times New Roman" w:hAnsi="Times New Roman" w:eastAsia="宋体" w:cs="Times New Roman"/>
                <w:color w:val="auto"/>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1"/>
                <w:sz w:val="24"/>
                <w:szCs w:val="24"/>
              </w:rPr>
              <w:t>二</w:t>
            </w:r>
            <w:r>
              <w:rPr>
                <w:rFonts w:hint="default" w:ascii="Times New Roman" w:hAnsi="Times New Roman" w:eastAsia="宋体" w:cs="Times New Roman"/>
                <w:color w:val="auto"/>
                <w:spacing w:val="8"/>
                <w:position w:val="1"/>
                <w:sz w:val="24"/>
                <w:szCs w:val="24"/>
              </w:rPr>
              <w:t>、生态系统功能</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湿地</w:t>
            </w:r>
            <w:r>
              <w:rPr>
                <w:rFonts w:hint="default" w:ascii="Times New Roman" w:hAnsi="Times New Roman" w:eastAsia="宋体" w:cs="Times New Roman"/>
                <w:color w:val="auto"/>
                <w:spacing w:val="15"/>
                <w:sz w:val="24"/>
                <w:szCs w:val="24"/>
              </w:rPr>
              <w:t>生</w:t>
            </w:r>
            <w:r>
              <w:rPr>
                <w:rFonts w:hint="default" w:ascii="Times New Roman" w:hAnsi="Times New Roman" w:eastAsia="宋体" w:cs="Times New Roman"/>
                <w:color w:val="auto"/>
                <w:spacing w:val="9"/>
                <w:sz w:val="24"/>
                <w:szCs w:val="24"/>
              </w:rPr>
              <w:t>态系统服务功能不仅包括提供大量资源产品，而且具有大的环境调节功</w:t>
            </w:r>
            <w:r>
              <w:rPr>
                <w:rFonts w:hint="default" w:ascii="Times New Roman" w:hAnsi="Times New Roman" w:eastAsia="宋体" w:cs="Times New Roman"/>
                <w:color w:val="auto"/>
                <w:spacing w:val="8"/>
                <w:sz w:val="24"/>
                <w:szCs w:val="24"/>
              </w:rPr>
              <w:t>能和环境效益</w:t>
            </w:r>
            <w:r>
              <w:rPr>
                <w:rFonts w:hint="default" w:ascii="Times New Roman" w:hAnsi="Times New Roman" w:eastAsia="宋体" w:cs="Times New Roman"/>
                <w:color w:val="auto"/>
                <w:spacing w:val="6"/>
                <w:sz w:val="24"/>
                <w:szCs w:val="24"/>
              </w:rPr>
              <w:t>，</w:t>
            </w:r>
            <w:r>
              <w:rPr>
                <w:rFonts w:hint="default" w:ascii="Times New Roman" w:hAnsi="Times New Roman" w:eastAsia="宋体" w:cs="Times New Roman"/>
                <w:color w:val="auto"/>
                <w:spacing w:val="4"/>
                <w:sz w:val="24"/>
                <w:szCs w:val="24"/>
              </w:rPr>
              <w:t>在调蓄洪水、调节气候、控制土壤等多方面发挥着重要作用。同时，</w:t>
            </w:r>
            <w:r>
              <w:rPr>
                <w:rFonts w:hint="default" w:ascii="Times New Roman" w:hAnsi="Times New Roman" w:eastAsia="宋体" w:cs="Times New Roman"/>
                <w:color w:val="auto"/>
                <w:spacing w:val="18"/>
                <w:sz w:val="24"/>
                <w:szCs w:val="24"/>
              </w:rPr>
              <w:t>湿</w:t>
            </w:r>
            <w:r>
              <w:rPr>
                <w:rFonts w:hint="default" w:ascii="Times New Roman" w:hAnsi="Times New Roman" w:eastAsia="宋体" w:cs="Times New Roman"/>
                <w:color w:val="auto"/>
                <w:spacing w:val="11"/>
                <w:sz w:val="24"/>
                <w:szCs w:val="24"/>
              </w:rPr>
              <w:t>地</w:t>
            </w:r>
            <w:r>
              <w:rPr>
                <w:rFonts w:hint="default" w:ascii="Times New Roman" w:hAnsi="Times New Roman" w:eastAsia="宋体" w:cs="Times New Roman"/>
                <w:color w:val="auto"/>
                <w:spacing w:val="9"/>
                <w:sz w:val="24"/>
                <w:szCs w:val="24"/>
              </w:rPr>
              <w:t>还是重要的遗传基因库，拥有丰富的动植物群落和珍稀濒危物种。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1.1.5、</w:t>
            </w:r>
            <w:r>
              <w:rPr>
                <w:rFonts w:hint="default" w:ascii="Times New Roman" w:hAnsi="Times New Roman" w:cs="Times New Roman"/>
                <w:b/>
                <w:bCs/>
                <w:color w:val="auto"/>
                <w:sz w:val="24"/>
                <w:szCs w:val="24"/>
                <w:lang w:val="en-US" w:eastAsia="zh-CN"/>
              </w:rPr>
              <w:t>农田生态系统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 xml:space="preserve">根据卫片解译，评价区农田生态系统面积为1218.22 </w:t>
            </w:r>
            <w:r>
              <w:rPr>
                <w:rFonts w:hint="default" w:ascii="Times New Roman" w:hAnsi="Times New Roman" w:eastAsia="宋体" w:cs="Times New Roman"/>
                <w:color w:val="auto"/>
                <w:sz w:val="24"/>
                <w:szCs w:val="24"/>
              </w:rPr>
              <w:t>hm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2"/>
                <w:sz w:val="24"/>
                <w:szCs w:val="24"/>
              </w:rPr>
              <w:t>，占总面积的 37.5</w:t>
            </w:r>
            <w:r>
              <w:rPr>
                <w:rFonts w:hint="default" w:ascii="Times New Roman" w:hAnsi="Times New Roman" w:eastAsia="宋体" w:cs="Times New Roman"/>
                <w:color w:val="auto"/>
                <w:spacing w:val="1"/>
                <w:sz w:val="24"/>
                <w:szCs w:val="24"/>
              </w:rPr>
              <w:t>6</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pacing w:val="12"/>
                <w:sz w:val="24"/>
                <w:szCs w:val="24"/>
              </w:rPr>
              <w:t>在</w:t>
            </w:r>
            <w:r>
              <w:rPr>
                <w:rFonts w:hint="default" w:ascii="Times New Roman" w:hAnsi="Times New Roman" w:eastAsia="宋体" w:cs="Times New Roman"/>
                <w:color w:val="auto"/>
                <w:spacing w:val="9"/>
                <w:sz w:val="24"/>
                <w:szCs w:val="24"/>
              </w:rPr>
              <w:t>所有生态系统中面积占比仅次于湿地生态系统。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2"/>
                <w:sz w:val="24"/>
                <w:szCs w:val="24"/>
              </w:rPr>
              <w:t>一</w:t>
            </w:r>
            <w:r>
              <w:rPr>
                <w:rFonts w:hint="default" w:ascii="Times New Roman" w:hAnsi="Times New Roman" w:eastAsia="宋体" w:cs="Times New Roman"/>
                <w:color w:val="auto"/>
                <w:spacing w:val="8"/>
                <w:position w:val="2"/>
                <w:sz w:val="24"/>
                <w:szCs w:val="24"/>
              </w:rPr>
              <w:t>、生态系统结构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植被现</w:t>
            </w:r>
            <w:r>
              <w:rPr>
                <w:rFonts w:hint="default" w:ascii="Times New Roman" w:hAnsi="Times New Roman" w:eastAsia="宋体" w:cs="Times New Roman"/>
                <w:color w:val="auto"/>
                <w:spacing w:val="19"/>
                <w:sz w:val="24"/>
                <w:szCs w:val="24"/>
              </w:rPr>
              <w:t>状</w:t>
            </w:r>
          </w:p>
          <w:p>
            <w:pPr>
              <w:keepNext w:val="0"/>
              <w:keepLines w:val="0"/>
              <w:pageBreakBefore w:val="0"/>
              <w:widowControl w:val="0"/>
              <w:tabs>
                <w:tab w:val="left" w:pos="247"/>
              </w:tabs>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评</w:t>
            </w:r>
            <w:r>
              <w:rPr>
                <w:rFonts w:hint="default" w:ascii="Times New Roman" w:hAnsi="Times New Roman" w:eastAsia="宋体" w:cs="Times New Roman"/>
                <w:color w:val="auto"/>
                <w:spacing w:val="6"/>
                <w:sz w:val="24"/>
                <w:szCs w:val="24"/>
              </w:rPr>
              <w:t>价</w:t>
            </w:r>
            <w:r>
              <w:rPr>
                <w:rFonts w:hint="default" w:ascii="Times New Roman" w:hAnsi="Times New Roman" w:eastAsia="宋体" w:cs="Times New Roman"/>
                <w:color w:val="auto"/>
                <w:spacing w:val="5"/>
                <w:sz w:val="24"/>
                <w:szCs w:val="24"/>
              </w:rPr>
              <w:t>区农田生态系统内植被以人工中种植的稻为主，其多在评价区内广泛分布，</w:t>
            </w:r>
            <w:r>
              <w:rPr>
                <w:rFonts w:hint="default" w:ascii="Times New Roman" w:hAnsi="Times New Roman" w:eastAsia="宋体" w:cs="Times New Roman"/>
                <w:color w:val="auto"/>
                <w:spacing w:val="2"/>
                <w:sz w:val="24"/>
                <w:szCs w:val="24"/>
              </w:rPr>
              <w:t>尤其</w:t>
            </w:r>
            <w:r>
              <w:rPr>
                <w:rFonts w:hint="default" w:ascii="Times New Roman" w:hAnsi="Times New Roman" w:eastAsia="宋体" w:cs="Times New Roman"/>
                <w:color w:val="auto"/>
                <w:spacing w:val="1"/>
                <w:sz w:val="24"/>
                <w:szCs w:val="24"/>
              </w:rPr>
              <w:t>常见于白泥湖一带。见的农作物有稻(</w:t>
            </w:r>
            <w:r>
              <w:rPr>
                <w:rFonts w:hint="default" w:ascii="Times New Roman" w:hAnsi="Times New Roman" w:eastAsia="宋体" w:cs="Times New Roman"/>
                <w:i/>
                <w:iCs/>
                <w:color w:val="auto"/>
                <w:sz w:val="24"/>
                <w:szCs w:val="24"/>
              </w:rPr>
              <w:t>Oryza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sativa</w:t>
            </w:r>
            <w:r>
              <w:rPr>
                <w:rFonts w:hint="default" w:ascii="Times New Roman" w:hAnsi="Times New Roman" w:eastAsia="宋体" w:cs="Times New Roman"/>
                <w:color w:val="auto"/>
                <w:spacing w:val="1"/>
                <w:sz w:val="24"/>
                <w:szCs w:val="24"/>
              </w:rPr>
              <w:t xml:space="preserve"> )、南瓜(</w:t>
            </w:r>
            <w:r>
              <w:rPr>
                <w:rFonts w:hint="default" w:ascii="Times New Roman" w:hAnsi="Times New Roman" w:eastAsia="宋体" w:cs="Times New Roman"/>
                <w:i/>
                <w:iCs/>
                <w:color w:val="auto"/>
                <w:sz w:val="24"/>
                <w:szCs w:val="24"/>
              </w:rPr>
              <w:t>Cucurbita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moschata</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6"/>
                <w:sz w:val="24"/>
                <w:szCs w:val="24"/>
              </w:rPr>
              <w:t>丝</w:t>
            </w:r>
            <w:r>
              <w:rPr>
                <w:rFonts w:hint="default" w:ascii="Times New Roman" w:hAnsi="Times New Roman" w:eastAsia="宋体" w:cs="Times New Roman"/>
                <w:color w:val="auto"/>
                <w:spacing w:val="11"/>
                <w:sz w:val="24"/>
                <w:szCs w:val="24"/>
              </w:rPr>
              <w:t>瓜</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Lu</w:t>
            </w:r>
            <w:r>
              <w:rPr>
                <w:rFonts w:hint="default" w:ascii="Times New Roman" w:hAnsi="Times New Roman" w:eastAsia="宋体" w:cs="Times New Roman"/>
                <w:b/>
                <w:bCs/>
                <w:i/>
                <w:iCs/>
                <w:color w:val="auto"/>
                <w:sz w:val="24"/>
                <w:szCs w:val="24"/>
              </w:rPr>
              <w:t>f</w:t>
            </w:r>
            <w:r>
              <w:rPr>
                <w:rFonts w:hint="default" w:ascii="Times New Roman" w:hAnsi="Times New Roman" w:eastAsia="宋体" w:cs="Times New Roman"/>
                <w:i/>
                <w:iCs/>
                <w:color w:val="auto"/>
                <w:sz w:val="24"/>
                <w:szCs w:val="24"/>
              </w:rPr>
              <w:t>a</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cylindrica</w:t>
            </w:r>
            <w:r>
              <w:rPr>
                <w:rFonts w:hint="default" w:ascii="Times New Roman" w:hAnsi="Times New Roman" w:eastAsia="宋体" w:cs="Times New Roman"/>
                <w:color w:val="auto"/>
                <w:spacing w:val="8"/>
                <w:sz w:val="24"/>
                <w:szCs w:val="24"/>
              </w:rPr>
              <w:t xml:space="preserve"> )、番薯(</w:t>
            </w:r>
            <w:r>
              <w:rPr>
                <w:rFonts w:hint="default" w:ascii="Times New Roman" w:hAnsi="Times New Roman" w:eastAsia="宋体" w:cs="Times New Roman"/>
                <w:i/>
                <w:iCs/>
                <w:color w:val="auto"/>
                <w:sz w:val="24"/>
                <w:szCs w:val="24"/>
              </w:rPr>
              <w:t>Ipomoea</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batatas</w:t>
            </w:r>
            <w:r>
              <w:rPr>
                <w:rFonts w:hint="default" w:ascii="Times New Roman" w:hAnsi="Times New Roman" w:eastAsia="宋体" w:cs="Times New Roman"/>
                <w:color w:val="auto"/>
                <w:spacing w:val="8"/>
                <w:sz w:val="24"/>
                <w:szCs w:val="24"/>
              </w:rPr>
              <w:t xml:space="preserve"> )等，田边常见植物有构树、马唐</w:t>
            </w:r>
            <w:r>
              <w:rPr>
                <w:rFonts w:hint="default" w:ascii="Times New Roman" w:hAnsi="Times New Roman" w:eastAsia="宋体" w:cs="Times New Roman"/>
                <w:color w:val="auto"/>
                <w:spacing w:val="13"/>
                <w:sz w:val="24"/>
                <w:szCs w:val="24"/>
              </w:rPr>
              <w:t>(</w:t>
            </w:r>
            <w:r>
              <w:rPr>
                <w:rFonts w:hint="default" w:ascii="Times New Roman" w:hAnsi="Times New Roman" w:eastAsia="宋体" w:cs="Times New Roman"/>
                <w:i/>
                <w:iCs/>
                <w:color w:val="auto"/>
                <w:sz w:val="24"/>
                <w:szCs w:val="24"/>
              </w:rPr>
              <w:t>Digitaria</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sanguinalis</w:t>
            </w:r>
            <w:r>
              <w:rPr>
                <w:rFonts w:hint="default" w:ascii="Times New Roman" w:hAnsi="Times New Roman" w:eastAsia="宋体" w:cs="Times New Roman"/>
                <w:color w:val="auto"/>
                <w:spacing w:val="7"/>
                <w:sz w:val="24"/>
                <w:szCs w:val="24"/>
              </w:rPr>
              <w:t xml:space="preserve"> )、喜旱莲子草等。</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2</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动物现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规划区域的农田生态系统主要是水田及旱地，水田中常见的动物主要有泽陆蛙</w:t>
            </w:r>
            <w:r>
              <w:rPr>
                <w:rFonts w:hint="default" w:ascii="Times New Roman" w:hAnsi="Times New Roman" w:eastAsia="宋体" w:cs="Times New Roman"/>
                <w:color w:val="auto"/>
                <w:spacing w:val="5"/>
                <w:sz w:val="24"/>
                <w:szCs w:val="24"/>
              </w:rPr>
              <w:t>、</w:t>
            </w:r>
            <w:r>
              <w:rPr>
                <w:rFonts w:hint="default" w:ascii="Times New Roman" w:hAnsi="Times New Roman" w:eastAsia="宋体" w:cs="Times New Roman"/>
                <w:color w:val="auto"/>
                <w:spacing w:val="-5"/>
                <w:sz w:val="24"/>
                <w:szCs w:val="24"/>
              </w:rPr>
              <w:t>沼蛙、白鹭、牛背鹭 (</w:t>
            </w:r>
            <w:r>
              <w:rPr>
                <w:rFonts w:hint="default" w:ascii="Times New Roman" w:hAnsi="Times New Roman" w:eastAsia="宋体" w:cs="Times New Roman"/>
                <w:i/>
                <w:iCs/>
                <w:color w:val="auto"/>
                <w:spacing w:val="-5"/>
                <w:sz w:val="24"/>
                <w:szCs w:val="24"/>
              </w:rPr>
              <w:t>Bubulcus</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pacing w:val="-5"/>
                <w:sz w:val="24"/>
                <w:szCs w:val="24"/>
              </w:rPr>
              <w:t>ibis</w:t>
            </w:r>
            <w:r>
              <w:rPr>
                <w:rFonts w:hint="default" w:ascii="Times New Roman" w:hAnsi="Times New Roman" w:eastAsia="宋体" w:cs="Times New Roman"/>
                <w:color w:val="auto"/>
                <w:spacing w:val="-5"/>
                <w:sz w:val="24"/>
                <w:szCs w:val="24"/>
              </w:rPr>
              <w:t xml:space="preserve"> ) 、金翅雀、斑文鸟、白腰文鸟 (</w:t>
            </w:r>
            <w:r>
              <w:rPr>
                <w:rFonts w:hint="default" w:ascii="Times New Roman" w:hAnsi="Times New Roman" w:eastAsia="宋体" w:cs="Times New Roman"/>
                <w:i/>
                <w:iCs/>
                <w:color w:val="auto"/>
                <w:spacing w:val="-5"/>
                <w:sz w:val="24"/>
                <w:szCs w:val="24"/>
              </w:rPr>
              <w:t>Lonchura</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i/>
                <w:iCs/>
                <w:color w:val="auto"/>
                <w:spacing w:val="-5"/>
                <w:sz w:val="24"/>
                <w:szCs w:val="24"/>
              </w:rPr>
              <w:t>striat</w:t>
            </w:r>
            <w:r>
              <w:rPr>
                <w:rFonts w:hint="default" w:ascii="Times New Roman" w:hAnsi="Times New Roman" w:eastAsia="宋体" w:cs="Times New Roman"/>
                <w:i/>
                <w:iCs/>
                <w:color w:val="auto"/>
                <w:spacing w:val="-3"/>
                <w:sz w:val="24"/>
                <w:szCs w:val="24"/>
              </w:rPr>
              <w:t>a</w:t>
            </w:r>
            <w:r>
              <w:rPr>
                <w:rFonts w:hint="default" w:ascii="Times New Roman" w:hAnsi="Times New Roman" w:eastAsia="宋体" w:cs="Times New Roman"/>
                <w:color w:val="auto"/>
                <w:spacing w:val="-5"/>
                <w:sz w:val="24"/>
                <w:szCs w:val="24"/>
              </w:rPr>
              <w:t xml:space="preserve"> )、</w:t>
            </w:r>
            <w:r>
              <w:rPr>
                <w:rFonts w:hint="default" w:ascii="Times New Roman" w:hAnsi="Times New Roman" w:eastAsia="宋体" w:cs="Times New Roman"/>
                <w:color w:val="auto"/>
                <w:spacing w:val="16"/>
                <w:sz w:val="24"/>
                <w:szCs w:val="24"/>
              </w:rPr>
              <w:t>麻雀</w:t>
            </w:r>
            <w:r>
              <w:rPr>
                <w:rFonts w:hint="default" w:ascii="Times New Roman" w:hAnsi="Times New Roman" w:eastAsia="宋体" w:cs="Times New Roman"/>
                <w:color w:val="auto"/>
                <w:spacing w:val="11"/>
                <w:sz w:val="24"/>
                <w:szCs w:val="24"/>
              </w:rPr>
              <w:t>、</w:t>
            </w:r>
            <w:r>
              <w:rPr>
                <w:rFonts w:hint="default" w:ascii="Times New Roman" w:hAnsi="Times New Roman" w:eastAsia="宋体" w:cs="Times New Roman"/>
                <w:color w:val="auto"/>
                <w:spacing w:val="8"/>
                <w:sz w:val="24"/>
                <w:szCs w:val="24"/>
              </w:rPr>
              <w:t>丝光椋鸟、凤头麦鸡(</w:t>
            </w:r>
            <w:r>
              <w:rPr>
                <w:rFonts w:hint="default" w:ascii="Times New Roman" w:hAnsi="Times New Roman" w:eastAsia="宋体" w:cs="Times New Roman"/>
                <w:i/>
                <w:iCs/>
                <w:color w:val="auto"/>
                <w:sz w:val="24"/>
                <w:szCs w:val="24"/>
              </w:rPr>
              <w:t>Vanellus</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vanellus</w:t>
            </w:r>
            <w:r>
              <w:rPr>
                <w:rFonts w:hint="default" w:ascii="Times New Roman" w:hAnsi="Times New Roman" w:eastAsia="宋体" w:cs="Times New Roman"/>
                <w:color w:val="auto"/>
                <w:spacing w:val="8"/>
                <w:sz w:val="24"/>
                <w:szCs w:val="24"/>
              </w:rPr>
              <w:t xml:space="preserve"> )等，旱地常见的动物有铜蜓蜥、北</w:t>
            </w:r>
            <w:r>
              <w:rPr>
                <w:rFonts w:hint="default" w:ascii="Times New Roman" w:hAnsi="Times New Roman" w:eastAsia="宋体" w:cs="Times New Roman"/>
                <w:color w:val="auto"/>
                <w:spacing w:val="-3"/>
                <w:sz w:val="24"/>
                <w:szCs w:val="24"/>
              </w:rPr>
              <w:t>草蜥、乌鸫(</w:t>
            </w:r>
            <w:r>
              <w:rPr>
                <w:rFonts w:hint="default" w:ascii="Times New Roman" w:hAnsi="Times New Roman" w:eastAsia="宋体" w:cs="Times New Roman"/>
                <w:i/>
                <w:iCs/>
                <w:color w:val="auto"/>
                <w:spacing w:val="-3"/>
                <w:sz w:val="24"/>
                <w:szCs w:val="24"/>
              </w:rPr>
              <w:t>Turdus</w:t>
            </w:r>
            <w:r>
              <w:rPr>
                <w:rFonts w:hint="default" w:ascii="Times New Roman" w:hAnsi="Times New Roman" w:eastAsia="宋体" w:cs="Times New Roman"/>
                <w:color w:val="auto"/>
                <w:spacing w:val="-3"/>
                <w:sz w:val="24"/>
                <w:szCs w:val="24"/>
              </w:rPr>
              <w:t xml:space="preserve"> </w:t>
            </w:r>
            <w:r>
              <w:rPr>
                <w:rFonts w:hint="default" w:ascii="Times New Roman" w:hAnsi="Times New Roman" w:eastAsia="宋体" w:cs="Times New Roman"/>
                <w:i/>
                <w:iCs/>
                <w:color w:val="auto"/>
                <w:spacing w:val="-3"/>
                <w:sz w:val="24"/>
                <w:szCs w:val="24"/>
              </w:rPr>
              <w:t>mandarinus</w:t>
            </w:r>
            <w:r>
              <w:rPr>
                <w:rFonts w:hint="default" w:ascii="Times New Roman" w:hAnsi="Times New Roman" w:eastAsia="宋体" w:cs="Times New Roman"/>
                <w:color w:val="auto"/>
                <w:spacing w:val="-3"/>
                <w:sz w:val="24"/>
                <w:szCs w:val="24"/>
              </w:rPr>
              <w:t xml:space="preserve"> )、八哥、鹊鸲、珠颈斑鸠、金翅雀、白头鹎(</w:t>
            </w:r>
            <w:r>
              <w:rPr>
                <w:rFonts w:hint="default" w:ascii="Times New Roman" w:hAnsi="Times New Roman" w:eastAsia="宋体" w:cs="Times New Roman"/>
                <w:i/>
                <w:iCs/>
                <w:color w:val="auto"/>
                <w:spacing w:val="-3"/>
                <w:sz w:val="24"/>
                <w:szCs w:val="24"/>
              </w:rPr>
              <w:t>Pyconotus</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sinensis</w:t>
            </w:r>
            <w:r>
              <w:rPr>
                <w:rFonts w:hint="default" w:ascii="Times New Roman" w:hAnsi="Times New Roman" w:eastAsia="宋体" w:cs="Times New Roman"/>
                <w:color w:val="auto"/>
                <w:spacing w:val="8"/>
                <w:sz w:val="24"/>
                <w:szCs w:val="24"/>
              </w:rPr>
              <w:t xml:space="preserve"> )等，兽类中啮齿目鼠科动物如褐家鼠(</w:t>
            </w:r>
            <w:r>
              <w:rPr>
                <w:rFonts w:hint="default" w:ascii="Times New Roman" w:hAnsi="Times New Roman" w:eastAsia="宋体" w:cs="Times New Roman"/>
                <w:i/>
                <w:iCs/>
                <w:color w:val="auto"/>
                <w:sz w:val="24"/>
                <w:szCs w:val="24"/>
              </w:rPr>
              <w:t>Rattus</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novegicus</w:t>
            </w:r>
            <w:r>
              <w:rPr>
                <w:rFonts w:hint="default" w:ascii="Times New Roman" w:hAnsi="Times New Roman" w:eastAsia="宋体" w:cs="Times New Roman"/>
                <w:color w:val="auto"/>
                <w:spacing w:val="8"/>
                <w:sz w:val="24"/>
                <w:szCs w:val="24"/>
              </w:rPr>
              <w:t xml:space="preserve"> )和小家鼠等也</w:t>
            </w:r>
            <w:r>
              <w:rPr>
                <w:rFonts w:hint="default" w:ascii="Times New Roman" w:hAnsi="Times New Roman" w:eastAsia="宋体" w:cs="Times New Roman"/>
                <w:color w:val="auto"/>
                <w:spacing w:val="5"/>
                <w:sz w:val="24"/>
                <w:szCs w:val="24"/>
              </w:rPr>
              <w:t>常</w:t>
            </w:r>
            <w:r>
              <w:rPr>
                <w:rFonts w:hint="default" w:ascii="Times New Roman" w:hAnsi="Times New Roman" w:eastAsia="宋体" w:cs="Times New Roman"/>
                <w:color w:val="auto"/>
                <w:spacing w:val="10"/>
                <w:sz w:val="24"/>
                <w:szCs w:val="24"/>
              </w:rPr>
              <w:t>出</w:t>
            </w:r>
            <w:r>
              <w:rPr>
                <w:rFonts w:hint="default" w:ascii="Times New Roman" w:hAnsi="Times New Roman" w:eastAsia="宋体" w:cs="Times New Roman"/>
                <w:color w:val="auto"/>
                <w:spacing w:val="9"/>
                <w:sz w:val="24"/>
                <w:szCs w:val="24"/>
              </w:rPr>
              <w:t>现在农田生态系统。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1"/>
                <w:sz w:val="24"/>
                <w:szCs w:val="24"/>
              </w:rPr>
              <w:t>二</w:t>
            </w:r>
            <w:r>
              <w:rPr>
                <w:rFonts w:hint="default" w:ascii="Times New Roman" w:hAnsi="Times New Roman" w:eastAsia="宋体" w:cs="Times New Roman"/>
                <w:color w:val="auto"/>
                <w:spacing w:val="8"/>
                <w:position w:val="1"/>
                <w:sz w:val="24"/>
                <w:szCs w:val="24"/>
              </w:rPr>
              <w:t>、生态系统功能</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农田</w:t>
            </w:r>
            <w:r>
              <w:rPr>
                <w:rFonts w:hint="default" w:ascii="Times New Roman" w:hAnsi="Times New Roman" w:eastAsia="宋体" w:cs="Times New Roman"/>
                <w:color w:val="auto"/>
                <w:spacing w:val="15"/>
                <w:sz w:val="24"/>
                <w:szCs w:val="24"/>
              </w:rPr>
              <w:t>生</w:t>
            </w:r>
            <w:r>
              <w:rPr>
                <w:rFonts w:hint="default" w:ascii="Times New Roman" w:hAnsi="Times New Roman" w:eastAsia="宋体" w:cs="Times New Roman"/>
                <w:color w:val="auto"/>
                <w:spacing w:val="9"/>
                <w:sz w:val="24"/>
                <w:szCs w:val="24"/>
              </w:rPr>
              <w:t>态系统由一定农业地域内相互作用的生物因素和非生物因素构成的功能</w:t>
            </w:r>
            <w:r>
              <w:rPr>
                <w:rFonts w:hint="default" w:ascii="Times New Roman" w:hAnsi="Times New Roman" w:eastAsia="宋体" w:cs="Times New Roman"/>
                <w:color w:val="auto"/>
                <w:spacing w:val="18"/>
                <w:sz w:val="24"/>
                <w:szCs w:val="24"/>
              </w:rPr>
              <w:t>整体，</w:t>
            </w:r>
            <w:r>
              <w:rPr>
                <w:rFonts w:hint="default" w:ascii="Times New Roman" w:hAnsi="Times New Roman" w:eastAsia="宋体" w:cs="Times New Roman"/>
                <w:color w:val="auto"/>
                <w:spacing w:val="9"/>
                <w:sz w:val="24"/>
                <w:szCs w:val="24"/>
              </w:rPr>
              <w:t>人类生产活动干预下形成的人工生态系统。农田生态系统的主要生态功能体</w:t>
            </w:r>
            <w:r>
              <w:rPr>
                <w:rFonts w:hint="default" w:ascii="Times New Roman" w:hAnsi="Times New Roman" w:eastAsia="宋体" w:cs="Times New Roman"/>
                <w:color w:val="auto"/>
                <w:spacing w:val="18"/>
                <w:sz w:val="24"/>
                <w:szCs w:val="24"/>
              </w:rPr>
              <w:t>现在农</w:t>
            </w:r>
            <w:r>
              <w:rPr>
                <w:rFonts w:hint="default" w:ascii="Times New Roman" w:hAnsi="Times New Roman" w:eastAsia="宋体" w:cs="Times New Roman"/>
                <w:color w:val="auto"/>
                <w:spacing w:val="9"/>
                <w:sz w:val="24"/>
                <w:szCs w:val="24"/>
              </w:rPr>
              <w:t>产品及副产品生产，包括为人们提供农产品，为现代工业提供加工原料，以</w:t>
            </w:r>
            <w:r>
              <w:rPr>
                <w:rFonts w:hint="default" w:ascii="Times New Roman" w:hAnsi="Times New Roman" w:eastAsia="宋体" w:cs="Times New Roman"/>
                <w:color w:val="auto"/>
                <w:spacing w:val="18"/>
                <w:sz w:val="24"/>
                <w:szCs w:val="24"/>
              </w:rPr>
              <w:t>及提供</w:t>
            </w:r>
            <w:r>
              <w:rPr>
                <w:rFonts w:hint="default" w:ascii="Times New Roman" w:hAnsi="Times New Roman" w:eastAsia="宋体" w:cs="Times New Roman"/>
                <w:color w:val="auto"/>
                <w:spacing w:val="9"/>
                <w:sz w:val="24"/>
                <w:szCs w:val="24"/>
              </w:rPr>
              <w:t>生物生源等。同时，农田生态系统也具有大气调节、土壤保持、养分循环、</w:t>
            </w:r>
            <w:r>
              <w:rPr>
                <w:rFonts w:hint="default" w:ascii="Times New Roman" w:hAnsi="Times New Roman" w:eastAsia="宋体" w:cs="Times New Roman"/>
                <w:color w:val="auto"/>
                <w:spacing w:val="12"/>
                <w:sz w:val="24"/>
                <w:szCs w:val="24"/>
              </w:rPr>
              <w:t>水</w:t>
            </w:r>
            <w:r>
              <w:rPr>
                <w:rFonts w:hint="default" w:ascii="Times New Roman" w:hAnsi="Times New Roman" w:eastAsia="宋体" w:cs="Times New Roman"/>
                <w:color w:val="auto"/>
                <w:spacing w:val="7"/>
                <w:sz w:val="24"/>
                <w:szCs w:val="24"/>
              </w:rPr>
              <w:t>分调节等功能。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1.1.6、</w:t>
            </w:r>
            <w:r>
              <w:rPr>
                <w:rFonts w:hint="default" w:ascii="Times New Roman" w:hAnsi="Times New Roman" w:cs="Times New Roman"/>
                <w:b/>
                <w:bCs/>
                <w:color w:val="auto"/>
                <w:sz w:val="24"/>
                <w:szCs w:val="24"/>
                <w:lang w:val="en-US" w:eastAsia="zh-CN"/>
              </w:rPr>
              <w:t>城镇生态系统</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根据卫片解译，评价区城镇生态系统面积为288.62</w:t>
            </w:r>
            <w:r>
              <w:rPr>
                <w:rFonts w:hint="default" w:ascii="Times New Roman" w:hAnsi="Times New Roman" w:eastAsia="宋体" w:cs="Times New Roman"/>
                <w:color w:val="auto"/>
                <w:sz w:val="24"/>
                <w:szCs w:val="24"/>
              </w:rPr>
              <w:t>hm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2"/>
                <w:sz w:val="24"/>
                <w:szCs w:val="24"/>
              </w:rPr>
              <w:t>，占总面积的 8.</w:t>
            </w:r>
            <w:r>
              <w:rPr>
                <w:rFonts w:hint="default" w:ascii="Times New Roman" w:hAnsi="Times New Roman" w:eastAsia="宋体" w:cs="Times New Roman"/>
                <w:color w:val="auto"/>
                <w:sz w:val="24"/>
                <w:szCs w:val="24"/>
              </w:rPr>
              <w:t>90%，</w:t>
            </w:r>
            <w:r>
              <w:rPr>
                <w:rFonts w:hint="default" w:ascii="Times New Roman" w:hAnsi="Times New Roman" w:eastAsia="宋体" w:cs="Times New Roman"/>
                <w:color w:val="auto"/>
                <w:spacing w:val="16"/>
                <w:sz w:val="24"/>
                <w:szCs w:val="24"/>
              </w:rPr>
              <w:t>在</w:t>
            </w:r>
            <w:r>
              <w:rPr>
                <w:rFonts w:hint="default" w:ascii="Times New Roman" w:hAnsi="Times New Roman" w:eastAsia="宋体" w:cs="Times New Roman"/>
                <w:color w:val="auto"/>
                <w:spacing w:val="11"/>
                <w:sz w:val="24"/>
                <w:szCs w:val="24"/>
              </w:rPr>
              <w:t>所</w:t>
            </w:r>
            <w:r>
              <w:rPr>
                <w:rFonts w:hint="default" w:ascii="Times New Roman" w:hAnsi="Times New Roman" w:eastAsia="宋体" w:cs="Times New Roman"/>
                <w:color w:val="auto"/>
                <w:spacing w:val="8"/>
                <w:sz w:val="24"/>
                <w:szCs w:val="24"/>
              </w:rPr>
              <w:t>有生态系统中面积占比较小。</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2"/>
                <w:sz w:val="24"/>
                <w:szCs w:val="24"/>
              </w:rPr>
              <w:t>一</w:t>
            </w:r>
            <w:r>
              <w:rPr>
                <w:rFonts w:hint="default" w:ascii="Times New Roman" w:hAnsi="Times New Roman" w:eastAsia="宋体" w:cs="Times New Roman"/>
                <w:color w:val="auto"/>
                <w:spacing w:val="8"/>
                <w:position w:val="2"/>
                <w:sz w:val="24"/>
                <w:szCs w:val="24"/>
              </w:rPr>
              <w:t>、生态系统结构</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评价</w:t>
            </w:r>
            <w:r>
              <w:rPr>
                <w:rFonts w:hint="default" w:ascii="Times New Roman" w:hAnsi="Times New Roman" w:eastAsia="宋体" w:cs="Times New Roman"/>
                <w:color w:val="auto"/>
                <w:spacing w:val="16"/>
                <w:sz w:val="24"/>
                <w:szCs w:val="24"/>
              </w:rPr>
              <w:t>区</w:t>
            </w:r>
            <w:r>
              <w:rPr>
                <w:rFonts w:hint="default" w:ascii="Times New Roman" w:hAnsi="Times New Roman" w:eastAsia="宋体" w:cs="Times New Roman"/>
                <w:color w:val="auto"/>
                <w:spacing w:val="9"/>
                <w:sz w:val="24"/>
                <w:szCs w:val="24"/>
              </w:rPr>
              <w:t>城镇生态系统内植被以阔叶林、灌丛、灌草丛为主，常见的群系有樟群</w:t>
            </w:r>
            <w:r>
              <w:rPr>
                <w:rFonts w:hint="default" w:ascii="Times New Roman" w:hAnsi="Times New Roman" w:eastAsia="宋体" w:cs="Times New Roman"/>
                <w:color w:val="auto"/>
                <w:spacing w:val="1"/>
                <w:sz w:val="24"/>
                <w:szCs w:val="24"/>
              </w:rPr>
              <w:t>系、楝群系、淡竹群系、构树群系、狗尾</w:t>
            </w:r>
            <w:r>
              <w:rPr>
                <w:rFonts w:hint="default" w:ascii="Times New Roman" w:hAnsi="Times New Roman" w:eastAsia="宋体" w:cs="Times New Roman"/>
                <w:color w:val="auto"/>
                <w:sz w:val="24"/>
                <w:szCs w:val="24"/>
              </w:rPr>
              <w:t>草群系等，伴生有毛竹、杉木(</w:t>
            </w:r>
            <w:r>
              <w:rPr>
                <w:rFonts w:hint="default" w:ascii="Times New Roman" w:hAnsi="Times New Roman" w:eastAsia="宋体" w:cs="Times New Roman"/>
                <w:i/>
                <w:iCs/>
                <w:color w:val="auto"/>
                <w:sz w:val="24"/>
                <w:szCs w:val="24"/>
              </w:rPr>
              <w:t>Cunninghamia</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lanceolata</w:t>
            </w:r>
            <w:r>
              <w:rPr>
                <w:rFonts w:hint="default" w:ascii="Times New Roman" w:hAnsi="Times New Roman" w:eastAsia="宋体" w:cs="Times New Roman"/>
                <w:color w:val="auto"/>
                <w:spacing w:val="2"/>
                <w:sz w:val="24"/>
                <w:szCs w:val="24"/>
              </w:rPr>
              <w:t xml:space="preserve"> )、乌</w:t>
            </w:r>
            <w:r>
              <w:rPr>
                <w:rFonts w:hint="default" w:ascii="Times New Roman" w:hAnsi="Times New Roman" w:eastAsia="宋体" w:cs="Times New Roman"/>
                <w:color w:val="auto"/>
                <w:spacing w:val="1"/>
                <w:sz w:val="24"/>
                <w:szCs w:val="24"/>
              </w:rPr>
              <w:t>桕、盐肤木、野蔷薇、寒莓、芦苇、五节芒(</w:t>
            </w:r>
            <w:r>
              <w:rPr>
                <w:rFonts w:hint="default" w:ascii="Times New Roman" w:hAnsi="Times New Roman" w:eastAsia="宋体" w:cs="Times New Roman"/>
                <w:i/>
                <w:iCs/>
                <w:color w:val="auto"/>
                <w:sz w:val="24"/>
                <w:szCs w:val="24"/>
              </w:rPr>
              <w:t>Miscanthusfloridulus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color w:val="auto"/>
                <w:spacing w:val="-1"/>
                <w:sz w:val="24"/>
                <w:szCs w:val="24"/>
              </w:rPr>
              <w:t>芒(</w:t>
            </w:r>
            <w:r>
              <w:rPr>
                <w:rFonts w:hint="default" w:ascii="Times New Roman" w:hAnsi="Times New Roman" w:eastAsia="宋体" w:cs="Times New Roman"/>
                <w:i/>
                <w:iCs/>
                <w:color w:val="auto"/>
                <w:spacing w:val="-1"/>
                <w:sz w:val="24"/>
                <w:szCs w:val="24"/>
              </w:rPr>
              <w:t>Misca</w:t>
            </w:r>
            <w:r>
              <w:rPr>
                <w:rFonts w:hint="default" w:ascii="Times New Roman" w:hAnsi="Times New Roman" w:eastAsia="宋体" w:cs="Times New Roman"/>
                <w:i/>
                <w:iCs/>
                <w:color w:val="auto"/>
                <w:sz w:val="24"/>
                <w:szCs w:val="24"/>
              </w:rPr>
              <w:t>nthus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sinensis</w:t>
            </w:r>
            <w:r>
              <w:rPr>
                <w:rFonts w:hint="default" w:ascii="Times New Roman" w:hAnsi="Times New Roman" w:eastAsia="宋体" w:cs="Times New Roman"/>
                <w:color w:val="auto"/>
                <w:spacing w:val="-1"/>
                <w:sz w:val="24"/>
                <w:szCs w:val="24"/>
              </w:rPr>
              <w:t xml:space="preserve"> )等，有人工种植植物有柑橘 (</w:t>
            </w:r>
            <w:r>
              <w:rPr>
                <w:rFonts w:hint="default" w:ascii="Times New Roman" w:hAnsi="Times New Roman" w:eastAsia="宋体" w:cs="Times New Roman"/>
                <w:i/>
                <w:iCs/>
                <w:color w:val="auto"/>
                <w:sz w:val="24"/>
                <w:szCs w:val="24"/>
              </w:rPr>
              <w:t>Citrus</w:t>
            </w:r>
            <w:r>
              <w:rPr>
                <w:rFonts w:hint="default" w:ascii="Times New Roman" w:hAnsi="Times New Roman" w:eastAsia="宋体" w:cs="Times New Roman"/>
                <w:color w:val="auto"/>
                <w:spacing w:val="-1"/>
                <w:sz w:val="24"/>
                <w:szCs w:val="24"/>
              </w:rPr>
              <w:t xml:space="preserve"> </w:t>
            </w:r>
            <w:r>
              <w:rPr>
                <w:rFonts w:hint="default" w:ascii="Times New Roman" w:hAnsi="Times New Roman" w:eastAsia="宋体" w:cs="Times New Roman"/>
                <w:i/>
                <w:iCs/>
                <w:color w:val="auto"/>
                <w:sz w:val="24"/>
                <w:szCs w:val="24"/>
              </w:rPr>
              <w:t>reticulata</w:t>
            </w:r>
            <w:r>
              <w:rPr>
                <w:rFonts w:hint="default" w:ascii="Times New Roman" w:hAnsi="Times New Roman" w:eastAsia="宋体" w:cs="Times New Roman"/>
                <w:color w:val="auto"/>
                <w:spacing w:val="-1"/>
                <w:sz w:val="24"/>
                <w:szCs w:val="24"/>
              </w:rPr>
              <w:t xml:space="preserve"> )、柚 (</w:t>
            </w:r>
            <w:r>
              <w:rPr>
                <w:rFonts w:hint="default" w:ascii="Times New Roman" w:hAnsi="Times New Roman" w:eastAsia="宋体" w:cs="Times New Roman"/>
                <w:i/>
                <w:iCs/>
                <w:color w:val="auto"/>
                <w:sz w:val="24"/>
                <w:szCs w:val="24"/>
              </w:rPr>
              <w:t>Citrus</w:t>
            </w:r>
            <w:r>
              <w:rPr>
                <w:rFonts w:hint="default" w:ascii="Times New Roman" w:hAnsi="Times New Roman" w:eastAsia="宋体" w:cs="Times New Roman"/>
                <w:i/>
                <w:iCs/>
                <w:color w:val="auto"/>
                <w:spacing w:val="-1"/>
                <w:position w:val="1"/>
                <w:sz w:val="24"/>
                <w:szCs w:val="24"/>
              </w:rPr>
              <w:t>maxima</w:t>
            </w:r>
            <w:r>
              <w:rPr>
                <w:rFonts w:hint="default" w:ascii="Times New Roman" w:hAnsi="Times New Roman" w:eastAsia="宋体" w:cs="Times New Roman"/>
                <w:color w:val="auto"/>
                <w:spacing w:val="-2"/>
                <w:position w:val="1"/>
                <w:sz w:val="24"/>
                <w:szCs w:val="24"/>
              </w:rPr>
              <w:t xml:space="preserve"> </w:t>
            </w:r>
            <w:r>
              <w:rPr>
                <w:rFonts w:hint="default" w:ascii="Times New Roman" w:hAnsi="Times New Roman" w:eastAsia="宋体" w:cs="Times New Roman"/>
                <w:color w:val="auto"/>
                <w:spacing w:val="-1"/>
                <w:position w:val="1"/>
                <w:sz w:val="24"/>
                <w:szCs w:val="24"/>
              </w:rPr>
              <w:t>) 等。</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2</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动物现</w:t>
            </w:r>
            <w:r>
              <w:rPr>
                <w:rFonts w:hint="default" w:ascii="Times New Roman" w:hAnsi="Times New Roman" w:eastAsia="宋体" w:cs="Times New Roman"/>
                <w:color w:val="auto"/>
                <w:spacing w:val="19"/>
                <w:sz w:val="24"/>
                <w:szCs w:val="24"/>
              </w:rPr>
              <w:t>状</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规划</w:t>
            </w:r>
            <w:r>
              <w:rPr>
                <w:rFonts w:hint="default" w:ascii="Times New Roman" w:hAnsi="Times New Roman" w:eastAsia="宋体" w:cs="Times New Roman"/>
                <w:color w:val="auto"/>
                <w:spacing w:val="14"/>
                <w:sz w:val="24"/>
                <w:szCs w:val="24"/>
              </w:rPr>
              <w:t>区</w:t>
            </w:r>
            <w:r>
              <w:rPr>
                <w:rFonts w:hint="default" w:ascii="Times New Roman" w:hAnsi="Times New Roman" w:eastAsia="宋体" w:cs="Times New Roman"/>
                <w:color w:val="auto"/>
                <w:spacing w:val="9"/>
                <w:sz w:val="24"/>
                <w:szCs w:val="24"/>
              </w:rPr>
              <w:t>域内的城市生态系统主要是居民建筑，人群集中活动的区域，该区域的</w:t>
            </w:r>
            <w:r>
              <w:rPr>
                <w:rFonts w:hint="default" w:ascii="Times New Roman" w:hAnsi="Times New Roman" w:eastAsia="宋体" w:cs="Times New Roman"/>
                <w:color w:val="auto"/>
                <w:spacing w:val="18"/>
                <w:sz w:val="24"/>
                <w:szCs w:val="24"/>
              </w:rPr>
              <w:t>动物</w:t>
            </w:r>
            <w:r>
              <w:rPr>
                <w:rFonts w:hint="default" w:ascii="Times New Roman" w:hAnsi="Times New Roman" w:eastAsia="宋体" w:cs="Times New Roman"/>
                <w:color w:val="auto"/>
                <w:spacing w:val="17"/>
                <w:sz w:val="24"/>
                <w:szCs w:val="24"/>
              </w:rPr>
              <w:t>种</w:t>
            </w:r>
            <w:r>
              <w:rPr>
                <w:rFonts w:hint="default" w:ascii="Times New Roman" w:hAnsi="Times New Roman" w:eastAsia="宋体" w:cs="Times New Roman"/>
                <w:color w:val="auto"/>
                <w:spacing w:val="9"/>
                <w:sz w:val="24"/>
                <w:szCs w:val="24"/>
              </w:rPr>
              <w:t>类和数量均较少，主要有抗人类活动干扰能力强的物种，如两栖类的中华蟾</w:t>
            </w:r>
            <w:r>
              <w:rPr>
                <w:rFonts w:hint="default" w:ascii="Times New Roman" w:hAnsi="Times New Roman" w:eastAsia="宋体" w:cs="Times New Roman"/>
                <w:color w:val="auto"/>
                <w:spacing w:val="11"/>
                <w:sz w:val="24"/>
                <w:szCs w:val="24"/>
              </w:rPr>
              <w:t>蜍，喜在房屋建筑物活动的多疣壁虎(</w:t>
            </w:r>
            <w:r>
              <w:rPr>
                <w:rFonts w:hint="default" w:ascii="Times New Roman" w:hAnsi="Times New Roman" w:eastAsia="宋体" w:cs="Times New Roman"/>
                <w:i/>
                <w:iCs/>
                <w:color w:val="auto"/>
                <w:sz w:val="24"/>
                <w:szCs w:val="24"/>
              </w:rPr>
              <w:t>Gekko</w:t>
            </w:r>
            <w:r>
              <w:rPr>
                <w:rFonts w:hint="default" w:ascii="Times New Roman" w:hAnsi="Times New Roman" w:eastAsia="宋体" w:cs="Times New Roman"/>
                <w:color w:val="auto"/>
                <w:spacing w:val="11"/>
                <w:sz w:val="24"/>
                <w:szCs w:val="24"/>
              </w:rPr>
              <w:t xml:space="preserve"> </w:t>
            </w:r>
            <w:r>
              <w:rPr>
                <w:rFonts w:hint="default" w:ascii="Times New Roman" w:hAnsi="Times New Roman" w:eastAsia="宋体" w:cs="Times New Roman"/>
                <w:i/>
                <w:iCs/>
                <w:color w:val="auto"/>
                <w:sz w:val="24"/>
                <w:szCs w:val="24"/>
              </w:rPr>
              <w:t>japonicus</w:t>
            </w:r>
            <w:r>
              <w:rPr>
                <w:rFonts w:hint="default" w:ascii="Times New Roman" w:hAnsi="Times New Roman" w:eastAsia="宋体" w:cs="Times New Roman"/>
                <w:color w:val="auto"/>
                <w:spacing w:val="11"/>
                <w:sz w:val="24"/>
                <w:szCs w:val="24"/>
              </w:rPr>
              <w:t xml:space="preserve"> )，鸟类中的鹊鸲、麻雀、</w:t>
            </w:r>
            <w:r>
              <w:rPr>
                <w:rFonts w:hint="default" w:ascii="Times New Roman" w:hAnsi="Times New Roman" w:eastAsia="宋体" w:cs="Times New Roman"/>
                <w:color w:val="auto"/>
                <w:spacing w:val="9"/>
                <w:sz w:val="24"/>
                <w:szCs w:val="24"/>
              </w:rPr>
              <w:t>家</w:t>
            </w:r>
            <w:r>
              <w:rPr>
                <w:rFonts w:hint="default" w:ascii="Times New Roman" w:hAnsi="Times New Roman" w:eastAsia="宋体" w:cs="Times New Roman"/>
                <w:color w:val="auto"/>
                <w:spacing w:val="7"/>
                <w:sz w:val="24"/>
                <w:szCs w:val="24"/>
              </w:rPr>
              <w:t>燕(</w:t>
            </w:r>
            <w:r>
              <w:rPr>
                <w:rFonts w:hint="default" w:ascii="Times New Roman" w:hAnsi="Times New Roman" w:eastAsia="宋体" w:cs="Times New Roman"/>
                <w:i/>
                <w:iCs/>
                <w:color w:val="auto"/>
                <w:sz w:val="24"/>
                <w:szCs w:val="24"/>
              </w:rPr>
              <w:t>Hirundo</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rustica</w:t>
            </w:r>
            <w:r>
              <w:rPr>
                <w:rFonts w:hint="default" w:ascii="Times New Roman" w:hAnsi="Times New Roman" w:eastAsia="宋体" w:cs="Times New Roman"/>
                <w:color w:val="auto"/>
                <w:spacing w:val="7"/>
                <w:sz w:val="24"/>
                <w:szCs w:val="24"/>
              </w:rPr>
              <w:t xml:space="preserve"> )、金腰燕(</w:t>
            </w:r>
            <w:r>
              <w:rPr>
                <w:rFonts w:hint="default" w:ascii="Times New Roman" w:hAnsi="Times New Roman" w:eastAsia="宋体" w:cs="Times New Roman"/>
                <w:i/>
                <w:iCs/>
                <w:color w:val="auto"/>
                <w:sz w:val="24"/>
                <w:szCs w:val="24"/>
              </w:rPr>
              <w:t>Hirundo</w:t>
            </w:r>
            <w:r>
              <w:rPr>
                <w:rFonts w:hint="default" w:ascii="Times New Roman" w:hAnsi="Times New Roman" w:eastAsia="宋体" w:cs="Times New Roman"/>
                <w:color w:val="auto"/>
                <w:spacing w:val="7"/>
                <w:sz w:val="24"/>
                <w:szCs w:val="24"/>
              </w:rPr>
              <w:t xml:space="preserve"> </w:t>
            </w:r>
            <w:r>
              <w:rPr>
                <w:rFonts w:hint="default" w:ascii="Times New Roman" w:hAnsi="Times New Roman" w:eastAsia="宋体" w:cs="Times New Roman"/>
                <w:i/>
                <w:iCs/>
                <w:color w:val="auto"/>
                <w:sz w:val="24"/>
                <w:szCs w:val="24"/>
              </w:rPr>
              <w:t>daurica</w:t>
            </w:r>
            <w:r>
              <w:rPr>
                <w:rFonts w:hint="default" w:ascii="Times New Roman" w:hAnsi="Times New Roman" w:eastAsia="宋体" w:cs="Times New Roman"/>
                <w:color w:val="auto"/>
                <w:spacing w:val="7"/>
                <w:sz w:val="24"/>
                <w:szCs w:val="24"/>
              </w:rPr>
              <w:t xml:space="preserve"> )及兽类中的小家鼠等。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1"/>
                <w:sz w:val="24"/>
                <w:szCs w:val="24"/>
              </w:rPr>
              <w:t>二</w:t>
            </w:r>
            <w:r>
              <w:rPr>
                <w:rFonts w:hint="default" w:ascii="Times New Roman" w:hAnsi="Times New Roman" w:eastAsia="宋体" w:cs="Times New Roman"/>
                <w:color w:val="auto"/>
                <w:spacing w:val="8"/>
                <w:position w:val="1"/>
                <w:sz w:val="24"/>
                <w:szCs w:val="24"/>
              </w:rPr>
              <w:t>、生态系统功能</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城镇</w:t>
            </w:r>
            <w:r>
              <w:rPr>
                <w:rFonts w:hint="default" w:ascii="Times New Roman" w:hAnsi="Times New Roman" w:eastAsia="宋体" w:cs="Times New Roman"/>
                <w:color w:val="auto"/>
                <w:spacing w:val="15"/>
                <w:sz w:val="24"/>
                <w:szCs w:val="24"/>
              </w:rPr>
              <w:t>是</w:t>
            </w:r>
            <w:r>
              <w:rPr>
                <w:rFonts w:hint="default" w:ascii="Times New Roman" w:hAnsi="Times New Roman" w:eastAsia="宋体" w:cs="Times New Roman"/>
                <w:color w:val="auto"/>
                <w:spacing w:val="9"/>
                <w:sz w:val="24"/>
                <w:szCs w:val="24"/>
              </w:rPr>
              <w:t>一个高度复合的人工化生态系统，与自然生态系统在结构和功能上都存</w:t>
            </w:r>
            <w:r>
              <w:rPr>
                <w:rFonts w:hint="default" w:ascii="Times New Roman" w:hAnsi="Times New Roman" w:eastAsia="宋体" w:cs="Times New Roman"/>
                <w:color w:val="auto"/>
                <w:spacing w:val="18"/>
                <w:sz w:val="24"/>
                <w:szCs w:val="24"/>
              </w:rPr>
              <w:t>在明显</w:t>
            </w:r>
            <w:r>
              <w:rPr>
                <w:rFonts w:hint="default" w:ascii="Times New Roman" w:hAnsi="Times New Roman" w:eastAsia="宋体" w:cs="Times New Roman"/>
                <w:color w:val="auto"/>
                <w:spacing w:val="9"/>
                <w:sz w:val="24"/>
                <w:szCs w:val="24"/>
              </w:rPr>
              <w:t>差别。城镇生态系统的服务功能主要包括三大类：①提供生活和生产物质的</w:t>
            </w:r>
            <w:r>
              <w:rPr>
                <w:rFonts w:hint="default" w:ascii="Times New Roman" w:hAnsi="Times New Roman" w:eastAsia="宋体" w:cs="Times New Roman"/>
                <w:color w:val="auto"/>
                <w:spacing w:val="18"/>
                <w:sz w:val="24"/>
                <w:szCs w:val="24"/>
              </w:rPr>
              <w:t>功能，</w:t>
            </w:r>
            <w:r>
              <w:rPr>
                <w:rFonts w:hint="default" w:ascii="Times New Roman" w:hAnsi="Times New Roman" w:eastAsia="宋体" w:cs="Times New Roman"/>
                <w:color w:val="auto"/>
                <w:spacing w:val="9"/>
                <w:sz w:val="24"/>
                <w:szCs w:val="24"/>
              </w:rPr>
              <w:t>包括食物生产、原材料生产；②与人类日常生活和身心健康相关的生命支持</w:t>
            </w:r>
            <w:r>
              <w:rPr>
                <w:rFonts w:hint="default" w:ascii="Times New Roman" w:hAnsi="Times New Roman" w:eastAsia="宋体" w:cs="Times New Roman"/>
                <w:color w:val="auto"/>
                <w:spacing w:val="18"/>
                <w:sz w:val="24"/>
                <w:szCs w:val="24"/>
              </w:rPr>
              <w:t>的功能</w:t>
            </w:r>
            <w:r>
              <w:rPr>
                <w:rFonts w:hint="default" w:ascii="Times New Roman" w:hAnsi="Times New Roman" w:eastAsia="宋体" w:cs="Times New Roman"/>
                <w:color w:val="auto"/>
                <w:spacing w:val="9"/>
                <w:sz w:val="24"/>
                <w:szCs w:val="24"/>
              </w:rPr>
              <w:t>，包括：气候调节、水源涵养、土壤形成与保护、净化空气、生物多样性保</w:t>
            </w:r>
            <w:r>
              <w:rPr>
                <w:rFonts w:hint="default" w:ascii="Times New Roman" w:hAnsi="Times New Roman" w:eastAsia="宋体" w:cs="Times New Roman"/>
                <w:color w:val="auto"/>
                <w:spacing w:val="18"/>
                <w:sz w:val="24"/>
                <w:szCs w:val="24"/>
              </w:rPr>
              <w:t>护</w:t>
            </w:r>
            <w:r>
              <w:rPr>
                <w:rFonts w:hint="default" w:ascii="Times New Roman" w:hAnsi="Times New Roman" w:eastAsia="宋体" w:cs="Times New Roman"/>
                <w:color w:val="auto"/>
                <w:spacing w:val="10"/>
                <w:sz w:val="24"/>
                <w:szCs w:val="24"/>
              </w:rPr>
              <w:t>、</w:t>
            </w:r>
            <w:r>
              <w:rPr>
                <w:rFonts w:hint="default" w:ascii="Times New Roman" w:hAnsi="Times New Roman" w:eastAsia="宋体" w:cs="Times New Roman"/>
                <w:color w:val="auto"/>
                <w:spacing w:val="9"/>
                <w:sz w:val="24"/>
                <w:szCs w:val="24"/>
              </w:rPr>
              <w:t>减轻噪声；③满足人类精神生活需求的功能，包括娱乐文化。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1.2、</w:t>
            </w:r>
            <w:r>
              <w:rPr>
                <w:rFonts w:hint="default" w:ascii="Times New Roman" w:hAnsi="Times New Roman" w:cs="Times New Roman"/>
                <w:b/>
                <w:bCs/>
                <w:color w:val="auto"/>
                <w:sz w:val="24"/>
                <w:szCs w:val="24"/>
                <w:lang w:val="en-US" w:eastAsia="zh-CN"/>
              </w:rPr>
              <w:t>陆生生态现状调查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1.2.1、</w:t>
            </w:r>
            <w:r>
              <w:rPr>
                <w:rFonts w:hint="default" w:ascii="Times New Roman" w:hAnsi="Times New Roman" w:cs="Times New Roman"/>
                <w:b/>
                <w:bCs/>
                <w:color w:val="auto"/>
                <w:sz w:val="24"/>
                <w:szCs w:val="24"/>
                <w:lang w:val="en-US" w:eastAsia="zh-CN"/>
              </w:rPr>
              <w:t>陆生植物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1.2.1.1、</w:t>
            </w:r>
            <w:r>
              <w:rPr>
                <w:rFonts w:hint="default" w:ascii="Times New Roman" w:hAnsi="Times New Roman" w:cs="Times New Roman"/>
                <w:b/>
                <w:bCs/>
                <w:color w:val="auto"/>
                <w:sz w:val="24"/>
                <w:szCs w:val="24"/>
                <w:lang w:val="en-US" w:eastAsia="zh-CN"/>
              </w:rPr>
              <w:t>植物区系</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3"/>
                <w:sz w:val="24"/>
                <w:szCs w:val="24"/>
                <w:lang w:eastAsia="zh-CN"/>
              </w:rPr>
              <w:t>（</w:t>
            </w:r>
            <w:r>
              <w:rPr>
                <w:rFonts w:hint="eastAsia" w:ascii="Times New Roman" w:hAnsi="Times New Roman" w:eastAsia="宋体" w:cs="Times New Roman"/>
                <w:color w:val="auto"/>
                <w:spacing w:val="23"/>
                <w:sz w:val="24"/>
                <w:szCs w:val="24"/>
                <w:lang w:val="en-US" w:eastAsia="zh-CN"/>
              </w:rPr>
              <w:t>1</w:t>
            </w:r>
            <w:r>
              <w:rPr>
                <w:rFonts w:hint="eastAsia" w:ascii="Times New Roman" w:hAnsi="Times New Roman" w:eastAsia="宋体" w:cs="Times New Roman"/>
                <w:color w:val="auto"/>
                <w:spacing w:val="23"/>
                <w:sz w:val="24"/>
                <w:szCs w:val="24"/>
                <w:lang w:eastAsia="zh-CN"/>
              </w:rPr>
              <w:t>）</w:t>
            </w:r>
            <w:r>
              <w:rPr>
                <w:rFonts w:hint="default" w:ascii="Times New Roman" w:hAnsi="Times New Roman" w:eastAsia="宋体" w:cs="Times New Roman"/>
                <w:color w:val="auto"/>
                <w:spacing w:val="16"/>
                <w:sz w:val="24"/>
                <w:szCs w:val="24"/>
              </w:rPr>
              <w:t>植物区系基本组成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根据《中国种子植物区系地理</w:t>
            </w:r>
            <w:r>
              <w:rPr>
                <w:rFonts w:hint="default" w:ascii="Times New Roman" w:hAnsi="Times New Roman" w:eastAsia="宋体" w:cs="Times New Roman"/>
                <w:color w:val="auto"/>
                <w:spacing w:val="2"/>
                <w:sz w:val="24"/>
                <w:szCs w:val="24"/>
              </w:rPr>
              <w:t>》(吴征镒等，2011年)对中国植物区系的分区，</w:t>
            </w:r>
            <w:r>
              <w:rPr>
                <w:rFonts w:hint="default" w:ascii="Times New Roman" w:hAnsi="Times New Roman" w:eastAsia="宋体" w:cs="Times New Roman"/>
                <w:color w:val="auto"/>
                <w:spacing w:val="8"/>
                <w:sz w:val="24"/>
                <w:szCs w:val="24"/>
              </w:rPr>
              <w:t>评价区植物区系组成上属东亚植物区</w:t>
            </w:r>
            <w:r>
              <w:rPr>
                <w:rFonts w:hint="eastAsia" w:ascii="Times New Roman" w:hAnsi="Times New Roman" w:eastAsia="宋体" w:cs="Times New Roman"/>
                <w:color w:val="auto"/>
                <w:spacing w:val="8"/>
                <w:sz w:val="24"/>
                <w:szCs w:val="24"/>
                <w:lang w:eastAsia="zh-CN"/>
              </w:rPr>
              <w:t>——</w:t>
            </w:r>
            <w:r>
              <w:rPr>
                <w:rFonts w:hint="default" w:ascii="Times New Roman" w:hAnsi="Times New Roman" w:eastAsia="宋体" w:cs="Times New Roman"/>
                <w:color w:val="auto"/>
                <w:spacing w:val="8"/>
                <w:sz w:val="24"/>
                <w:szCs w:val="24"/>
              </w:rPr>
              <w:t>中国</w:t>
            </w:r>
            <w:r>
              <w:rPr>
                <w:rFonts w:hint="eastAsia" w:ascii="Times New Roman" w:hAnsi="Times New Roman" w:eastAsia="宋体" w:cs="Times New Roman"/>
                <w:color w:val="auto"/>
                <w:spacing w:val="8"/>
                <w:sz w:val="24"/>
                <w:szCs w:val="24"/>
                <w:lang w:val="en-US" w:eastAsia="zh-CN"/>
              </w:rPr>
              <w:t>-</w:t>
            </w:r>
            <w:r>
              <w:rPr>
                <w:rFonts w:hint="default" w:ascii="Times New Roman" w:hAnsi="Times New Roman" w:eastAsia="宋体" w:cs="Times New Roman"/>
                <w:color w:val="auto"/>
                <w:spacing w:val="8"/>
                <w:sz w:val="24"/>
                <w:szCs w:val="24"/>
              </w:rPr>
              <w:t>日本森林植物亚区</w:t>
            </w:r>
            <w:r>
              <w:rPr>
                <w:rFonts w:hint="eastAsia" w:ascii="Times New Roman" w:hAnsi="Times New Roman" w:eastAsia="宋体" w:cs="Times New Roman"/>
                <w:color w:val="auto"/>
                <w:spacing w:val="8"/>
                <w:sz w:val="24"/>
                <w:szCs w:val="24"/>
                <w:lang w:eastAsia="zh-CN"/>
              </w:rPr>
              <w:t>——</w:t>
            </w:r>
            <w:r>
              <w:rPr>
                <w:rFonts w:hint="default" w:ascii="Times New Roman" w:hAnsi="Times New Roman" w:eastAsia="宋体" w:cs="Times New Roman"/>
                <w:color w:val="auto"/>
                <w:spacing w:val="8"/>
                <w:sz w:val="24"/>
                <w:szCs w:val="24"/>
              </w:rPr>
              <w:t>华东地区</w:t>
            </w:r>
            <w:r>
              <w:rPr>
                <w:rFonts w:hint="eastAsia" w:ascii="Times New Roman" w:hAnsi="Times New Roman" w:eastAsia="宋体" w:cs="Times New Roman"/>
                <w:color w:val="auto"/>
                <w:spacing w:val="8"/>
                <w:sz w:val="24"/>
                <w:szCs w:val="24"/>
                <w:lang w:eastAsia="zh-CN"/>
              </w:rPr>
              <w:t>——</w:t>
            </w:r>
            <w:r>
              <w:rPr>
                <w:rFonts w:hint="default" w:ascii="Times New Roman" w:hAnsi="Times New Roman" w:eastAsia="宋体" w:cs="Times New Roman"/>
                <w:color w:val="auto"/>
                <w:spacing w:val="8"/>
                <w:sz w:val="24"/>
                <w:szCs w:val="24"/>
              </w:rPr>
              <w:t>赣南</w:t>
            </w:r>
            <w:r>
              <w:rPr>
                <w:rFonts w:hint="eastAsia" w:ascii="Times New Roman" w:hAnsi="Times New Roman" w:eastAsia="宋体" w:cs="Times New Roman"/>
                <w:color w:val="auto"/>
                <w:spacing w:val="7"/>
                <w:sz w:val="24"/>
                <w:szCs w:val="24"/>
                <w:lang w:val="en-US" w:eastAsia="zh-CN"/>
              </w:rPr>
              <w:t>-</w:t>
            </w:r>
            <w:r>
              <w:rPr>
                <w:rFonts w:hint="default" w:ascii="Times New Roman" w:hAnsi="Times New Roman" w:eastAsia="宋体" w:cs="Times New Roman"/>
                <w:color w:val="auto"/>
                <w:spacing w:val="12"/>
                <w:sz w:val="24"/>
                <w:szCs w:val="24"/>
              </w:rPr>
              <w:t>湘</w:t>
            </w:r>
            <w:r>
              <w:rPr>
                <w:rFonts w:hint="default" w:ascii="Times New Roman" w:hAnsi="Times New Roman" w:eastAsia="宋体" w:cs="Times New Roman"/>
                <w:color w:val="auto"/>
                <w:spacing w:val="7"/>
                <w:sz w:val="24"/>
                <w:szCs w:val="24"/>
              </w:rPr>
              <w:t>东丘陵亚地区。</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通过</w:t>
            </w:r>
            <w:r>
              <w:rPr>
                <w:rFonts w:hint="default" w:ascii="Times New Roman" w:hAnsi="Times New Roman" w:eastAsia="宋体" w:cs="Times New Roman"/>
                <w:color w:val="auto"/>
                <w:spacing w:val="15"/>
                <w:sz w:val="24"/>
                <w:szCs w:val="24"/>
              </w:rPr>
              <w:t>对</w:t>
            </w:r>
            <w:r>
              <w:rPr>
                <w:rFonts w:hint="default" w:ascii="Times New Roman" w:hAnsi="Times New Roman" w:eastAsia="宋体" w:cs="Times New Roman"/>
                <w:color w:val="auto"/>
                <w:spacing w:val="9"/>
                <w:sz w:val="24"/>
                <w:szCs w:val="24"/>
              </w:rPr>
              <w:t>评价区现场考察采集的植物标本鉴定，以及对历年积累的植物区系资料</w:t>
            </w:r>
            <w:r>
              <w:rPr>
                <w:rFonts w:hint="default" w:ascii="Times New Roman" w:hAnsi="Times New Roman" w:eastAsia="宋体" w:cs="Times New Roman"/>
                <w:color w:val="auto"/>
                <w:spacing w:val="18"/>
                <w:sz w:val="24"/>
                <w:szCs w:val="24"/>
              </w:rPr>
              <w:t>系统</w:t>
            </w:r>
            <w:r>
              <w:rPr>
                <w:rFonts w:hint="default" w:ascii="Times New Roman" w:hAnsi="Times New Roman" w:eastAsia="宋体" w:cs="Times New Roman"/>
                <w:color w:val="auto"/>
                <w:spacing w:val="17"/>
                <w:sz w:val="24"/>
                <w:szCs w:val="24"/>
              </w:rPr>
              <w:t>的</w:t>
            </w:r>
            <w:r>
              <w:rPr>
                <w:rFonts w:hint="default" w:ascii="Times New Roman" w:hAnsi="Times New Roman" w:eastAsia="宋体" w:cs="Times New Roman"/>
                <w:color w:val="auto"/>
                <w:spacing w:val="9"/>
                <w:sz w:val="24"/>
                <w:szCs w:val="24"/>
              </w:rPr>
              <w:t>整理，蕨类植物分类参照秦仁昌系统，裸子植物分类参照郑万钧系统，被子</w:t>
            </w:r>
            <w:r>
              <w:rPr>
                <w:rFonts w:hint="default" w:ascii="Times New Roman" w:hAnsi="Times New Roman" w:eastAsia="宋体" w:cs="Times New Roman"/>
                <w:color w:val="auto"/>
                <w:spacing w:val="7"/>
                <w:sz w:val="24"/>
                <w:szCs w:val="24"/>
              </w:rPr>
              <w:t xml:space="preserve">植物分类参照哈钦松系统，得出评价区内有维管植物共有 97 科，230 属，347 </w:t>
            </w:r>
            <w:r>
              <w:rPr>
                <w:rFonts w:hint="default" w:ascii="Times New Roman" w:hAnsi="Times New Roman" w:eastAsia="宋体" w:cs="Times New Roman"/>
                <w:color w:val="auto"/>
                <w:spacing w:val="6"/>
                <w:sz w:val="24"/>
                <w:szCs w:val="24"/>
              </w:rPr>
              <w:t>种</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pacing w:val="-6"/>
                <w:sz w:val="24"/>
                <w:szCs w:val="24"/>
              </w:rPr>
              <w:t>其中蕨类植物 11 科 11 属 12 种；裸子植物 5 科 8 属 8 种，被子植物 81 科 211 属 3</w:t>
            </w:r>
            <w:r>
              <w:rPr>
                <w:rFonts w:hint="default" w:ascii="Times New Roman" w:hAnsi="Times New Roman" w:eastAsia="宋体" w:cs="Times New Roman"/>
                <w:color w:val="auto"/>
                <w:spacing w:val="-4"/>
                <w:sz w:val="24"/>
                <w:szCs w:val="24"/>
              </w:rPr>
              <w:t>2</w:t>
            </w:r>
            <w:r>
              <w:rPr>
                <w:rFonts w:hint="default" w:ascii="Times New Roman" w:hAnsi="Times New Roman" w:eastAsia="宋体" w:cs="Times New Roman"/>
                <w:color w:val="auto"/>
                <w:sz w:val="24"/>
                <w:szCs w:val="24"/>
              </w:rPr>
              <w:t>7 种。</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18"/>
                <w:sz w:val="24"/>
                <w:szCs w:val="24"/>
                <w:lang w:eastAsia="zh-CN"/>
              </w:rPr>
              <w:t>（</w:t>
            </w:r>
            <w:r>
              <w:rPr>
                <w:rFonts w:hint="eastAsia" w:ascii="Times New Roman" w:hAnsi="Times New Roman" w:eastAsia="宋体" w:cs="Times New Roman"/>
                <w:color w:val="auto"/>
                <w:spacing w:val="18"/>
                <w:sz w:val="24"/>
                <w:szCs w:val="24"/>
                <w:lang w:val="en-US" w:eastAsia="zh-CN"/>
              </w:rPr>
              <w:t>2</w:t>
            </w:r>
            <w:r>
              <w:rPr>
                <w:rFonts w:hint="eastAsia" w:ascii="Times New Roman" w:hAnsi="Times New Roman" w:eastAsia="宋体" w:cs="Times New Roman"/>
                <w:color w:val="auto"/>
                <w:spacing w:val="18"/>
                <w:sz w:val="24"/>
                <w:szCs w:val="24"/>
                <w:lang w:eastAsia="zh-CN"/>
              </w:rPr>
              <w:t>）</w:t>
            </w:r>
            <w:r>
              <w:rPr>
                <w:rFonts w:hint="default" w:ascii="Times New Roman" w:hAnsi="Times New Roman" w:eastAsia="宋体" w:cs="Times New Roman"/>
                <w:color w:val="auto"/>
                <w:spacing w:val="18"/>
                <w:sz w:val="24"/>
                <w:szCs w:val="24"/>
              </w:rPr>
              <w:t>植物区系特</w:t>
            </w:r>
            <w:r>
              <w:rPr>
                <w:rFonts w:hint="default" w:ascii="Times New Roman" w:hAnsi="Times New Roman" w:eastAsia="宋体" w:cs="Times New Roman"/>
                <w:color w:val="auto"/>
                <w:spacing w:val="17"/>
                <w:sz w:val="24"/>
                <w:szCs w:val="24"/>
              </w:rPr>
              <w:t>征</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4"/>
                <w:sz w:val="24"/>
                <w:szCs w:val="24"/>
              </w:rPr>
              <w:t>1</w:t>
            </w:r>
            <w:r>
              <w:rPr>
                <w:rFonts w:hint="default" w:ascii="Times New Roman" w:hAnsi="Times New Roman" w:eastAsia="宋体" w:cs="Times New Roman"/>
                <w:color w:val="auto"/>
                <w:spacing w:val="10"/>
                <w:sz w:val="24"/>
                <w:szCs w:val="24"/>
              </w:rPr>
              <w:t>)</w:t>
            </w:r>
            <w:r>
              <w:rPr>
                <w:rFonts w:hint="default" w:ascii="Times New Roman" w:hAnsi="Times New Roman" w:eastAsia="宋体" w:cs="Times New Roman"/>
                <w:color w:val="auto"/>
                <w:spacing w:val="7"/>
                <w:sz w:val="24"/>
                <w:szCs w:val="24"/>
              </w:rPr>
              <w:t xml:space="preserve"> 植物种类相对简单，优势科属明显</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 xml:space="preserve">白泥湖、范家坝、三汊港南湖周边1 </w:t>
            </w:r>
            <w:r>
              <w:rPr>
                <w:rFonts w:hint="default" w:ascii="Times New Roman" w:hAnsi="Times New Roman" w:eastAsia="宋体" w:cs="Times New Roman"/>
                <w:color w:val="auto"/>
                <w:sz w:val="24"/>
                <w:szCs w:val="24"/>
              </w:rPr>
              <w:t>km</w:t>
            </w:r>
            <w:r>
              <w:rPr>
                <w:rFonts w:hint="default" w:ascii="Times New Roman" w:hAnsi="Times New Roman" w:eastAsia="宋体" w:cs="Times New Roman"/>
                <w:color w:val="auto"/>
                <w:spacing w:val="5"/>
                <w:sz w:val="24"/>
                <w:szCs w:val="24"/>
              </w:rPr>
              <w:t>以农田生态系统及城镇生态系统为主，</w:t>
            </w:r>
            <w:r>
              <w:rPr>
                <w:rFonts w:hint="default" w:ascii="Times New Roman" w:hAnsi="Times New Roman" w:eastAsia="宋体" w:cs="Times New Roman"/>
                <w:color w:val="auto"/>
                <w:spacing w:val="14"/>
                <w:sz w:val="24"/>
                <w:szCs w:val="24"/>
              </w:rPr>
              <w:t>植</w:t>
            </w:r>
            <w:r>
              <w:rPr>
                <w:rFonts w:hint="default" w:ascii="Times New Roman" w:hAnsi="Times New Roman" w:eastAsia="宋体" w:cs="Times New Roman"/>
                <w:color w:val="auto"/>
                <w:spacing w:val="9"/>
                <w:sz w:val="24"/>
                <w:szCs w:val="24"/>
              </w:rPr>
              <w:t>被类型简单，单科优势明显，以禾本科、菊科等科为主。</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pacing w:val="14"/>
                <w:sz w:val="24"/>
                <w:szCs w:val="24"/>
              </w:rPr>
            </w:pPr>
            <w:r>
              <w:rPr>
                <w:rFonts w:hint="default" w:ascii="Times New Roman" w:hAnsi="Times New Roman" w:eastAsia="宋体" w:cs="Times New Roman"/>
                <w:color w:val="auto"/>
                <w:spacing w:val="14"/>
                <w:sz w:val="24"/>
                <w:szCs w:val="24"/>
              </w:rPr>
              <w:t>2) 国家重点保护植物较为匮乏</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pacing w:val="14"/>
                <w:sz w:val="24"/>
                <w:szCs w:val="24"/>
              </w:rPr>
            </w:pPr>
            <w:r>
              <w:rPr>
                <w:rFonts w:hint="default" w:ascii="Times New Roman" w:hAnsi="Times New Roman" w:eastAsia="宋体" w:cs="Times New Roman"/>
                <w:color w:val="auto"/>
                <w:spacing w:val="14"/>
                <w:sz w:val="24"/>
                <w:szCs w:val="24"/>
              </w:rPr>
              <w:t>评级区人为活动频繁，干扰影响较大，森林保存较少，特别是原生性常绿针叶叶林几乎不再留存。调查未发现国家保护野生植物、湖南省保护野生植物种类，无古树分布。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1.2.1.2、</w:t>
            </w:r>
            <w:r>
              <w:rPr>
                <w:rFonts w:hint="default" w:ascii="Times New Roman" w:hAnsi="Times New Roman" w:cs="Times New Roman"/>
                <w:b/>
                <w:bCs/>
                <w:color w:val="auto"/>
                <w:sz w:val="24"/>
                <w:szCs w:val="24"/>
                <w:lang w:val="en-US" w:eastAsia="zh-CN"/>
              </w:rPr>
              <w:t>植被现状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20"/>
                <w:sz w:val="24"/>
                <w:szCs w:val="24"/>
                <w:lang w:eastAsia="zh-CN"/>
              </w:rPr>
              <w:t>（</w:t>
            </w:r>
            <w:r>
              <w:rPr>
                <w:rFonts w:hint="eastAsia" w:ascii="Times New Roman" w:hAnsi="Times New Roman" w:eastAsia="宋体" w:cs="Times New Roman"/>
                <w:color w:val="auto"/>
                <w:spacing w:val="20"/>
                <w:sz w:val="24"/>
                <w:szCs w:val="24"/>
                <w:lang w:val="en-US" w:eastAsia="zh-CN"/>
              </w:rPr>
              <w:t>1</w:t>
            </w:r>
            <w:r>
              <w:rPr>
                <w:rFonts w:hint="eastAsia" w:ascii="Times New Roman" w:hAnsi="Times New Roman" w:eastAsia="宋体" w:cs="Times New Roman"/>
                <w:color w:val="auto"/>
                <w:spacing w:val="20"/>
                <w:sz w:val="24"/>
                <w:szCs w:val="24"/>
                <w:lang w:eastAsia="zh-CN"/>
              </w:rPr>
              <w:t>）</w:t>
            </w:r>
            <w:r>
              <w:rPr>
                <w:rFonts w:hint="default" w:ascii="Times New Roman" w:hAnsi="Times New Roman" w:eastAsia="宋体" w:cs="Times New Roman"/>
                <w:color w:val="auto"/>
                <w:spacing w:val="20"/>
                <w:sz w:val="24"/>
                <w:szCs w:val="24"/>
              </w:rPr>
              <w:t>植被区</w:t>
            </w:r>
            <w:r>
              <w:rPr>
                <w:rFonts w:hint="default" w:ascii="Times New Roman" w:hAnsi="Times New Roman" w:eastAsia="宋体" w:cs="Times New Roman"/>
                <w:color w:val="auto"/>
                <w:spacing w:val="19"/>
                <w:sz w:val="24"/>
                <w:szCs w:val="24"/>
              </w:rPr>
              <w:t>划</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根据《湖南植被》的分区系统，评价范围属于亚热带常绿阔叶林区域</w:t>
            </w:r>
            <w:r>
              <w:rPr>
                <w:rFonts w:hint="eastAsia" w:ascii="Times New Roman" w:hAnsi="Times New Roman" w:eastAsia="宋体" w:cs="Times New Roman"/>
                <w:color w:val="auto"/>
                <w:spacing w:val="8"/>
                <w:sz w:val="24"/>
                <w:szCs w:val="24"/>
                <w:lang w:eastAsia="zh-CN"/>
              </w:rPr>
              <w:t>——</w:t>
            </w:r>
            <w:r>
              <w:rPr>
                <w:rFonts w:hint="default" w:ascii="Times New Roman" w:hAnsi="Times New Roman" w:eastAsia="宋体" w:cs="Times New Roman"/>
                <w:color w:val="auto"/>
                <w:spacing w:val="8"/>
                <w:sz w:val="24"/>
                <w:szCs w:val="24"/>
              </w:rPr>
              <w:t>中亚</w:t>
            </w:r>
            <w:r>
              <w:rPr>
                <w:rFonts w:hint="default" w:ascii="Times New Roman" w:hAnsi="Times New Roman" w:eastAsia="宋体" w:cs="Times New Roman"/>
                <w:color w:val="auto"/>
                <w:spacing w:val="1"/>
                <w:sz w:val="24"/>
                <w:szCs w:val="24"/>
              </w:rPr>
              <w:t>热</w:t>
            </w:r>
            <w:r>
              <w:rPr>
                <w:rFonts w:hint="default" w:ascii="Times New Roman" w:hAnsi="Times New Roman" w:eastAsia="宋体" w:cs="Times New Roman"/>
                <w:color w:val="auto"/>
                <w:spacing w:val="18"/>
                <w:sz w:val="24"/>
                <w:szCs w:val="24"/>
              </w:rPr>
              <w:t>带常</w:t>
            </w:r>
            <w:r>
              <w:rPr>
                <w:rFonts w:hint="default" w:ascii="Times New Roman" w:hAnsi="Times New Roman" w:eastAsia="宋体" w:cs="Times New Roman"/>
                <w:color w:val="auto"/>
                <w:spacing w:val="14"/>
                <w:sz w:val="24"/>
                <w:szCs w:val="24"/>
              </w:rPr>
              <w:t>绿</w:t>
            </w:r>
            <w:r>
              <w:rPr>
                <w:rFonts w:hint="default" w:ascii="Times New Roman" w:hAnsi="Times New Roman" w:eastAsia="宋体" w:cs="Times New Roman"/>
                <w:color w:val="auto"/>
                <w:spacing w:val="9"/>
                <w:sz w:val="24"/>
                <w:szCs w:val="24"/>
              </w:rPr>
              <w:t>阔叶林地带</w:t>
            </w:r>
            <w:r>
              <w:rPr>
                <w:rFonts w:hint="eastAsia" w:ascii="Times New Roman" w:hAnsi="Times New Roman" w:eastAsia="宋体" w:cs="Times New Roman"/>
                <w:color w:val="auto"/>
                <w:spacing w:val="9"/>
                <w:sz w:val="24"/>
                <w:szCs w:val="24"/>
                <w:lang w:eastAsia="zh-CN"/>
              </w:rPr>
              <w:t>——</w:t>
            </w:r>
            <w:r>
              <w:rPr>
                <w:rFonts w:hint="default" w:ascii="Times New Roman" w:hAnsi="Times New Roman" w:eastAsia="宋体" w:cs="Times New Roman"/>
                <w:color w:val="auto"/>
                <w:spacing w:val="9"/>
                <w:sz w:val="24"/>
                <w:szCs w:val="24"/>
              </w:rPr>
              <w:t>湘北滨湖平原栲栎林、旱柳林、桑树林、湖漫滩草甸、沼泽、</w:t>
            </w:r>
            <w:r>
              <w:rPr>
                <w:rFonts w:hint="default" w:ascii="Times New Roman" w:hAnsi="Times New Roman" w:eastAsia="宋体" w:cs="Times New Roman"/>
                <w:color w:val="auto"/>
                <w:spacing w:val="10"/>
                <w:sz w:val="24"/>
                <w:szCs w:val="24"/>
              </w:rPr>
              <w:t>水</w:t>
            </w:r>
            <w:r>
              <w:rPr>
                <w:rFonts w:hint="default" w:ascii="Times New Roman" w:hAnsi="Times New Roman" w:eastAsia="宋体" w:cs="Times New Roman"/>
                <w:color w:val="auto"/>
                <w:spacing w:val="9"/>
                <w:sz w:val="24"/>
                <w:szCs w:val="24"/>
              </w:rPr>
              <w:t>生植被及农田植被区</w:t>
            </w:r>
            <w:r>
              <w:rPr>
                <w:rFonts w:hint="eastAsia" w:ascii="Times New Roman" w:hAnsi="Times New Roman" w:eastAsia="宋体" w:cs="Times New Roman"/>
                <w:color w:val="auto"/>
                <w:spacing w:val="9"/>
                <w:sz w:val="24"/>
                <w:szCs w:val="24"/>
                <w:lang w:eastAsia="zh-CN"/>
              </w:rPr>
              <w:t>——</w:t>
            </w:r>
            <w:r>
              <w:rPr>
                <w:rFonts w:hint="default" w:ascii="Times New Roman" w:hAnsi="Times New Roman" w:eastAsia="宋体" w:cs="Times New Roman"/>
                <w:color w:val="auto"/>
                <w:spacing w:val="9"/>
                <w:sz w:val="24"/>
                <w:szCs w:val="24"/>
              </w:rPr>
              <w:t>洞庭湖平原及湖泊植被小区。</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18"/>
                <w:sz w:val="24"/>
                <w:szCs w:val="24"/>
                <w:lang w:eastAsia="zh-CN"/>
              </w:rPr>
              <w:t>（</w:t>
            </w:r>
            <w:r>
              <w:rPr>
                <w:rFonts w:hint="eastAsia" w:ascii="Times New Roman" w:hAnsi="Times New Roman" w:eastAsia="宋体" w:cs="Times New Roman"/>
                <w:color w:val="auto"/>
                <w:spacing w:val="18"/>
                <w:sz w:val="24"/>
                <w:szCs w:val="24"/>
                <w:lang w:val="en-US" w:eastAsia="zh-CN"/>
              </w:rPr>
              <w:t>2</w:t>
            </w:r>
            <w:r>
              <w:rPr>
                <w:rFonts w:hint="eastAsia" w:ascii="Times New Roman" w:hAnsi="Times New Roman" w:eastAsia="宋体" w:cs="Times New Roman"/>
                <w:color w:val="auto"/>
                <w:spacing w:val="18"/>
                <w:sz w:val="24"/>
                <w:szCs w:val="24"/>
                <w:lang w:eastAsia="zh-CN"/>
              </w:rPr>
              <w:t>）</w:t>
            </w:r>
            <w:r>
              <w:rPr>
                <w:rFonts w:hint="default" w:ascii="Times New Roman" w:hAnsi="Times New Roman" w:eastAsia="宋体" w:cs="Times New Roman"/>
                <w:color w:val="auto"/>
                <w:spacing w:val="18"/>
                <w:sz w:val="24"/>
                <w:szCs w:val="24"/>
              </w:rPr>
              <w:t>主要植被类</w:t>
            </w:r>
            <w:r>
              <w:rPr>
                <w:rFonts w:hint="default" w:ascii="Times New Roman" w:hAnsi="Times New Roman" w:eastAsia="宋体" w:cs="Times New Roman"/>
                <w:color w:val="auto"/>
                <w:spacing w:val="17"/>
                <w:sz w:val="24"/>
                <w:szCs w:val="24"/>
              </w:rPr>
              <w:t>型</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4"/>
                <w:sz w:val="24"/>
                <w:szCs w:val="24"/>
              </w:rPr>
              <w:t>经</w:t>
            </w:r>
            <w:r>
              <w:rPr>
                <w:rFonts w:hint="default" w:ascii="Times New Roman" w:hAnsi="Times New Roman" w:eastAsia="宋体" w:cs="Times New Roman"/>
                <w:color w:val="auto"/>
                <w:spacing w:val="10"/>
                <w:sz w:val="24"/>
                <w:szCs w:val="24"/>
              </w:rPr>
              <w:t>过实地考察与参考相关林业调查资料，根据群落的特征，将各种植物群落，</w:t>
            </w:r>
            <w:r>
              <w:rPr>
                <w:rFonts w:hint="default" w:ascii="Times New Roman" w:hAnsi="Times New Roman" w:eastAsia="宋体" w:cs="Times New Roman"/>
                <w:color w:val="auto"/>
                <w:spacing w:val="18"/>
                <w:sz w:val="24"/>
                <w:szCs w:val="24"/>
              </w:rPr>
              <w:t>通过</w:t>
            </w:r>
            <w:r>
              <w:rPr>
                <w:rFonts w:hint="default" w:ascii="Times New Roman" w:hAnsi="Times New Roman" w:eastAsia="宋体" w:cs="Times New Roman"/>
                <w:color w:val="auto"/>
                <w:spacing w:val="17"/>
                <w:sz w:val="24"/>
                <w:szCs w:val="24"/>
              </w:rPr>
              <w:t>比</w:t>
            </w:r>
            <w:r>
              <w:rPr>
                <w:rFonts w:hint="default" w:ascii="Times New Roman" w:hAnsi="Times New Roman" w:eastAsia="宋体" w:cs="Times New Roman"/>
                <w:color w:val="auto"/>
                <w:spacing w:val="9"/>
                <w:sz w:val="24"/>
                <w:szCs w:val="24"/>
              </w:rPr>
              <w:t>较它们之间的异同点，根据《中国植被》分类系统，参考湖南省植被类型及</w:t>
            </w:r>
            <w:r>
              <w:rPr>
                <w:rFonts w:hint="default" w:ascii="Times New Roman" w:hAnsi="Times New Roman" w:eastAsia="宋体" w:cs="Times New Roman"/>
                <w:color w:val="auto"/>
                <w:spacing w:val="5"/>
                <w:sz w:val="24"/>
                <w:szCs w:val="24"/>
              </w:rPr>
              <w:t>植被图等资料，结合评价区实际情况将该处植被划分为3个植被型组、7个植被型、</w:t>
            </w:r>
            <w:r>
              <w:rPr>
                <w:rFonts w:hint="default" w:ascii="Times New Roman" w:hAnsi="Times New Roman" w:eastAsia="宋体" w:cs="Times New Roman"/>
                <w:color w:val="auto"/>
                <w:spacing w:val="6"/>
                <w:sz w:val="24"/>
                <w:szCs w:val="24"/>
              </w:rPr>
              <w:t>12个群系</w:t>
            </w:r>
            <w:r>
              <w:rPr>
                <w:rFonts w:hint="default" w:ascii="Times New Roman" w:hAnsi="Times New Roman" w:eastAsia="宋体" w:cs="Times New Roman"/>
                <w:color w:val="auto"/>
                <w:spacing w:val="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44"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pacing w:val="16"/>
                <w:sz w:val="24"/>
                <w:szCs w:val="24"/>
                <w:lang w:eastAsia="zh-CN"/>
              </w:rPr>
              <w:t>（</w:t>
            </w:r>
            <w:r>
              <w:rPr>
                <w:rFonts w:hint="eastAsia" w:ascii="Times New Roman" w:hAnsi="Times New Roman" w:eastAsia="宋体" w:cs="Times New Roman"/>
                <w:color w:val="auto"/>
                <w:spacing w:val="16"/>
                <w:sz w:val="24"/>
                <w:szCs w:val="24"/>
                <w:lang w:val="en-US" w:eastAsia="zh-CN"/>
              </w:rPr>
              <w:t>3</w:t>
            </w:r>
            <w:r>
              <w:rPr>
                <w:rFonts w:hint="eastAsia" w:ascii="Times New Roman" w:hAnsi="Times New Roman" w:eastAsia="宋体" w:cs="Times New Roman"/>
                <w:color w:val="auto"/>
                <w:spacing w:val="16"/>
                <w:sz w:val="24"/>
                <w:szCs w:val="24"/>
                <w:lang w:eastAsia="zh-CN"/>
              </w:rPr>
              <w:t>）</w:t>
            </w:r>
            <w:r>
              <w:rPr>
                <w:rFonts w:hint="default" w:ascii="Times New Roman" w:hAnsi="Times New Roman" w:eastAsia="宋体" w:cs="Times New Roman"/>
                <w:color w:val="auto"/>
                <w:spacing w:val="16"/>
                <w:sz w:val="24"/>
                <w:szCs w:val="24"/>
              </w:rPr>
              <w:t>主要植被类型描述</w:t>
            </w:r>
            <w:r>
              <w:rPr>
                <w:rFonts w:hint="default" w:ascii="Times New Roman" w:hAnsi="Times New Roman" w:eastAsia="宋体" w:cs="Times New Roman"/>
                <w:color w:val="auto"/>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70"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pacing w:val="-3"/>
                <w:sz w:val="24"/>
                <w:szCs w:val="24"/>
              </w:rPr>
              <w:t>自</w:t>
            </w:r>
            <w:r>
              <w:rPr>
                <w:rFonts w:hint="default" w:ascii="Times New Roman" w:hAnsi="Times New Roman" w:eastAsia="宋体" w:cs="Times New Roman"/>
                <w:b/>
                <w:bCs/>
                <w:color w:val="auto"/>
                <w:spacing w:val="-2"/>
                <w:sz w:val="24"/>
                <w:szCs w:val="24"/>
              </w:rPr>
              <w:t>然植被</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4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阔叶林</w:t>
            </w:r>
            <w:r>
              <w:rPr>
                <w:rFonts w:hint="default" w:ascii="Times New Roman" w:hAnsi="Times New Roman" w:eastAsia="宋体" w:cs="Times New Roman"/>
                <w:color w:val="auto"/>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I、常绿阔叶林</w:t>
            </w:r>
          </w:p>
          <w:p>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position w:val="2"/>
                <w:sz w:val="24"/>
                <w:szCs w:val="24"/>
              </w:rPr>
              <w:t>1</w:t>
            </w:r>
            <w:r>
              <w:rPr>
                <w:rFonts w:hint="default" w:ascii="Times New Roman" w:hAnsi="Times New Roman" w:eastAsia="宋体" w:cs="Times New Roman"/>
                <w:color w:val="auto"/>
                <w:position w:val="2"/>
                <w:sz w:val="24"/>
                <w:szCs w:val="24"/>
              </w:rPr>
              <w:t>、典型常绿阔叶林</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position w:val="3"/>
                <w:sz w:val="24"/>
                <w:szCs w:val="24"/>
              </w:rPr>
              <w:t>1</w:t>
            </w:r>
            <w:r>
              <w:rPr>
                <w:rFonts w:hint="default" w:ascii="Times New Roman" w:hAnsi="Times New Roman" w:eastAsia="宋体" w:cs="Times New Roman"/>
                <w:color w:val="auto"/>
                <w:spacing w:val="10"/>
                <w:position w:val="3"/>
                <w:sz w:val="24"/>
                <w:szCs w:val="24"/>
              </w:rPr>
              <w:t>) 樟群系</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10"/>
                <w:position w:val="3"/>
                <w:sz w:val="24"/>
                <w:szCs w:val="24"/>
              </w:rPr>
              <w:t>.</w:t>
            </w:r>
            <w:r>
              <w:rPr>
                <w:rFonts w:hint="default" w:ascii="Times New Roman" w:hAnsi="Times New Roman" w:eastAsia="宋体" w:cs="Times New Roman"/>
                <w:i/>
                <w:iCs/>
                <w:color w:val="auto"/>
                <w:position w:val="3"/>
                <w:sz w:val="24"/>
                <w:szCs w:val="24"/>
              </w:rPr>
              <w:t>Cinnamomumcamphora</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6"/>
                <w:sz w:val="24"/>
                <w:szCs w:val="24"/>
              </w:rPr>
              <w:t>樟树是江南民间及寺庙喜种的传统风水树和景观树，古时即有“前樟后朴</w:t>
            </w:r>
            <w:r>
              <w:rPr>
                <w:rFonts w:hint="default" w:ascii="Times New Roman" w:hAnsi="Times New Roman" w:eastAsia="宋体" w:cs="Times New Roman"/>
                <w:color w:val="auto"/>
                <w:spacing w:val="15"/>
                <w:sz w:val="24"/>
                <w:szCs w:val="24"/>
              </w:rPr>
              <w:t>”</w:t>
            </w:r>
            <w:r>
              <w:rPr>
                <w:rFonts w:hint="default" w:ascii="Times New Roman" w:hAnsi="Times New Roman" w:eastAsia="宋体" w:cs="Times New Roman"/>
                <w:color w:val="auto"/>
                <w:spacing w:val="7"/>
                <w:sz w:val="24"/>
                <w:szCs w:val="24"/>
              </w:rPr>
              <w:t>之种植习俗；同时，樟树木材为造船、橱箱和建筑等用材。樟树是当地的常见</w:t>
            </w:r>
            <w:r>
              <w:rPr>
                <w:rFonts w:hint="default" w:ascii="Times New Roman" w:hAnsi="Times New Roman" w:eastAsia="宋体" w:cs="Times New Roman"/>
                <w:color w:val="auto"/>
                <w:spacing w:val="4"/>
                <w:sz w:val="24"/>
                <w:szCs w:val="24"/>
              </w:rPr>
              <w:t>植</w:t>
            </w:r>
            <w:r>
              <w:rPr>
                <w:rFonts w:hint="default" w:ascii="Times New Roman" w:hAnsi="Times New Roman" w:eastAsia="宋体" w:cs="Times New Roman"/>
                <w:color w:val="auto"/>
                <w:spacing w:val="7"/>
                <w:sz w:val="24"/>
                <w:szCs w:val="24"/>
              </w:rPr>
              <w:t>被，为自然植被，群落外貌深绿色、整齐，群落结构及种类组成较简单。樟林</w:t>
            </w:r>
            <w:r>
              <w:rPr>
                <w:rFonts w:hint="default" w:ascii="Times New Roman" w:hAnsi="Times New Roman" w:eastAsia="宋体" w:cs="Times New Roman"/>
                <w:color w:val="auto"/>
                <w:spacing w:val="4"/>
                <w:sz w:val="24"/>
                <w:szCs w:val="24"/>
              </w:rPr>
              <w:t>主</w:t>
            </w:r>
            <w:r>
              <w:rPr>
                <w:rFonts w:hint="default" w:ascii="Times New Roman" w:hAnsi="Times New Roman" w:eastAsia="宋体" w:cs="Times New Roman"/>
                <w:color w:val="auto"/>
                <w:spacing w:val="8"/>
                <w:sz w:val="24"/>
                <w:szCs w:val="24"/>
              </w:rPr>
              <w:t>要分布于居民区附近</w:t>
            </w:r>
            <w:r>
              <w:rPr>
                <w:rFonts w:hint="default" w:ascii="Times New Roman" w:hAnsi="Times New Roman" w:eastAsia="宋体" w:cs="Times New Roman"/>
                <w:color w:val="auto"/>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
                <w:sz w:val="24"/>
                <w:szCs w:val="24"/>
              </w:rPr>
              <w:t>II、落叶阔叶林</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position w:val="2"/>
                <w:sz w:val="24"/>
                <w:szCs w:val="24"/>
              </w:rPr>
              <w:t>2</w:t>
            </w:r>
            <w:r>
              <w:rPr>
                <w:rFonts w:hint="default" w:ascii="Times New Roman" w:hAnsi="Times New Roman" w:eastAsia="宋体" w:cs="Times New Roman"/>
                <w:color w:val="auto"/>
                <w:spacing w:val="2"/>
                <w:position w:val="2"/>
                <w:sz w:val="24"/>
                <w:szCs w:val="24"/>
              </w:rPr>
              <w:t>、典型落叶阔叶林</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position w:val="1"/>
                <w:sz w:val="24"/>
                <w:szCs w:val="24"/>
              </w:rPr>
              <w:t>2) 楝群系</w:t>
            </w:r>
            <w:r>
              <w:rPr>
                <w:rFonts w:hint="default" w:ascii="Times New Roman" w:hAnsi="Times New Roman" w:eastAsia="宋体" w:cs="Times New Roman"/>
                <w:color w:val="auto"/>
                <w:position w:val="1"/>
                <w:sz w:val="24"/>
                <w:szCs w:val="24"/>
              </w:rPr>
              <w:t>From</w:t>
            </w:r>
            <w:r>
              <w:rPr>
                <w:rFonts w:hint="default" w:ascii="Times New Roman" w:hAnsi="Times New Roman" w:eastAsia="宋体" w:cs="Times New Roman"/>
                <w:color w:val="auto"/>
                <w:spacing w:val="9"/>
                <w:position w:val="1"/>
                <w:sz w:val="24"/>
                <w:szCs w:val="24"/>
              </w:rPr>
              <w:t>.</w:t>
            </w:r>
            <w:r>
              <w:rPr>
                <w:rFonts w:hint="default" w:ascii="Times New Roman" w:hAnsi="Times New Roman" w:eastAsia="宋体" w:cs="Times New Roman"/>
                <w:i/>
                <w:iCs/>
                <w:color w:val="auto"/>
                <w:position w:val="1"/>
                <w:sz w:val="24"/>
                <w:szCs w:val="24"/>
              </w:rPr>
              <w:t>Meliaazedarach</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楝是平原</w:t>
            </w:r>
            <w:r>
              <w:rPr>
                <w:rFonts w:hint="default" w:ascii="Times New Roman" w:hAnsi="Times New Roman" w:eastAsia="宋体" w:cs="Times New Roman"/>
                <w:color w:val="auto"/>
                <w:spacing w:val="6"/>
                <w:sz w:val="24"/>
                <w:szCs w:val="24"/>
              </w:rPr>
              <w:t>及低海拔丘陵区的良好造林树种，在村边路旁种植更为适宜。是</w:t>
            </w:r>
            <w:r>
              <w:rPr>
                <w:rFonts w:hint="default" w:ascii="Times New Roman" w:hAnsi="Times New Roman" w:eastAsia="宋体" w:cs="Times New Roman"/>
                <w:color w:val="auto"/>
                <w:spacing w:val="15"/>
                <w:sz w:val="24"/>
                <w:szCs w:val="24"/>
              </w:rPr>
              <w:t>家</w:t>
            </w:r>
            <w:r>
              <w:rPr>
                <w:rFonts w:hint="default" w:ascii="Times New Roman" w:hAnsi="Times New Roman" w:eastAsia="宋体" w:cs="Times New Roman"/>
                <w:color w:val="auto"/>
                <w:spacing w:val="9"/>
                <w:sz w:val="24"/>
                <w:szCs w:val="24"/>
              </w:rPr>
              <w:t>具、建筑、农具、舟车、乐器等良好用材。楝树耐烟尘，抗二氧化硫能力强，</w:t>
            </w:r>
            <w:r>
              <w:rPr>
                <w:rFonts w:hint="default" w:ascii="Times New Roman" w:hAnsi="Times New Roman" w:eastAsia="宋体" w:cs="Times New Roman"/>
                <w:color w:val="auto"/>
                <w:spacing w:val="7"/>
                <w:sz w:val="24"/>
                <w:szCs w:val="24"/>
              </w:rPr>
              <w:t>并能杀菌，适宜作庭荫树和行道树，是良好的城市及矿区绿化树种。樟树是当</w:t>
            </w:r>
            <w:r>
              <w:rPr>
                <w:rFonts w:hint="default" w:ascii="Times New Roman" w:hAnsi="Times New Roman" w:eastAsia="宋体" w:cs="Times New Roman"/>
                <w:color w:val="auto"/>
                <w:spacing w:val="2"/>
                <w:sz w:val="24"/>
                <w:szCs w:val="24"/>
              </w:rPr>
              <w:t>地</w:t>
            </w:r>
            <w:r>
              <w:rPr>
                <w:rFonts w:hint="default" w:ascii="Times New Roman" w:hAnsi="Times New Roman" w:eastAsia="宋体" w:cs="Times New Roman"/>
                <w:color w:val="auto"/>
                <w:spacing w:val="4"/>
                <w:sz w:val="24"/>
                <w:szCs w:val="24"/>
              </w:rPr>
              <w:t>的常见植被，为自然</w:t>
            </w:r>
            <w:r>
              <w:rPr>
                <w:rFonts w:hint="default" w:ascii="Times New Roman" w:hAnsi="Times New Roman" w:eastAsia="宋体" w:cs="Times New Roman"/>
                <w:color w:val="auto"/>
                <w:spacing w:val="3"/>
                <w:sz w:val="24"/>
                <w:szCs w:val="24"/>
              </w:rPr>
              <w:t>植</w:t>
            </w:r>
            <w:r>
              <w:rPr>
                <w:rFonts w:hint="default" w:ascii="Times New Roman" w:hAnsi="Times New Roman" w:eastAsia="宋体" w:cs="Times New Roman"/>
                <w:color w:val="auto"/>
                <w:spacing w:val="2"/>
                <w:sz w:val="24"/>
                <w:szCs w:val="24"/>
              </w:rPr>
              <w:t>被，群落外貌深绿色、整齐，群落结构及种类组成较简单。</w:t>
            </w:r>
          </w:p>
          <w:p>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5"/>
                <w:sz w:val="24"/>
                <w:szCs w:val="24"/>
              </w:rPr>
              <w:t>楝</w:t>
            </w:r>
            <w:r>
              <w:rPr>
                <w:rFonts w:hint="default" w:ascii="Times New Roman" w:hAnsi="Times New Roman" w:eastAsia="宋体" w:cs="Times New Roman"/>
                <w:color w:val="auto"/>
                <w:spacing w:val="9"/>
                <w:sz w:val="24"/>
                <w:szCs w:val="24"/>
              </w:rPr>
              <w:t>林主要分布于三汊港湖周边、范家坝周边及居民区附近。</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III</w:t>
            </w:r>
            <w:r>
              <w:rPr>
                <w:rFonts w:hint="eastAsia" w:ascii="Times New Roman" w:hAnsi="Times New Roman" w:eastAsia="宋体" w:cs="Times New Roman"/>
                <w:color w:val="auto"/>
                <w:spacing w:val="9"/>
                <w:position w:val="1"/>
                <w:sz w:val="24"/>
                <w:szCs w:val="24"/>
                <w:lang w:eastAsia="zh-CN"/>
              </w:rPr>
              <w:t>、</w:t>
            </w:r>
            <w:r>
              <w:rPr>
                <w:rFonts w:hint="default" w:ascii="Times New Roman" w:hAnsi="Times New Roman" w:eastAsia="宋体" w:cs="Times New Roman"/>
                <w:color w:val="auto"/>
                <w:spacing w:val="9"/>
                <w:position w:val="1"/>
                <w:sz w:val="24"/>
                <w:szCs w:val="24"/>
              </w:rPr>
              <w:t>竹林</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3</w:t>
            </w:r>
            <w:r>
              <w:rPr>
                <w:rFonts w:hint="eastAsia" w:ascii="Times New Roman" w:hAnsi="Times New Roman" w:eastAsia="宋体" w:cs="Times New Roman"/>
                <w:color w:val="auto"/>
                <w:spacing w:val="9"/>
                <w:position w:val="1"/>
                <w:sz w:val="24"/>
                <w:szCs w:val="24"/>
                <w:lang w:eastAsia="zh-CN"/>
              </w:rPr>
              <w:t>、</w:t>
            </w:r>
            <w:r>
              <w:rPr>
                <w:rFonts w:hint="default" w:ascii="Times New Roman" w:hAnsi="Times New Roman" w:eastAsia="宋体" w:cs="Times New Roman"/>
                <w:color w:val="auto"/>
                <w:spacing w:val="9"/>
                <w:position w:val="1"/>
                <w:sz w:val="24"/>
                <w:szCs w:val="24"/>
              </w:rPr>
              <w:t>暖性竹林</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3) 淡竹群系 From.Phyllostachysglauca</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淡竹耐寒耐旱性较强，常见于平原地、低山坡地及河滩上。竹竿坚韧，生长旺盛，产黄河流域至长江流域各地，是常见的栽培竹种之一。评价区内，淡竹分布广泛。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二、灌丛和灌草丛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IV</w:t>
            </w:r>
            <w:r>
              <w:rPr>
                <w:rFonts w:hint="eastAsia" w:ascii="Times New Roman" w:hAnsi="Times New Roman" w:eastAsia="宋体" w:cs="Times New Roman"/>
                <w:color w:val="auto"/>
                <w:spacing w:val="9"/>
                <w:position w:val="1"/>
                <w:sz w:val="24"/>
                <w:szCs w:val="24"/>
                <w:lang w:eastAsia="zh-CN"/>
              </w:rPr>
              <w:t>、</w:t>
            </w:r>
            <w:r>
              <w:rPr>
                <w:rFonts w:hint="default" w:ascii="Times New Roman" w:hAnsi="Times New Roman" w:eastAsia="宋体" w:cs="Times New Roman"/>
                <w:color w:val="auto"/>
                <w:spacing w:val="9"/>
                <w:position w:val="1"/>
                <w:sz w:val="24"/>
                <w:szCs w:val="24"/>
              </w:rPr>
              <w:t>灌丛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4、典型落叶阔叶灌丛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4) 构树群系From.Broussonetia papyrifera</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position w:val="1"/>
                <w:sz w:val="24"/>
                <w:szCs w:val="24"/>
              </w:rPr>
              <w:t>构树具有速生、适应性强、分布广、易繁殖、热量高、轮伐期短的特点。其根系浅，侧根分布很广，生长快，萌芽力和分蘖力强，耐修剪。抗污染性强。在</w:t>
            </w:r>
            <w:r>
              <w:rPr>
                <w:rFonts w:hint="default" w:ascii="Times New Roman" w:hAnsi="Times New Roman" w:eastAsia="宋体" w:cs="Times New Roman"/>
                <w:color w:val="auto"/>
                <w:spacing w:val="12"/>
                <w:sz w:val="24"/>
                <w:szCs w:val="24"/>
              </w:rPr>
              <w:t>中</w:t>
            </w:r>
            <w:r>
              <w:rPr>
                <w:rFonts w:hint="default" w:ascii="Times New Roman" w:hAnsi="Times New Roman" w:eastAsia="宋体" w:cs="Times New Roman"/>
                <w:color w:val="auto"/>
                <w:spacing w:val="9"/>
                <w:sz w:val="24"/>
                <w:szCs w:val="24"/>
              </w:rPr>
              <w:t>国</w:t>
            </w:r>
            <w:r>
              <w:rPr>
                <w:rFonts w:hint="default" w:ascii="Times New Roman" w:hAnsi="Times New Roman" w:eastAsia="宋体" w:cs="Times New Roman"/>
                <w:color w:val="auto"/>
                <w:spacing w:val="6"/>
                <w:sz w:val="24"/>
                <w:szCs w:val="24"/>
              </w:rPr>
              <w:t>的温带、热带均有分布，不论平原、丘陵或山地都能生长，其叶是很好的猪</w:t>
            </w:r>
            <w:r>
              <w:rPr>
                <w:rFonts w:hint="default" w:ascii="Times New Roman" w:hAnsi="Times New Roman" w:eastAsia="宋体" w:cs="Times New Roman"/>
                <w:color w:val="auto"/>
                <w:spacing w:val="7"/>
                <w:sz w:val="24"/>
                <w:szCs w:val="24"/>
              </w:rPr>
              <w:t>饲料，其韧皮纤维是造纸的高级原料，材质洁白，其根和种子均可入药，树液</w:t>
            </w:r>
            <w:r>
              <w:rPr>
                <w:rFonts w:hint="default" w:ascii="Times New Roman" w:hAnsi="Times New Roman" w:eastAsia="宋体" w:cs="Times New Roman"/>
                <w:color w:val="auto"/>
                <w:spacing w:val="5"/>
                <w:sz w:val="24"/>
                <w:szCs w:val="24"/>
              </w:rPr>
              <w:t>可</w:t>
            </w:r>
            <w:r>
              <w:rPr>
                <w:rFonts w:hint="default" w:ascii="Times New Roman" w:hAnsi="Times New Roman" w:eastAsia="宋体" w:cs="Times New Roman"/>
                <w:color w:val="auto"/>
                <w:spacing w:val="4"/>
                <w:sz w:val="24"/>
                <w:szCs w:val="24"/>
              </w:rPr>
              <w:t>治皮肤病，经济价值很高</w:t>
            </w:r>
            <w:r>
              <w:rPr>
                <w:rFonts w:hint="default" w:ascii="Times New Roman" w:hAnsi="Times New Roman" w:eastAsia="宋体" w:cs="Times New Roman"/>
                <w:color w:val="auto"/>
                <w:spacing w:val="2"/>
                <w:sz w:val="24"/>
                <w:szCs w:val="24"/>
              </w:rPr>
              <w:t>。构树在评价区内广泛分布，是评价区内主要优势植物。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V、灌草丛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5、暖性灌草丛</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5) 菊叶香藜群系From.Dysphania schraderiana</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pacing w:val="9"/>
                <w:position w:val="1"/>
                <w:sz w:val="24"/>
                <w:szCs w:val="24"/>
              </w:rPr>
            </w:pPr>
            <w:r>
              <w:rPr>
                <w:rFonts w:hint="default" w:ascii="Times New Roman" w:hAnsi="Times New Roman" w:eastAsia="宋体" w:cs="Times New Roman"/>
                <w:color w:val="auto"/>
                <w:spacing w:val="9"/>
                <w:position w:val="1"/>
                <w:sz w:val="24"/>
                <w:szCs w:val="24"/>
              </w:rPr>
              <w:t>草本层盖度70%~95%，层高1.0m~1.4m。菊叶香藜盖度为 60%~90%，高1.2m~1.6m，伴生种生有小蓬草、酢浆草、铁苋菜、一点红、广州蔊菜、鳞花草、狗尾草、十字薹草、篱栏网、狗牙根、禾本科等。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position w:val="1"/>
                <w:sz w:val="24"/>
                <w:szCs w:val="24"/>
              </w:rPr>
              <w:t>6</w:t>
            </w:r>
            <w:r>
              <w:rPr>
                <w:rFonts w:hint="default" w:ascii="Times New Roman" w:hAnsi="Times New Roman" w:eastAsia="宋体" w:cs="Times New Roman"/>
                <w:color w:val="auto"/>
                <w:spacing w:val="7"/>
                <w:position w:val="1"/>
                <w:sz w:val="24"/>
                <w:szCs w:val="24"/>
              </w:rPr>
              <w:t>) 狗尾草群系</w:t>
            </w:r>
            <w:r>
              <w:rPr>
                <w:rFonts w:hint="default" w:ascii="Times New Roman" w:hAnsi="Times New Roman" w:eastAsia="宋体" w:cs="Times New Roman"/>
                <w:color w:val="auto"/>
                <w:position w:val="1"/>
                <w:sz w:val="24"/>
                <w:szCs w:val="24"/>
              </w:rPr>
              <w:t>From</w:t>
            </w:r>
            <w:r>
              <w:rPr>
                <w:rFonts w:hint="default" w:ascii="Times New Roman" w:hAnsi="Times New Roman" w:eastAsia="宋体" w:cs="Times New Roman"/>
                <w:color w:val="auto"/>
                <w:spacing w:val="7"/>
                <w:position w:val="1"/>
                <w:sz w:val="24"/>
                <w:szCs w:val="24"/>
              </w:rPr>
              <w:t>.</w:t>
            </w:r>
            <w:r>
              <w:rPr>
                <w:rFonts w:hint="default" w:ascii="Times New Roman" w:hAnsi="Times New Roman" w:eastAsia="宋体" w:cs="Times New Roman"/>
                <w:i/>
                <w:iCs/>
                <w:color w:val="auto"/>
                <w:position w:val="1"/>
                <w:sz w:val="24"/>
                <w:szCs w:val="24"/>
              </w:rPr>
              <w:t>Setaria</w:t>
            </w:r>
            <w:r>
              <w:rPr>
                <w:rFonts w:hint="default" w:ascii="Times New Roman" w:hAnsi="Times New Roman" w:eastAsia="宋体" w:cs="Times New Roman"/>
                <w:color w:val="auto"/>
                <w:spacing w:val="7"/>
                <w:position w:val="1"/>
                <w:sz w:val="24"/>
                <w:szCs w:val="24"/>
              </w:rPr>
              <w:t xml:space="preserve"> </w:t>
            </w:r>
            <w:r>
              <w:rPr>
                <w:rFonts w:hint="default" w:ascii="Times New Roman" w:hAnsi="Times New Roman" w:eastAsia="宋体" w:cs="Times New Roman"/>
                <w:i/>
                <w:iCs/>
                <w:color w:val="auto"/>
                <w:position w:val="1"/>
                <w:sz w:val="24"/>
                <w:szCs w:val="24"/>
              </w:rPr>
              <w:t>viridis</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4"/>
                <w:sz w:val="24"/>
                <w:szCs w:val="24"/>
              </w:rPr>
              <w:t>灌木层</w:t>
            </w:r>
            <w:r>
              <w:rPr>
                <w:rFonts w:hint="default" w:ascii="Times New Roman" w:hAnsi="Times New Roman" w:eastAsia="宋体" w:cs="Times New Roman"/>
                <w:color w:val="auto"/>
                <w:spacing w:val="7"/>
                <w:sz w:val="24"/>
                <w:szCs w:val="24"/>
              </w:rPr>
              <w:t>盖度5%~6%，层高约0.4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，种类有寒莓、野蔷薇等。草本层盖度</w:t>
            </w:r>
            <w:r>
              <w:rPr>
                <w:rFonts w:hint="default" w:ascii="Times New Roman" w:hAnsi="Times New Roman" w:eastAsia="宋体" w:cs="Times New Roman"/>
                <w:color w:val="auto"/>
                <w:spacing w:val="8"/>
                <w:sz w:val="24"/>
                <w:szCs w:val="24"/>
              </w:rPr>
              <w:t>73%~83%，高约0.4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8"/>
                <w:sz w:val="24"/>
                <w:szCs w:val="24"/>
              </w:rPr>
              <w:t>，狗尾草盖度为68%~75%，高0.4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8"/>
                <w:sz w:val="24"/>
                <w:szCs w:val="24"/>
              </w:rPr>
              <w:t>~0.5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8"/>
                <w:sz w:val="24"/>
                <w:szCs w:val="24"/>
              </w:rPr>
              <w:t>，伴生</w:t>
            </w:r>
            <w:r>
              <w:rPr>
                <w:rFonts w:hint="default" w:ascii="Times New Roman" w:hAnsi="Times New Roman" w:eastAsia="宋体" w:cs="Times New Roman"/>
                <w:color w:val="auto"/>
                <w:spacing w:val="6"/>
                <w:sz w:val="24"/>
                <w:szCs w:val="24"/>
              </w:rPr>
              <w:t>种</w:t>
            </w:r>
            <w:r>
              <w:rPr>
                <w:rFonts w:hint="default" w:ascii="Times New Roman" w:hAnsi="Times New Roman" w:eastAsia="宋体" w:cs="Times New Roman"/>
                <w:color w:val="auto"/>
                <w:sz w:val="24"/>
                <w:szCs w:val="24"/>
              </w:rPr>
              <w:t>有</w:t>
            </w:r>
            <w:r>
              <w:rPr>
                <w:rFonts w:hint="default" w:ascii="Times New Roman" w:hAnsi="Times New Roman" w:eastAsia="宋体" w:cs="Times New Roman"/>
                <w:color w:val="auto"/>
                <w:spacing w:val="9"/>
                <w:sz w:val="24"/>
                <w:szCs w:val="24"/>
              </w:rPr>
              <w:t>狗牙根、菊科、菊叶香藜、酢浆草等</w:t>
            </w:r>
            <w:r>
              <w:rPr>
                <w:rFonts w:hint="default" w:ascii="Times New Roman" w:hAnsi="Times New Roman" w:eastAsia="宋体" w:cs="Times New Roman"/>
                <w:color w:val="auto"/>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position w:val="3"/>
                <w:sz w:val="24"/>
                <w:szCs w:val="24"/>
              </w:rPr>
              <w:t>7) 狗牙根群系</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9"/>
                <w:position w:val="3"/>
                <w:sz w:val="24"/>
                <w:szCs w:val="24"/>
              </w:rPr>
              <w:t>.</w:t>
            </w:r>
            <w:r>
              <w:rPr>
                <w:rFonts w:hint="default" w:ascii="Times New Roman" w:hAnsi="Times New Roman" w:eastAsia="宋体" w:cs="Times New Roman"/>
                <w:i/>
                <w:iCs/>
                <w:color w:val="auto"/>
                <w:position w:val="3"/>
                <w:sz w:val="24"/>
                <w:szCs w:val="24"/>
              </w:rPr>
              <w:t>Cynodon</w:t>
            </w:r>
            <w:r>
              <w:rPr>
                <w:rFonts w:hint="default" w:ascii="Times New Roman" w:hAnsi="Times New Roman" w:eastAsia="宋体" w:cs="Times New Roman"/>
                <w:color w:val="auto"/>
                <w:spacing w:val="8"/>
                <w:position w:val="3"/>
                <w:sz w:val="24"/>
                <w:szCs w:val="24"/>
              </w:rPr>
              <w:t xml:space="preserve"> </w:t>
            </w:r>
            <w:r>
              <w:rPr>
                <w:rFonts w:hint="default" w:ascii="Times New Roman" w:hAnsi="Times New Roman" w:eastAsia="宋体" w:cs="Times New Roman"/>
                <w:i/>
                <w:iCs/>
                <w:color w:val="auto"/>
                <w:position w:val="3"/>
                <w:sz w:val="24"/>
                <w:szCs w:val="24"/>
              </w:rPr>
              <w:t>dactylon</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3"/>
                <w:sz w:val="24"/>
                <w:szCs w:val="24"/>
              </w:rPr>
              <w:t>草</w:t>
            </w:r>
            <w:r>
              <w:rPr>
                <w:rFonts w:hint="default" w:ascii="Times New Roman" w:hAnsi="Times New Roman" w:eastAsia="宋体" w:cs="Times New Roman"/>
                <w:color w:val="auto"/>
                <w:spacing w:val="9"/>
                <w:sz w:val="24"/>
                <w:szCs w:val="24"/>
              </w:rPr>
              <w:t>本层盖度90%~95%，高0.1</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9"/>
                <w:sz w:val="24"/>
                <w:szCs w:val="24"/>
              </w:rPr>
              <w:t>~0.15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9"/>
                <w:sz w:val="24"/>
                <w:szCs w:val="24"/>
              </w:rPr>
              <w:t>，狗牙根盖度为68%~95%，高</w:t>
            </w:r>
            <w:r>
              <w:rPr>
                <w:rFonts w:hint="default" w:ascii="Times New Roman" w:hAnsi="Times New Roman" w:eastAsia="宋体" w:cs="Times New Roman"/>
                <w:color w:val="auto"/>
                <w:spacing w:val="10"/>
                <w:sz w:val="24"/>
                <w:szCs w:val="24"/>
              </w:rPr>
              <w:t>0.</w:t>
            </w:r>
            <w:r>
              <w:rPr>
                <w:rFonts w:hint="default" w:ascii="Times New Roman" w:hAnsi="Times New Roman" w:eastAsia="宋体" w:cs="Times New Roman"/>
                <w:color w:val="auto"/>
                <w:spacing w:val="5"/>
                <w:sz w:val="24"/>
                <w:szCs w:val="24"/>
              </w:rPr>
              <w:t>1</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5"/>
                <w:sz w:val="24"/>
                <w:szCs w:val="24"/>
              </w:rPr>
              <w:t>~0.15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5"/>
                <w:sz w:val="24"/>
                <w:szCs w:val="24"/>
              </w:rPr>
              <w:t>，伴生种有习见蓼、狗尾草、莎草科等。</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4"/>
                <w:position w:val="3"/>
                <w:sz w:val="24"/>
                <w:szCs w:val="24"/>
              </w:rPr>
              <w:t>8</w:t>
            </w:r>
            <w:r>
              <w:rPr>
                <w:rFonts w:hint="default" w:ascii="Times New Roman" w:hAnsi="Times New Roman" w:eastAsia="宋体" w:cs="Times New Roman"/>
                <w:color w:val="auto"/>
                <w:spacing w:val="9"/>
                <w:position w:val="3"/>
                <w:sz w:val="24"/>
                <w:szCs w:val="24"/>
              </w:rPr>
              <w:t xml:space="preserve">) 广州蔊菜群系 </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9"/>
                <w:position w:val="3"/>
                <w:sz w:val="24"/>
                <w:szCs w:val="24"/>
              </w:rPr>
              <w:t>.</w:t>
            </w:r>
            <w:r>
              <w:rPr>
                <w:rFonts w:hint="default" w:ascii="Times New Roman" w:hAnsi="Times New Roman" w:eastAsia="宋体" w:cs="Times New Roman"/>
                <w:i/>
                <w:iCs/>
                <w:color w:val="auto"/>
                <w:position w:val="3"/>
                <w:sz w:val="24"/>
                <w:szCs w:val="24"/>
              </w:rPr>
              <w:t>Rorippa</w:t>
            </w:r>
            <w:r>
              <w:rPr>
                <w:rFonts w:hint="default" w:ascii="Times New Roman" w:hAnsi="Times New Roman" w:eastAsia="宋体" w:cs="Times New Roman"/>
                <w:color w:val="auto"/>
                <w:spacing w:val="9"/>
                <w:position w:val="3"/>
                <w:sz w:val="24"/>
                <w:szCs w:val="24"/>
              </w:rPr>
              <w:t xml:space="preserve"> </w:t>
            </w:r>
            <w:r>
              <w:rPr>
                <w:rFonts w:hint="default" w:ascii="Times New Roman" w:hAnsi="Times New Roman" w:eastAsia="宋体" w:cs="Times New Roman"/>
                <w:i/>
                <w:iCs/>
                <w:color w:val="auto"/>
                <w:position w:val="3"/>
                <w:sz w:val="24"/>
                <w:szCs w:val="24"/>
              </w:rPr>
              <w:t>cantoniensis</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pacing w:val="14"/>
                <w:position w:val="3"/>
                <w:sz w:val="24"/>
                <w:szCs w:val="24"/>
              </w:rPr>
            </w:pPr>
            <w:r>
              <w:rPr>
                <w:rFonts w:hint="default" w:ascii="Times New Roman" w:hAnsi="Times New Roman" w:eastAsia="宋体" w:cs="Times New Roman"/>
                <w:color w:val="auto"/>
                <w:spacing w:val="14"/>
                <w:position w:val="3"/>
                <w:sz w:val="24"/>
                <w:szCs w:val="24"/>
              </w:rPr>
              <w:t>草本层盖度60%~96%，高0.1m~0.2m，广州蔊菜盖度为60%~90%，高0.1m~0.15m，伴生种有皱叶酸模、蛇床、沼生蔊菜等。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6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沼泽和水生植被</w:t>
            </w:r>
            <w:r>
              <w:rPr>
                <w:rFonts w:hint="default" w:ascii="Times New Roman" w:hAnsi="Times New Roman" w:eastAsia="宋体" w:cs="Times New Roman"/>
                <w:color w:val="auto"/>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VI</w:t>
            </w:r>
            <w:r>
              <w:rPr>
                <w:rFonts w:hint="eastAsia" w:ascii="Times New Roman" w:hAnsi="Times New Roman" w:eastAsia="宋体" w:cs="Times New Roman"/>
                <w:color w:val="auto"/>
                <w:spacing w:val="12"/>
                <w:sz w:val="24"/>
                <w:szCs w:val="24"/>
                <w:lang w:eastAsia="zh-CN"/>
              </w:rPr>
              <w:t>、</w:t>
            </w:r>
            <w:r>
              <w:rPr>
                <w:rFonts w:hint="default" w:ascii="Times New Roman" w:hAnsi="Times New Roman" w:eastAsia="宋体" w:cs="Times New Roman"/>
                <w:color w:val="auto"/>
                <w:spacing w:val="10"/>
                <w:sz w:val="24"/>
                <w:szCs w:val="24"/>
              </w:rPr>
              <w:t>沼泽</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position w:val="2"/>
                <w:sz w:val="24"/>
                <w:szCs w:val="24"/>
              </w:rPr>
              <w:t>6</w:t>
            </w:r>
            <w:r>
              <w:rPr>
                <w:rFonts w:hint="eastAsia" w:ascii="Times New Roman" w:hAnsi="Times New Roman" w:eastAsia="宋体" w:cs="Times New Roman"/>
                <w:color w:val="auto"/>
                <w:spacing w:val="-2"/>
                <w:position w:val="2"/>
                <w:sz w:val="24"/>
                <w:szCs w:val="24"/>
                <w:lang w:eastAsia="zh-CN"/>
              </w:rPr>
              <w:t>、</w:t>
            </w:r>
            <w:r>
              <w:rPr>
                <w:rFonts w:hint="default" w:ascii="Times New Roman" w:hAnsi="Times New Roman" w:eastAsia="宋体" w:cs="Times New Roman"/>
                <w:color w:val="auto"/>
                <w:spacing w:val="-2"/>
                <w:position w:val="2"/>
                <w:sz w:val="24"/>
                <w:szCs w:val="24"/>
              </w:rPr>
              <w:t>禾本沼</w:t>
            </w:r>
            <w:r>
              <w:rPr>
                <w:rFonts w:hint="default" w:ascii="Times New Roman" w:hAnsi="Times New Roman" w:eastAsia="宋体" w:cs="Times New Roman"/>
                <w:color w:val="auto"/>
                <w:spacing w:val="-1"/>
                <w:position w:val="2"/>
                <w:sz w:val="24"/>
                <w:szCs w:val="24"/>
              </w:rPr>
              <w:t>泽</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position w:val="3"/>
                <w:sz w:val="24"/>
                <w:szCs w:val="24"/>
              </w:rPr>
              <w:t xml:space="preserve">9)芦苇群系 </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10"/>
                <w:position w:val="3"/>
                <w:sz w:val="24"/>
                <w:szCs w:val="24"/>
              </w:rPr>
              <w:t>.</w:t>
            </w:r>
            <w:r>
              <w:rPr>
                <w:rFonts w:hint="default" w:ascii="Times New Roman" w:hAnsi="Times New Roman" w:eastAsia="宋体" w:cs="Times New Roman"/>
                <w:i/>
                <w:iCs/>
                <w:color w:val="auto"/>
                <w:position w:val="3"/>
                <w:sz w:val="24"/>
                <w:szCs w:val="24"/>
              </w:rPr>
              <w:t>Phragmites</w:t>
            </w:r>
            <w:r>
              <w:rPr>
                <w:rFonts w:hint="default" w:ascii="Times New Roman" w:hAnsi="Times New Roman" w:eastAsia="宋体" w:cs="Times New Roman"/>
                <w:color w:val="auto"/>
                <w:spacing w:val="8"/>
                <w:position w:val="3"/>
                <w:sz w:val="24"/>
                <w:szCs w:val="24"/>
              </w:rPr>
              <w:t xml:space="preserve"> </w:t>
            </w:r>
            <w:r>
              <w:rPr>
                <w:rFonts w:hint="default" w:ascii="Times New Roman" w:hAnsi="Times New Roman" w:eastAsia="宋体" w:cs="Times New Roman"/>
                <w:i/>
                <w:iCs/>
                <w:color w:val="auto"/>
                <w:position w:val="3"/>
                <w:sz w:val="24"/>
                <w:szCs w:val="24"/>
              </w:rPr>
              <w:t>australis</w:t>
            </w:r>
          </w:p>
          <w:p>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灌木层盖度25%，高0.6</w:t>
            </w:r>
            <w:r>
              <w:rPr>
                <w:rFonts w:hint="default" w:ascii="Times New Roman" w:hAnsi="Times New Roman" w:eastAsia="宋体" w:cs="Times New Roman"/>
                <w:color w:val="auto"/>
                <w:spacing w:val="-1"/>
                <w:sz w:val="24"/>
                <w:szCs w:val="24"/>
              </w:rPr>
              <w:t>m</w:t>
            </w:r>
            <w:r>
              <w:rPr>
                <w:rFonts w:hint="default" w:ascii="Times New Roman" w:hAnsi="Times New Roman" w:eastAsia="宋体" w:cs="Times New Roman"/>
                <w:color w:val="auto"/>
                <w:spacing w:val="-2"/>
                <w:sz w:val="24"/>
                <w:szCs w:val="24"/>
              </w:rPr>
              <w:t>，为构树。草本层盖度65%~93%，高</w:t>
            </w:r>
            <w:r>
              <w:rPr>
                <w:rFonts w:hint="default" w:ascii="Times New Roman" w:hAnsi="Times New Roman" w:eastAsia="宋体" w:cs="Times New Roman"/>
                <w:color w:val="auto"/>
                <w:spacing w:val="-1"/>
                <w:sz w:val="24"/>
                <w:szCs w:val="24"/>
              </w:rPr>
              <w:t xml:space="preserve"> 2.0m~2.3m，</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4"/>
                <w:sz w:val="24"/>
                <w:szCs w:val="24"/>
              </w:rPr>
              <w:t>芦苇盖</w:t>
            </w:r>
            <w:r>
              <w:rPr>
                <w:rFonts w:hint="default" w:ascii="Times New Roman" w:hAnsi="Times New Roman" w:eastAsia="宋体" w:cs="Times New Roman"/>
                <w:color w:val="auto"/>
                <w:spacing w:val="7"/>
                <w:sz w:val="24"/>
                <w:szCs w:val="24"/>
              </w:rPr>
              <w:t>度为60%~85%，高约2.5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，伴生种有蛇葡萄、菰、喜旱莲子草、酢浆</w:t>
            </w:r>
            <w:r>
              <w:rPr>
                <w:rFonts w:hint="default" w:ascii="Times New Roman" w:hAnsi="Times New Roman" w:eastAsia="宋体" w:cs="Times New Roman"/>
                <w:color w:val="auto"/>
                <w:spacing w:val="9"/>
                <w:sz w:val="24"/>
                <w:szCs w:val="24"/>
              </w:rPr>
              <w:t>草、菊叶香藜、禾本科、加拿大一枝黄花等</w:t>
            </w:r>
            <w:r>
              <w:rPr>
                <w:rFonts w:hint="default" w:ascii="Times New Roman" w:hAnsi="Times New Roman" w:eastAsia="宋体" w:cs="Times New Roman"/>
                <w:color w:val="auto"/>
                <w:spacing w:val="7"/>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position w:val="3"/>
                <w:sz w:val="24"/>
                <w:szCs w:val="24"/>
              </w:rPr>
              <w:t>1</w:t>
            </w:r>
            <w:r>
              <w:rPr>
                <w:rFonts w:hint="default" w:ascii="Times New Roman" w:hAnsi="Times New Roman" w:eastAsia="宋体" w:cs="Times New Roman"/>
                <w:color w:val="auto"/>
                <w:spacing w:val="7"/>
                <w:position w:val="3"/>
                <w:sz w:val="24"/>
                <w:szCs w:val="24"/>
              </w:rPr>
              <w:t xml:space="preserve">0)荻群系 </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7"/>
                <w:position w:val="3"/>
                <w:sz w:val="24"/>
                <w:szCs w:val="24"/>
              </w:rPr>
              <w:t>.</w:t>
            </w:r>
            <w:r>
              <w:rPr>
                <w:rFonts w:hint="default" w:ascii="Times New Roman" w:hAnsi="Times New Roman" w:eastAsia="宋体" w:cs="Times New Roman"/>
                <w:i/>
                <w:iCs/>
                <w:color w:val="auto"/>
                <w:position w:val="3"/>
                <w:sz w:val="24"/>
                <w:szCs w:val="24"/>
              </w:rPr>
              <w:t>Triarrhena</w:t>
            </w:r>
            <w:r>
              <w:rPr>
                <w:rFonts w:hint="default" w:ascii="Times New Roman" w:hAnsi="Times New Roman" w:eastAsia="宋体" w:cs="Times New Roman"/>
                <w:color w:val="auto"/>
                <w:spacing w:val="7"/>
                <w:position w:val="3"/>
                <w:sz w:val="24"/>
                <w:szCs w:val="24"/>
              </w:rPr>
              <w:t xml:space="preserve"> </w:t>
            </w:r>
            <w:r>
              <w:rPr>
                <w:rFonts w:hint="default" w:ascii="Times New Roman" w:hAnsi="Times New Roman" w:eastAsia="宋体" w:cs="Times New Roman"/>
                <w:i/>
                <w:iCs/>
                <w:color w:val="auto"/>
                <w:position w:val="3"/>
                <w:sz w:val="24"/>
                <w:szCs w:val="24"/>
              </w:rPr>
              <w:t>sacchariflora</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灌木层盖度13%~20%，层均高1.0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10"/>
                <w:sz w:val="24"/>
                <w:szCs w:val="24"/>
              </w:rPr>
              <w:t>~1.5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10"/>
                <w:sz w:val="24"/>
                <w:szCs w:val="24"/>
              </w:rPr>
              <w:t>，常见植物为构树、桑、乌</w:t>
            </w:r>
            <w:r>
              <w:rPr>
                <w:rFonts w:hint="default" w:ascii="Times New Roman" w:hAnsi="Times New Roman" w:eastAsia="宋体" w:cs="Times New Roman"/>
                <w:color w:val="auto"/>
                <w:spacing w:val="5"/>
                <w:sz w:val="24"/>
                <w:szCs w:val="24"/>
              </w:rPr>
              <w:t>桕</w:t>
            </w:r>
            <w:r>
              <w:rPr>
                <w:rFonts w:hint="default" w:ascii="Times New Roman" w:hAnsi="Times New Roman" w:eastAsia="宋体" w:cs="Times New Roman"/>
                <w:color w:val="auto"/>
                <w:spacing w:val="14"/>
                <w:sz w:val="24"/>
                <w:szCs w:val="24"/>
              </w:rPr>
              <w:t>等。草本</w:t>
            </w:r>
            <w:r>
              <w:rPr>
                <w:rFonts w:hint="default" w:ascii="Times New Roman" w:hAnsi="Times New Roman" w:eastAsia="宋体" w:cs="Times New Roman"/>
                <w:color w:val="auto"/>
                <w:spacing w:val="12"/>
                <w:sz w:val="24"/>
                <w:szCs w:val="24"/>
              </w:rPr>
              <w:t>层</w:t>
            </w:r>
            <w:r>
              <w:rPr>
                <w:rFonts w:hint="default" w:ascii="Times New Roman" w:hAnsi="Times New Roman" w:eastAsia="宋体" w:cs="Times New Roman"/>
                <w:color w:val="auto"/>
                <w:spacing w:val="7"/>
                <w:sz w:val="24"/>
                <w:szCs w:val="24"/>
              </w:rPr>
              <w:t>盖度 75%~94%，高1.5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~1.8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。荻盖度为70%~80%，高约1.7</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6"/>
                <w:sz w:val="24"/>
                <w:szCs w:val="24"/>
              </w:rPr>
              <w:t>1.8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6"/>
                <w:sz w:val="24"/>
                <w:szCs w:val="24"/>
              </w:rPr>
              <w:t>，伴生种</w:t>
            </w:r>
            <w:r>
              <w:rPr>
                <w:rFonts w:hint="default" w:ascii="Times New Roman" w:hAnsi="Times New Roman" w:eastAsia="宋体" w:cs="Times New Roman"/>
                <w:color w:val="auto"/>
                <w:spacing w:val="5"/>
                <w:sz w:val="24"/>
                <w:szCs w:val="24"/>
              </w:rPr>
              <w:t>有</w:t>
            </w:r>
            <w:r>
              <w:rPr>
                <w:rFonts w:hint="default" w:ascii="Times New Roman" w:hAnsi="Times New Roman" w:eastAsia="宋体" w:cs="Times New Roman"/>
                <w:color w:val="auto"/>
                <w:spacing w:val="3"/>
                <w:sz w:val="24"/>
                <w:szCs w:val="24"/>
              </w:rPr>
              <w:t>喜旱莲子草、狗尾草、野菊、双穗雀稗等。层间植物盖度约5%~</w:t>
            </w:r>
            <w:r>
              <w:rPr>
                <w:rFonts w:hint="default" w:ascii="Times New Roman" w:hAnsi="Times New Roman" w:eastAsia="宋体" w:cs="Times New Roman"/>
                <w:color w:val="auto"/>
                <w:spacing w:val="10"/>
                <w:sz w:val="24"/>
                <w:szCs w:val="24"/>
              </w:rPr>
              <w:t>7</w:t>
            </w:r>
            <w:r>
              <w:rPr>
                <w:rFonts w:hint="default" w:ascii="Times New Roman" w:hAnsi="Times New Roman" w:eastAsia="宋体" w:cs="Times New Roman"/>
                <w:color w:val="auto"/>
                <w:spacing w:val="5"/>
                <w:sz w:val="24"/>
                <w:szCs w:val="24"/>
              </w:rPr>
              <w:t>%，高度约0.4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5"/>
                <w:sz w:val="24"/>
                <w:szCs w:val="24"/>
              </w:rPr>
              <w:t>~0.8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5"/>
                <w:sz w:val="24"/>
                <w:szCs w:val="24"/>
              </w:rPr>
              <w:t>，常见植物为杠板归等。</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position w:val="3"/>
                <w:sz w:val="24"/>
                <w:szCs w:val="24"/>
              </w:rPr>
              <w:t>11)酸模叶蓼群系</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9"/>
                <w:position w:val="3"/>
                <w:sz w:val="24"/>
                <w:szCs w:val="24"/>
              </w:rPr>
              <w:t>.</w:t>
            </w:r>
            <w:r>
              <w:rPr>
                <w:rFonts w:hint="default" w:ascii="Times New Roman" w:hAnsi="Times New Roman" w:eastAsia="宋体" w:cs="Times New Roman"/>
                <w:i/>
                <w:iCs/>
                <w:color w:val="auto"/>
                <w:position w:val="3"/>
                <w:sz w:val="24"/>
                <w:szCs w:val="24"/>
              </w:rPr>
              <w:t>Polygonum</w:t>
            </w:r>
            <w:r>
              <w:rPr>
                <w:rFonts w:hint="default" w:ascii="Times New Roman" w:hAnsi="Times New Roman" w:eastAsia="宋体" w:cs="Times New Roman"/>
                <w:color w:val="auto"/>
                <w:spacing w:val="8"/>
                <w:position w:val="3"/>
                <w:sz w:val="24"/>
                <w:szCs w:val="24"/>
              </w:rPr>
              <w:t xml:space="preserve"> </w:t>
            </w:r>
            <w:r>
              <w:rPr>
                <w:rFonts w:hint="default" w:ascii="Times New Roman" w:hAnsi="Times New Roman" w:eastAsia="宋体" w:cs="Times New Roman"/>
                <w:i/>
                <w:iCs/>
                <w:color w:val="auto"/>
                <w:position w:val="3"/>
                <w:sz w:val="24"/>
                <w:szCs w:val="24"/>
              </w:rPr>
              <w:t>lapathifolium</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草本层盖度95%~96%，层高0.4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10"/>
                <w:sz w:val="24"/>
                <w:szCs w:val="24"/>
              </w:rPr>
              <w:t>~0.6</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10"/>
                <w:sz w:val="24"/>
                <w:szCs w:val="24"/>
              </w:rPr>
              <w:t>。酸模叶蓼盖度为 80%~95%</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pacing w:val="12"/>
                <w:sz w:val="24"/>
                <w:szCs w:val="24"/>
              </w:rPr>
              <w:t>高</w:t>
            </w:r>
            <w:r>
              <w:rPr>
                <w:rFonts w:hint="default" w:ascii="Times New Roman" w:hAnsi="Times New Roman" w:eastAsia="宋体" w:cs="Times New Roman"/>
                <w:color w:val="auto"/>
                <w:spacing w:val="10"/>
                <w:sz w:val="24"/>
                <w:szCs w:val="24"/>
              </w:rPr>
              <w:t>0</w:t>
            </w:r>
            <w:r>
              <w:rPr>
                <w:rFonts w:hint="default" w:ascii="Times New Roman" w:hAnsi="Times New Roman" w:eastAsia="宋体" w:cs="Times New Roman"/>
                <w:color w:val="auto"/>
                <w:spacing w:val="6"/>
                <w:sz w:val="24"/>
                <w:szCs w:val="24"/>
              </w:rPr>
              <w:t>.4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6"/>
                <w:sz w:val="24"/>
                <w:szCs w:val="24"/>
              </w:rPr>
              <w:t>~0.8</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6"/>
                <w:sz w:val="24"/>
                <w:szCs w:val="24"/>
              </w:rPr>
              <w:t>，伴生种生有蛇床、活血丹、苍耳、喜旱莲子草、禾本科、芦苇、</w:t>
            </w:r>
            <w:r>
              <w:rPr>
                <w:rFonts w:hint="default" w:ascii="Times New Roman" w:hAnsi="Times New Roman" w:eastAsia="宋体" w:cs="Times New Roman"/>
                <w:color w:val="auto"/>
                <w:spacing w:val="8"/>
                <w:sz w:val="24"/>
                <w:szCs w:val="24"/>
              </w:rPr>
              <w:t>菰</w:t>
            </w:r>
            <w:r>
              <w:rPr>
                <w:rFonts w:hint="default" w:ascii="Times New Roman" w:hAnsi="Times New Roman" w:eastAsia="宋体" w:cs="Times New Roman"/>
                <w:color w:val="auto"/>
                <w:spacing w:val="6"/>
                <w:sz w:val="24"/>
                <w:szCs w:val="24"/>
              </w:rPr>
              <w:t>、龙葵等。</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VII</w:t>
            </w:r>
            <w:r>
              <w:rPr>
                <w:rFonts w:hint="eastAsia" w:ascii="Times New Roman" w:hAnsi="Times New Roman" w:eastAsia="宋体" w:cs="Times New Roman"/>
                <w:color w:val="auto"/>
                <w:spacing w:val="11"/>
                <w:sz w:val="24"/>
                <w:szCs w:val="24"/>
                <w:lang w:eastAsia="zh-CN"/>
              </w:rPr>
              <w:t>、</w:t>
            </w:r>
            <w:r>
              <w:rPr>
                <w:rFonts w:hint="default" w:ascii="Times New Roman" w:hAnsi="Times New Roman" w:eastAsia="宋体" w:cs="Times New Roman"/>
                <w:color w:val="auto"/>
                <w:spacing w:val="11"/>
                <w:sz w:val="24"/>
                <w:szCs w:val="24"/>
              </w:rPr>
              <w:t>水生植</w:t>
            </w:r>
            <w:r>
              <w:rPr>
                <w:rFonts w:hint="default" w:ascii="Times New Roman" w:hAnsi="Times New Roman" w:eastAsia="宋体" w:cs="Times New Roman"/>
                <w:color w:val="auto"/>
                <w:spacing w:val="10"/>
                <w:sz w:val="24"/>
                <w:szCs w:val="24"/>
              </w:rPr>
              <w:t>被</w:t>
            </w:r>
          </w:p>
          <w:p>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
                <w:position w:val="2"/>
                <w:sz w:val="24"/>
                <w:szCs w:val="24"/>
              </w:rPr>
              <w:t>7</w:t>
            </w:r>
            <w:r>
              <w:rPr>
                <w:rFonts w:hint="eastAsia" w:ascii="Times New Roman" w:hAnsi="Times New Roman" w:eastAsia="宋体" w:cs="Times New Roman"/>
                <w:color w:val="auto"/>
                <w:spacing w:val="1"/>
                <w:position w:val="2"/>
                <w:sz w:val="24"/>
                <w:szCs w:val="24"/>
                <w:lang w:eastAsia="zh-CN"/>
              </w:rPr>
              <w:t>、</w:t>
            </w:r>
            <w:r>
              <w:rPr>
                <w:rFonts w:hint="default" w:ascii="Times New Roman" w:hAnsi="Times New Roman" w:eastAsia="宋体" w:cs="Times New Roman"/>
                <w:color w:val="auto"/>
                <w:spacing w:val="1"/>
                <w:position w:val="2"/>
                <w:sz w:val="24"/>
                <w:szCs w:val="24"/>
              </w:rPr>
              <w:t>浮水水生植</w:t>
            </w:r>
            <w:r>
              <w:rPr>
                <w:rFonts w:hint="default" w:ascii="Times New Roman" w:hAnsi="Times New Roman" w:eastAsia="宋体" w:cs="Times New Roman"/>
                <w:color w:val="auto"/>
                <w:position w:val="2"/>
                <w:sz w:val="24"/>
                <w:szCs w:val="24"/>
              </w:rPr>
              <w:t>被</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4"/>
                <w:position w:val="3"/>
                <w:sz w:val="24"/>
                <w:szCs w:val="24"/>
              </w:rPr>
              <w:t>1</w:t>
            </w:r>
            <w:r>
              <w:rPr>
                <w:rFonts w:hint="default" w:ascii="Times New Roman" w:hAnsi="Times New Roman" w:eastAsia="宋体" w:cs="Times New Roman"/>
                <w:color w:val="auto"/>
                <w:spacing w:val="9"/>
                <w:position w:val="3"/>
                <w:sz w:val="24"/>
                <w:szCs w:val="24"/>
              </w:rPr>
              <w:t>2</w:t>
            </w:r>
            <w:r>
              <w:rPr>
                <w:rFonts w:hint="default" w:ascii="Times New Roman" w:hAnsi="Times New Roman" w:eastAsia="宋体" w:cs="Times New Roman"/>
                <w:color w:val="auto"/>
                <w:spacing w:val="7"/>
                <w:position w:val="3"/>
                <w:sz w:val="24"/>
                <w:szCs w:val="24"/>
              </w:rPr>
              <w:t xml:space="preserve">)凤眼蓝群系 </w:t>
            </w:r>
            <w:r>
              <w:rPr>
                <w:rFonts w:hint="default" w:ascii="Times New Roman" w:hAnsi="Times New Roman" w:eastAsia="宋体" w:cs="Times New Roman"/>
                <w:color w:val="auto"/>
                <w:position w:val="3"/>
                <w:sz w:val="24"/>
                <w:szCs w:val="24"/>
              </w:rPr>
              <w:t>From</w:t>
            </w:r>
            <w:r>
              <w:rPr>
                <w:rFonts w:hint="default" w:ascii="Times New Roman" w:hAnsi="Times New Roman" w:eastAsia="宋体" w:cs="Times New Roman"/>
                <w:color w:val="auto"/>
                <w:spacing w:val="7"/>
                <w:position w:val="3"/>
                <w:sz w:val="24"/>
                <w:szCs w:val="24"/>
              </w:rPr>
              <w:t>.</w:t>
            </w:r>
            <w:r>
              <w:rPr>
                <w:rFonts w:hint="default" w:ascii="Times New Roman" w:hAnsi="Times New Roman" w:eastAsia="宋体" w:cs="Times New Roman"/>
                <w:i/>
                <w:iCs/>
                <w:color w:val="auto"/>
                <w:position w:val="3"/>
                <w:sz w:val="24"/>
                <w:szCs w:val="24"/>
              </w:rPr>
              <w:t>Eichhornia</w:t>
            </w:r>
            <w:r>
              <w:rPr>
                <w:rFonts w:hint="default" w:ascii="Times New Roman" w:hAnsi="Times New Roman" w:eastAsia="宋体" w:cs="Times New Roman"/>
                <w:color w:val="auto"/>
                <w:spacing w:val="7"/>
                <w:position w:val="3"/>
                <w:sz w:val="24"/>
                <w:szCs w:val="24"/>
              </w:rPr>
              <w:t xml:space="preserve"> </w:t>
            </w:r>
            <w:r>
              <w:rPr>
                <w:rFonts w:hint="default" w:ascii="Times New Roman" w:hAnsi="Times New Roman" w:eastAsia="宋体" w:cs="Times New Roman"/>
                <w:i/>
                <w:iCs/>
                <w:color w:val="auto"/>
                <w:position w:val="3"/>
                <w:sz w:val="24"/>
                <w:szCs w:val="24"/>
              </w:rPr>
              <w:t>crassipes</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草本层</w:t>
            </w:r>
            <w:r>
              <w:rPr>
                <w:rFonts w:hint="default" w:ascii="Times New Roman" w:hAnsi="Times New Roman" w:eastAsia="宋体" w:cs="Times New Roman"/>
                <w:color w:val="auto"/>
                <w:spacing w:val="6"/>
                <w:sz w:val="24"/>
                <w:szCs w:val="24"/>
              </w:rPr>
              <w:t>盖</w:t>
            </w:r>
            <w:r>
              <w:rPr>
                <w:rFonts w:hint="default" w:ascii="Times New Roman" w:hAnsi="Times New Roman" w:eastAsia="宋体" w:cs="Times New Roman"/>
                <w:color w:val="auto"/>
                <w:spacing w:val="5"/>
                <w:sz w:val="24"/>
                <w:szCs w:val="24"/>
              </w:rPr>
              <w:t>度92%~95%，高0.15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5"/>
                <w:sz w:val="24"/>
                <w:szCs w:val="24"/>
              </w:rPr>
              <w:t>~0.5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5"/>
                <w:sz w:val="24"/>
                <w:szCs w:val="24"/>
              </w:rPr>
              <w:t>，凤眼蓝盖度为85%~92%，高约</w:t>
            </w:r>
            <w:r>
              <w:rPr>
                <w:rFonts w:hint="default" w:ascii="Times New Roman" w:hAnsi="Times New Roman" w:eastAsia="宋体" w:cs="Times New Roman"/>
                <w:color w:val="auto"/>
                <w:spacing w:val="-2"/>
                <w:sz w:val="24"/>
                <w:szCs w:val="24"/>
              </w:rPr>
              <w:t>0.15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2"/>
                <w:sz w:val="24"/>
                <w:szCs w:val="24"/>
              </w:rPr>
              <w:t>，伴生种有莲等。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2" w:firstLineChars="200"/>
              <w:rPr>
                <w:rFonts w:hint="default" w:ascii="Times New Roman" w:hAnsi="Times New Roman" w:eastAsia="宋体" w:cs="Times New Roman"/>
                <w:b/>
                <w:bCs/>
                <w:color w:val="auto"/>
                <w:spacing w:val="10"/>
                <w:sz w:val="24"/>
                <w:szCs w:val="24"/>
              </w:rPr>
            </w:pPr>
            <w:r>
              <w:rPr>
                <w:rFonts w:hint="default" w:ascii="Times New Roman" w:hAnsi="Times New Roman" w:eastAsia="宋体" w:cs="Times New Roman"/>
                <w:b/>
                <w:bCs/>
                <w:color w:val="auto"/>
                <w:spacing w:val="10"/>
                <w:sz w:val="24"/>
                <w:szCs w:val="24"/>
              </w:rPr>
              <w:t>人工植被</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人工林</w:t>
            </w:r>
            <w:r>
              <w:rPr>
                <w:rFonts w:hint="default" w:ascii="Times New Roman" w:hAnsi="Times New Roman" w:eastAsia="宋体" w:cs="Times New Roman"/>
                <w:color w:val="auto"/>
                <w:spacing w:val="10"/>
                <w:sz w:val="24"/>
                <w:szCs w:val="24"/>
              </w:rPr>
              <w:t>主</w:t>
            </w:r>
            <w:r>
              <w:rPr>
                <w:rFonts w:hint="default" w:ascii="Times New Roman" w:hAnsi="Times New Roman" w:eastAsia="宋体" w:cs="Times New Roman"/>
                <w:color w:val="auto"/>
                <w:spacing w:val="6"/>
                <w:sz w:val="24"/>
                <w:szCs w:val="24"/>
              </w:rPr>
              <w:t>要为果木林，种植有柑橘、柚等，主要分布在居民点、村落等。农</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作物主要分布在白泥湖、范家坝、三汊港湖周边以及村落附近，粮食作物主要</w:t>
            </w:r>
            <w:r>
              <w:rPr>
                <w:rFonts w:hint="default" w:ascii="Times New Roman" w:hAnsi="Times New Roman" w:eastAsia="宋体" w:cs="Times New Roman"/>
                <w:color w:val="auto"/>
                <w:spacing w:val="3"/>
                <w:sz w:val="24"/>
                <w:szCs w:val="24"/>
              </w:rPr>
              <w:t>为</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3"/>
                <w:sz w:val="24"/>
                <w:szCs w:val="24"/>
              </w:rPr>
              <w:t>水</w:t>
            </w:r>
            <w:r>
              <w:rPr>
                <w:rFonts w:hint="default" w:ascii="Times New Roman" w:hAnsi="Times New Roman" w:eastAsia="宋体" w:cs="Times New Roman"/>
                <w:color w:val="auto"/>
                <w:spacing w:val="9"/>
                <w:sz w:val="24"/>
                <w:szCs w:val="24"/>
              </w:rPr>
              <w:t>稻、玉米、薯类、豆类，经济作物主要有各类蔬菜等。</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eastAsia="宋体" w:cs="Times New Roman"/>
                <w:b/>
                <w:bCs/>
                <w:color w:val="auto"/>
                <w:spacing w:val="10"/>
                <w:sz w:val="24"/>
                <w:szCs w:val="24"/>
              </w:rPr>
            </w:pPr>
            <w:r>
              <w:rPr>
                <w:rFonts w:hint="eastAsia" w:ascii="Times New Roman" w:hAnsi="Times New Roman" w:cs="Times New Roman"/>
                <w:b/>
                <w:bCs/>
                <w:color w:val="auto"/>
                <w:spacing w:val="10"/>
                <w:sz w:val="24"/>
                <w:szCs w:val="24"/>
                <w:lang w:val="en-US" w:eastAsia="zh-CN"/>
              </w:rPr>
              <w:t>1.2.1.3、</w:t>
            </w:r>
            <w:r>
              <w:rPr>
                <w:rFonts w:hint="default" w:ascii="Times New Roman" w:hAnsi="Times New Roman" w:eastAsia="宋体" w:cs="Times New Roman"/>
                <w:b/>
                <w:bCs/>
                <w:color w:val="auto"/>
                <w:spacing w:val="10"/>
                <w:sz w:val="24"/>
                <w:szCs w:val="24"/>
              </w:rPr>
              <w:t>植被分布特征</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4"/>
                <w:sz w:val="24"/>
                <w:szCs w:val="24"/>
              </w:rPr>
              <w:t>评</w:t>
            </w:r>
            <w:r>
              <w:rPr>
                <w:rFonts w:hint="default" w:ascii="Times New Roman" w:hAnsi="Times New Roman" w:eastAsia="宋体" w:cs="Times New Roman"/>
                <w:color w:val="auto"/>
                <w:spacing w:val="13"/>
                <w:sz w:val="24"/>
                <w:szCs w:val="24"/>
              </w:rPr>
              <w:t>价</w:t>
            </w:r>
            <w:r>
              <w:rPr>
                <w:rFonts w:hint="default" w:ascii="Times New Roman" w:hAnsi="Times New Roman" w:eastAsia="宋体" w:cs="Times New Roman"/>
                <w:color w:val="auto"/>
                <w:spacing w:val="7"/>
                <w:sz w:val="24"/>
                <w:szCs w:val="24"/>
              </w:rPr>
              <w:t>区地势平坦，区内高程一般在24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~45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7"/>
                <w:sz w:val="24"/>
                <w:szCs w:val="24"/>
              </w:rPr>
              <w:t>之间，整体海拔起伏较小，植被的垂直分布差异较小。评价区属于季风湿润气候区，四季分明，光照长，降</w:t>
            </w:r>
            <w:r>
              <w:rPr>
                <w:rFonts w:hint="default" w:ascii="Times New Roman" w:hAnsi="Times New Roman" w:eastAsia="宋体" w:cs="Times New Roman"/>
                <w:color w:val="auto"/>
                <w:spacing w:val="4"/>
                <w:sz w:val="24"/>
                <w:szCs w:val="24"/>
              </w:rPr>
              <w:t>水集中在春夏暖热季</w:t>
            </w:r>
            <w:r>
              <w:rPr>
                <w:rFonts w:hint="default" w:ascii="Times New Roman" w:hAnsi="Times New Roman" w:eastAsia="宋体" w:cs="Times New Roman"/>
                <w:color w:val="auto"/>
                <w:spacing w:val="2"/>
                <w:sz w:val="24"/>
                <w:szCs w:val="24"/>
              </w:rPr>
              <w:t>节，年平均气温为17℃。评价区内自然植被以阔叶林、灌丛、</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6"/>
                <w:sz w:val="24"/>
                <w:szCs w:val="24"/>
              </w:rPr>
              <w:t>灌</w:t>
            </w:r>
            <w:r>
              <w:rPr>
                <w:rFonts w:hint="default" w:ascii="Times New Roman" w:hAnsi="Times New Roman" w:eastAsia="宋体" w:cs="Times New Roman"/>
                <w:color w:val="auto"/>
                <w:spacing w:val="9"/>
                <w:sz w:val="24"/>
                <w:szCs w:val="24"/>
              </w:rPr>
              <w:t>草丛、沼泽及水生植被为主。阔叶林多为樟、楝、淡竹等；灌丛主要为构树，</w:t>
            </w:r>
            <w:r>
              <w:rPr>
                <w:rFonts w:hint="default" w:ascii="Times New Roman" w:hAnsi="Times New Roman" w:eastAsia="宋体" w:cs="Times New Roman"/>
                <w:color w:val="auto"/>
                <w:spacing w:val="7"/>
                <w:sz w:val="24"/>
                <w:szCs w:val="24"/>
              </w:rPr>
              <w:t>灌草丛主要为菊叶香藜、酸模叶蓼、狗尾草、狗牙根、广州蔊菜等；沼泽植被</w:t>
            </w:r>
            <w:r>
              <w:rPr>
                <w:rFonts w:hint="default" w:ascii="Times New Roman" w:hAnsi="Times New Roman" w:eastAsia="宋体" w:cs="Times New Roman"/>
                <w:color w:val="auto"/>
                <w:spacing w:val="4"/>
                <w:sz w:val="24"/>
                <w:szCs w:val="24"/>
              </w:rPr>
              <w:t>主</w:t>
            </w:r>
            <w:r>
              <w:rPr>
                <w:rFonts w:hint="default" w:ascii="Times New Roman" w:hAnsi="Times New Roman" w:eastAsia="宋体" w:cs="Times New Roman"/>
                <w:color w:val="auto"/>
                <w:spacing w:val="9"/>
                <w:sz w:val="24"/>
                <w:szCs w:val="24"/>
              </w:rPr>
              <w:t>要为芦苇、荻等；水生植被主要为凤眼蓝等。</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白泥湖、</w:t>
            </w:r>
            <w:r>
              <w:rPr>
                <w:rFonts w:hint="default" w:ascii="Times New Roman" w:hAnsi="Times New Roman" w:eastAsia="宋体" w:cs="Times New Roman"/>
                <w:color w:val="auto"/>
                <w:spacing w:val="7"/>
                <w:sz w:val="24"/>
                <w:szCs w:val="24"/>
              </w:rPr>
              <w:t>范</w:t>
            </w:r>
            <w:r>
              <w:rPr>
                <w:rFonts w:hint="default" w:ascii="Times New Roman" w:hAnsi="Times New Roman" w:eastAsia="宋体" w:cs="Times New Roman"/>
                <w:color w:val="auto"/>
                <w:spacing w:val="5"/>
                <w:sz w:val="24"/>
                <w:szCs w:val="24"/>
              </w:rPr>
              <w:t>家坝湖、三汊港湖南湖周边主要分布有灌丛、灌草丛、沼泽及水</w:t>
            </w:r>
            <w:r>
              <w:rPr>
                <w:rFonts w:hint="default" w:ascii="Times New Roman" w:hAnsi="Times New Roman" w:eastAsia="宋体" w:cs="Times New Roman"/>
                <w:color w:val="auto"/>
                <w:spacing w:val="16"/>
                <w:sz w:val="24"/>
                <w:szCs w:val="24"/>
              </w:rPr>
              <w:t>生等</w:t>
            </w:r>
            <w:r>
              <w:rPr>
                <w:rFonts w:hint="default" w:ascii="Times New Roman" w:hAnsi="Times New Roman" w:eastAsia="宋体" w:cs="Times New Roman"/>
                <w:color w:val="auto"/>
                <w:spacing w:val="11"/>
                <w:sz w:val="24"/>
                <w:szCs w:val="24"/>
              </w:rPr>
              <w:t>植</w:t>
            </w:r>
            <w:r>
              <w:rPr>
                <w:rFonts w:hint="default" w:ascii="Times New Roman" w:hAnsi="Times New Roman" w:eastAsia="宋体" w:cs="Times New Roman"/>
                <w:color w:val="auto"/>
                <w:spacing w:val="8"/>
                <w:sz w:val="24"/>
                <w:szCs w:val="24"/>
              </w:rPr>
              <w:t>被；居民区附近主要分布有阔叶林等，评价区内整体植被分布差异不大。</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cs="Times New Roman"/>
                <w:b/>
                <w:bCs/>
                <w:color w:val="auto"/>
                <w:spacing w:val="10"/>
                <w:sz w:val="24"/>
                <w:szCs w:val="24"/>
                <w:lang w:val="en-US" w:eastAsia="zh-CN"/>
              </w:rPr>
            </w:pPr>
            <w:r>
              <w:rPr>
                <w:rFonts w:hint="eastAsia" w:ascii="Times New Roman" w:hAnsi="Times New Roman" w:cs="Times New Roman"/>
                <w:b/>
                <w:bCs/>
                <w:color w:val="auto"/>
                <w:spacing w:val="10"/>
                <w:sz w:val="24"/>
                <w:szCs w:val="24"/>
                <w:lang w:val="en-US" w:eastAsia="zh-CN"/>
              </w:rPr>
              <w:t>1.2.1.4、</w:t>
            </w:r>
            <w:r>
              <w:rPr>
                <w:rFonts w:hint="default" w:ascii="Times New Roman" w:hAnsi="Times New Roman" w:cs="Times New Roman"/>
                <w:b/>
                <w:bCs/>
                <w:color w:val="auto"/>
                <w:spacing w:val="10"/>
                <w:sz w:val="24"/>
                <w:szCs w:val="24"/>
                <w:lang w:val="en-US" w:eastAsia="zh-CN"/>
              </w:rPr>
              <w:t>珍稀濒危及重点保护植物野生植物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pacing w:val="14"/>
                <w:sz w:val="24"/>
                <w:szCs w:val="24"/>
                <w:u w:val="single"/>
              </w:rPr>
            </w:pPr>
            <w:r>
              <w:rPr>
                <w:rFonts w:hint="eastAsia" w:ascii="Times New Roman" w:hAnsi="Times New Roman" w:eastAsia="宋体" w:cs="Times New Roman"/>
                <w:color w:val="auto"/>
                <w:spacing w:val="14"/>
                <w:sz w:val="24"/>
                <w:szCs w:val="24"/>
                <w:u w:val="single"/>
                <w:lang w:eastAsia="zh-CN"/>
              </w:rPr>
              <w:t>（</w:t>
            </w:r>
            <w:r>
              <w:rPr>
                <w:rFonts w:hint="eastAsia" w:ascii="Times New Roman" w:hAnsi="Times New Roman" w:eastAsia="宋体" w:cs="Times New Roman"/>
                <w:color w:val="auto"/>
                <w:spacing w:val="14"/>
                <w:sz w:val="24"/>
                <w:szCs w:val="24"/>
                <w:u w:val="single"/>
                <w:lang w:val="en-US" w:eastAsia="zh-CN"/>
              </w:rPr>
              <w:t>1</w:t>
            </w:r>
            <w:r>
              <w:rPr>
                <w:rFonts w:hint="eastAsia" w:ascii="Times New Roman" w:hAnsi="Times New Roman" w:eastAsia="宋体" w:cs="Times New Roman"/>
                <w:color w:val="auto"/>
                <w:spacing w:val="14"/>
                <w:sz w:val="24"/>
                <w:szCs w:val="24"/>
                <w:u w:val="single"/>
                <w:lang w:eastAsia="zh-CN"/>
              </w:rPr>
              <w:t>）</w:t>
            </w:r>
            <w:r>
              <w:rPr>
                <w:rFonts w:hint="default" w:ascii="Times New Roman" w:hAnsi="Times New Roman" w:eastAsia="宋体" w:cs="Times New Roman"/>
                <w:color w:val="auto"/>
                <w:spacing w:val="14"/>
                <w:sz w:val="24"/>
                <w:szCs w:val="24"/>
                <w:u w:val="single"/>
              </w:rPr>
              <w:t>珍稀濒危野生植物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14"/>
                <w:sz w:val="24"/>
                <w:szCs w:val="24"/>
                <w:u w:val="single"/>
              </w:rPr>
              <w:t>根</w:t>
            </w:r>
            <w:r>
              <w:rPr>
                <w:rFonts w:hint="default" w:ascii="Times New Roman" w:hAnsi="Times New Roman" w:eastAsia="宋体" w:cs="Times New Roman"/>
                <w:color w:val="auto"/>
                <w:spacing w:val="13"/>
                <w:sz w:val="24"/>
                <w:szCs w:val="24"/>
                <w:u w:val="single"/>
              </w:rPr>
              <w:t>据</w:t>
            </w:r>
            <w:r>
              <w:rPr>
                <w:rFonts w:hint="default" w:ascii="Times New Roman" w:hAnsi="Times New Roman" w:eastAsia="宋体" w:cs="Times New Roman"/>
                <w:color w:val="auto"/>
                <w:spacing w:val="7"/>
                <w:sz w:val="24"/>
                <w:szCs w:val="24"/>
                <w:u w:val="single"/>
              </w:rPr>
              <w:t>《中国生物多样性红色名录-高等植物卷》  (环境保护部中国科学院公</w:t>
            </w:r>
            <w:r>
              <w:rPr>
                <w:rFonts w:hint="default" w:ascii="Times New Roman" w:hAnsi="Times New Roman" w:eastAsia="宋体" w:cs="Times New Roman"/>
                <w:color w:val="auto"/>
                <w:spacing w:val="14"/>
                <w:sz w:val="24"/>
                <w:szCs w:val="24"/>
                <w:u w:val="single"/>
              </w:rPr>
              <w:t>告 2</w:t>
            </w:r>
            <w:r>
              <w:rPr>
                <w:rFonts w:hint="default" w:ascii="Times New Roman" w:hAnsi="Times New Roman" w:eastAsia="宋体" w:cs="Times New Roman"/>
                <w:color w:val="auto"/>
                <w:spacing w:val="11"/>
                <w:sz w:val="24"/>
                <w:szCs w:val="24"/>
                <w:u w:val="single"/>
              </w:rPr>
              <w:t>0</w:t>
            </w:r>
            <w:r>
              <w:rPr>
                <w:rFonts w:hint="default" w:ascii="Times New Roman" w:hAnsi="Times New Roman" w:eastAsia="宋体" w:cs="Times New Roman"/>
                <w:color w:val="auto"/>
                <w:spacing w:val="7"/>
                <w:sz w:val="24"/>
                <w:szCs w:val="24"/>
                <w:u w:val="single"/>
              </w:rPr>
              <w:t>13年第54号) ，结合现场调查，评价区内未发现珍稀濒危植物。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pacing w:val="14"/>
                <w:sz w:val="24"/>
                <w:szCs w:val="24"/>
                <w:u w:val="single"/>
                <w:lang w:eastAsia="zh-CN"/>
              </w:rPr>
            </w:pPr>
            <w:r>
              <w:rPr>
                <w:rFonts w:hint="eastAsia" w:ascii="Times New Roman" w:hAnsi="Times New Roman" w:eastAsia="宋体" w:cs="Times New Roman"/>
                <w:color w:val="auto"/>
                <w:spacing w:val="14"/>
                <w:sz w:val="24"/>
                <w:szCs w:val="24"/>
                <w:u w:val="single"/>
                <w:lang w:eastAsia="zh-CN"/>
              </w:rPr>
              <w:t>（</w:t>
            </w:r>
            <w:r>
              <w:rPr>
                <w:rFonts w:hint="eastAsia" w:ascii="Times New Roman" w:hAnsi="Times New Roman" w:eastAsia="宋体" w:cs="Times New Roman"/>
                <w:color w:val="auto"/>
                <w:spacing w:val="14"/>
                <w:sz w:val="24"/>
                <w:szCs w:val="24"/>
                <w:u w:val="single"/>
                <w:lang w:val="en-US" w:eastAsia="zh-CN"/>
              </w:rPr>
              <w:t>2</w:t>
            </w:r>
            <w:r>
              <w:rPr>
                <w:rFonts w:hint="eastAsia" w:ascii="Times New Roman" w:hAnsi="Times New Roman" w:eastAsia="宋体" w:cs="Times New Roman"/>
                <w:color w:val="auto"/>
                <w:spacing w:val="14"/>
                <w:sz w:val="24"/>
                <w:szCs w:val="24"/>
                <w:u w:val="single"/>
                <w:lang w:eastAsia="zh-CN"/>
              </w:rPr>
              <w:t>）</w:t>
            </w:r>
            <w:r>
              <w:rPr>
                <w:rFonts w:hint="default" w:ascii="Times New Roman" w:hAnsi="Times New Roman" w:eastAsia="宋体" w:cs="Times New Roman"/>
                <w:color w:val="auto"/>
                <w:spacing w:val="14"/>
                <w:sz w:val="24"/>
                <w:szCs w:val="24"/>
                <w:u w:val="single"/>
                <w:lang w:eastAsia="zh-CN"/>
              </w:rPr>
              <w:t>重点保护野生植物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3"/>
                <w:sz w:val="24"/>
                <w:szCs w:val="24"/>
                <w:u w:val="single"/>
              </w:rPr>
              <w:t>根据《国家重点保护野生植物名录》(国家林业和草原局、农业农村部，202</w:t>
            </w:r>
            <w:r>
              <w:rPr>
                <w:rFonts w:hint="default" w:ascii="Times New Roman" w:hAnsi="Times New Roman" w:eastAsia="宋体" w:cs="Times New Roman"/>
                <w:color w:val="auto"/>
                <w:spacing w:val="2"/>
                <w:sz w:val="24"/>
                <w:szCs w:val="24"/>
                <w:u w:val="single"/>
              </w:rPr>
              <w:t>1</w:t>
            </w:r>
            <w:r>
              <w:rPr>
                <w:rFonts w:hint="default" w:ascii="Times New Roman" w:hAnsi="Times New Roman" w:eastAsia="宋体" w:cs="Times New Roman"/>
                <w:color w:val="auto"/>
                <w:spacing w:val="3"/>
                <w:sz w:val="24"/>
                <w:szCs w:val="24"/>
                <w:u w:val="single"/>
              </w:rPr>
              <w:t>年第 15 号，2021年9月7日公布、施行)，结合现场调查，评价区内未</w:t>
            </w:r>
            <w:r>
              <w:rPr>
                <w:rFonts w:hint="default" w:ascii="Times New Roman" w:hAnsi="Times New Roman" w:eastAsia="宋体" w:cs="Times New Roman"/>
                <w:color w:val="auto"/>
                <w:sz w:val="24"/>
                <w:szCs w:val="24"/>
                <w:u w:val="single"/>
              </w:rPr>
              <w:t>发现国</w:t>
            </w:r>
            <w:r>
              <w:rPr>
                <w:rFonts w:hint="default" w:ascii="Times New Roman" w:hAnsi="Times New Roman" w:eastAsia="宋体" w:cs="Times New Roman"/>
                <w:color w:val="auto"/>
                <w:spacing w:val="10"/>
                <w:sz w:val="24"/>
                <w:szCs w:val="24"/>
                <w:u w:val="single"/>
              </w:rPr>
              <w:t>家</w:t>
            </w:r>
            <w:r>
              <w:rPr>
                <w:rFonts w:hint="default" w:ascii="Times New Roman" w:hAnsi="Times New Roman" w:eastAsia="宋体" w:cs="Times New Roman"/>
                <w:color w:val="auto"/>
                <w:spacing w:val="9"/>
                <w:sz w:val="24"/>
                <w:szCs w:val="24"/>
                <w:u w:val="single"/>
              </w:rPr>
              <w:t>级重点保护野生植物，评价区内分布有湖南省级保护植物种类</w:t>
            </w:r>
            <w:r>
              <w:rPr>
                <w:rFonts w:hint="eastAsia" w:ascii="Times New Roman" w:hAnsi="Times New Roman" w:eastAsia="宋体" w:cs="Times New Roman"/>
                <w:color w:val="auto"/>
                <w:spacing w:val="9"/>
                <w:sz w:val="24"/>
                <w:szCs w:val="24"/>
                <w:u w:val="single"/>
                <w:lang w:val="en-US" w:eastAsia="zh-CN"/>
              </w:rPr>
              <w:t>1</w:t>
            </w:r>
            <w:r>
              <w:rPr>
                <w:rFonts w:hint="default" w:ascii="Times New Roman" w:hAnsi="Times New Roman" w:eastAsia="宋体" w:cs="Times New Roman"/>
                <w:color w:val="auto"/>
                <w:spacing w:val="9"/>
                <w:sz w:val="24"/>
                <w:szCs w:val="24"/>
                <w:u w:val="single"/>
              </w:rPr>
              <w:t>种，香蒲(东</w:t>
            </w:r>
            <w:r>
              <w:rPr>
                <w:rFonts w:hint="eastAsia" w:ascii="Times New Roman" w:hAnsi="Times New Roman" w:eastAsia="宋体" w:cs="Times New Roman"/>
                <w:color w:val="auto"/>
                <w:sz w:val="24"/>
                <w:szCs w:val="24"/>
                <w:u w:val="single"/>
                <w:lang w:val="en-US" w:eastAsia="zh-CN"/>
              </w:rPr>
              <w:t>1</w:t>
            </w:r>
            <w:r>
              <w:rPr>
                <w:rFonts w:hint="default" w:ascii="Times New Roman" w:hAnsi="Times New Roman" w:eastAsia="宋体" w:cs="Times New Roman"/>
                <w:color w:val="auto"/>
                <w:spacing w:val="9"/>
                <w:sz w:val="24"/>
                <w:szCs w:val="24"/>
                <w:u w:val="single"/>
              </w:rPr>
              <w:t>方</w:t>
            </w:r>
            <w:r>
              <w:rPr>
                <w:rFonts w:hint="default" w:ascii="Times New Roman" w:hAnsi="Times New Roman" w:eastAsia="宋体" w:cs="Times New Roman"/>
                <w:color w:val="auto"/>
                <w:spacing w:val="6"/>
                <w:sz w:val="24"/>
                <w:szCs w:val="24"/>
                <w:u w:val="single"/>
              </w:rPr>
              <w:t>香蒲)</w:t>
            </w:r>
            <w:r>
              <w:rPr>
                <w:rFonts w:hint="default" w:ascii="Times New Roman" w:hAnsi="Times New Roman" w:eastAsia="宋体" w:cs="Times New Roman"/>
                <w:color w:val="auto"/>
                <w:sz w:val="24"/>
                <w:szCs w:val="24"/>
                <w:u w:val="single"/>
              </w:rPr>
              <w:t>Typhaorientalis</w:t>
            </w:r>
            <w:r>
              <w:rPr>
                <w:rFonts w:hint="default" w:ascii="Times New Roman" w:hAnsi="Times New Roman" w:eastAsia="宋体" w:cs="Times New Roman"/>
                <w:color w:val="auto"/>
                <w:spacing w:val="6"/>
                <w:sz w:val="24"/>
                <w:szCs w:val="24"/>
                <w:u w:val="single"/>
              </w:rPr>
              <w:t xml:space="preserve"> ，但为人工种植。</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pacing w:val="14"/>
                <w:sz w:val="24"/>
                <w:szCs w:val="24"/>
                <w:u w:val="single"/>
                <w:lang w:eastAsia="zh-CN"/>
              </w:rPr>
            </w:pPr>
            <w:r>
              <w:rPr>
                <w:rFonts w:hint="eastAsia" w:ascii="Times New Roman" w:hAnsi="Times New Roman" w:cs="Times New Roman"/>
                <w:color w:val="auto"/>
                <w:spacing w:val="14"/>
                <w:sz w:val="24"/>
                <w:szCs w:val="24"/>
                <w:u w:val="single"/>
                <w:lang w:eastAsia="zh-CN"/>
              </w:rPr>
              <w:t>（</w:t>
            </w:r>
            <w:r>
              <w:rPr>
                <w:rFonts w:hint="eastAsia" w:ascii="Times New Roman" w:hAnsi="Times New Roman" w:cs="Times New Roman"/>
                <w:color w:val="auto"/>
                <w:spacing w:val="14"/>
                <w:sz w:val="24"/>
                <w:szCs w:val="24"/>
                <w:u w:val="single"/>
                <w:lang w:val="en-US" w:eastAsia="zh-CN"/>
              </w:rPr>
              <w:t>3</w:t>
            </w:r>
            <w:r>
              <w:rPr>
                <w:rFonts w:hint="eastAsia" w:ascii="Times New Roman" w:hAnsi="Times New Roman" w:cs="Times New Roman"/>
                <w:color w:val="auto"/>
                <w:spacing w:val="14"/>
                <w:sz w:val="24"/>
                <w:szCs w:val="24"/>
                <w:u w:val="single"/>
                <w:lang w:eastAsia="zh-CN"/>
              </w:rPr>
              <w:t>）</w:t>
            </w:r>
            <w:r>
              <w:rPr>
                <w:rFonts w:hint="default" w:ascii="Times New Roman" w:hAnsi="Times New Roman" w:eastAsia="宋体" w:cs="Times New Roman"/>
                <w:color w:val="auto"/>
                <w:spacing w:val="14"/>
                <w:sz w:val="24"/>
                <w:szCs w:val="24"/>
                <w:u w:val="single"/>
                <w:lang w:eastAsia="zh-CN"/>
              </w:rPr>
              <w:t>中国特有植物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14"/>
                <w:sz w:val="24"/>
                <w:szCs w:val="24"/>
                <w:u w:val="single"/>
              </w:rPr>
              <w:t>根</w:t>
            </w:r>
            <w:r>
              <w:rPr>
                <w:rFonts w:hint="default" w:ascii="Times New Roman" w:hAnsi="Times New Roman" w:eastAsia="宋体" w:cs="Times New Roman"/>
                <w:color w:val="auto"/>
                <w:spacing w:val="13"/>
                <w:sz w:val="24"/>
                <w:szCs w:val="24"/>
                <w:u w:val="single"/>
              </w:rPr>
              <w:t>据</w:t>
            </w:r>
            <w:r>
              <w:rPr>
                <w:rFonts w:hint="default" w:ascii="Times New Roman" w:hAnsi="Times New Roman" w:eastAsia="宋体" w:cs="Times New Roman"/>
                <w:color w:val="auto"/>
                <w:spacing w:val="7"/>
                <w:sz w:val="24"/>
                <w:szCs w:val="24"/>
                <w:u w:val="single"/>
              </w:rPr>
              <w:t>《中国生物多样性红色名录-高等植物卷》(环境保护部中国科学院公</w:t>
            </w:r>
            <w:r>
              <w:rPr>
                <w:rFonts w:hint="default" w:ascii="Times New Roman" w:hAnsi="Times New Roman" w:eastAsia="宋体" w:cs="Times New Roman"/>
                <w:color w:val="auto"/>
                <w:spacing w:val="6"/>
                <w:sz w:val="24"/>
                <w:szCs w:val="24"/>
                <w:u w:val="single"/>
              </w:rPr>
              <w:t>告 2013年第54 号) ，结合现场调查，评价区分布有中国特有植物 29 种</w:t>
            </w:r>
            <w:r>
              <w:rPr>
                <w:rFonts w:hint="default" w:ascii="Times New Roman" w:hAnsi="Times New Roman" w:eastAsia="宋体" w:cs="Times New Roman"/>
                <w:color w:val="auto"/>
                <w:spacing w:val="2"/>
                <w:sz w:val="24"/>
                <w:szCs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cs="Times New Roman"/>
                <w:b/>
                <w:bCs/>
                <w:color w:val="auto"/>
                <w:spacing w:val="10"/>
                <w:sz w:val="24"/>
                <w:szCs w:val="24"/>
                <w:lang w:val="en-US" w:eastAsia="zh-CN"/>
              </w:rPr>
            </w:pPr>
            <w:r>
              <w:rPr>
                <w:rFonts w:hint="eastAsia" w:ascii="Times New Roman" w:hAnsi="Times New Roman" w:cs="Times New Roman"/>
                <w:b/>
                <w:bCs/>
                <w:color w:val="auto"/>
                <w:spacing w:val="10"/>
                <w:sz w:val="24"/>
                <w:szCs w:val="24"/>
                <w:lang w:val="en-US" w:eastAsia="zh-CN"/>
              </w:rPr>
              <w:t>1.2.1.5、</w:t>
            </w:r>
            <w:r>
              <w:rPr>
                <w:rFonts w:hint="default" w:ascii="Times New Roman" w:hAnsi="Times New Roman" w:cs="Times New Roman"/>
                <w:b/>
                <w:bCs/>
                <w:color w:val="auto"/>
                <w:spacing w:val="10"/>
                <w:sz w:val="24"/>
                <w:szCs w:val="24"/>
                <w:lang w:val="en-US" w:eastAsia="zh-CN"/>
              </w:rPr>
              <w:t>外来入侵植物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rPr>
                <w:rFonts w:hint="eastAsia" w:ascii="Times New Roman" w:hAnsi="Times New Roman" w:cs="Times New Roman"/>
                <w:color w:val="auto"/>
                <w:spacing w:val="23"/>
                <w:sz w:val="24"/>
                <w:szCs w:val="24"/>
                <w:lang w:eastAsia="zh-CN"/>
              </w:rPr>
            </w:pPr>
            <w:r>
              <w:rPr>
                <w:rFonts w:hint="default" w:ascii="Times New Roman" w:hAnsi="Times New Roman" w:eastAsia="宋体" w:cs="Times New Roman"/>
                <w:color w:val="auto"/>
                <w:spacing w:val="23"/>
                <w:sz w:val="24"/>
                <w:szCs w:val="24"/>
              </w:rPr>
              <w:t>根据《中国外来入侵物种名单》(第一批，2003年)、《中国外来入侵物种名单》(第二批，2010年)、《中国外来入侵物种名单》(第三批，2014年)、《中国自然生态系统外来入侵物种名单》  (第四批，2016年)，参考本工程所在行政区内关于外来入侵植物的相关资料，通过现场实地调查，评价区最为常见的外来入侵物种有凤眼蓝(Eichhornia crassipes)、加拿大一枝黄花(Solidagocanadensis )、小蓬草(Conyza canadensis )、垂序商陆 (Phytolacca americana )、苏门白酒草(Conyza sumatrensis )、喜旱莲子草(Alternanthera philoxeroides )等种类。其中凤眼蓝、加拿大一枝黄花入侵分布较广、面积较大，危害程度较大。小蓬草、垂序商陆、苏门白酒草、喜旱莲子草等零星分布，入侵危害较小</w:t>
            </w:r>
            <w:r>
              <w:rPr>
                <w:rFonts w:hint="eastAsia" w:ascii="Times New Roman" w:hAnsi="Times New Roman" w:cs="Times New Roman"/>
                <w:color w:val="auto"/>
                <w:spacing w:val="23"/>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eastAsia="宋体" w:cs="Times New Roman"/>
                <w:b/>
                <w:bCs/>
                <w:color w:val="auto"/>
                <w:spacing w:val="23"/>
                <w:sz w:val="24"/>
                <w:szCs w:val="24"/>
              </w:rPr>
            </w:pPr>
            <w:r>
              <w:rPr>
                <w:rFonts w:hint="eastAsia" w:ascii="Times New Roman" w:hAnsi="Times New Roman" w:cs="Times New Roman"/>
                <w:b/>
                <w:bCs/>
                <w:color w:val="auto"/>
                <w:spacing w:val="23"/>
                <w:sz w:val="24"/>
                <w:szCs w:val="24"/>
                <w:lang w:val="en-US" w:eastAsia="zh-CN"/>
              </w:rPr>
              <w:t>1.2.2、</w:t>
            </w:r>
            <w:r>
              <w:rPr>
                <w:rFonts w:hint="default" w:ascii="Times New Roman" w:hAnsi="Times New Roman" w:eastAsia="宋体" w:cs="Times New Roman"/>
                <w:b/>
                <w:bCs/>
                <w:color w:val="auto"/>
                <w:spacing w:val="23"/>
                <w:sz w:val="24"/>
                <w:szCs w:val="24"/>
              </w:rPr>
              <w:t>陆生动物</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eastAsia="宋体" w:cs="Times New Roman"/>
                <w:b/>
                <w:bCs/>
                <w:color w:val="auto"/>
                <w:spacing w:val="23"/>
                <w:sz w:val="24"/>
                <w:szCs w:val="24"/>
              </w:rPr>
            </w:pPr>
            <w:r>
              <w:rPr>
                <w:rFonts w:hint="eastAsia" w:ascii="Times New Roman" w:hAnsi="Times New Roman" w:cs="Times New Roman"/>
                <w:b/>
                <w:bCs/>
                <w:color w:val="auto"/>
                <w:spacing w:val="23"/>
                <w:sz w:val="24"/>
                <w:szCs w:val="24"/>
                <w:lang w:val="en-US" w:eastAsia="zh-CN"/>
              </w:rPr>
              <w:t>1.2.2.1、</w:t>
            </w:r>
            <w:r>
              <w:rPr>
                <w:rFonts w:hint="default" w:ascii="Times New Roman" w:hAnsi="Times New Roman" w:eastAsia="宋体" w:cs="Times New Roman"/>
                <w:b/>
                <w:bCs/>
                <w:color w:val="auto"/>
                <w:spacing w:val="23"/>
                <w:sz w:val="24"/>
                <w:szCs w:val="24"/>
              </w:rPr>
              <w:t>动物区系</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rPr>
                <w:rFonts w:hint="default" w:ascii="Times New Roman" w:hAnsi="Times New Roman" w:eastAsia="宋体" w:cs="Times New Roman"/>
                <w:color w:val="auto"/>
                <w:spacing w:val="23"/>
                <w:sz w:val="24"/>
                <w:szCs w:val="24"/>
              </w:rPr>
            </w:pPr>
            <w:r>
              <w:rPr>
                <w:rFonts w:hint="default" w:ascii="Times New Roman" w:hAnsi="Times New Roman" w:eastAsia="宋体" w:cs="Times New Roman"/>
                <w:color w:val="auto"/>
                <w:spacing w:val="23"/>
                <w:sz w:val="24"/>
                <w:szCs w:val="24"/>
              </w:rPr>
              <w:t>根据《中国动物地理》(科学出版社，2011)，我国动物地理区划分属于世界动物地理分区的古北界与东洋界。两界在我国境内的分界线西起横断山脉北部，经过川北的岷山与陕南的秦岭，向东至淮河南岸，直抵长江口以北。我国动物区系根据陆栖脊椎动物，特别是哺乳类和鸟类的分布情况，可以分为东北区、华北区、蒙新区、青藏区、西南区、华中区及华南区7个区。其中前 4个区属于古北界；后3个区属于东洋界。</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rPr>
                <w:rFonts w:hint="default" w:ascii="Times New Roman" w:hAnsi="Times New Roman" w:eastAsia="宋体" w:cs="Times New Roman"/>
                <w:color w:val="auto"/>
                <w:spacing w:val="23"/>
                <w:sz w:val="24"/>
                <w:szCs w:val="24"/>
              </w:rPr>
            </w:pPr>
            <w:r>
              <w:rPr>
                <w:rFonts w:hint="default" w:ascii="Times New Roman" w:hAnsi="Times New Roman" w:eastAsia="宋体" w:cs="Times New Roman"/>
                <w:color w:val="auto"/>
                <w:spacing w:val="23"/>
                <w:sz w:val="24"/>
                <w:szCs w:val="24"/>
              </w:rPr>
              <w:t>规划评价区位于湖南省岳阳市湘阴县，动物区划属于东洋界—华中区— 东部丘陵平原亚区—长江沿岸平原省—农田湿地动物群。</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eastAsia="宋体" w:cs="Times New Roman"/>
                <w:b/>
                <w:bCs/>
                <w:color w:val="auto"/>
                <w:spacing w:val="23"/>
                <w:sz w:val="24"/>
                <w:szCs w:val="24"/>
              </w:rPr>
            </w:pPr>
            <w:r>
              <w:rPr>
                <w:rFonts w:hint="eastAsia" w:ascii="Times New Roman" w:hAnsi="Times New Roman" w:cs="Times New Roman"/>
                <w:b/>
                <w:bCs/>
                <w:color w:val="auto"/>
                <w:spacing w:val="23"/>
                <w:sz w:val="24"/>
                <w:szCs w:val="24"/>
                <w:lang w:val="en-US" w:eastAsia="zh-CN"/>
              </w:rPr>
              <w:t>1.2.2.2、</w:t>
            </w:r>
            <w:r>
              <w:rPr>
                <w:rFonts w:hint="default" w:ascii="Times New Roman" w:hAnsi="Times New Roman" w:eastAsia="宋体" w:cs="Times New Roman"/>
                <w:b/>
                <w:bCs/>
                <w:color w:val="auto"/>
                <w:spacing w:val="23"/>
                <w:sz w:val="24"/>
                <w:szCs w:val="24"/>
              </w:rPr>
              <w:t>动物资源</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rPr>
                <w:rFonts w:hint="default" w:ascii="Times New Roman" w:hAnsi="Times New Roman" w:eastAsia="宋体" w:cs="Times New Roman"/>
                <w:color w:val="auto"/>
                <w:spacing w:val="23"/>
                <w:sz w:val="24"/>
                <w:szCs w:val="24"/>
              </w:rPr>
            </w:pPr>
            <w:r>
              <w:rPr>
                <w:rFonts w:hint="default" w:ascii="Times New Roman" w:hAnsi="Times New Roman" w:eastAsia="宋体" w:cs="Times New Roman"/>
                <w:color w:val="auto"/>
                <w:spacing w:val="23"/>
                <w:sz w:val="24"/>
                <w:szCs w:val="24"/>
              </w:rPr>
              <w:t>根据搜集的资料、访问调查以及实地考察结果综合分析，规划评价区共记录有陆生野生脊椎动物4纲18目46科84种。规划评价区内未发现国家一级重点保护野生动物，记录有国家二级重点保护野生动物2种，分别是鸿雁和水雉，有湖南省级重点保护野生动物61种。根据《中国生物多样性红色名录》，规划评价纳入濒危EN级别4种，纳入易危VU级别1种，纳入近危NT级别</w:t>
            </w:r>
            <w:r>
              <w:rPr>
                <w:rFonts w:hint="eastAsia" w:ascii="Times New Roman" w:hAnsi="Times New Roman" w:cs="Times New Roman"/>
                <w:color w:val="auto"/>
                <w:spacing w:val="23"/>
                <w:sz w:val="24"/>
                <w:szCs w:val="24"/>
                <w:lang w:val="en-US" w:eastAsia="zh-CN"/>
              </w:rPr>
              <w:t>3</w:t>
            </w:r>
            <w:r>
              <w:rPr>
                <w:rFonts w:hint="default" w:ascii="Times New Roman" w:hAnsi="Times New Roman" w:eastAsia="宋体" w:cs="Times New Roman"/>
                <w:color w:val="auto"/>
                <w:spacing w:val="23"/>
                <w:sz w:val="24"/>
                <w:szCs w:val="24"/>
              </w:rPr>
              <w:t>种，其余76种均为无危，中国特有种</w:t>
            </w:r>
            <w:r>
              <w:rPr>
                <w:rFonts w:hint="eastAsia" w:ascii="Times New Roman" w:hAnsi="Times New Roman" w:cs="Times New Roman"/>
                <w:color w:val="auto"/>
                <w:spacing w:val="23"/>
                <w:sz w:val="24"/>
                <w:szCs w:val="24"/>
                <w:lang w:val="en-US" w:eastAsia="zh-CN"/>
              </w:rPr>
              <w:t>1</w:t>
            </w:r>
            <w:r>
              <w:rPr>
                <w:rFonts w:hint="default" w:ascii="Times New Roman" w:hAnsi="Times New Roman" w:eastAsia="宋体" w:cs="Times New Roman"/>
                <w:color w:val="auto"/>
                <w:spacing w:val="23"/>
                <w:sz w:val="24"/>
                <w:szCs w:val="24"/>
              </w:rPr>
              <w:t>种。</w:t>
            </w:r>
          </w:p>
          <w:p>
            <w:pPr>
              <w:keepNext w:val="0"/>
              <w:keepLines w:val="0"/>
              <w:pageBreakBefore w:val="0"/>
              <w:widowControl w:val="0"/>
              <w:kinsoku/>
              <w:wordWrap/>
              <w:overflowPunct/>
              <w:topLinePunct w:val="0"/>
              <w:autoSpaceDE/>
              <w:autoSpaceDN/>
              <w:bidi w:val="0"/>
              <w:adjustRightInd/>
              <w:snapToGrid/>
              <w:spacing w:line="360" w:lineRule="auto"/>
              <w:ind w:right="0"/>
              <w:rPr>
                <w:rFonts w:hint="default" w:ascii="Times New Roman" w:hAnsi="Times New Roman" w:eastAsia="宋体" w:cs="Times New Roman"/>
                <w:b/>
                <w:bCs/>
                <w:color w:val="auto"/>
                <w:spacing w:val="23"/>
                <w:sz w:val="24"/>
                <w:szCs w:val="24"/>
              </w:rPr>
            </w:pPr>
            <w:r>
              <w:rPr>
                <w:rFonts w:hint="eastAsia" w:ascii="Times New Roman" w:hAnsi="Times New Roman" w:cs="Times New Roman"/>
                <w:b/>
                <w:bCs/>
                <w:color w:val="auto"/>
                <w:spacing w:val="23"/>
                <w:sz w:val="24"/>
                <w:szCs w:val="24"/>
                <w:lang w:val="en-US" w:eastAsia="zh-CN"/>
              </w:rPr>
              <w:t>1.2.2.3、</w:t>
            </w:r>
            <w:r>
              <w:rPr>
                <w:rFonts w:hint="default" w:ascii="Times New Roman" w:hAnsi="Times New Roman" w:eastAsia="宋体" w:cs="Times New Roman"/>
                <w:b/>
                <w:bCs/>
                <w:color w:val="auto"/>
                <w:spacing w:val="23"/>
                <w:sz w:val="24"/>
                <w:szCs w:val="24"/>
              </w:rPr>
              <w:t>陆生动物多样性现状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eastAsia" w:ascii="Times New Roman" w:hAnsi="Times New Roman" w:eastAsia="宋体" w:cs="Times New Roman"/>
                <w:color w:val="auto"/>
                <w:spacing w:val="12"/>
                <w:sz w:val="24"/>
                <w:szCs w:val="24"/>
                <w:lang w:eastAsia="zh-CN"/>
              </w:rPr>
              <w:t>（</w:t>
            </w:r>
            <w:r>
              <w:rPr>
                <w:rFonts w:hint="eastAsia" w:ascii="Times New Roman" w:hAnsi="Times New Roman" w:eastAsia="宋体" w:cs="Times New Roman"/>
                <w:color w:val="auto"/>
                <w:spacing w:val="12"/>
                <w:sz w:val="24"/>
                <w:szCs w:val="24"/>
                <w:lang w:val="en-US" w:eastAsia="zh-CN"/>
              </w:rPr>
              <w:t>1</w:t>
            </w:r>
            <w:r>
              <w:rPr>
                <w:rFonts w:hint="eastAsia" w:ascii="Times New Roman" w:hAnsi="Times New Roman" w:eastAsia="宋体" w:cs="Times New Roman"/>
                <w:color w:val="auto"/>
                <w:spacing w:val="12"/>
                <w:sz w:val="24"/>
                <w:szCs w:val="24"/>
                <w:lang w:eastAsia="zh-CN"/>
              </w:rPr>
              <w:t>）</w:t>
            </w:r>
            <w:r>
              <w:rPr>
                <w:rFonts w:hint="default" w:ascii="Times New Roman" w:hAnsi="Times New Roman" w:eastAsia="宋体" w:cs="Times New Roman"/>
                <w:color w:val="auto"/>
                <w:spacing w:val="12"/>
                <w:sz w:val="24"/>
                <w:szCs w:val="24"/>
              </w:rPr>
              <w:t>两栖类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1)种类、数量及分布现状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规划评价区两栖类有</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目</w:t>
            </w:r>
            <w:r>
              <w:rPr>
                <w:rFonts w:hint="eastAsia" w:ascii="Times New Roman" w:hAnsi="Times New Roman" w:eastAsia="宋体" w:cs="Times New Roman"/>
                <w:color w:val="auto"/>
                <w:spacing w:val="12"/>
                <w:sz w:val="24"/>
                <w:szCs w:val="24"/>
                <w:lang w:val="en-US" w:eastAsia="zh-CN"/>
              </w:rPr>
              <w:t>4</w:t>
            </w:r>
            <w:r>
              <w:rPr>
                <w:rFonts w:hint="default" w:ascii="Times New Roman" w:hAnsi="Times New Roman" w:eastAsia="宋体" w:cs="Times New Roman"/>
                <w:color w:val="auto"/>
                <w:spacing w:val="12"/>
                <w:sz w:val="24"/>
                <w:szCs w:val="24"/>
              </w:rPr>
              <w:t>科</w:t>
            </w:r>
            <w:r>
              <w:rPr>
                <w:rFonts w:hint="eastAsia" w:ascii="Times New Roman" w:hAnsi="Times New Roman" w:eastAsia="宋体" w:cs="Times New Roman"/>
                <w:color w:val="auto"/>
                <w:spacing w:val="12"/>
                <w:sz w:val="24"/>
                <w:szCs w:val="24"/>
                <w:lang w:val="en-US" w:eastAsia="zh-CN"/>
              </w:rPr>
              <w:t>5</w:t>
            </w:r>
            <w:r>
              <w:rPr>
                <w:rFonts w:hint="default" w:ascii="Times New Roman" w:hAnsi="Times New Roman" w:eastAsia="宋体" w:cs="Times New Roman"/>
                <w:color w:val="auto"/>
                <w:spacing w:val="12"/>
                <w:sz w:val="24"/>
                <w:szCs w:val="24"/>
              </w:rPr>
              <w:t>种，分别是中华蟾蜍、黑斑侧褶蛙、沼蛙、泽陆蛙和饰纹姬蛙，根据《中国生物多样性红色名录》，规划区域记录的两栖类中黑斑侧褶蛙为NT近危，其余 4种均为无危，也不属于中国特有种，但均为湖南省重点保护动物。主要在规划区域的湖区及附近的农田、沟渠等活动。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2)区系组成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规划评价区内分布的</w:t>
            </w:r>
            <w:r>
              <w:rPr>
                <w:rFonts w:hint="eastAsia" w:ascii="Times New Roman" w:hAnsi="Times New Roman" w:eastAsia="宋体" w:cs="Times New Roman"/>
                <w:color w:val="auto"/>
                <w:spacing w:val="12"/>
                <w:sz w:val="24"/>
                <w:szCs w:val="24"/>
                <w:lang w:val="en-US" w:eastAsia="zh-CN"/>
              </w:rPr>
              <w:t>5</w:t>
            </w:r>
            <w:r>
              <w:rPr>
                <w:rFonts w:hint="default" w:ascii="Times New Roman" w:hAnsi="Times New Roman" w:eastAsia="宋体" w:cs="Times New Roman"/>
                <w:color w:val="auto"/>
                <w:spacing w:val="12"/>
                <w:sz w:val="24"/>
                <w:szCs w:val="24"/>
              </w:rPr>
              <w:t>种两栖类中，有东洋种</w:t>
            </w:r>
            <w:r>
              <w:rPr>
                <w:rFonts w:hint="eastAsia" w:ascii="Times New Roman" w:hAnsi="Times New Roman" w:eastAsia="宋体" w:cs="Times New Roman"/>
                <w:color w:val="auto"/>
                <w:spacing w:val="12"/>
                <w:sz w:val="24"/>
                <w:szCs w:val="24"/>
                <w:lang w:val="en-US" w:eastAsia="zh-CN"/>
              </w:rPr>
              <w:t>3</w:t>
            </w:r>
            <w:r>
              <w:rPr>
                <w:rFonts w:hint="default" w:ascii="Times New Roman" w:hAnsi="Times New Roman" w:eastAsia="宋体" w:cs="Times New Roman"/>
                <w:color w:val="auto"/>
                <w:spacing w:val="12"/>
                <w:sz w:val="24"/>
                <w:szCs w:val="24"/>
              </w:rPr>
              <w:t>种，广布种 2种，无古北界种类，这与规划区所属动物地理区划相一致。</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3)生态类型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根据生活习性的不同，规划评价区</w:t>
            </w:r>
            <w:r>
              <w:rPr>
                <w:rFonts w:hint="eastAsia" w:ascii="Times New Roman" w:hAnsi="Times New Roman" w:eastAsia="宋体" w:cs="Times New Roman"/>
                <w:color w:val="auto"/>
                <w:spacing w:val="12"/>
                <w:sz w:val="24"/>
                <w:szCs w:val="24"/>
                <w:lang w:val="en-US" w:eastAsia="zh-CN"/>
              </w:rPr>
              <w:t>5</w:t>
            </w:r>
            <w:r>
              <w:rPr>
                <w:rFonts w:hint="default" w:ascii="Times New Roman" w:hAnsi="Times New Roman" w:eastAsia="宋体" w:cs="Times New Roman"/>
                <w:color w:val="auto"/>
                <w:spacing w:val="12"/>
                <w:sz w:val="24"/>
                <w:szCs w:val="24"/>
              </w:rPr>
              <w:t>种两栖动物可以分为</w:t>
            </w:r>
            <w:r>
              <w:rPr>
                <w:rFonts w:hint="eastAsia" w:ascii="Times New Roman" w:hAnsi="Times New Roman" w:eastAsia="宋体" w:cs="Times New Roman"/>
                <w:color w:val="auto"/>
                <w:spacing w:val="12"/>
                <w:sz w:val="24"/>
                <w:szCs w:val="24"/>
                <w:lang w:val="en-US" w:eastAsia="zh-CN"/>
              </w:rPr>
              <w:t>2</w:t>
            </w:r>
            <w:r>
              <w:rPr>
                <w:rFonts w:hint="default" w:ascii="Times New Roman" w:hAnsi="Times New Roman" w:eastAsia="宋体" w:cs="Times New Roman"/>
                <w:color w:val="auto"/>
                <w:spacing w:val="12"/>
                <w:sz w:val="24"/>
                <w:szCs w:val="24"/>
              </w:rPr>
              <w:t xml:space="preserve"> 种生态类型：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静水型(在静水或缓流中觅食)：有黑斑侧褶蛙和沼蛙</w:t>
            </w:r>
            <w:r>
              <w:rPr>
                <w:rFonts w:hint="eastAsia" w:ascii="Times New Roman" w:hAnsi="Times New Roman" w:eastAsia="宋体" w:cs="Times New Roman"/>
                <w:color w:val="auto"/>
                <w:spacing w:val="12"/>
                <w:sz w:val="24"/>
                <w:szCs w:val="24"/>
                <w:lang w:val="en-US" w:eastAsia="zh-CN"/>
              </w:rPr>
              <w:t>2</w:t>
            </w:r>
            <w:r>
              <w:rPr>
                <w:rFonts w:hint="default" w:ascii="Times New Roman" w:hAnsi="Times New Roman" w:eastAsia="宋体" w:cs="Times New Roman"/>
                <w:color w:val="auto"/>
                <w:spacing w:val="12"/>
                <w:sz w:val="24"/>
                <w:szCs w:val="24"/>
              </w:rPr>
              <w:t>种。主要在规划区的湖区及附近的池塘、沟渠、水田等处生活，与人类活动关系较密切。</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陆栖型(在陆地上活动觅食)：中华蟾蜍、泽陆蛙和饰纹姬蛙 3种。它们主要在规划区离水源不远处或较潮湿的陆地上活动，常出现在农田及田埂以及池塘附近的草地。</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eastAsia" w:ascii="Times New Roman" w:hAnsi="Times New Roman" w:eastAsia="宋体" w:cs="Times New Roman"/>
                <w:color w:val="auto"/>
                <w:spacing w:val="12"/>
                <w:sz w:val="24"/>
                <w:szCs w:val="24"/>
                <w:lang w:eastAsia="zh-CN"/>
              </w:rPr>
              <w:t>（</w:t>
            </w:r>
            <w:r>
              <w:rPr>
                <w:rFonts w:hint="eastAsia" w:ascii="Times New Roman" w:hAnsi="Times New Roman" w:eastAsia="宋体" w:cs="Times New Roman"/>
                <w:color w:val="auto"/>
                <w:spacing w:val="12"/>
                <w:sz w:val="24"/>
                <w:szCs w:val="24"/>
                <w:lang w:val="en-US" w:eastAsia="zh-CN"/>
              </w:rPr>
              <w:t>2</w:t>
            </w:r>
            <w:r>
              <w:rPr>
                <w:rFonts w:hint="eastAsia" w:ascii="Times New Roman" w:hAnsi="Times New Roman" w:eastAsia="宋体" w:cs="Times New Roman"/>
                <w:color w:val="auto"/>
                <w:spacing w:val="12"/>
                <w:sz w:val="24"/>
                <w:szCs w:val="24"/>
                <w:lang w:eastAsia="zh-CN"/>
              </w:rPr>
              <w:t>）</w:t>
            </w:r>
            <w:r>
              <w:rPr>
                <w:rFonts w:hint="default" w:ascii="Times New Roman" w:hAnsi="Times New Roman" w:eastAsia="宋体" w:cs="Times New Roman"/>
                <w:color w:val="auto"/>
                <w:spacing w:val="12"/>
                <w:sz w:val="24"/>
                <w:szCs w:val="24"/>
              </w:rPr>
              <w:t>爬行类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1)种类、数量及分布现状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规划评价区爬行类</w:t>
            </w:r>
            <w:r>
              <w:rPr>
                <w:rFonts w:hint="eastAsia" w:ascii="Times New Roman" w:hAnsi="Times New Roman" w:eastAsia="宋体" w:cs="Times New Roman"/>
                <w:color w:val="auto"/>
                <w:spacing w:val="12"/>
                <w:sz w:val="24"/>
                <w:szCs w:val="24"/>
                <w:lang w:val="en-US" w:eastAsia="zh-CN"/>
              </w:rPr>
              <w:t>2</w:t>
            </w:r>
            <w:r>
              <w:rPr>
                <w:rFonts w:hint="default" w:ascii="Times New Roman" w:hAnsi="Times New Roman" w:eastAsia="宋体" w:cs="Times New Roman"/>
                <w:color w:val="auto"/>
                <w:spacing w:val="12"/>
                <w:sz w:val="24"/>
                <w:szCs w:val="24"/>
              </w:rPr>
              <w:t>目</w:t>
            </w:r>
            <w:r>
              <w:rPr>
                <w:rFonts w:hint="eastAsia" w:ascii="Times New Roman" w:hAnsi="Times New Roman" w:eastAsia="宋体" w:cs="Times New Roman"/>
                <w:color w:val="auto"/>
                <w:spacing w:val="12"/>
                <w:sz w:val="24"/>
                <w:szCs w:val="24"/>
                <w:lang w:val="en-US" w:eastAsia="zh-CN"/>
              </w:rPr>
              <w:t>6</w:t>
            </w:r>
            <w:r>
              <w:rPr>
                <w:rFonts w:hint="default" w:ascii="Times New Roman" w:hAnsi="Times New Roman" w:eastAsia="宋体" w:cs="Times New Roman"/>
                <w:color w:val="auto"/>
                <w:spacing w:val="12"/>
                <w:sz w:val="24"/>
                <w:szCs w:val="24"/>
              </w:rPr>
              <w:t>科</w:t>
            </w:r>
            <w:r>
              <w:rPr>
                <w:rFonts w:hint="eastAsia" w:ascii="Times New Roman" w:hAnsi="Times New Roman" w:eastAsia="宋体" w:cs="Times New Roman"/>
                <w:color w:val="auto"/>
                <w:spacing w:val="12"/>
                <w:sz w:val="24"/>
                <w:szCs w:val="24"/>
                <w:lang w:val="en-US" w:eastAsia="zh-CN"/>
              </w:rPr>
              <w:t>10</w:t>
            </w:r>
            <w:r>
              <w:rPr>
                <w:rFonts w:hint="default" w:ascii="Times New Roman" w:hAnsi="Times New Roman" w:eastAsia="宋体" w:cs="Times New Roman"/>
                <w:color w:val="auto"/>
                <w:spacing w:val="12"/>
                <w:sz w:val="24"/>
                <w:szCs w:val="24"/>
              </w:rPr>
              <w:t>种，其中游蛇科</w:t>
            </w:r>
            <w:r>
              <w:rPr>
                <w:rFonts w:hint="eastAsia" w:ascii="Times New Roman" w:hAnsi="Times New Roman" w:eastAsia="宋体" w:cs="Times New Roman"/>
                <w:color w:val="auto"/>
                <w:spacing w:val="12"/>
                <w:sz w:val="24"/>
                <w:szCs w:val="24"/>
                <w:lang w:val="en-US" w:eastAsia="zh-CN"/>
              </w:rPr>
              <w:t>5</w:t>
            </w:r>
            <w:r>
              <w:rPr>
                <w:rFonts w:hint="default" w:ascii="Times New Roman" w:hAnsi="Times New Roman" w:eastAsia="宋体" w:cs="Times New Roman"/>
                <w:color w:val="auto"/>
                <w:spacing w:val="12"/>
                <w:sz w:val="24"/>
                <w:szCs w:val="24"/>
              </w:rPr>
              <w:t>种，鳖科</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种，壁虎科</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种，石龙子科</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种，蜥蜴科</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种，眼镜蛇科</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种。规划评价区未发现国家重点保护的爬行动物，10</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种爬行动物分别是中华鳖、多疣壁虎、铜蜓蜥、北草蜥、银环蛇 (Bungarus multicinctus )、赤链蛇(Lycodon rufozonatum)、黑眉晨蛇 (Orthriophis taeniurus )、王锦蛇(Elaphe carinata )、红纹滞卵蛇 (Oocatochus rufodorsatus)以及虎斑颈槽蛇(Rhabdophis tigrinus)，均为湖南省重点保护野生动物，根据《中国生物多样性红色名录》，规划区域记录的爬行类有</w:t>
            </w:r>
            <w:r>
              <w:rPr>
                <w:rFonts w:hint="eastAsia" w:ascii="Times New Roman" w:hAnsi="Times New Roman" w:eastAsia="宋体" w:cs="Times New Roman"/>
                <w:color w:val="auto"/>
                <w:spacing w:val="12"/>
                <w:sz w:val="24"/>
                <w:szCs w:val="24"/>
                <w:lang w:val="en-US" w:eastAsia="zh-CN"/>
              </w:rPr>
              <w:t>4</w:t>
            </w:r>
            <w:r>
              <w:rPr>
                <w:rFonts w:hint="default" w:ascii="Times New Roman" w:hAnsi="Times New Roman" w:eastAsia="宋体" w:cs="Times New Roman"/>
                <w:color w:val="auto"/>
                <w:spacing w:val="12"/>
                <w:sz w:val="24"/>
                <w:szCs w:val="24"/>
              </w:rPr>
              <w:t>种为濒危等级，分别是中华鳖、银环蛇、黑眉晨蛇和王锦蛇，中国特有种</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种，为北草蜥。</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2)</w:t>
            </w:r>
            <w:r>
              <w:rPr>
                <w:rFonts w:hint="eastAsia" w:ascii="Times New Roman" w:hAnsi="Times New Roman" w:eastAsia="宋体" w:cs="Times New Roman"/>
                <w:color w:val="auto"/>
                <w:spacing w:val="12"/>
                <w:sz w:val="24"/>
                <w:szCs w:val="24"/>
                <w:lang w:val="en-US" w:eastAsia="zh-CN"/>
              </w:rPr>
              <w:t>2</w:t>
            </w:r>
            <w:r>
              <w:rPr>
                <w:rFonts w:hint="default" w:ascii="Times New Roman" w:hAnsi="Times New Roman" w:eastAsia="宋体" w:cs="Times New Roman"/>
                <w:color w:val="auto"/>
                <w:spacing w:val="12"/>
                <w:sz w:val="24"/>
                <w:szCs w:val="24"/>
              </w:rPr>
              <w:t>区系组成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规划评价区分布的</w:t>
            </w:r>
            <w:r>
              <w:rPr>
                <w:rFonts w:hint="eastAsia" w:ascii="Times New Roman" w:hAnsi="Times New Roman" w:eastAsia="宋体" w:cs="Times New Roman"/>
                <w:color w:val="auto"/>
                <w:spacing w:val="12"/>
                <w:sz w:val="24"/>
                <w:szCs w:val="24"/>
                <w:lang w:val="en-US" w:eastAsia="zh-CN"/>
              </w:rPr>
              <w:t>10</w:t>
            </w:r>
            <w:r>
              <w:rPr>
                <w:rFonts w:hint="default" w:ascii="Times New Roman" w:hAnsi="Times New Roman" w:eastAsia="宋体" w:cs="Times New Roman"/>
                <w:color w:val="auto"/>
                <w:spacing w:val="12"/>
                <w:sz w:val="24"/>
                <w:szCs w:val="24"/>
              </w:rPr>
              <w:t>种爬行类中，广布种</w:t>
            </w:r>
            <w:r>
              <w:rPr>
                <w:rFonts w:hint="eastAsia" w:ascii="Times New Roman" w:hAnsi="Times New Roman" w:eastAsia="宋体" w:cs="Times New Roman"/>
                <w:color w:val="auto"/>
                <w:spacing w:val="12"/>
                <w:sz w:val="24"/>
                <w:szCs w:val="24"/>
                <w:lang w:val="en-US" w:eastAsia="zh-CN"/>
              </w:rPr>
              <w:t>3</w:t>
            </w:r>
            <w:r>
              <w:rPr>
                <w:rFonts w:hint="default" w:ascii="Times New Roman" w:hAnsi="Times New Roman" w:eastAsia="宋体" w:cs="Times New Roman"/>
                <w:color w:val="auto"/>
                <w:spacing w:val="12"/>
                <w:sz w:val="24"/>
                <w:szCs w:val="24"/>
              </w:rPr>
              <w:t>种，东洋种</w:t>
            </w:r>
            <w:r>
              <w:rPr>
                <w:rFonts w:hint="eastAsia" w:ascii="Times New Roman" w:hAnsi="Times New Roman" w:eastAsia="宋体" w:cs="Times New Roman"/>
                <w:color w:val="auto"/>
                <w:spacing w:val="12"/>
                <w:sz w:val="24"/>
                <w:szCs w:val="24"/>
                <w:lang w:val="en-US" w:eastAsia="zh-CN"/>
              </w:rPr>
              <w:t>7</w:t>
            </w:r>
            <w:r>
              <w:rPr>
                <w:rFonts w:hint="default" w:ascii="Times New Roman" w:hAnsi="Times New Roman" w:eastAsia="宋体" w:cs="Times New Roman"/>
                <w:color w:val="auto"/>
                <w:spacing w:val="12"/>
                <w:sz w:val="24"/>
                <w:szCs w:val="24"/>
              </w:rPr>
              <w:t>种，无古北种分布，评价区所属动物地理区划相一致。</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3) 生态类型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根据规划评价区内爬行动物生活习性的不同，可以将</w:t>
            </w:r>
            <w:r>
              <w:rPr>
                <w:rFonts w:hint="eastAsia" w:ascii="Times New Roman" w:hAnsi="Times New Roman" w:eastAsia="宋体" w:cs="Times New Roman"/>
                <w:color w:val="auto"/>
                <w:spacing w:val="12"/>
                <w:sz w:val="24"/>
                <w:szCs w:val="24"/>
                <w:lang w:val="en-US" w:eastAsia="zh-CN"/>
              </w:rPr>
              <w:t>10</w:t>
            </w:r>
            <w:r>
              <w:rPr>
                <w:rFonts w:hint="default" w:ascii="Times New Roman" w:hAnsi="Times New Roman" w:eastAsia="宋体" w:cs="Times New Roman"/>
                <w:color w:val="auto"/>
                <w:spacing w:val="12"/>
                <w:sz w:val="24"/>
                <w:szCs w:val="24"/>
              </w:rPr>
              <w:t xml:space="preserve"> 种爬行类分为以下</w:t>
            </w:r>
            <w:r>
              <w:rPr>
                <w:rFonts w:hint="eastAsia" w:ascii="Times New Roman" w:hAnsi="Times New Roman" w:eastAsia="宋体" w:cs="Times New Roman"/>
                <w:color w:val="auto"/>
                <w:spacing w:val="12"/>
                <w:sz w:val="24"/>
                <w:szCs w:val="24"/>
                <w:lang w:val="en-US" w:eastAsia="zh-CN"/>
              </w:rPr>
              <w:t>4</w:t>
            </w:r>
            <w:r>
              <w:rPr>
                <w:rFonts w:hint="default" w:ascii="Times New Roman" w:hAnsi="Times New Roman" w:eastAsia="宋体" w:cs="Times New Roman"/>
                <w:color w:val="auto"/>
                <w:spacing w:val="12"/>
                <w:sz w:val="24"/>
                <w:szCs w:val="24"/>
              </w:rPr>
              <w:t>种生态类型：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住宅型(在住宅区的建筑物中筑巢、繁殖、活动) ：有多疣壁虎</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种，主要分布在规划区的居民建筑物附近，访问调查在居民楼里出现过。</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灌丛石隙型(经常活动在灌丛下面，路边石缝中的爬行类)：铜蜓蜥、北草蜥2种。它们主要在规划区的路边、田埂及附近的灌丛活动。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林栖傍水型(在有小河的树林或河汊池沼中活动)：包括银环蛇、赤链蛇、黑眉晨蛇、王锦蛇、红纹滞卵蛇、虎斑颈槽蛇</w:t>
            </w:r>
            <w:r>
              <w:rPr>
                <w:rFonts w:hint="eastAsia" w:ascii="Times New Roman" w:hAnsi="Times New Roman" w:eastAsia="宋体" w:cs="Times New Roman"/>
                <w:color w:val="auto"/>
                <w:spacing w:val="12"/>
                <w:sz w:val="24"/>
                <w:szCs w:val="24"/>
                <w:lang w:val="en-US" w:eastAsia="zh-CN"/>
              </w:rPr>
              <w:t>6</w:t>
            </w:r>
            <w:r>
              <w:rPr>
                <w:rFonts w:hint="default" w:ascii="Times New Roman" w:hAnsi="Times New Roman" w:eastAsia="宋体" w:cs="Times New Roman"/>
                <w:color w:val="auto"/>
                <w:spacing w:val="12"/>
                <w:sz w:val="24"/>
                <w:szCs w:val="24"/>
              </w:rPr>
              <w:t>种，其中红纹滞卵蛇属于半水栖型。它们主要在规划区的湖泊、池塘、沟渠及附近的草地活动。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水栖型(在水中生活、觅食的爬行类)：中华鳖</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种，主要捕食蛙、虾、小鱼等，主要在规划区域的湖泊水体中活动。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eastAsia" w:ascii="Times New Roman" w:hAnsi="Times New Roman" w:eastAsia="宋体" w:cs="Times New Roman"/>
                <w:color w:val="auto"/>
                <w:spacing w:val="12"/>
                <w:sz w:val="24"/>
                <w:szCs w:val="24"/>
                <w:lang w:eastAsia="zh-CN"/>
              </w:rPr>
              <w:t>（</w:t>
            </w:r>
            <w:r>
              <w:rPr>
                <w:rFonts w:hint="eastAsia" w:ascii="Times New Roman" w:hAnsi="Times New Roman" w:eastAsia="宋体" w:cs="Times New Roman"/>
                <w:color w:val="auto"/>
                <w:spacing w:val="12"/>
                <w:sz w:val="24"/>
                <w:szCs w:val="24"/>
                <w:lang w:val="en-US" w:eastAsia="zh-CN"/>
              </w:rPr>
              <w:t>3</w:t>
            </w:r>
            <w:r>
              <w:rPr>
                <w:rFonts w:hint="eastAsia" w:ascii="Times New Roman" w:hAnsi="Times New Roman" w:eastAsia="宋体" w:cs="Times New Roman"/>
                <w:color w:val="auto"/>
                <w:spacing w:val="12"/>
                <w:sz w:val="24"/>
                <w:szCs w:val="24"/>
                <w:lang w:eastAsia="zh-CN"/>
              </w:rPr>
              <w:t>）</w:t>
            </w:r>
            <w:r>
              <w:rPr>
                <w:rFonts w:hint="default" w:ascii="Times New Roman" w:hAnsi="Times New Roman" w:eastAsia="宋体" w:cs="Times New Roman"/>
                <w:color w:val="auto"/>
                <w:spacing w:val="12"/>
                <w:sz w:val="24"/>
                <w:szCs w:val="24"/>
              </w:rPr>
              <w:t>鸟类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1)种类、数量及分布</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规划区鸟类有</w:t>
            </w:r>
            <w:r>
              <w:rPr>
                <w:rFonts w:hint="eastAsia" w:ascii="Times New Roman" w:hAnsi="Times New Roman" w:eastAsia="宋体" w:cs="Times New Roman"/>
                <w:color w:val="auto"/>
                <w:spacing w:val="12"/>
                <w:sz w:val="24"/>
                <w:szCs w:val="24"/>
                <w:lang w:val="en-US" w:eastAsia="zh-CN"/>
              </w:rPr>
              <w:t>11</w:t>
            </w:r>
            <w:r>
              <w:rPr>
                <w:rFonts w:hint="default" w:ascii="Times New Roman" w:hAnsi="Times New Roman" w:eastAsia="宋体" w:cs="Times New Roman"/>
                <w:color w:val="auto"/>
                <w:spacing w:val="12"/>
                <w:sz w:val="24"/>
                <w:szCs w:val="24"/>
              </w:rPr>
              <w:t>目</w:t>
            </w:r>
            <w:r>
              <w:rPr>
                <w:rFonts w:hint="eastAsia" w:ascii="Times New Roman" w:hAnsi="Times New Roman" w:eastAsia="宋体" w:cs="Times New Roman"/>
                <w:color w:val="auto"/>
                <w:spacing w:val="12"/>
                <w:sz w:val="24"/>
                <w:szCs w:val="24"/>
                <w:lang w:val="en-US" w:eastAsia="zh-CN"/>
              </w:rPr>
              <w:t>32</w:t>
            </w:r>
            <w:r>
              <w:rPr>
                <w:rFonts w:hint="default" w:ascii="Times New Roman" w:hAnsi="Times New Roman" w:eastAsia="宋体" w:cs="Times New Roman"/>
                <w:color w:val="auto"/>
                <w:spacing w:val="12"/>
                <w:sz w:val="24"/>
                <w:szCs w:val="24"/>
              </w:rPr>
              <w:t>科</w:t>
            </w:r>
            <w:r>
              <w:rPr>
                <w:rFonts w:hint="eastAsia" w:ascii="Times New Roman" w:hAnsi="Times New Roman" w:eastAsia="宋体" w:cs="Times New Roman"/>
                <w:color w:val="auto"/>
                <w:spacing w:val="12"/>
                <w:sz w:val="24"/>
                <w:szCs w:val="24"/>
                <w:lang w:val="en-US" w:eastAsia="zh-CN"/>
              </w:rPr>
              <w:t>62</w:t>
            </w:r>
            <w:r>
              <w:rPr>
                <w:rFonts w:hint="default" w:ascii="Times New Roman" w:hAnsi="Times New Roman" w:eastAsia="宋体" w:cs="Times New Roman"/>
                <w:color w:val="auto"/>
                <w:spacing w:val="12"/>
                <w:sz w:val="24"/>
                <w:szCs w:val="24"/>
              </w:rPr>
              <w:t>种，未记录国家一级重点保护野生鸟类，有国家二级重点保护野生鸟类</w:t>
            </w:r>
            <w:r>
              <w:rPr>
                <w:rFonts w:hint="eastAsia" w:ascii="Times New Roman" w:hAnsi="Times New Roman" w:eastAsia="宋体" w:cs="Times New Roman"/>
                <w:color w:val="auto"/>
                <w:spacing w:val="12"/>
                <w:sz w:val="24"/>
                <w:szCs w:val="24"/>
                <w:lang w:val="en-US" w:eastAsia="zh-CN"/>
              </w:rPr>
              <w:t>2</w:t>
            </w:r>
            <w:r>
              <w:rPr>
                <w:rFonts w:hint="default" w:ascii="Times New Roman" w:hAnsi="Times New Roman" w:eastAsia="宋体" w:cs="Times New Roman"/>
                <w:color w:val="auto"/>
                <w:spacing w:val="12"/>
                <w:sz w:val="24"/>
                <w:szCs w:val="24"/>
              </w:rPr>
              <w:t>种，分别是鸿雁和水雉，湖南省重点保护野生鸟类</w:t>
            </w:r>
            <w:r>
              <w:rPr>
                <w:rFonts w:hint="eastAsia" w:ascii="Times New Roman" w:hAnsi="Times New Roman" w:eastAsia="宋体" w:cs="Times New Roman"/>
                <w:color w:val="auto"/>
                <w:spacing w:val="12"/>
                <w:sz w:val="24"/>
                <w:szCs w:val="24"/>
                <w:lang w:val="en-US" w:eastAsia="zh-CN"/>
              </w:rPr>
              <w:t>43</w:t>
            </w:r>
            <w:r>
              <w:rPr>
                <w:rFonts w:hint="default" w:ascii="Times New Roman" w:hAnsi="Times New Roman" w:eastAsia="宋体" w:cs="Times New Roman"/>
                <w:color w:val="auto"/>
                <w:spacing w:val="12"/>
                <w:sz w:val="24"/>
                <w:szCs w:val="24"/>
              </w:rPr>
              <w:t>种。根据《中国生物多样性红色名录》，规划区域记录的鸟类有</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种为易危</w:t>
            </w:r>
            <w:r>
              <w:rPr>
                <w:rFonts w:hint="eastAsia" w:ascii="Times New Roman" w:hAnsi="Times New Roman" w:eastAsia="宋体" w:cs="Times New Roman"/>
                <w:color w:val="auto"/>
                <w:spacing w:val="12"/>
                <w:sz w:val="24"/>
                <w:szCs w:val="24"/>
                <w:lang w:val="en-US" w:eastAsia="zh-CN"/>
              </w:rPr>
              <w:t>1</w:t>
            </w:r>
            <w:r>
              <w:rPr>
                <w:rFonts w:hint="default" w:ascii="Times New Roman" w:hAnsi="Times New Roman" w:eastAsia="宋体" w:cs="Times New Roman"/>
                <w:color w:val="auto"/>
                <w:spacing w:val="12"/>
                <w:sz w:val="24"/>
                <w:szCs w:val="24"/>
              </w:rPr>
              <w:t>等级，为鸿雁，2种为近危，为罗纹鸭 (Anasfalcata )和水雉。</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2)区系组成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规划区分布的</w:t>
            </w:r>
            <w:r>
              <w:rPr>
                <w:rFonts w:hint="eastAsia" w:ascii="Times New Roman" w:hAnsi="Times New Roman" w:eastAsia="宋体" w:cs="Times New Roman"/>
                <w:color w:val="auto"/>
                <w:spacing w:val="12"/>
                <w:sz w:val="24"/>
                <w:szCs w:val="24"/>
                <w:lang w:val="en-US" w:eastAsia="zh-CN"/>
              </w:rPr>
              <w:t>62</w:t>
            </w:r>
            <w:r>
              <w:rPr>
                <w:rFonts w:hint="default" w:ascii="Times New Roman" w:hAnsi="Times New Roman" w:eastAsia="宋体" w:cs="Times New Roman"/>
                <w:color w:val="auto"/>
                <w:spacing w:val="12"/>
                <w:sz w:val="24"/>
                <w:szCs w:val="24"/>
              </w:rPr>
              <w:t>种鸟类中，东洋种有</w:t>
            </w:r>
            <w:r>
              <w:rPr>
                <w:rFonts w:hint="eastAsia" w:ascii="Times New Roman" w:hAnsi="Times New Roman" w:eastAsia="宋体" w:cs="Times New Roman"/>
                <w:color w:val="auto"/>
                <w:spacing w:val="12"/>
                <w:sz w:val="24"/>
                <w:szCs w:val="24"/>
                <w:lang w:val="en-US" w:eastAsia="zh-CN"/>
              </w:rPr>
              <w:t>22</w:t>
            </w:r>
            <w:r>
              <w:rPr>
                <w:rFonts w:hint="default" w:ascii="Times New Roman" w:hAnsi="Times New Roman" w:eastAsia="宋体" w:cs="Times New Roman"/>
                <w:color w:val="auto"/>
                <w:spacing w:val="12"/>
                <w:sz w:val="24"/>
                <w:szCs w:val="24"/>
              </w:rPr>
              <w:t>种，占全部鸟类种数的35.48%；古北种有</w:t>
            </w:r>
            <w:r>
              <w:rPr>
                <w:rFonts w:hint="eastAsia" w:ascii="Times New Roman" w:hAnsi="Times New Roman" w:eastAsia="宋体" w:cs="Times New Roman"/>
                <w:color w:val="auto"/>
                <w:spacing w:val="12"/>
                <w:sz w:val="24"/>
                <w:szCs w:val="24"/>
                <w:lang w:val="en-US" w:eastAsia="zh-CN"/>
              </w:rPr>
              <w:t>28</w:t>
            </w:r>
            <w:r>
              <w:rPr>
                <w:rFonts w:hint="default" w:ascii="Times New Roman" w:hAnsi="Times New Roman" w:eastAsia="宋体" w:cs="Times New Roman"/>
                <w:color w:val="auto"/>
                <w:spacing w:val="12"/>
                <w:sz w:val="24"/>
                <w:szCs w:val="24"/>
              </w:rPr>
              <w:t>种，占全部鸟类种数的45.16%；广布种有12种，占全部鸟类种数的19.36%。</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3)居留型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规划区分布的62种鸟类中，冬候鸟有25种，占全部鸟类种数的40.32%；夏候鸟有12种，占全部鸟类种数的12.91%；留鸟29种，占全部鸟类种数的46.77%。规划区内鸟类出现了古北界向东洋界渗透的现象。</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4)生态类型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按生活习性来分，可以将62种鸟类大致分为以下5种生态类型：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游禽 (具有遍阔或尖的嘴，脚趾间有蹼膜，走路和游泳向后伸，善于游泳，潜水和在水中获取食物。不善于在陆地上行走，但飞翔迅速，多生活在水上)：规划评价区有雁形目鸭科、鸊鷉目鸊鷉科、鸻形目鸥科、鲣鸟目鸬鹚科的种类，主要有鸿雁、豆雁(Anserfabalis )、灰雁(Anser anser)、斑嘴鸭(Anas  poecilorhyncha )、绿头鸭(Anas platyrhynchos )、绿翅鸭(Anas crecca)、罗纹鸭、针尾鸭(Anas acuta )、小鸊鷉(Tachybaptus ruficollis )、凤头鸊鷉(Podiceps cristatus)、灰翅浮鸥(Chlidonias hybrida )、西伯利亚银鸥(Larus smithsonianus )和普通鸬鹚等 13 种，主要分布在白泥湖区，其中较为常见的斑嘴鸭、绿头鸭、小鸊鷉、凤头鸊鷉、灰翅浮鸥、西伯利亚银鸥在范家坝湖和三汊港南湖也分布有少量分布。</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涉禽 (嘴，颈和脚都比较长，脚趾也很长，适于涉水行进，不会游泳，常用长嘴插入水底或地面取食)：规划评价区有鹤形目、鸻形目(不包括鸥科)、鹈形目的种类，主要有黑水鸡 (Gallinula chloropus)、白骨顶(Fulica atra )、红脚田鸡、反嘴鹬 (Recurvirostra avosetta )、凤头麦鸡、水雉、白腰草鹬(Tringa ochropus)、青脚鹬(Tringa nebularia )、红脚鹬(Tringa totanus )、夜鹭(Nycticorax nycticorax、池鹭、白鹭、苍鹭 (Ardea cinerea )、牛背鹭共14种；它们在规划区主要活动于白泥湖、范家坝湖和三汊港南湖的浅水区、滩涂和近水的围堤上和水田中。其中白骨顶和水雉主要出现在白泥湖。</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陆禽(体格结实，嘴坚硬，脚强而有力，适于挖土，多在地面活动觅食)：包括鸡形目和鸽形目的所有种。有环颈雉 (Phasianus colchicus )、珠颈斑鸠(Streptopelia chinensis ) 和山斑鸠 (Streptopelia orcentalis ) 共 3 种；它们在规划区主要分布于林缘地带、农田，其中珠颈斑鸠和山斑鸠常出现在电线杠上活动。</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攀禽(嘴、脚和尾的构造都很特殊，善于在树上攀缘)：评价区有佛法僧目、犀鸟目的种类，有戴胜(Upupa epops)、普通翠鸟(Alcedo atthis )和斑鱼狗(Ceryle rudis ) 3 种；戴胜主要分布在湖区的林缘，偶尔在草地上活动，普通翠鸟和斑鱼 狗常活动在离湖区不远的乔木、灌丛或电线杠上。</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鸣禽(鸣管和鸣肌特别发达。一般体形较小，体态轻捷，活泼灵巧，善于鸣叫和歌唱，且巧于筑巢)：评价区内为雀形 目的种类。有黑卷尾 (Dicrurus  macrocercus ) 、棕背伯劳、家燕、金腰燕、白鹡鸰、领雀嘴鹎、八哥、喜鹊、丝光椋鸟、白颊噪鹛(Garrulax sannio )、麻雀、棕头鸦雀、小鹀(Emberiza pusilla ) 等 29种，它们在评价区范围内广泛分布。不论是种类还是数量，鸣禽都占绝对优势。</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5)评价区越冬期鸟类现状及分布情况</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根据现场调查结合访问调查，每年</w:t>
            </w:r>
            <w:r>
              <w:rPr>
                <w:rFonts w:hint="eastAsia" w:ascii="Times New Roman" w:hAnsi="Times New Roman" w:eastAsia="宋体" w:cs="Times New Roman"/>
                <w:color w:val="auto"/>
                <w:spacing w:val="12"/>
                <w:sz w:val="24"/>
                <w:szCs w:val="24"/>
                <w:lang w:val="en-US" w:eastAsia="zh-CN"/>
              </w:rPr>
              <w:t>10</w:t>
            </w:r>
            <w:r>
              <w:rPr>
                <w:rFonts w:hint="default" w:ascii="Times New Roman" w:hAnsi="Times New Roman" w:eastAsia="宋体" w:cs="Times New Roman"/>
                <w:color w:val="auto"/>
                <w:spacing w:val="12"/>
                <w:sz w:val="24"/>
                <w:szCs w:val="24"/>
              </w:rPr>
              <w:t>月至次年</w:t>
            </w:r>
            <w:r>
              <w:rPr>
                <w:rFonts w:hint="eastAsia" w:ascii="Times New Roman" w:hAnsi="Times New Roman" w:eastAsia="宋体" w:cs="Times New Roman"/>
                <w:color w:val="auto"/>
                <w:spacing w:val="12"/>
                <w:sz w:val="24"/>
                <w:szCs w:val="24"/>
                <w:lang w:val="en-US" w:eastAsia="zh-CN"/>
              </w:rPr>
              <w:t>2</w:t>
            </w:r>
            <w:r>
              <w:rPr>
                <w:rFonts w:hint="default" w:ascii="Times New Roman" w:hAnsi="Times New Roman" w:eastAsia="宋体" w:cs="Times New Roman"/>
                <w:color w:val="auto"/>
                <w:spacing w:val="12"/>
                <w:sz w:val="24"/>
                <w:szCs w:val="24"/>
              </w:rPr>
              <w:t>月，规划区域内会有一些冬候鸟来此越冬，规划区域内冬候鸟共记录有 25种，主要有鸿雁、豆雁、灰雁、斑嘴鸭、绿头鸭、绿翅鸭、罗纹鸭、针尾鸭、凤头鸊鷉、白骨顶、反嘴鹬、凤头麦鸡、水雉、白腰草鹬、青脚鹬、红脚鹬、西伯利亚银鸥、普通鸬鹚、苍鹭、丝光椋鸟、北红尾鸲、黑尾蜡嘴雀(Eophona migratoria )、燕雀 (Fringilla montifringilla )、灰头鹀 (Emberiza spodocephala )、小鹀等种类。冬候鸟中游禽和涉禽主要分布在白泥湖，在范家坝湖和三汊港南湖也有分布，其他鸣禽主要分布在规划区域的林缘及灌丛。</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6)栖息地现状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根据现场访问调查及观鸟爱好者记录，白泥湖自2017年开始种植芡实和菱角，给鸟类提供了充足的食物和适合繁衍的环境。根据记录，白泥湖吸引了大量的水鸟来此栖息繁殖，数量尤其多的是灰翅浮鸥、白鹭、池鹭等，同时也吸引了国家二级保护鸟类水雉来此栖息繁殖。通过近几年的观测，白泥湖已成为灰翅浮鸥、水雉等夏候鸟在该区域的繁殖栖息地。</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7)工程区域鸟类迁徙现状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鸟类迁徙通道泛指鸟类中的某些种类，每年春季和秋季，有规律的、沿相对固定的路线、定时地在繁殖地区和越冬地区之间进行的长距离的往返移居的行为现象。湖南省地处华夏大地中部，位于西伯利亚-澳大利亚鸟类迁徙通道上。由于环境和地势的复杂性，在不同地域鸟类迁徙的路线和方式各有不同。</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12"/>
                <w:sz w:val="24"/>
                <w:szCs w:val="24"/>
              </w:rPr>
            </w:pPr>
            <w:r>
              <w:rPr>
                <w:rFonts w:hint="default" w:ascii="Times New Roman" w:hAnsi="Times New Roman" w:eastAsia="宋体" w:cs="Times New Roman"/>
                <w:color w:val="auto"/>
                <w:spacing w:val="12"/>
                <w:sz w:val="24"/>
                <w:szCs w:val="24"/>
              </w:rPr>
              <w:t>依据历史记载和邓学建教授等专家多年的研究成果，湖南主要有3条鸟类迁徙通道，主要涉及蓝山、桂东、炎陵、新邵、隆回、新宁、城步、道县、新化、通道</w:t>
            </w:r>
            <w:r>
              <w:rPr>
                <w:rFonts w:hint="default" w:ascii="Times New Roman" w:hAnsi="Times New Roman" w:eastAsia="宋体" w:cs="Times New Roman"/>
                <w:color w:val="auto"/>
                <w:spacing w:val="12"/>
                <w:sz w:val="24"/>
                <w:szCs w:val="24"/>
                <w:lang w:val="en-US" w:eastAsia="zh-CN"/>
              </w:rPr>
              <w:t>10</w:t>
            </w:r>
            <w:r>
              <w:rPr>
                <w:rFonts w:hint="default" w:ascii="Times New Roman" w:hAnsi="Times New Roman" w:eastAsia="宋体" w:cs="Times New Roman"/>
                <w:color w:val="auto"/>
                <w:spacing w:val="12"/>
                <w:sz w:val="24"/>
                <w:szCs w:val="24"/>
              </w:rPr>
              <w:t>县。其中东部的罗霄山脉和西部的雪峰山脉迁徙通道属于窄幅通道，而中部的属于宽幅迁徙通道，即遍于整个湘中地区，只是在个别区域，像南北方向 的山脉沟谷地带，形成局部的窄幅迁徙通道。经过窄迁徙通道的大多是水禽，如鹳形目鹭科鸟类、鹤形目秧鸡科鸟类，其他种类倾向于选择宽迁徙通道，从湘中地区向南飞去。</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pacing w:val="23"/>
                <w:sz w:val="24"/>
                <w:szCs w:val="24"/>
              </w:rPr>
            </w:pPr>
            <w:r>
              <w:rPr>
                <w:rFonts w:hint="default" w:ascii="Times New Roman" w:hAnsi="Times New Roman" w:eastAsia="宋体" w:cs="Times New Roman"/>
                <w:color w:val="auto"/>
                <w:spacing w:val="12"/>
                <w:sz w:val="24"/>
                <w:szCs w:val="24"/>
              </w:rPr>
              <w:t>项目区位于湖南省岳阳市湘阴县，地属长江中、下游平原地区，区域为洞庭湖以南的湘江与资江上。洞庭湖有独特的湿地生态系统，成为许多候鸟的季节性栖息地或迁徙中转站，是东南亚候鸟迁徙的重要驿站，位于湖南省中部的宽幅鸟类迁徙通道上。</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pacing w:val="23"/>
                <w:sz w:val="24"/>
                <w:szCs w:val="24"/>
                <w:lang w:val="en-US" w:eastAsia="zh-CN"/>
              </w:rPr>
            </w:pPr>
            <w:r>
              <w:rPr>
                <w:rFonts w:hint="default" w:ascii="Times New Roman" w:hAnsi="Times New Roman" w:eastAsia="宋体" w:cs="Times New Roman"/>
                <w:b/>
                <w:bCs/>
                <w:color w:val="auto"/>
                <w:spacing w:val="23"/>
                <w:sz w:val="24"/>
                <w:szCs w:val="24"/>
                <w:lang w:val="en-US" w:eastAsia="zh-CN"/>
              </w:rPr>
              <w:t>1.2.2.4、重要物种现状</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7"/>
                <w:sz w:val="24"/>
                <w:szCs w:val="24"/>
                <w:u w:val="single"/>
              </w:rPr>
              <w:t>重点评价范围内记录有国家重点野生保护动物 2 种，为水雉和鸿雁</w:t>
            </w:r>
            <w:r>
              <w:rPr>
                <w:rFonts w:hint="default" w:ascii="Times New Roman" w:hAnsi="Times New Roman" w:eastAsia="宋体" w:cs="Times New Roman"/>
                <w:color w:val="auto"/>
                <w:spacing w:val="5"/>
                <w:sz w:val="24"/>
                <w:szCs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24"/>
                <w:sz w:val="24"/>
                <w:szCs w:val="24"/>
                <w:u w:val="single"/>
              </w:rPr>
              <w:t>(</w:t>
            </w:r>
            <w:r>
              <w:rPr>
                <w:rFonts w:hint="default" w:ascii="Times New Roman" w:hAnsi="Times New Roman" w:eastAsia="宋体" w:cs="Times New Roman"/>
                <w:color w:val="auto"/>
                <w:spacing w:val="23"/>
                <w:sz w:val="24"/>
                <w:szCs w:val="24"/>
                <w:u w:val="single"/>
              </w:rPr>
              <w:t>1)水雉</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12"/>
                <w:sz w:val="24"/>
                <w:szCs w:val="24"/>
                <w:u w:val="single"/>
              </w:rPr>
              <w:t>水</w:t>
            </w:r>
            <w:r>
              <w:rPr>
                <w:rFonts w:hint="default" w:ascii="Times New Roman" w:hAnsi="Times New Roman" w:eastAsia="宋体" w:cs="Times New Roman"/>
                <w:color w:val="auto"/>
                <w:spacing w:val="11"/>
                <w:sz w:val="24"/>
                <w:szCs w:val="24"/>
                <w:u w:val="single"/>
              </w:rPr>
              <w:t>雉(</w:t>
            </w:r>
            <w:r>
              <w:rPr>
                <w:rFonts w:hint="default" w:ascii="Times New Roman" w:hAnsi="Times New Roman" w:eastAsia="宋体" w:cs="Times New Roman"/>
                <w:i/>
                <w:iCs/>
                <w:color w:val="auto"/>
                <w:sz w:val="24"/>
                <w:szCs w:val="24"/>
                <w:u w:val="single"/>
              </w:rPr>
              <w:t>Hydrophasianus</w:t>
            </w:r>
            <w:r>
              <w:rPr>
                <w:rFonts w:hint="default" w:ascii="Times New Roman" w:hAnsi="Times New Roman" w:eastAsia="宋体" w:cs="Times New Roman"/>
                <w:color w:val="auto"/>
                <w:spacing w:val="11"/>
                <w:sz w:val="24"/>
                <w:szCs w:val="24"/>
                <w:u w:val="single"/>
              </w:rPr>
              <w:t xml:space="preserve"> </w:t>
            </w:r>
            <w:r>
              <w:rPr>
                <w:rFonts w:hint="default" w:ascii="Times New Roman" w:hAnsi="Times New Roman" w:eastAsia="宋体" w:cs="Times New Roman"/>
                <w:i/>
                <w:iCs/>
                <w:color w:val="auto"/>
                <w:sz w:val="24"/>
                <w:szCs w:val="24"/>
                <w:u w:val="single"/>
              </w:rPr>
              <w:t>chirurgus</w:t>
            </w:r>
            <w:r>
              <w:rPr>
                <w:rFonts w:hint="default" w:ascii="Times New Roman" w:hAnsi="Times New Roman" w:eastAsia="宋体" w:cs="Times New Roman"/>
                <w:color w:val="auto"/>
                <w:spacing w:val="11"/>
                <w:sz w:val="24"/>
                <w:szCs w:val="24"/>
                <w:u w:val="single"/>
              </w:rPr>
              <w:t>) 是鸻形目水雉科的鸟类，栖息于富有挺水</w:t>
            </w:r>
            <w:r>
              <w:rPr>
                <w:rFonts w:hint="default" w:ascii="Times New Roman" w:hAnsi="Times New Roman" w:eastAsia="宋体" w:cs="Times New Roman"/>
                <w:color w:val="auto"/>
                <w:spacing w:val="7"/>
                <w:sz w:val="24"/>
                <w:szCs w:val="24"/>
                <w:u w:val="single"/>
              </w:rPr>
              <w:t>植物和漂浮植物的淡水湖泊、池塘和沼泽地带，因其有细长的脚爪，能轻步行</w:t>
            </w:r>
            <w:r>
              <w:rPr>
                <w:rFonts w:hint="default" w:ascii="Times New Roman" w:hAnsi="Times New Roman" w:eastAsia="宋体" w:cs="Times New Roman"/>
                <w:color w:val="auto"/>
                <w:spacing w:val="4"/>
                <w:sz w:val="24"/>
                <w:szCs w:val="24"/>
                <w:u w:val="single"/>
              </w:rPr>
              <w:t>走</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8"/>
                <w:sz w:val="24"/>
                <w:szCs w:val="24"/>
                <w:u w:val="single"/>
              </w:rPr>
              <w:t>于睡莲、荷</w:t>
            </w:r>
            <w:r>
              <w:rPr>
                <w:rFonts w:hint="default" w:ascii="Times New Roman" w:hAnsi="Times New Roman" w:eastAsia="宋体" w:cs="Times New Roman"/>
                <w:color w:val="auto"/>
                <w:spacing w:val="7"/>
                <w:sz w:val="24"/>
                <w:szCs w:val="24"/>
                <w:u w:val="single"/>
              </w:rPr>
              <w:t>花</w:t>
            </w:r>
            <w:r>
              <w:rPr>
                <w:rFonts w:hint="default" w:ascii="Times New Roman" w:hAnsi="Times New Roman" w:eastAsia="宋体" w:cs="Times New Roman"/>
                <w:color w:val="auto"/>
                <w:spacing w:val="4"/>
                <w:sz w:val="24"/>
                <w:szCs w:val="24"/>
                <w:u w:val="single"/>
              </w:rPr>
              <w:t>、菱角、芡实等浮叶植物上。繁殖期 4~9 月，通常营巢于莲叶、水</w:t>
            </w:r>
            <w:r>
              <w:rPr>
                <w:rFonts w:hint="default" w:ascii="Times New Roman" w:hAnsi="Times New Roman" w:eastAsia="宋体" w:cs="Times New Roman"/>
                <w:color w:val="auto"/>
                <w:spacing w:val="9"/>
                <w:sz w:val="24"/>
                <w:szCs w:val="24"/>
                <w:u w:val="single"/>
              </w:rPr>
              <w:t>仙花叶以及大型浮草上，尤其喜欢芡实生境。</w:t>
            </w:r>
          </w:p>
          <w:p>
            <w:pPr>
              <w:keepNext w:val="0"/>
              <w:keepLines w:val="0"/>
              <w:pageBreakBefore w:val="0"/>
              <w:widowControl w:val="0"/>
              <w:kinsoku/>
              <w:wordWrap/>
              <w:overflowPunct/>
              <w:topLinePunct w:val="0"/>
              <w:autoSpaceDE/>
              <w:autoSpaceDN/>
              <w:bidi w:val="0"/>
              <w:adjustRightInd/>
              <w:snapToGrid/>
              <w:spacing w:line="360" w:lineRule="auto"/>
              <w:ind w:left="0" w:right="0" w:firstLine="576"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24"/>
                <w:sz w:val="24"/>
                <w:szCs w:val="24"/>
                <w:u w:val="single"/>
              </w:rPr>
              <w:t>(</w:t>
            </w:r>
            <w:r>
              <w:rPr>
                <w:rFonts w:hint="default" w:ascii="Times New Roman" w:hAnsi="Times New Roman" w:eastAsia="宋体" w:cs="Times New Roman"/>
                <w:color w:val="auto"/>
                <w:spacing w:val="23"/>
                <w:sz w:val="24"/>
                <w:szCs w:val="24"/>
                <w:u w:val="single"/>
              </w:rPr>
              <w:t>2)鸿雁</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16"/>
                <w:sz w:val="24"/>
                <w:szCs w:val="24"/>
                <w:u w:val="single"/>
              </w:rPr>
              <w:t>鸿雁</w:t>
            </w:r>
            <w:r>
              <w:rPr>
                <w:rFonts w:hint="default" w:ascii="Times New Roman" w:hAnsi="Times New Roman" w:eastAsia="宋体" w:cs="Times New Roman"/>
                <w:color w:val="auto"/>
                <w:spacing w:val="9"/>
                <w:sz w:val="24"/>
                <w:szCs w:val="24"/>
                <w:u w:val="single"/>
              </w:rPr>
              <w:t xml:space="preserve"> </w:t>
            </w:r>
            <w:r>
              <w:rPr>
                <w:rFonts w:hint="default" w:ascii="Times New Roman" w:hAnsi="Times New Roman" w:eastAsia="宋体" w:cs="Times New Roman"/>
                <w:color w:val="auto"/>
                <w:spacing w:val="8"/>
                <w:sz w:val="24"/>
                <w:szCs w:val="24"/>
                <w:u w:val="single"/>
              </w:rPr>
              <w:t>(</w:t>
            </w:r>
            <w:r>
              <w:rPr>
                <w:rFonts w:hint="default" w:ascii="Times New Roman" w:hAnsi="Times New Roman" w:eastAsia="宋体" w:cs="Times New Roman"/>
                <w:i/>
                <w:iCs/>
                <w:color w:val="auto"/>
                <w:sz w:val="24"/>
                <w:szCs w:val="24"/>
                <w:u w:val="single"/>
              </w:rPr>
              <w:t>Anser</w:t>
            </w:r>
            <w:r>
              <w:rPr>
                <w:rFonts w:hint="default" w:ascii="Times New Roman" w:hAnsi="Times New Roman" w:eastAsia="宋体" w:cs="Times New Roman"/>
                <w:color w:val="auto"/>
                <w:spacing w:val="8"/>
                <w:sz w:val="24"/>
                <w:szCs w:val="24"/>
                <w:u w:val="single"/>
              </w:rPr>
              <w:t xml:space="preserve"> </w:t>
            </w:r>
            <w:r>
              <w:rPr>
                <w:rFonts w:hint="default" w:ascii="Times New Roman" w:hAnsi="Times New Roman" w:eastAsia="宋体" w:cs="Times New Roman"/>
                <w:i/>
                <w:iCs/>
                <w:color w:val="auto"/>
                <w:sz w:val="24"/>
                <w:szCs w:val="24"/>
                <w:u w:val="single"/>
              </w:rPr>
              <w:t>cygnoides</w:t>
            </w:r>
            <w:r>
              <w:rPr>
                <w:rFonts w:hint="default" w:ascii="Times New Roman" w:hAnsi="Times New Roman" w:eastAsia="宋体" w:cs="Times New Roman"/>
                <w:color w:val="auto"/>
                <w:spacing w:val="8"/>
                <w:sz w:val="24"/>
                <w:szCs w:val="24"/>
                <w:u w:val="single"/>
              </w:rPr>
              <w:t xml:space="preserve"> ) 是雁形目鸭科的鸟类，主要栖息于开阔平原和平原</w:t>
            </w:r>
            <w:r>
              <w:rPr>
                <w:rFonts w:hint="default" w:ascii="Times New Roman" w:hAnsi="Times New Roman" w:eastAsia="宋体" w:cs="Times New Roman"/>
                <w:color w:val="auto"/>
                <w:spacing w:val="7"/>
                <w:sz w:val="24"/>
                <w:szCs w:val="24"/>
                <w:u w:val="single"/>
              </w:rPr>
              <w:t>草地上的湖泊、水塘、河流、沼泽及其附近地区，特别是平原上湖泊附近水生</w:t>
            </w:r>
            <w:r>
              <w:rPr>
                <w:rFonts w:hint="default" w:ascii="Times New Roman" w:hAnsi="Times New Roman" w:eastAsia="宋体" w:cs="Times New Roman"/>
                <w:color w:val="auto"/>
                <w:spacing w:val="4"/>
                <w:sz w:val="24"/>
                <w:szCs w:val="24"/>
                <w:u w:val="single"/>
              </w:rPr>
              <w:t>植</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7"/>
                <w:sz w:val="24"/>
                <w:szCs w:val="24"/>
                <w:u w:val="single"/>
              </w:rPr>
              <w:t>物茂密的地方，冬季则多栖息在大的湖泊、水库、海滨、河口和海湾及其附近</w:t>
            </w:r>
            <w:r>
              <w:rPr>
                <w:rFonts w:hint="default" w:ascii="Times New Roman" w:hAnsi="Times New Roman" w:eastAsia="宋体" w:cs="Times New Roman"/>
                <w:color w:val="auto"/>
                <w:spacing w:val="4"/>
                <w:sz w:val="24"/>
                <w:szCs w:val="24"/>
                <w:u w:val="single"/>
              </w:rPr>
              <w:t>草</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7"/>
                <w:sz w:val="24"/>
                <w:szCs w:val="24"/>
                <w:u w:val="single"/>
              </w:rPr>
              <w:t>地和农田。主要以各种草本植物的叶、芽、包括陆生植物和水生植物、芦苇、</w:t>
            </w:r>
            <w:r>
              <w:rPr>
                <w:rFonts w:hint="default" w:ascii="Times New Roman" w:hAnsi="Times New Roman" w:eastAsia="宋体" w:cs="Times New Roman"/>
                <w:color w:val="auto"/>
                <w:spacing w:val="4"/>
                <w:sz w:val="24"/>
                <w:szCs w:val="24"/>
                <w:u w:val="single"/>
              </w:rPr>
              <w:t>藻</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7"/>
                <w:sz w:val="24"/>
                <w:szCs w:val="24"/>
                <w:u w:val="single"/>
              </w:rPr>
              <w:t>类等植物性食物为食，也吃少量甲壳类和软体动物等动物性食物，特别是繁殖</w:t>
            </w:r>
            <w:r>
              <w:rPr>
                <w:rFonts w:hint="default" w:ascii="Times New Roman" w:hAnsi="Times New Roman" w:eastAsia="宋体" w:cs="Times New Roman"/>
                <w:color w:val="auto"/>
                <w:spacing w:val="4"/>
                <w:sz w:val="24"/>
                <w:szCs w:val="24"/>
                <w:u w:val="single"/>
              </w:rPr>
              <w:t>季</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7"/>
                <w:sz w:val="24"/>
                <w:szCs w:val="24"/>
                <w:u w:val="single"/>
              </w:rPr>
              <w:t>节。冬季也常到偏远的农田、麦地、豆地觅食农作物。觅食多在傍晚和夜间。</w:t>
            </w:r>
            <w:r>
              <w:rPr>
                <w:rFonts w:hint="default" w:ascii="Times New Roman" w:hAnsi="Times New Roman" w:eastAsia="宋体" w:cs="Times New Roman"/>
                <w:color w:val="auto"/>
                <w:spacing w:val="4"/>
                <w:sz w:val="24"/>
                <w:szCs w:val="24"/>
                <w:u w:val="single"/>
              </w:rPr>
              <w:t>在</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4"/>
                <w:sz w:val="24"/>
                <w:szCs w:val="24"/>
                <w:u w:val="single"/>
              </w:rPr>
              <w:t>规划区域主要是冬候鸟，每年 10 月至次年 3 月来此越冬。</w:t>
            </w:r>
          </w:p>
          <w:p>
            <w:pPr>
              <w:keepNext w:val="0"/>
              <w:keepLines w:val="0"/>
              <w:pageBreakBefore w:val="0"/>
              <w:widowControl w:val="0"/>
              <w:kinsoku/>
              <w:wordWrap/>
              <w:overflowPunct/>
              <w:topLinePunct w:val="0"/>
              <w:autoSpaceDE/>
              <w:autoSpaceDN/>
              <w:bidi w:val="0"/>
              <w:adjustRightInd/>
              <w:snapToGrid/>
              <w:spacing w:line="360" w:lineRule="auto"/>
              <w:ind w:left="0" w:right="0" w:firstLine="536"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14"/>
                <w:sz w:val="24"/>
                <w:szCs w:val="24"/>
                <w:u w:val="single"/>
              </w:rPr>
              <w:t>湖南</w:t>
            </w:r>
            <w:r>
              <w:rPr>
                <w:rFonts w:hint="default" w:ascii="Times New Roman" w:hAnsi="Times New Roman" w:eastAsia="宋体" w:cs="Times New Roman"/>
                <w:color w:val="auto"/>
                <w:spacing w:val="7"/>
                <w:sz w:val="24"/>
                <w:szCs w:val="24"/>
                <w:u w:val="single"/>
              </w:rPr>
              <w:t>省级重点保护野生动物 61 种，规划范围内记录的5 种两栖类、10 种爬</w:t>
            </w:r>
            <w:r>
              <w:rPr>
                <w:rFonts w:hint="default" w:ascii="Times New Roman" w:hAnsi="Times New Roman" w:eastAsia="宋体" w:cs="Times New Roman"/>
                <w:color w:val="auto"/>
                <w:spacing w:val="8"/>
                <w:sz w:val="24"/>
                <w:szCs w:val="24"/>
                <w:u w:val="single"/>
              </w:rPr>
              <w:t>行类</w:t>
            </w:r>
            <w:r>
              <w:rPr>
                <w:rFonts w:hint="default" w:ascii="Times New Roman" w:hAnsi="Times New Roman" w:eastAsia="宋体" w:cs="Times New Roman"/>
                <w:color w:val="auto"/>
                <w:spacing w:val="4"/>
                <w:sz w:val="24"/>
                <w:szCs w:val="24"/>
                <w:u w:val="single"/>
              </w:rPr>
              <w:t>以及 43 种鸟类和 3 种兽类 (东北刺猬、普通伏翼和黄鼬) 。</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8"/>
                <w:sz w:val="24"/>
                <w:szCs w:val="24"/>
                <w:u w:val="single"/>
              </w:rPr>
              <w:t>根</w:t>
            </w:r>
            <w:r>
              <w:rPr>
                <w:rFonts w:hint="default" w:ascii="Times New Roman" w:hAnsi="Times New Roman" w:eastAsia="宋体" w:cs="Times New Roman"/>
                <w:color w:val="auto"/>
                <w:spacing w:val="5"/>
                <w:sz w:val="24"/>
                <w:szCs w:val="24"/>
                <w:u w:val="single"/>
              </w:rPr>
              <w:t>据</w:t>
            </w:r>
            <w:r>
              <w:rPr>
                <w:rFonts w:hint="default" w:ascii="Times New Roman" w:hAnsi="Times New Roman" w:eastAsia="宋体" w:cs="Times New Roman"/>
                <w:color w:val="auto"/>
                <w:spacing w:val="4"/>
                <w:sz w:val="24"/>
                <w:szCs w:val="24"/>
                <w:u w:val="single"/>
              </w:rPr>
              <w:t xml:space="preserve">《中国生物多样性红色名录》，规划评价纳入濒危 </w:t>
            </w:r>
            <w:r>
              <w:rPr>
                <w:rFonts w:hint="default" w:ascii="Times New Roman" w:hAnsi="Times New Roman" w:eastAsia="宋体" w:cs="Times New Roman"/>
                <w:color w:val="auto"/>
                <w:sz w:val="24"/>
                <w:szCs w:val="24"/>
                <w:u w:val="single"/>
              </w:rPr>
              <w:t>EN</w:t>
            </w:r>
            <w:r>
              <w:rPr>
                <w:rFonts w:hint="default" w:ascii="Times New Roman" w:hAnsi="Times New Roman" w:eastAsia="宋体" w:cs="Times New Roman"/>
                <w:color w:val="auto"/>
                <w:spacing w:val="4"/>
                <w:sz w:val="24"/>
                <w:szCs w:val="24"/>
                <w:u w:val="single"/>
              </w:rPr>
              <w:t xml:space="preserve"> 级别 4 种，分别</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pacing w:val="4"/>
                <w:sz w:val="24"/>
                <w:szCs w:val="24"/>
                <w:u w:val="single"/>
              </w:rPr>
              <w:t xml:space="preserve">是中华鳖、银环蛇、黑眉晨蛇、王锦蛇；纳入易危 </w:t>
            </w:r>
            <w:r>
              <w:rPr>
                <w:rFonts w:hint="default" w:ascii="Times New Roman" w:hAnsi="Times New Roman" w:eastAsia="宋体" w:cs="Times New Roman"/>
                <w:color w:val="auto"/>
                <w:sz w:val="24"/>
                <w:szCs w:val="24"/>
                <w:u w:val="single"/>
              </w:rPr>
              <w:t>VU</w:t>
            </w:r>
            <w:r>
              <w:rPr>
                <w:rFonts w:hint="default" w:ascii="Times New Roman" w:hAnsi="Times New Roman" w:eastAsia="宋体" w:cs="Times New Roman"/>
                <w:color w:val="auto"/>
                <w:spacing w:val="4"/>
                <w:sz w:val="24"/>
                <w:szCs w:val="24"/>
                <w:u w:val="single"/>
              </w:rPr>
              <w:t xml:space="preserve"> 级别 1 种，为鸿雁；</w:t>
            </w:r>
            <w:r>
              <w:rPr>
                <w:rFonts w:hint="default" w:ascii="Times New Roman" w:hAnsi="Times New Roman" w:eastAsia="宋体" w:cs="Times New Roman"/>
                <w:color w:val="auto"/>
                <w:spacing w:val="1"/>
                <w:sz w:val="24"/>
                <w:szCs w:val="24"/>
                <w:u w:val="single"/>
              </w:rPr>
              <w:t>纳</w:t>
            </w:r>
            <w:r>
              <w:rPr>
                <w:rFonts w:hint="default" w:ascii="Times New Roman" w:hAnsi="Times New Roman" w:eastAsia="宋体" w:cs="Times New Roman"/>
                <w:color w:val="auto"/>
                <w:sz w:val="24"/>
                <w:szCs w:val="24"/>
                <w:u w:val="single"/>
              </w:rPr>
              <w:t>入</w:t>
            </w:r>
            <w:r>
              <w:rPr>
                <w:rFonts w:hint="default" w:ascii="Times New Roman" w:hAnsi="Times New Roman" w:eastAsia="宋体" w:cs="Times New Roman"/>
                <w:color w:val="auto"/>
                <w:spacing w:val="6"/>
                <w:sz w:val="24"/>
                <w:szCs w:val="24"/>
                <w:u w:val="single"/>
              </w:rPr>
              <w:t xml:space="preserve">近危 </w:t>
            </w:r>
            <w:r>
              <w:rPr>
                <w:rFonts w:hint="default" w:ascii="Times New Roman" w:hAnsi="Times New Roman" w:eastAsia="宋体" w:cs="Times New Roman"/>
                <w:color w:val="auto"/>
                <w:sz w:val="24"/>
                <w:szCs w:val="24"/>
                <w:u w:val="single"/>
              </w:rPr>
              <w:t>NT</w:t>
            </w:r>
            <w:r>
              <w:rPr>
                <w:rFonts w:hint="default" w:ascii="Times New Roman" w:hAnsi="Times New Roman" w:eastAsia="宋体" w:cs="Times New Roman"/>
                <w:color w:val="auto"/>
                <w:spacing w:val="6"/>
                <w:sz w:val="24"/>
                <w:szCs w:val="24"/>
                <w:u w:val="single"/>
              </w:rPr>
              <w:t xml:space="preserve"> </w:t>
            </w:r>
            <w:r>
              <w:rPr>
                <w:rFonts w:hint="default" w:ascii="Times New Roman" w:hAnsi="Times New Roman" w:eastAsia="宋体" w:cs="Times New Roman"/>
                <w:color w:val="auto"/>
                <w:spacing w:val="3"/>
                <w:sz w:val="24"/>
                <w:szCs w:val="24"/>
                <w:u w:val="single"/>
              </w:rPr>
              <w:t>级别 3 种，黑斑侧褶蛙、罗纹鸭和水雉。</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2"/>
                <w:sz w:val="24"/>
                <w:szCs w:val="24"/>
                <w:u w:val="single"/>
              </w:rPr>
              <w:t xml:space="preserve">中国特有种 </w:t>
            </w:r>
            <w:r>
              <w:rPr>
                <w:rFonts w:hint="default" w:ascii="Times New Roman" w:hAnsi="Times New Roman" w:eastAsia="宋体" w:cs="Times New Roman"/>
                <w:color w:val="auto"/>
                <w:spacing w:val="1"/>
                <w:sz w:val="24"/>
                <w:szCs w:val="24"/>
                <w:u w:val="single"/>
              </w:rPr>
              <w:t>1 种，北草蜥。</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pacing w:val="8"/>
                <w:sz w:val="24"/>
                <w:szCs w:val="24"/>
              </w:rPr>
            </w:pPr>
            <w:r>
              <w:rPr>
                <w:rFonts w:hint="eastAsia" w:ascii="Times New Roman" w:hAnsi="Times New Roman" w:eastAsia="宋体" w:cs="Times New Roman"/>
                <w:b/>
                <w:bCs/>
                <w:color w:val="auto"/>
                <w:spacing w:val="8"/>
                <w:sz w:val="24"/>
                <w:szCs w:val="24"/>
                <w:lang w:val="en-US" w:eastAsia="zh-CN"/>
              </w:rPr>
              <w:t>1.3、</w:t>
            </w:r>
            <w:r>
              <w:rPr>
                <w:rFonts w:hint="default" w:ascii="Times New Roman" w:hAnsi="Times New Roman" w:eastAsia="宋体" w:cs="Times New Roman"/>
                <w:b/>
                <w:bCs/>
                <w:color w:val="auto"/>
                <w:spacing w:val="8"/>
                <w:sz w:val="24"/>
                <w:szCs w:val="24"/>
              </w:rPr>
              <w:t>水生生态现状调查</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1.3.1、</w:t>
            </w:r>
            <w:r>
              <w:rPr>
                <w:rFonts w:hint="eastAsia" w:ascii="Times New Roman" w:hAnsi="Times New Roman" w:eastAsia="宋体" w:cs="Times New Roman"/>
                <w:b/>
                <w:bCs/>
                <w:color w:val="auto"/>
                <w:spacing w:val="8"/>
                <w:sz w:val="24"/>
                <w:szCs w:val="24"/>
                <w:lang w:val="en-US" w:eastAsia="zh-CN"/>
              </w:rPr>
              <w:t>浮游植物</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eastAsia="宋体"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1.3.1.1、</w:t>
            </w:r>
            <w:r>
              <w:rPr>
                <w:rFonts w:hint="eastAsia" w:ascii="Times New Roman" w:hAnsi="Times New Roman" w:eastAsia="宋体" w:cs="Times New Roman"/>
                <w:b/>
                <w:bCs/>
                <w:color w:val="auto"/>
                <w:spacing w:val="8"/>
                <w:sz w:val="24"/>
                <w:szCs w:val="24"/>
                <w:lang w:val="en-US" w:eastAsia="zh-CN"/>
              </w:rPr>
              <w:t>种类组成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 xml:space="preserve">评价区共检出浮游植物 </w:t>
            </w:r>
            <w:r>
              <w:rPr>
                <w:rFonts w:hint="default" w:ascii="Times New Roman" w:hAnsi="Times New Roman" w:eastAsia="宋体" w:cs="Times New Roman"/>
                <w:color w:val="auto"/>
                <w:spacing w:val="4"/>
                <w:sz w:val="24"/>
                <w:szCs w:val="24"/>
              </w:rPr>
              <w:t>6</w:t>
            </w:r>
            <w:r>
              <w:rPr>
                <w:rFonts w:hint="default" w:ascii="Times New Roman" w:hAnsi="Times New Roman" w:eastAsia="宋体" w:cs="Times New Roman"/>
                <w:color w:val="auto"/>
                <w:spacing w:val="3"/>
                <w:sz w:val="24"/>
                <w:szCs w:val="24"/>
              </w:rPr>
              <w:t xml:space="preserve"> 门 58 种 (属) ，其中硅藻门最多22 种 (属) ，占</w:t>
            </w:r>
            <w:r>
              <w:rPr>
                <w:rFonts w:hint="default" w:ascii="Times New Roman" w:hAnsi="Times New Roman" w:eastAsia="宋体" w:cs="Times New Roman"/>
                <w:color w:val="auto"/>
                <w:spacing w:val="-1"/>
                <w:sz w:val="24"/>
                <w:szCs w:val="24"/>
              </w:rPr>
              <w:t>总数的 37.93%；其次为绿藻门 16 种 (属)，占总数</w:t>
            </w:r>
            <w:r>
              <w:rPr>
                <w:rFonts w:hint="default" w:ascii="Times New Roman" w:hAnsi="Times New Roman" w:eastAsia="宋体" w:cs="Times New Roman"/>
                <w:color w:val="auto"/>
                <w:sz w:val="24"/>
                <w:szCs w:val="24"/>
              </w:rPr>
              <w:t>的 27.59%；蓝藻门 13 种，</w:t>
            </w:r>
            <w:r>
              <w:rPr>
                <w:rFonts w:hint="default" w:ascii="Times New Roman" w:hAnsi="Times New Roman" w:eastAsia="宋体" w:cs="Times New Roman"/>
                <w:color w:val="auto"/>
                <w:spacing w:val="-1"/>
                <w:sz w:val="24"/>
                <w:szCs w:val="24"/>
              </w:rPr>
              <w:t>占总数的 22.41%；其他藻门共 7 种 (属) ，占总数的 1</w:t>
            </w:r>
            <w:r>
              <w:rPr>
                <w:rFonts w:hint="default" w:ascii="Times New Roman" w:hAnsi="Times New Roman" w:eastAsia="宋体" w:cs="Times New Roman"/>
                <w:color w:val="auto"/>
                <w:sz w:val="24"/>
                <w:szCs w:val="24"/>
              </w:rPr>
              <w:t>2.07%。</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评价</w:t>
            </w:r>
            <w:r>
              <w:rPr>
                <w:rFonts w:hint="default" w:ascii="Times New Roman" w:hAnsi="Times New Roman" w:eastAsia="宋体" w:cs="Times New Roman"/>
                <w:color w:val="auto"/>
                <w:spacing w:val="11"/>
                <w:sz w:val="24"/>
                <w:szCs w:val="24"/>
              </w:rPr>
              <w:t>区</w:t>
            </w:r>
            <w:r>
              <w:rPr>
                <w:rFonts w:hint="default" w:ascii="Times New Roman" w:hAnsi="Times New Roman" w:eastAsia="宋体" w:cs="Times New Roman"/>
                <w:color w:val="auto"/>
                <w:spacing w:val="6"/>
                <w:sz w:val="24"/>
                <w:szCs w:val="24"/>
              </w:rPr>
              <w:t>水体中浮游植物以硅藻门占优势，其次是绿藻门和蓝藻门，其他门</w:t>
            </w:r>
            <w:r>
              <w:rPr>
                <w:rFonts w:hint="default" w:ascii="Times New Roman" w:hAnsi="Times New Roman" w:eastAsia="宋体" w:cs="Times New Roman"/>
                <w:color w:val="auto"/>
                <w:spacing w:val="12"/>
                <w:position w:val="3"/>
                <w:sz w:val="24"/>
                <w:szCs w:val="24"/>
              </w:rPr>
              <w:t>类较</w:t>
            </w:r>
            <w:r>
              <w:rPr>
                <w:rFonts w:hint="default" w:ascii="Times New Roman" w:hAnsi="Times New Roman" w:eastAsia="宋体" w:cs="Times New Roman"/>
                <w:color w:val="auto"/>
                <w:spacing w:val="11"/>
                <w:position w:val="3"/>
                <w:sz w:val="24"/>
                <w:szCs w:val="24"/>
              </w:rPr>
              <w:t>少</w:t>
            </w:r>
            <w:r>
              <w:rPr>
                <w:rFonts w:hint="default" w:ascii="Times New Roman" w:hAnsi="Times New Roman" w:eastAsia="宋体" w:cs="Times New Roman"/>
                <w:color w:val="auto"/>
                <w:spacing w:val="6"/>
                <w:position w:val="3"/>
                <w:sz w:val="24"/>
                <w:szCs w:val="24"/>
              </w:rPr>
              <w:t>。优势种有菱形藻 (</w:t>
            </w:r>
            <w:r>
              <w:rPr>
                <w:rFonts w:hint="default" w:ascii="Times New Roman" w:hAnsi="Times New Roman" w:eastAsia="宋体" w:cs="Times New Roman"/>
                <w:i/>
                <w:iCs/>
                <w:color w:val="auto"/>
                <w:position w:val="3"/>
                <w:sz w:val="24"/>
                <w:szCs w:val="24"/>
              </w:rPr>
              <w:t>Nitzschia</w:t>
            </w:r>
            <w:r>
              <w:rPr>
                <w:rFonts w:hint="default" w:ascii="Times New Roman" w:hAnsi="Times New Roman" w:eastAsia="宋体" w:cs="Times New Roman"/>
                <w:color w:val="auto"/>
                <w:spacing w:val="6"/>
                <w:position w:val="3"/>
                <w:sz w:val="24"/>
                <w:szCs w:val="24"/>
              </w:rPr>
              <w:t xml:space="preserve"> </w:t>
            </w:r>
            <w:r>
              <w:rPr>
                <w:rFonts w:hint="default" w:ascii="Times New Roman" w:hAnsi="Times New Roman" w:eastAsia="宋体" w:cs="Times New Roman"/>
                <w:color w:val="auto"/>
                <w:position w:val="3"/>
                <w:sz w:val="24"/>
                <w:szCs w:val="24"/>
              </w:rPr>
              <w:t>sp</w:t>
            </w:r>
            <w:r>
              <w:rPr>
                <w:rFonts w:hint="default" w:ascii="Times New Roman" w:hAnsi="Times New Roman" w:eastAsia="宋体" w:cs="Times New Roman"/>
                <w:color w:val="auto"/>
                <w:spacing w:val="6"/>
                <w:position w:val="3"/>
                <w:sz w:val="24"/>
                <w:szCs w:val="24"/>
              </w:rPr>
              <w:t>. )、衣藻(</w:t>
            </w:r>
            <w:r>
              <w:rPr>
                <w:rFonts w:hint="default" w:ascii="Times New Roman" w:hAnsi="Times New Roman" w:eastAsia="宋体" w:cs="Times New Roman"/>
                <w:i/>
                <w:iCs/>
                <w:color w:val="auto"/>
                <w:position w:val="3"/>
                <w:sz w:val="24"/>
                <w:szCs w:val="24"/>
              </w:rPr>
              <w:t>Chlamydomonas</w:t>
            </w:r>
            <w:r>
              <w:rPr>
                <w:rFonts w:hint="default" w:ascii="Times New Roman" w:hAnsi="Times New Roman" w:eastAsia="宋体" w:cs="Times New Roman"/>
                <w:color w:val="auto"/>
                <w:spacing w:val="6"/>
                <w:position w:val="3"/>
                <w:sz w:val="24"/>
                <w:szCs w:val="24"/>
              </w:rPr>
              <w:t xml:space="preserve"> </w:t>
            </w:r>
            <w:r>
              <w:rPr>
                <w:rFonts w:hint="default" w:ascii="Times New Roman" w:hAnsi="Times New Roman" w:eastAsia="宋体" w:cs="Times New Roman"/>
                <w:color w:val="auto"/>
                <w:position w:val="3"/>
                <w:sz w:val="24"/>
                <w:szCs w:val="24"/>
              </w:rPr>
              <w:t>sp</w:t>
            </w:r>
            <w:r>
              <w:rPr>
                <w:rFonts w:hint="default" w:ascii="Times New Roman" w:hAnsi="Times New Roman" w:eastAsia="宋体" w:cs="Times New Roman"/>
                <w:color w:val="auto"/>
                <w:spacing w:val="6"/>
                <w:position w:val="3"/>
                <w:sz w:val="24"/>
                <w:szCs w:val="24"/>
              </w:rPr>
              <w:t>. ) 等。</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b/>
                <w:bCs/>
                <w:color w:val="auto"/>
                <w:spacing w:val="8"/>
                <w:sz w:val="24"/>
                <w:szCs w:val="24"/>
                <w:lang w:val="en-US" w:eastAsia="zh-CN"/>
              </w:rPr>
            </w:pPr>
            <w:r>
              <w:rPr>
                <w:rFonts w:hint="default" w:ascii="Times New Roman" w:hAnsi="Times New Roman" w:eastAsia="宋体" w:cs="Times New Roman"/>
                <w:b/>
                <w:bCs/>
                <w:color w:val="auto"/>
                <w:spacing w:val="8"/>
                <w:sz w:val="24"/>
                <w:szCs w:val="24"/>
                <w:lang w:val="en-US" w:eastAsia="zh-CN"/>
              </w:rPr>
              <w:t>1.3.1.2、密度和生物量</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评价区水体中</w:t>
            </w:r>
            <w:r>
              <w:rPr>
                <w:rFonts w:hint="default" w:ascii="Times New Roman" w:hAnsi="Times New Roman" w:eastAsia="宋体" w:cs="Times New Roman"/>
                <w:color w:val="auto"/>
                <w:spacing w:val="5"/>
                <w:sz w:val="24"/>
                <w:szCs w:val="24"/>
              </w:rPr>
              <w:t>浮游植物的平均密度为50.779×10</w:t>
            </w:r>
            <w:r>
              <w:rPr>
                <w:rFonts w:hint="eastAsia" w:ascii="Times New Roman" w:hAnsi="Times New Roman" w:eastAsia="宋体" w:cs="Times New Roman"/>
                <w:color w:val="auto"/>
                <w:spacing w:val="5"/>
                <w:sz w:val="24"/>
                <w:szCs w:val="24"/>
                <w:vertAlign w:val="superscript"/>
                <w:lang w:val="en-US" w:eastAsia="zh-CN"/>
              </w:rPr>
              <w:t>4</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5"/>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5"/>
                <w:sz w:val="24"/>
                <w:szCs w:val="24"/>
              </w:rPr>
              <w:t>，其中硅藻门的平均</w:t>
            </w:r>
            <w:r>
              <w:rPr>
                <w:rFonts w:hint="default" w:ascii="Times New Roman" w:hAnsi="Times New Roman" w:eastAsia="宋体" w:cs="Times New Roman"/>
                <w:color w:val="auto"/>
                <w:spacing w:val="8"/>
                <w:sz w:val="24"/>
                <w:szCs w:val="24"/>
              </w:rPr>
              <w:t>密度最高为20</w:t>
            </w:r>
            <w:r>
              <w:rPr>
                <w:rFonts w:hint="default" w:ascii="Times New Roman" w:hAnsi="Times New Roman" w:eastAsia="宋体" w:cs="Times New Roman"/>
                <w:color w:val="auto"/>
                <w:spacing w:val="4"/>
                <w:sz w:val="24"/>
                <w:szCs w:val="24"/>
              </w:rPr>
              <w:t>.755×10</w:t>
            </w:r>
            <w:r>
              <w:rPr>
                <w:rFonts w:hint="eastAsia" w:ascii="Times New Roman" w:hAnsi="Times New Roman" w:eastAsia="宋体" w:cs="Times New Roman"/>
                <w:color w:val="auto"/>
                <w:spacing w:val="4"/>
                <w:sz w:val="24"/>
                <w:szCs w:val="24"/>
                <w:vertAlign w:val="superscript"/>
                <w:lang w:val="en-US" w:eastAsia="zh-CN"/>
              </w:rPr>
              <w:t>4</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4"/>
                <w:sz w:val="24"/>
                <w:szCs w:val="24"/>
              </w:rPr>
              <w:t>；其次为绿藻门，平均密度为16.148×10</w:t>
            </w:r>
            <w:r>
              <w:rPr>
                <w:rFonts w:hint="eastAsia" w:ascii="Times New Roman" w:hAnsi="Times New Roman" w:eastAsia="宋体" w:cs="Times New Roman"/>
                <w:color w:val="auto"/>
                <w:spacing w:val="4"/>
                <w:sz w:val="24"/>
                <w:szCs w:val="24"/>
                <w:vertAlign w:val="superscript"/>
                <w:lang w:val="en-US" w:eastAsia="zh-CN"/>
              </w:rPr>
              <w:t>4</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4"/>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4"/>
                <w:sz w:val="24"/>
                <w:szCs w:val="24"/>
              </w:rPr>
              <w:t>；蓝</w:t>
            </w:r>
            <w:r>
              <w:rPr>
                <w:rFonts w:hint="default" w:ascii="Times New Roman" w:hAnsi="Times New Roman" w:eastAsia="宋体" w:cs="Times New Roman"/>
                <w:color w:val="auto"/>
                <w:spacing w:val="3"/>
                <w:sz w:val="24"/>
                <w:szCs w:val="24"/>
              </w:rPr>
              <w:t>藻门平均密度为11.435×10</w:t>
            </w:r>
            <w:r>
              <w:rPr>
                <w:rFonts w:hint="eastAsia" w:ascii="Times New Roman" w:hAnsi="Times New Roman" w:eastAsia="宋体" w:cs="Times New Roman"/>
                <w:color w:val="auto"/>
                <w:spacing w:val="3"/>
                <w:sz w:val="24"/>
                <w:szCs w:val="24"/>
                <w:vertAlign w:val="superscript"/>
                <w:lang w:val="en-US" w:eastAsia="zh-CN"/>
              </w:rPr>
              <w:t>4</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3"/>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3"/>
                <w:sz w:val="24"/>
                <w:szCs w:val="24"/>
              </w:rPr>
              <w:t>；其他门的平均密度为2.441×10</w:t>
            </w:r>
            <w:r>
              <w:rPr>
                <w:rFonts w:hint="default" w:ascii="Times New Roman" w:hAnsi="Times New Roman" w:eastAsia="宋体" w:cs="Times New Roman"/>
                <w:color w:val="auto"/>
                <w:spacing w:val="3"/>
                <w:position w:val="7"/>
                <w:sz w:val="24"/>
                <w:szCs w:val="24"/>
              </w:rPr>
              <w:t>4</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3"/>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3"/>
                <w:sz w:val="24"/>
                <w:szCs w:val="24"/>
              </w:rPr>
              <w:t>。评</w:t>
            </w:r>
            <w:r>
              <w:rPr>
                <w:rFonts w:hint="default" w:ascii="Times New Roman" w:hAnsi="Times New Roman" w:eastAsia="宋体" w:cs="Times New Roman"/>
                <w:color w:val="auto"/>
                <w:spacing w:val="10"/>
                <w:sz w:val="24"/>
                <w:szCs w:val="24"/>
              </w:rPr>
              <w:t>价区水体</w:t>
            </w:r>
            <w:r>
              <w:rPr>
                <w:rFonts w:hint="default" w:ascii="Times New Roman" w:hAnsi="Times New Roman" w:eastAsia="宋体" w:cs="Times New Roman"/>
                <w:color w:val="auto"/>
                <w:spacing w:val="6"/>
                <w:sz w:val="24"/>
                <w:szCs w:val="24"/>
              </w:rPr>
              <w:t>中</w:t>
            </w:r>
            <w:r>
              <w:rPr>
                <w:rFonts w:hint="default" w:ascii="Times New Roman" w:hAnsi="Times New Roman" w:eastAsia="宋体" w:cs="Times New Roman"/>
                <w:color w:val="auto"/>
                <w:spacing w:val="5"/>
                <w:sz w:val="24"/>
                <w:szCs w:val="24"/>
              </w:rPr>
              <w:t xml:space="preserve">浮游植物的平均生物量为3.894 </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5"/>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5"/>
                <w:sz w:val="24"/>
                <w:szCs w:val="24"/>
              </w:rPr>
              <w:t>，其中硅藻门的平均生物量最大</w:t>
            </w:r>
            <w:r>
              <w:rPr>
                <w:rFonts w:hint="default" w:ascii="Times New Roman" w:hAnsi="Times New Roman" w:eastAsia="宋体" w:cs="Times New Roman"/>
                <w:color w:val="auto"/>
                <w:sz w:val="24"/>
                <w:szCs w:val="24"/>
              </w:rPr>
              <w:t>为1.890 mg/L；蓝藻门的平均生物量为0.934 mg/L；绿藻门的平均生物量为1.048 mg</w:t>
            </w:r>
            <w:r>
              <w:rPr>
                <w:rFonts w:hint="default" w:ascii="Times New Roman" w:hAnsi="Times New Roman" w:eastAsia="宋体" w:cs="Times New Roman"/>
                <w:color w:val="auto"/>
                <w:spacing w:val="10"/>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10"/>
                <w:sz w:val="24"/>
                <w:szCs w:val="24"/>
              </w:rPr>
              <w:t>；</w:t>
            </w:r>
            <w:r>
              <w:rPr>
                <w:rFonts w:hint="default" w:ascii="Times New Roman" w:hAnsi="Times New Roman" w:eastAsia="宋体" w:cs="Times New Roman"/>
                <w:color w:val="auto"/>
                <w:spacing w:val="8"/>
                <w:sz w:val="24"/>
                <w:szCs w:val="24"/>
              </w:rPr>
              <w:t>其</w:t>
            </w:r>
            <w:r>
              <w:rPr>
                <w:rFonts w:hint="default" w:ascii="Times New Roman" w:hAnsi="Times New Roman" w:eastAsia="宋体" w:cs="Times New Roman"/>
                <w:color w:val="auto"/>
                <w:spacing w:val="5"/>
                <w:sz w:val="24"/>
                <w:szCs w:val="24"/>
              </w:rPr>
              <w:t xml:space="preserve">他藻的平均生物量为0.022 </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5"/>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1.3.2、</w:t>
            </w:r>
            <w:r>
              <w:rPr>
                <w:rFonts w:hint="default" w:ascii="Times New Roman" w:hAnsi="Times New Roman" w:cs="Times New Roman"/>
                <w:b/>
                <w:bCs/>
                <w:color w:val="auto"/>
                <w:spacing w:val="8"/>
                <w:sz w:val="24"/>
                <w:szCs w:val="24"/>
                <w:lang w:val="en-US" w:eastAsia="zh-CN"/>
              </w:rPr>
              <w:t>浮游动物</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1.3.2.1、</w:t>
            </w:r>
            <w:r>
              <w:rPr>
                <w:rFonts w:hint="default" w:ascii="Times New Roman" w:hAnsi="Times New Roman" w:cs="Times New Roman"/>
                <w:b/>
                <w:bCs/>
                <w:color w:val="auto"/>
                <w:spacing w:val="8"/>
                <w:sz w:val="24"/>
                <w:szCs w:val="24"/>
                <w:lang w:val="en-US" w:eastAsia="zh-CN"/>
              </w:rPr>
              <w:t>种类组成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
                <w:sz w:val="24"/>
                <w:szCs w:val="24"/>
              </w:rPr>
              <w:t>评价区共</w:t>
            </w:r>
            <w:r>
              <w:rPr>
                <w:rFonts w:hint="default" w:ascii="Times New Roman" w:hAnsi="Times New Roman" w:eastAsia="宋体" w:cs="Times New Roman"/>
                <w:color w:val="auto"/>
                <w:spacing w:val="1"/>
                <w:sz w:val="24"/>
                <w:szCs w:val="24"/>
              </w:rPr>
              <w:t>检出浮游动物 4 类 40 种 (属) 。其中原生动物有 13 种 (属) ，占</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
                <w:sz w:val="24"/>
                <w:szCs w:val="24"/>
              </w:rPr>
              <w:t>总数的 32.50% ；轮虫类有 17 种 (属) ，</w:t>
            </w:r>
            <w:r>
              <w:rPr>
                <w:rFonts w:hint="default" w:ascii="Times New Roman" w:hAnsi="Times New Roman" w:eastAsia="宋体" w:cs="Times New Roman"/>
                <w:color w:val="auto"/>
                <w:sz w:val="24"/>
                <w:szCs w:val="24"/>
              </w:rPr>
              <w:t>占总数的 42.50% ；枝角类和桡足类各</w:t>
            </w:r>
            <w:r>
              <w:rPr>
                <w:rFonts w:hint="default" w:ascii="Times New Roman" w:hAnsi="Times New Roman" w:eastAsia="宋体" w:cs="Times New Roman"/>
                <w:color w:val="auto"/>
                <w:spacing w:val="2"/>
                <w:sz w:val="24"/>
                <w:szCs w:val="24"/>
              </w:rPr>
              <w:t>有 5 种 (属) ，分别</w:t>
            </w:r>
            <w:r>
              <w:rPr>
                <w:rFonts w:hint="default" w:ascii="Times New Roman" w:hAnsi="Times New Roman" w:eastAsia="宋体" w:cs="Times New Roman"/>
                <w:color w:val="auto"/>
                <w:spacing w:val="1"/>
                <w:sz w:val="24"/>
                <w:szCs w:val="24"/>
              </w:rPr>
              <w:t>占总数的 12.50%。</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从种类</w:t>
            </w:r>
            <w:r>
              <w:rPr>
                <w:rFonts w:hint="default" w:ascii="Times New Roman" w:hAnsi="Times New Roman" w:eastAsia="宋体" w:cs="Times New Roman"/>
                <w:color w:val="auto"/>
                <w:spacing w:val="9"/>
                <w:sz w:val="24"/>
                <w:szCs w:val="24"/>
              </w:rPr>
              <w:t>分</w:t>
            </w:r>
            <w:r>
              <w:rPr>
                <w:rFonts w:hint="default" w:ascii="Times New Roman" w:hAnsi="Times New Roman" w:eastAsia="宋体" w:cs="Times New Roman"/>
                <w:color w:val="auto"/>
                <w:spacing w:val="6"/>
                <w:sz w:val="24"/>
                <w:szCs w:val="24"/>
              </w:rPr>
              <w:t>布看，评价区水域浮游动物以轮虫占优势，其次为原生动物、枝角</w:t>
            </w:r>
            <w:r>
              <w:rPr>
                <w:rFonts w:hint="default" w:ascii="Times New Roman" w:hAnsi="Times New Roman" w:eastAsia="宋体" w:cs="Times New Roman"/>
                <w:color w:val="auto"/>
                <w:spacing w:val="18"/>
                <w:sz w:val="24"/>
                <w:szCs w:val="24"/>
              </w:rPr>
              <w:t>类和</w:t>
            </w:r>
            <w:r>
              <w:rPr>
                <w:rFonts w:hint="default" w:ascii="Times New Roman" w:hAnsi="Times New Roman" w:eastAsia="宋体" w:cs="Times New Roman"/>
                <w:color w:val="auto"/>
                <w:spacing w:val="14"/>
                <w:sz w:val="24"/>
                <w:szCs w:val="24"/>
              </w:rPr>
              <w:t>桡</w:t>
            </w:r>
            <w:r>
              <w:rPr>
                <w:rFonts w:hint="default" w:ascii="Times New Roman" w:hAnsi="Times New Roman" w:eastAsia="宋体" w:cs="Times New Roman"/>
                <w:color w:val="auto"/>
                <w:spacing w:val="9"/>
                <w:sz w:val="24"/>
                <w:szCs w:val="24"/>
              </w:rPr>
              <w:t>足类。评价区常见类群为原生动物的表壳虫 (</w:t>
            </w:r>
            <w:r>
              <w:rPr>
                <w:rFonts w:hint="default" w:ascii="Times New Roman" w:hAnsi="Times New Roman" w:eastAsia="宋体" w:cs="Times New Roman"/>
                <w:i/>
                <w:iCs/>
                <w:color w:val="auto"/>
                <w:sz w:val="24"/>
                <w:szCs w:val="24"/>
              </w:rPr>
              <w:t>Arcella</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color w:val="auto"/>
                <w:sz w:val="24"/>
                <w:szCs w:val="24"/>
              </w:rPr>
              <w:t>sp</w:t>
            </w:r>
            <w:r>
              <w:rPr>
                <w:rFonts w:hint="default" w:ascii="Times New Roman" w:hAnsi="Times New Roman" w:eastAsia="宋体" w:cs="Times New Roman"/>
                <w:color w:val="auto"/>
                <w:spacing w:val="9"/>
                <w:sz w:val="24"/>
                <w:szCs w:val="24"/>
              </w:rPr>
              <w:t>. )；轮虫类的萼</w:t>
            </w:r>
            <w:r>
              <w:rPr>
                <w:rFonts w:hint="default" w:ascii="Times New Roman" w:hAnsi="Times New Roman" w:eastAsia="宋体" w:cs="Times New Roman"/>
                <w:color w:val="auto"/>
                <w:spacing w:val="16"/>
                <w:sz w:val="24"/>
                <w:szCs w:val="24"/>
              </w:rPr>
              <w:t>花</w:t>
            </w:r>
            <w:r>
              <w:rPr>
                <w:rFonts w:hint="default" w:ascii="Times New Roman" w:hAnsi="Times New Roman" w:eastAsia="宋体" w:cs="Times New Roman"/>
                <w:color w:val="auto"/>
                <w:spacing w:val="9"/>
                <w:sz w:val="24"/>
                <w:szCs w:val="24"/>
              </w:rPr>
              <w:t>臂</w:t>
            </w:r>
            <w:r>
              <w:rPr>
                <w:rFonts w:hint="default" w:ascii="Times New Roman" w:hAnsi="Times New Roman" w:eastAsia="宋体" w:cs="Times New Roman"/>
                <w:color w:val="auto"/>
                <w:spacing w:val="8"/>
                <w:sz w:val="24"/>
                <w:szCs w:val="24"/>
              </w:rPr>
              <w:t>尾轮虫 (</w:t>
            </w:r>
            <w:r>
              <w:rPr>
                <w:rFonts w:hint="default" w:ascii="Times New Roman" w:hAnsi="Times New Roman" w:eastAsia="宋体" w:cs="Times New Roman"/>
                <w:i/>
                <w:iCs/>
                <w:color w:val="auto"/>
                <w:sz w:val="24"/>
                <w:szCs w:val="24"/>
              </w:rPr>
              <w:t>Brachionus</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calyciflorus</w:t>
            </w:r>
            <w:r>
              <w:rPr>
                <w:rFonts w:hint="default" w:ascii="Times New Roman" w:hAnsi="Times New Roman" w:eastAsia="宋体" w:cs="Times New Roman"/>
                <w:color w:val="auto"/>
                <w:spacing w:val="8"/>
                <w:sz w:val="24"/>
                <w:szCs w:val="24"/>
              </w:rPr>
              <w:t xml:space="preserve"> )、囊形单趾轮虫 (</w:t>
            </w:r>
            <w:r>
              <w:rPr>
                <w:rFonts w:hint="default" w:ascii="Times New Roman" w:hAnsi="Times New Roman" w:eastAsia="宋体" w:cs="Times New Roman"/>
                <w:i/>
                <w:iCs/>
                <w:color w:val="auto"/>
                <w:sz w:val="24"/>
                <w:szCs w:val="24"/>
              </w:rPr>
              <w:t>Moonostyla</w:t>
            </w:r>
            <w:r>
              <w:rPr>
                <w:rFonts w:hint="default" w:ascii="Times New Roman" w:hAnsi="Times New Roman" w:eastAsia="宋体" w:cs="Times New Roman"/>
                <w:color w:val="auto"/>
                <w:spacing w:val="8"/>
                <w:sz w:val="24"/>
                <w:szCs w:val="24"/>
              </w:rPr>
              <w:t xml:space="preserve"> </w:t>
            </w:r>
            <w:r>
              <w:rPr>
                <w:rFonts w:hint="default" w:ascii="Times New Roman" w:hAnsi="Times New Roman" w:eastAsia="宋体" w:cs="Times New Roman"/>
                <w:i/>
                <w:iCs/>
                <w:color w:val="auto"/>
                <w:sz w:val="24"/>
                <w:szCs w:val="24"/>
              </w:rPr>
              <w:t>bulla</w:t>
            </w:r>
            <w:r>
              <w:rPr>
                <w:rFonts w:hint="default" w:ascii="Times New Roman" w:hAnsi="Times New Roman" w:eastAsia="宋体" w:cs="Times New Roman"/>
                <w:color w:val="auto"/>
                <w:spacing w:val="8"/>
                <w:sz w:val="24"/>
                <w:szCs w:val="24"/>
              </w:rPr>
              <w:t xml:space="preserve"> )；枝角类的</w:t>
            </w:r>
            <w:r>
              <w:rPr>
                <w:rFonts w:hint="default" w:ascii="Times New Roman" w:hAnsi="Times New Roman" w:eastAsia="宋体" w:cs="Times New Roman"/>
                <w:color w:val="auto"/>
                <w:spacing w:val="6"/>
                <w:sz w:val="24"/>
                <w:szCs w:val="24"/>
              </w:rPr>
              <w:t>长</w:t>
            </w:r>
            <w:r>
              <w:rPr>
                <w:rFonts w:hint="default" w:ascii="Times New Roman" w:hAnsi="Times New Roman" w:eastAsia="宋体" w:cs="Times New Roman"/>
                <w:color w:val="auto"/>
                <w:spacing w:val="4"/>
                <w:sz w:val="24"/>
                <w:szCs w:val="24"/>
              </w:rPr>
              <w:t>额象鼻溞(</w:t>
            </w:r>
            <w:r>
              <w:rPr>
                <w:rFonts w:hint="default" w:ascii="Times New Roman" w:hAnsi="Times New Roman" w:eastAsia="宋体" w:cs="Times New Roman"/>
                <w:i/>
                <w:iCs/>
                <w:color w:val="auto"/>
                <w:sz w:val="24"/>
                <w:szCs w:val="24"/>
              </w:rPr>
              <w:t>Bosmina</w:t>
            </w: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i/>
                <w:iCs/>
                <w:color w:val="auto"/>
                <w:sz w:val="24"/>
                <w:szCs w:val="24"/>
              </w:rPr>
              <w:t>longirostris</w:t>
            </w:r>
            <w:r>
              <w:rPr>
                <w:rFonts w:hint="default" w:ascii="Times New Roman" w:hAnsi="Times New Roman" w:eastAsia="宋体" w:cs="Times New Roman"/>
                <w:color w:val="auto"/>
                <w:spacing w:val="4"/>
                <w:sz w:val="24"/>
                <w:szCs w:val="24"/>
              </w:rPr>
              <w:t xml:space="preserve"> )；桡足类的桡足无节幼体(</w:t>
            </w:r>
            <w:r>
              <w:rPr>
                <w:rFonts w:hint="default" w:ascii="Times New Roman" w:hAnsi="Times New Roman" w:eastAsia="宋体" w:cs="Times New Roman"/>
                <w:i/>
                <w:iCs/>
                <w:color w:val="auto"/>
                <w:sz w:val="24"/>
                <w:szCs w:val="24"/>
              </w:rPr>
              <w:t>Nauplius</w:t>
            </w:r>
            <w:r>
              <w:rPr>
                <w:rFonts w:hint="default" w:ascii="Times New Roman" w:hAnsi="Times New Roman" w:eastAsia="宋体" w:cs="Times New Roman"/>
                <w:color w:val="auto"/>
                <w:spacing w:val="4"/>
                <w:sz w:val="24"/>
                <w:szCs w:val="24"/>
              </w:rPr>
              <w:t xml:space="preserve"> </w:t>
            </w:r>
            <w:r>
              <w:rPr>
                <w:rFonts w:hint="default" w:ascii="Times New Roman" w:hAnsi="Times New Roman" w:eastAsia="宋体" w:cs="Times New Roman"/>
                <w:color w:val="auto"/>
                <w:sz w:val="24"/>
                <w:szCs w:val="24"/>
              </w:rPr>
              <w:t>sp</w:t>
            </w:r>
            <w:r>
              <w:rPr>
                <w:rFonts w:hint="default" w:ascii="Times New Roman" w:hAnsi="Times New Roman" w:eastAsia="宋体" w:cs="Times New Roman"/>
                <w:color w:val="auto"/>
                <w:spacing w:val="4"/>
                <w:sz w:val="24"/>
                <w:szCs w:val="24"/>
              </w:rPr>
              <w:t>. )</w:t>
            </w:r>
            <w:r>
              <w:rPr>
                <w:rFonts w:hint="default" w:ascii="Times New Roman" w:hAnsi="Times New Roman" w:eastAsia="宋体" w:cs="Times New Roman"/>
                <w:color w:val="auto"/>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1.3.2.2、</w:t>
            </w:r>
            <w:r>
              <w:rPr>
                <w:rFonts w:hint="default" w:ascii="Times New Roman" w:hAnsi="Times New Roman" w:cs="Times New Roman"/>
                <w:b/>
                <w:bCs/>
                <w:color w:val="auto"/>
                <w:spacing w:val="8"/>
                <w:sz w:val="24"/>
                <w:szCs w:val="24"/>
                <w:lang w:val="en-US" w:eastAsia="zh-CN"/>
              </w:rPr>
              <w:t>密度和生物量</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 xml:space="preserve">评价区水体中浮游动物的平均密度为169.57 </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5"/>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5"/>
                <w:sz w:val="24"/>
                <w:szCs w:val="24"/>
              </w:rPr>
              <w:t>，其中原生动物平均</w:t>
            </w:r>
            <w:r>
              <w:rPr>
                <w:rFonts w:hint="default" w:ascii="Times New Roman" w:hAnsi="Times New Roman" w:eastAsia="宋体" w:cs="Times New Roman"/>
                <w:color w:val="auto"/>
                <w:spacing w:val="4"/>
                <w:sz w:val="24"/>
                <w:szCs w:val="24"/>
              </w:rPr>
              <w:t>密</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pacing w:val="10"/>
                <w:sz w:val="24"/>
                <w:szCs w:val="24"/>
              </w:rPr>
              <w:t>最高</w:t>
            </w:r>
            <w:r>
              <w:rPr>
                <w:rFonts w:hint="default" w:ascii="Times New Roman" w:hAnsi="Times New Roman" w:eastAsia="宋体" w:cs="Times New Roman"/>
                <w:color w:val="auto"/>
                <w:spacing w:val="6"/>
                <w:sz w:val="24"/>
                <w:szCs w:val="24"/>
              </w:rPr>
              <w:t>为</w:t>
            </w:r>
            <w:r>
              <w:rPr>
                <w:rFonts w:hint="default" w:ascii="Times New Roman" w:hAnsi="Times New Roman" w:eastAsia="宋体" w:cs="Times New Roman"/>
                <w:color w:val="auto"/>
                <w:spacing w:val="5"/>
                <w:sz w:val="24"/>
                <w:szCs w:val="24"/>
              </w:rPr>
              <w:t xml:space="preserve"> 92 </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5"/>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5"/>
                <w:sz w:val="24"/>
                <w:szCs w:val="24"/>
              </w:rPr>
              <w:t xml:space="preserve">；其次为轮虫类，平均密度为 69.23 </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5"/>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5"/>
                <w:sz w:val="24"/>
                <w:szCs w:val="24"/>
              </w:rPr>
              <w:t>；枝角类的平均密度</w:t>
            </w:r>
            <w:r>
              <w:rPr>
                <w:rFonts w:hint="default" w:ascii="Times New Roman" w:hAnsi="Times New Roman" w:eastAsia="宋体" w:cs="Times New Roman"/>
                <w:color w:val="auto"/>
                <w:spacing w:val="2"/>
                <w:sz w:val="24"/>
                <w:szCs w:val="24"/>
              </w:rPr>
              <w:t>为 3.</w:t>
            </w:r>
            <w:r>
              <w:rPr>
                <w:rFonts w:hint="default" w:ascii="Times New Roman" w:hAnsi="Times New Roman" w:eastAsia="宋体" w:cs="Times New Roman"/>
                <w:color w:val="auto"/>
                <w:spacing w:val="1"/>
                <w:sz w:val="24"/>
                <w:szCs w:val="24"/>
              </w:rPr>
              <w:t xml:space="preserve">94 </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1"/>
                <w:sz w:val="24"/>
                <w:szCs w:val="24"/>
              </w:rPr>
              <w:t>. /</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1"/>
                <w:sz w:val="24"/>
                <w:szCs w:val="24"/>
              </w:rPr>
              <w:t xml:space="preserve">；桡足类的平均密度为 3.40 </w:t>
            </w:r>
            <w:r>
              <w:rPr>
                <w:rFonts w:hint="default" w:ascii="Times New Roman" w:hAnsi="Times New Roman" w:eastAsia="宋体" w:cs="Times New Roman"/>
                <w:color w:val="auto"/>
                <w:sz w:val="24"/>
                <w:szCs w:val="24"/>
              </w:rPr>
              <w:t>ind</w:t>
            </w:r>
            <w:r>
              <w:rPr>
                <w:rFonts w:hint="default" w:ascii="Times New Roman" w:hAnsi="Times New Roman" w:eastAsia="宋体" w:cs="Times New Roman"/>
                <w:color w:val="auto"/>
                <w:spacing w:val="1"/>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1"/>
                <w:sz w:val="24"/>
                <w:szCs w:val="24"/>
              </w:rPr>
              <w:t>。白泥湖评价区水体中浮游动物</w:t>
            </w:r>
            <w:r>
              <w:rPr>
                <w:rFonts w:hint="default" w:ascii="Times New Roman" w:hAnsi="Times New Roman" w:eastAsia="宋体" w:cs="Times New Roman"/>
                <w:color w:val="auto"/>
                <w:spacing w:val="6"/>
                <w:sz w:val="24"/>
                <w:szCs w:val="24"/>
              </w:rPr>
              <w:t>的</w:t>
            </w:r>
            <w:r>
              <w:rPr>
                <w:rFonts w:hint="default" w:ascii="Times New Roman" w:hAnsi="Times New Roman" w:eastAsia="宋体" w:cs="Times New Roman"/>
                <w:color w:val="auto"/>
                <w:spacing w:val="4"/>
                <w:sz w:val="24"/>
                <w:szCs w:val="24"/>
              </w:rPr>
              <w:t xml:space="preserve">平均生物量为 0.240 </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4"/>
                <w:sz w:val="24"/>
                <w:szCs w:val="24"/>
              </w:rPr>
              <w:t xml:space="preserve">，其中轮虫类的平均生物量最大为 0.089 </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4"/>
                <w:sz w:val="24"/>
                <w:szCs w:val="24"/>
              </w:rPr>
              <w:t>；其次</w:t>
            </w:r>
            <w:r>
              <w:rPr>
                <w:rFonts w:hint="default" w:ascii="Times New Roman" w:hAnsi="Times New Roman" w:eastAsia="宋体" w:cs="Times New Roman"/>
                <w:color w:val="auto"/>
                <w:spacing w:val="12"/>
                <w:sz w:val="24"/>
                <w:szCs w:val="24"/>
              </w:rPr>
              <w:t>为枝角类</w:t>
            </w:r>
            <w:r>
              <w:rPr>
                <w:rFonts w:hint="default" w:ascii="Times New Roman" w:hAnsi="Times New Roman" w:eastAsia="宋体" w:cs="Times New Roman"/>
                <w:color w:val="auto"/>
                <w:spacing w:val="8"/>
                <w:sz w:val="24"/>
                <w:szCs w:val="24"/>
              </w:rPr>
              <w:t>的</w:t>
            </w:r>
            <w:r>
              <w:rPr>
                <w:rFonts w:hint="default" w:ascii="Times New Roman" w:hAnsi="Times New Roman" w:eastAsia="宋体" w:cs="Times New Roman"/>
                <w:color w:val="auto"/>
                <w:spacing w:val="6"/>
                <w:sz w:val="24"/>
                <w:szCs w:val="24"/>
              </w:rPr>
              <w:t xml:space="preserve">为0.076 </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6"/>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6"/>
                <w:sz w:val="24"/>
                <w:szCs w:val="24"/>
              </w:rPr>
              <w:t xml:space="preserve">；桡足类的为 0.062 </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6"/>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6"/>
                <w:sz w:val="24"/>
                <w:szCs w:val="24"/>
              </w:rPr>
              <w:t>；原生动物的平均生物量为</w:t>
            </w:r>
            <w:r>
              <w:rPr>
                <w:rFonts w:hint="default" w:ascii="Times New Roman" w:hAnsi="Times New Roman" w:eastAsia="宋体" w:cs="Times New Roman"/>
                <w:color w:val="auto"/>
                <w:spacing w:val="8"/>
                <w:sz w:val="24"/>
                <w:szCs w:val="24"/>
              </w:rPr>
              <w:t>0</w:t>
            </w:r>
            <w:r>
              <w:rPr>
                <w:rFonts w:hint="default" w:ascii="Times New Roman" w:hAnsi="Times New Roman" w:eastAsia="宋体" w:cs="Times New Roman"/>
                <w:color w:val="auto"/>
                <w:spacing w:val="4"/>
                <w:sz w:val="24"/>
                <w:szCs w:val="24"/>
              </w:rPr>
              <w:t>.013</w:t>
            </w:r>
            <w:r>
              <w:rPr>
                <w:rFonts w:hint="default" w:ascii="Times New Roman" w:hAnsi="Times New Roman" w:eastAsia="宋体" w:cs="Times New Roman"/>
                <w:color w:val="auto"/>
                <w:sz w:val="24"/>
                <w:szCs w:val="24"/>
              </w:rPr>
              <w:t>mg</w:t>
            </w:r>
            <w:r>
              <w:rPr>
                <w:rFonts w:hint="default" w:ascii="Times New Roman" w:hAnsi="Times New Roman" w:eastAsia="宋体" w:cs="Times New Roman"/>
                <w:color w:val="auto"/>
                <w:spacing w:val="4"/>
                <w:sz w:val="24"/>
                <w:szCs w:val="24"/>
              </w:rPr>
              <w:t>/</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1.3.3、</w:t>
            </w:r>
            <w:r>
              <w:rPr>
                <w:rFonts w:hint="default" w:ascii="Times New Roman" w:hAnsi="Times New Roman" w:cs="Times New Roman"/>
                <w:b/>
                <w:bCs/>
                <w:color w:val="auto"/>
                <w:spacing w:val="8"/>
                <w:sz w:val="24"/>
                <w:szCs w:val="24"/>
                <w:lang w:val="en-US" w:eastAsia="zh-CN"/>
              </w:rPr>
              <w:t>底栖动物</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1.3.3.1、</w:t>
            </w:r>
            <w:r>
              <w:rPr>
                <w:rFonts w:hint="default" w:ascii="Times New Roman" w:hAnsi="Times New Roman" w:cs="Times New Roman"/>
                <w:b/>
                <w:bCs/>
                <w:color w:val="auto"/>
                <w:spacing w:val="8"/>
                <w:sz w:val="24"/>
                <w:szCs w:val="24"/>
                <w:lang w:val="en-US" w:eastAsia="zh-CN"/>
              </w:rPr>
              <w:t>种类组成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0"/>
                <w:sz w:val="24"/>
                <w:szCs w:val="24"/>
              </w:rPr>
              <w:t>现场调查发</w:t>
            </w:r>
            <w:r>
              <w:rPr>
                <w:rFonts w:hint="default" w:ascii="Times New Roman" w:hAnsi="Times New Roman" w:eastAsia="宋体" w:cs="Times New Roman"/>
                <w:color w:val="auto"/>
                <w:spacing w:val="5"/>
                <w:sz w:val="24"/>
                <w:szCs w:val="24"/>
              </w:rPr>
              <w:t>现，评价区内共检出底栖动物 3 门 31 种 (属) ，其中软体动物</w:t>
            </w:r>
            <w:r>
              <w:rPr>
                <w:rFonts w:hint="default" w:ascii="Times New Roman" w:hAnsi="Times New Roman" w:eastAsia="宋体" w:cs="Times New Roman"/>
                <w:color w:val="auto"/>
                <w:spacing w:val="-6"/>
                <w:sz w:val="24"/>
                <w:szCs w:val="24"/>
              </w:rPr>
              <w:t>门有 16 种 (属) ，占总数的 56.61%；节肢动物门 10 种 (属) ，占总数的 32.26%</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8"/>
                <w:sz w:val="24"/>
                <w:szCs w:val="24"/>
              </w:rPr>
              <w:t>环节动</w:t>
            </w:r>
            <w:r>
              <w:rPr>
                <w:rFonts w:hint="default" w:ascii="Times New Roman" w:hAnsi="Times New Roman" w:eastAsia="宋体" w:cs="Times New Roman"/>
                <w:color w:val="auto"/>
                <w:spacing w:val="-4"/>
                <w:sz w:val="24"/>
                <w:szCs w:val="24"/>
              </w:rPr>
              <w:t>物 5 种 (属) ，占总数的 16. 13%。</w:t>
            </w:r>
          </w:p>
          <w:p>
            <w:pPr>
              <w:keepNext w:val="0"/>
              <w:keepLines w:val="0"/>
              <w:pageBreakBefore w:val="0"/>
              <w:widowControl w:val="0"/>
              <w:tabs>
                <w:tab w:val="left" w:pos="247"/>
              </w:tabs>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从种类分布看，评价区水域底栖动物以软体动物占优势，其次为节肢动物</w:t>
            </w:r>
            <w:r>
              <w:rPr>
                <w:rFonts w:hint="default" w:ascii="Times New Roman" w:hAnsi="Times New Roman" w:eastAsia="宋体" w:cs="Times New Roman"/>
                <w:color w:val="auto"/>
                <w:spacing w:val="5"/>
                <w:sz w:val="24"/>
                <w:szCs w:val="24"/>
              </w:rPr>
              <w:t>，</w:t>
            </w:r>
            <w:r>
              <w:rPr>
                <w:rFonts w:hint="default" w:ascii="Times New Roman" w:hAnsi="Times New Roman" w:eastAsia="宋体" w:cs="Times New Roman"/>
                <w:color w:val="auto"/>
                <w:spacing w:val="-18"/>
                <w:sz w:val="24"/>
                <w:szCs w:val="24"/>
              </w:rPr>
              <w:t>环 节</w:t>
            </w:r>
            <w:r>
              <w:rPr>
                <w:rFonts w:hint="default" w:ascii="Times New Roman" w:hAnsi="Times New Roman" w:eastAsia="宋体" w:cs="Times New Roman"/>
                <w:color w:val="auto"/>
                <w:spacing w:val="-9"/>
                <w:sz w:val="24"/>
                <w:szCs w:val="24"/>
              </w:rPr>
              <w:t xml:space="preserve"> 动 物 相 对 较 少。优 势 种 有 河 蚬 ( </w:t>
            </w:r>
            <w:r>
              <w:rPr>
                <w:rFonts w:hint="default" w:ascii="Times New Roman" w:hAnsi="Times New Roman" w:eastAsia="宋体" w:cs="Times New Roman"/>
                <w:i/>
                <w:iCs/>
                <w:color w:val="auto"/>
                <w:spacing w:val="-9"/>
                <w:sz w:val="24"/>
                <w:szCs w:val="24"/>
              </w:rPr>
              <w:t>Corbicula</w:t>
            </w:r>
            <w:r>
              <w:rPr>
                <w:rFonts w:hint="default" w:ascii="Times New Roman" w:hAnsi="Times New Roman" w:eastAsia="宋体" w:cs="Times New Roman"/>
                <w:color w:val="auto"/>
                <w:spacing w:val="-9"/>
                <w:sz w:val="24"/>
                <w:szCs w:val="24"/>
              </w:rPr>
              <w:t xml:space="preserve"> </w:t>
            </w:r>
            <w:r>
              <w:rPr>
                <w:rFonts w:hint="default" w:ascii="Times New Roman" w:hAnsi="Times New Roman" w:eastAsia="宋体" w:cs="Times New Roman"/>
                <w:i/>
                <w:iCs/>
                <w:color w:val="auto"/>
                <w:spacing w:val="-9"/>
                <w:sz w:val="24"/>
                <w:szCs w:val="24"/>
              </w:rPr>
              <w:t>fluminea</w:t>
            </w:r>
            <w:r>
              <w:rPr>
                <w:rFonts w:hint="default" w:ascii="Times New Roman" w:hAnsi="Times New Roman" w:eastAsia="宋体" w:cs="Times New Roman"/>
                <w:color w:val="auto"/>
                <w:spacing w:val="-9"/>
                <w:sz w:val="24"/>
                <w:szCs w:val="24"/>
              </w:rPr>
              <w:t xml:space="preserve"> )、  隐 摇 蚊</w:t>
            </w:r>
            <w:r>
              <w:rPr>
                <w:rFonts w:hint="default" w:ascii="Times New Roman" w:hAnsi="Times New Roman" w:eastAsia="宋体" w:cs="Times New Roman"/>
                <w:color w:val="auto"/>
                <w:spacing w:val="2"/>
                <w:sz w:val="24"/>
                <w:szCs w:val="24"/>
              </w:rPr>
              <w:t>(</w:t>
            </w:r>
            <w:r>
              <w:rPr>
                <w:rFonts w:hint="default" w:ascii="Times New Roman" w:hAnsi="Times New Roman" w:eastAsia="宋体" w:cs="Times New Roman"/>
                <w:i/>
                <w:iCs/>
                <w:color w:val="auto"/>
                <w:sz w:val="24"/>
                <w:szCs w:val="24"/>
              </w:rPr>
              <w:t>Cryptochironomus</w:t>
            </w:r>
            <w:r>
              <w:rPr>
                <w:rFonts w:hint="default" w:ascii="Times New Roman" w:hAnsi="Times New Roman" w:eastAsia="宋体" w:cs="Times New Roman"/>
                <w:color w:val="auto"/>
                <w:spacing w:val="2"/>
                <w:sz w:val="24"/>
                <w:szCs w:val="24"/>
              </w:rPr>
              <w:t xml:space="preserve"> </w:t>
            </w:r>
            <w:r>
              <w:rPr>
                <w:rFonts w:hint="default" w:ascii="Times New Roman" w:hAnsi="Times New Roman" w:eastAsia="宋体" w:cs="Times New Roman"/>
                <w:color w:val="auto"/>
                <w:sz w:val="24"/>
                <w:szCs w:val="24"/>
              </w:rPr>
              <w:t>sp</w:t>
            </w:r>
            <w:r>
              <w:rPr>
                <w:rFonts w:hint="default" w:ascii="Times New Roman" w:hAnsi="Times New Roman" w:eastAsia="宋体" w:cs="Times New Roman"/>
                <w:color w:val="auto"/>
                <w:spacing w:val="2"/>
                <w:sz w:val="24"/>
                <w:szCs w:val="24"/>
              </w:rPr>
              <w:t>. ) 、日本沼虾 (</w:t>
            </w:r>
            <w:r>
              <w:rPr>
                <w:rFonts w:hint="default" w:ascii="Times New Roman" w:hAnsi="Times New Roman" w:eastAsia="宋体" w:cs="Times New Roman"/>
                <w:i/>
                <w:iCs/>
                <w:color w:val="auto"/>
                <w:sz w:val="24"/>
                <w:szCs w:val="24"/>
              </w:rPr>
              <w:t>Macrobrachium</w:t>
            </w:r>
            <w:r>
              <w:rPr>
                <w:rFonts w:hint="default" w:ascii="Times New Roman" w:hAnsi="Times New Roman" w:eastAsia="宋体" w:cs="Times New Roman"/>
                <w:color w:val="auto"/>
                <w:spacing w:val="2"/>
                <w:sz w:val="24"/>
                <w:szCs w:val="24"/>
              </w:rPr>
              <w:t xml:space="preserve"> </w:t>
            </w:r>
            <w:r>
              <w:rPr>
                <w:rFonts w:hint="default" w:ascii="Times New Roman" w:hAnsi="Times New Roman" w:eastAsia="宋体" w:cs="Times New Roman"/>
                <w:i/>
                <w:iCs/>
                <w:color w:val="auto"/>
                <w:sz w:val="24"/>
                <w:szCs w:val="24"/>
              </w:rPr>
              <w:t>nipponensis</w:t>
            </w:r>
            <w:r>
              <w:rPr>
                <w:rFonts w:hint="default" w:ascii="Times New Roman" w:hAnsi="Times New Roman" w:eastAsia="宋体" w:cs="Times New Roman"/>
                <w:color w:val="auto"/>
                <w:spacing w:val="1"/>
                <w:sz w:val="24"/>
                <w:szCs w:val="24"/>
              </w:rPr>
              <w:t xml:space="preserve"> ) 等。</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1.3.3.2、</w:t>
            </w:r>
            <w:r>
              <w:rPr>
                <w:rFonts w:hint="default" w:ascii="Times New Roman" w:hAnsi="Times New Roman" w:cs="Times New Roman"/>
                <w:b/>
                <w:bCs/>
                <w:color w:val="auto"/>
                <w:spacing w:val="8"/>
                <w:sz w:val="24"/>
                <w:szCs w:val="24"/>
                <w:lang w:val="en-US" w:eastAsia="zh-CN"/>
              </w:rPr>
              <w:t>密度和生物量</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评价区水体中底栖动物平均密度为14.</w:t>
            </w:r>
            <w:r>
              <w:rPr>
                <w:rFonts w:hint="default" w:ascii="Times New Roman" w:hAnsi="Times New Roman" w:eastAsia="宋体" w:cs="Times New Roman"/>
                <w:color w:val="auto"/>
                <w:spacing w:val="14"/>
                <w:sz w:val="24"/>
                <w:szCs w:val="24"/>
              </w:rPr>
              <w:t>7</w:t>
            </w:r>
            <w:r>
              <w:rPr>
                <w:rFonts w:hint="default" w:ascii="Times New Roman" w:hAnsi="Times New Roman" w:eastAsia="宋体" w:cs="Times New Roman"/>
                <w:color w:val="auto"/>
                <w:sz w:val="24"/>
                <w:szCs w:val="24"/>
              </w:rPr>
              <w:t xml:space="preserve"> ind</w:t>
            </w:r>
            <w:r>
              <w:rPr>
                <w:rFonts w:hint="default" w:ascii="Times New Roman" w:hAnsi="Times New Roman" w:eastAsia="宋体" w:cs="Times New Roman"/>
                <w:color w:val="auto"/>
                <w:spacing w:val="2"/>
                <w:sz w:val="24"/>
                <w:szCs w:val="24"/>
              </w:rPr>
              <w:t>./</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2"/>
                <w:sz w:val="24"/>
                <w:szCs w:val="24"/>
              </w:rPr>
              <w:t xml:space="preserve">；平均生物量为 12.86 </w:t>
            </w:r>
            <w:r>
              <w:rPr>
                <w:rFonts w:hint="default" w:ascii="Times New Roman" w:hAnsi="Times New Roman" w:eastAsia="宋体" w:cs="Times New Roman"/>
                <w:color w:val="auto"/>
                <w:sz w:val="24"/>
                <w:szCs w:val="24"/>
              </w:rPr>
              <w:t>g</w:t>
            </w:r>
            <w:r>
              <w:rPr>
                <w:rFonts w:hint="default" w:ascii="Times New Roman" w:hAnsi="Times New Roman" w:eastAsia="宋体" w:cs="Times New Roman"/>
                <w:color w:val="auto"/>
                <w:spacing w:val="2"/>
                <w:sz w:val="24"/>
                <w:szCs w:val="24"/>
              </w:rPr>
              <w:t>/</w:t>
            </w:r>
            <w:r>
              <w:rPr>
                <w:rFonts w:hint="default" w:ascii="Times New Roman" w:hAnsi="Times New Roman" w:eastAsia="宋体" w:cs="Times New Roman"/>
                <w:color w:val="auto"/>
                <w:sz w:val="24"/>
                <w:szCs w:val="24"/>
              </w:rPr>
              <w:t>m</w:t>
            </w:r>
            <w:r>
              <w:rPr>
                <w:rFonts w:hint="eastAsia"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1.3.4、</w:t>
            </w:r>
            <w:r>
              <w:rPr>
                <w:rFonts w:hint="default" w:ascii="Times New Roman" w:hAnsi="Times New Roman" w:cs="Times New Roman"/>
                <w:b/>
                <w:bCs/>
                <w:color w:val="auto"/>
                <w:spacing w:val="8"/>
                <w:sz w:val="24"/>
                <w:szCs w:val="24"/>
                <w:lang w:val="en-US" w:eastAsia="zh-CN"/>
              </w:rPr>
              <w:t>水生维管束植物</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7"/>
                <w:sz w:val="24"/>
                <w:szCs w:val="24"/>
              </w:rPr>
              <w:t>评价区共有水生维管束植物 18 种；常见有芦</w:t>
            </w:r>
            <w:r>
              <w:rPr>
                <w:rFonts w:hint="default" w:ascii="Times New Roman" w:hAnsi="Times New Roman" w:eastAsia="宋体" w:cs="Times New Roman"/>
                <w:color w:val="auto"/>
                <w:spacing w:val="4"/>
                <w:sz w:val="24"/>
                <w:szCs w:val="24"/>
              </w:rPr>
              <w:t>苇群系、荻群系、凤</w:t>
            </w:r>
            <w:r>
              <w:rPr>
                <w:rFonts w:hint="default" w:ascii="Times New Roman" w:hAnsi="Times New Roman" w:eastAsia="宋体" w:cs="Times New Roman"/>
                <w:color w:val="auto"/>
                <w:spacing w:val="3"/>
                <w:sz w:val="24"/>
                <w:szCs w:val="24"/>
              </w:rPr>
              <w:t>眼</w:t>
            </w:r>
            <w:r>
              <w:rPr>
                <w:rFonts w:hint="default" w:ascii="Times New Roman" w:hAnsi="Times New Roman" w:eastAsia="宋体" w:cs="Times New Roman"/>
                <w:color w:val="auto"/>
                <w:spacing w:val="2"/>
                <w:sz w:val="24"/>
                <w:szCs w:val="24"/>
              </w:rPr>
              <w:t>莲群系等，周边常见的湿生植物有喜旱莲子草、双穗雀稗、</w:t>
            </w:r>
            <w:r>
              <w:rPr>
                <w:rFonts w:hint="default" w:ascii="Times New Roman" w:hAnsi="Times New Roman" w:eastAsia="宋体" w:cs="Times New Roman"/>
                <w:color w:val="auto"/>
                <w:spacing w:val="6"/>
                <w:sz w:val="24"/>
                <w:szCs w:val="24"/>
              </w:rPr>
              <w:t>莲、菰等</w:t>
            </w:r>
            <w:r>
              <w:rPr>
                <w:rFonts w:hint="default" w:ascii="Times New Roman" w:hAnsi="Times New Roman" w:eastAsia="宋体" w:cs="Times New Roman"/>
                <w:color w:val="auto"/>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w:t>
            </w:r>
            <w:r>
              <w:rPr>
                <w:rFonts w:hint="default" w:ascii="Times New Roman" w:hAnsi="Times New Roman" w:cs="Times New Roman"/>
                <w:b/>
                <w:bCs/>
                <w:color w:val="auto"/>
                <w:spacing w:val="8"/>
                <w:sz w:val="24"/>
                <w:szCs w:val="24"/>
                <w:lang w:val="en-US" w:eastAsia="zh-CN"/>
              </w:rPr>
              <w:t>鱼类</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1.3.5.1、</w:t>
            </w:r>
            <w:r>
              <w:rPr>
                <w:rFonts w:hint="default" w:ascii="Times New Roman" w:hAnsi="Times New Roman" w:cs="Times New Roman"/>
                <w:b/>
                <w:bCs/>
                <w:color w:val="auto"/>
                <w:spacing w:val="8"/>
                <w:sz w:val="24"/>
                <w:szCs w:val="24"/>
                <w:lang w:val="en-US" w:eastAsia="zh-CN"/>
              </w:rPr>
              <w:t>种类组成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评价区水域共总结出鱼类 4目8科共计24种，鱼类群落中种数最多的</w:t>
            </w:r>
            <w:r>
              <w:rPr>
                <w:rFonts w:hint="default" w:ascii="Times New Roman" w:hAnsi="Times New Roman" w:eastAsia="宋体" w:cs="Times New Roman"/>
                <w:color w:val="auto"/>
                <w:spacing w:val="-4"/>
                <w:sz w:val="24"/>
                <w:szCs w:val="24"/>
              </w:rPr>
              <w:t>鲤形目有 18 种，占总种类数的 7</w:t>
            </w:r>
            <w:r>
              <w:rPr>
                <w:rFonts w:hint="default" w:ascii="Times New Roman" w:hAnsi="Times New Roman" w:eastAsia="宋体" w:cs="Times New Roman"/>
                <w:color w:val="auto"/>
                <w:spacing w:val="-3"/>
                <w:sz w:val="24"/>
                <w:szCs w:val="24"/>
              </w:rPr>
              <w:t>5</w:t>
            </w:r>
            <w:r>
              <w:rPr>
                <w:rFonts w:hint="default" w:ascii="Times New Roman" w:hAnsi="Times New Roman" w:eastAsia="宋体" w:cs="Times New Roman"/>
                <w:color w:val="auto"/>
                <w:spacing w:val="-2"/>
                <w:sz w:val="24"/>
                <w:szCs w:val="24"/>
              </w:rPr>
              <w:t>.00% ；其次是鲈形目 3 种，占比 12.50% ；鲇</w:t>
            </w:r>
            <w:r>
              <w:rPr>
                <w:rFonts w:hint="default" w:ascii="Times New Roman" w:hAnsi="Times New Roman" w:eastAsia="宋体" w:cs="Times New Roman"/>
                <w:color w:val="auto"/>
                <w:spacing w:val="-1"/>
                <w:sz w:val="24"/>
                <w:szCs w:val="24"/>
              </w:rPr>
              <w:t>形目</w:t>
            </w:r>
            <w:r>
              <w:rPr>
                <w:rFonts w:hint="default" w:ascii="Times New Roman" w:hAnsi="Times New Roman" w:eastAsia="宋体" w:cs="Times New Roman"/>
                <w:color w:val="auto"/>
                <w:sz w:val="24"/>
                <w:szCs w:val="24"/>
              </w:rPr>
              <w:t>2 种，占比 8.33%；最少的合鳃鱼目仅 1 种，占比 4. 17%。从分布范围来看，</w:t>
            </w:r>
            <w:r>
              <w:rPr>
                <w:rFonts w:hint="default" w:ascii="Times New Roman" w:hAnsi="Times New Roman" w:eastAsia="宋体" w:cs="Times New Roman"/>
                <w:color w:val="auto"/>
                <w:spacing w:val="8"/>
                <w:sz w:val="24"/>
                <w:szCs w:val="24"/>
              </w:rPr>
              <w:t>三个湖均为常年</w:t>
            </w:r>
            <w:r>
              <w:rPr>
                <w:rFonts w:hint="default" w:ascii="Times New Roman" w:hAnsi="Times New Roman" w:eastAsia="宋体" w:cs="Times New Roman"/>
                <w:color w:val="auto"/>
                <w:spacing w:val="5"/>
                <w:sz w:val="24"/>
                <w:szCs w:val="24"/>
              </w:rPr>
              <w:t>养</w:t>
            </w:r>
            <w:r>
              <w:rPr>
                <w:rFonts w:hint="default" w:ascii="Times New Roman" w:hAnsi="Times New Roman" w:eastAsia="宋体" w:cs="Times New Roman"/>
                <w:color w:val="auto"/>
                <w:spacing w:val="4"/>
                <w:sz w:val="24"/>
                <w:szCs w:val="24"/>
              </w:rPr>
              <w:t>殖水体(白泥湖在2021年解除承包， 目前由石塘乡人民政府</w:t>
            </w:r>
            <w:r>
              <w:rPr>
                <w:rFonts w:hint="default" w:ascii="Times New Roman" w:hAnsi="Times New Roman" w:eastAsia="宋体" w:cs="Times New Roman"/>
                <w:color w:val="auto"/>
                <w:spacing w:val="13"/>
                <w:sz w:val="24"/>
                <w:szCs w:val="24"/>
              </w:rPr>
              <w:t>管理)，养殖的鱼类主要为鲢 (</w:t>
            </w:r>
            <w:r>
              <w:rPr>
                <w:rFonts w:hint="default" w:ascii="Times New Roman" w:hAnsi="Times New Roman" w:eastAsia="宋体" w:cs="Times New Roman"/>
                <w:i/>
                <w:iCs/>
                <w:color w:val="auto"/>
                <w:sz w:val="24"/>
                <w:szCs w:val="24"/>
              </w:rPr>
              <w:t>Hypophthalmichthys</w:t>
            </w:r>
            <w:r>
              <w:rPr>
                <w:rFonts w:hint="default" w:ascii="Times New Roman" w:hAnsi="Times New Roman" w:eastAsia="宋体" w:cs="Times New Roman"/>
                <w:color w:val="auto"/>
                <w:spacing w:val="13"/>
                <w:sz w:val="24"/>
                <w:szCs w:val="24"/>
              </w:rPr>
              <w:t xml:space="preserve"> </w:t>
            </w:r>
            <w:r>
              <w:rPr>
                <w:rFonts w:hint="default" w:ascii="Times New Roman" w:hAnsi="Times New Roman" w:eastAsia="宋体" w:cs="Times New Roman"/>
                <w:i/>
                <w:iCs/>
                <w:color w:val="auto"/>
                <w:sz w:val="24"/>
                <w:szCs w:val="24"/>
              </w:rPr>
              <w:t>molitrix</w:t>
            </w:r>
            <w:r>
              <w:rPr>
                <w:rFonts w:hint="default" w:ascii="Times New Roman" w:hAnsi="Times New Roman" w:eastAsia="宋体" w:cs="Times New Roman"/>
                <w:color w:val="auto"/>
                <w:spacing w:val="13"/>
                <w:sz w:val="24"/>
                <w:szCs w:val="24"/>
              </w:rPr>
              <w:t xml:space="preserve"> ) 和鳙 </w:t>
            </w:r>
            <w:r>
              <w:rPr>
                <w:rFonts w:hint="default" w:ascii="Times New Roman" w:hAnsi="Times New Roman" w:eastAsia="宋体" w:cs="Times New Roman"/>
                <w:color w:val="auto"/>
                <w:spacing w:val="9"/>
                <w:sz w:val="24"/>
                <w:szCs w:val="24"/>
              </w:rPr>
              <w:t>(</w:t>
            </w:r>
            <w:r>
              <w:rPr>
                <w:rFonts w:hint="default" w:ascii="Times New Roman" w:hAnsi="Times New Roman" w:eastAsia="宋体" w:cs="Times New Roman"/>
                <w:i/>
                <w:iCs/>
                <w:color w:val="auto"/>
                <w:sz w:val="24"/>
                <w:szCs w:val="24"/>
              </w:rPr>
              <w:t>Aristichthys</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i/>
                <w:iCs/>
                <w:color w:val="auto"/>
                <w:sz w:val="24"/>
                <w:szCs w:val="24"/>
              </w:rPr>
              <w:t>nobilis</w:t>
            </w:r>
            <w:r>
              <w:rPr>
                <w:rFonts w:hint="default" w:ascii="Times New Roman" w:hAnsi="Times New Roman" w:eastAsia="宋体" w:cs="Times New Roman"/>
                <w:color w:val="auto"/>
                <w:spacing w:val="4"/>
                <w:sz w:val="24"/>
                <w:szCs w:val="24"/>
              </w:rPr>
              <w:t xml:space="preserve"> )，其余种类较少。</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1.3.5.2、区系组成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评价区</w:t>
            </w:r>
            <w:r>
              <w:rPr>
                <w:rFonts w:hint="default" w:ascii="Times New Roman" w:hAnsi="Times New Roman" w:eastAsia="宋体" w:cs="Times New Roman"/>
                <w:color w:val="auto"/>
                <w:spacing w:val="4"/>
                <w:sz w:val="24"/>
                <w:szCs w:val="24"/>
              </w:rPr>
              <w:t>分布鱼类涉及以下4个区系：</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(1)东亚平原类</w:t>
            </w:r>
            <w:r>
              <w:rPr>
                <w:rFonts w:hint="default" w:ascii="Times New Roman" w:hAnsi="Times New Roman" w:eastAsia="宋体" w:cs="Times New Roman"/>
                <w:color w:val="auto"/>
                <w:spacing w:val="17"/>
                <w:sz w:val="24"/>
                <w:szCs w:val="24"/>
              </w:rPr>
              <w:t>群</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评价区调</w:t>
            </w:r>
            <w:r>
              <w:rPr>
                <w:rFonts w:hint="default" w:ascii="Times New Roman" w:hAnsi="Times New Roman" w:eastAsia="宋体" w:cs="Times New Roman"/>
                <w:color w:val="auto"/>
                <w:spacing w:val="7"/>
                <w:sz w:val="24"/>
                <w:szCs w:val="24"/>
              </w:rPr>
              <w:t>查</w:t>
            </w:r>
            <w:r>
              <w:rPr>
                <w:rFonts w:hint="default" w:ascii="Times New Roman" w:hAnsi="Times New Roman" w:eastAsia="宋体" w:cs="Times New Roman"/>
                <w:color w:val="auto"/>
                <w:spacing w:val="6"/>
                <w:sz w:val="24"/>
                <w:szCs w:val="24"/>
              </w:rPr>
              <w:t>到的青鱼、草鱼和赤眼鳟等属东亚平原类群。这部分鱼很大部分</w:t>
            </w:r>
            <w:r>
              <w:rPr>
                <w:rFonts w:hint="default" w:ascii="Times New Roman" w:hAnsi="Times New Roman" w:eastAsia="宋体" w:cs="Times New Roman"/>
                <w:color w:val="auto"/>
                <w:spacing w:val="7"/>
                <w:sz w:val="24"/>
                <w:szCs w:val="24"/>
              </w:rPr>
              <w:t>产漂流性卵，一部分鱼虽产粘性卵但粘性不大，卵产出后附着在物体上，不久</w:t>
            </w:r>
            <w:r>
              <w:rPr>
                <w:rFonts w:hint="default" w:ascii="Times New Roman" w:hAnsi="Times New Roman" w:eastAsia="宋体" w:cs="Times New Roman"/>
                <w:color w:val="auto"/>
                <w:spacing w:val="4"/>
                <w:sz w:val="24"/>
                <w:szCs w:val="24"/>
              </w:rPr>
              <w:t>即</w:t>
            </w:r>
            <w:r>
              <w:rPr>
                <w:rFonts w:hint="default" w:ascii="Times New Roman" w:hAnsi="Times New Roman" w:eastAsia="宋体" w:cs="Times New Roman"/>
                <w:color w:val="auto"/>
                <w:spacing w:val="7"/>
                <w:sz w:val="24"/>
                <w:szCs w:val="24"/>
              </w:rPr>
              <w:t>脱离。顺水漂流并发育。产卵习性对水位变动敏感，许多种类在水位升高时从</w:t>
            </w:r>
            <w:r>
              <w:rPr>
                <w:rFonts w:hint="default" w:ascii="Times New Roman" w:hAnsi="Times New Roman" w:eastAsia="宋体" w:cs="Times New Roman"/>
                <w:color w:val="auto"/>
                <w:spacing w:val="3"/>
                <w:sz w:val="24"/>
                <w:szCs w:val="24"/>
              </w:rPr>
              <w:t>湖</w:t>
            </w:r>
            <w:r>
              <w:rPr>
                <w:rFonts w:hint="default" w:ascii="Times New Roman" w:hAnsi="Times New Roman" w:eastAsia="宋体" w:cs="Times New Roman"/>
                <w:color w:val="auto"/>
                <w:spacing w:val="13"/>
                <w:sz w:val="24"/>
                <w:szCs w:val="24"/>
              </w:rPr>
              <w:t>泊</w:t>
            </w:r>
            <w:r>
              <w:rPr>
                <w:rFonts w:hint="default" w:ascii="Times New Roman" w:hAnsi="Times New Roman" w:eastAsia="宋体" w:cs="Times New Roman"/>
                <w:color w:val="auto"/>
                <w:spacing w:val="9"/>
                <w:sz w:val="24"/>
                <w:szCs w:val="24"/>
              </w:rPr>
              <w:t>进入江河产卵，幼鱼及产过卵的亲鱼入湖泊育肥休养。</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7"/>
                <w:sz w:val="24"/>
                <w:szCs w:val="24"/>
              </w:rPr>
              <w:t>(</w:t>
            </w:r>
            <w:r>
              <w:rPr>
                <w:rFonts w:hint="default" w:ascii="Times New Roman" w:hAnsi="Times New Roman" w:eastAsia="宋体" w:cs="Times New Roman"/>
                <w:color w:val="auto"/>
                <w:spacing w:val="16"/>
                <w:sz w:val="24"/>
                <w:szCs w:val="24"/>
              </w:rPr>
              <w:t>2)中国平原区系复合体</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评价区调</w:t>
            </w:r>
            <w:r>
              <w:rPr>
                <w:rFonts w:hint="default" w:ascii="Times New Roman" w:hAnsi="Times New Roman" w:eastAsia="宋体" w:cs="Times New Roman"/>
                <w:color w:val="auto"/>
                <w:spacing w:val="7"/>
                <w:sz w:val="24"/>
                <w:szCs w:val="24"/>
              </w:rPr>
              <w:t>查</w:t>
            </w:r>
            <w:r>
              <w:rPr>
                <w:rFonts w:hint="default" w:ascii="Times New Roman" w:hAnsi="Times New Roman" w:eastAsia="宋体" w:cs="Times New Roman"/>
                <w:color w:val="auto"/>
                <w:spacing w:val="6"/>
                <w:sz w:val="24"/>
                <w:szCs w:val="24"/>
              </w:rPr>
              <w:t>到的鲫、鲤属中国平原区系。这类鱼的主要特点：多数种类产漂</w:t>
            </w:r>
            <w:r>
              <w:rPr>
                <w:rFonts w:hint="default" w:ascii="Times New Roman" w:hAnsi="Times New Roman" w:eastAsia="宋体" w:cs="Times New Roman"/>
                <w:color w:val="auto"/>
                <w:spacing w:val="7"/>
                <w:sz w:val="24"/>
                <w:szCs w:val="24"/>
              </w:rPr>
              <w:t>流性鱼卵，少部分种类产粘性卵但粘性较弱，卵产出后附着在物体上，不久即</w:t>
            </w:r>
            <w:r>
              <w:rPr>
                <w:rFonts w:hint="default" w:ascii="Times New Roman" w:hAnsi="Times New Roman" w:eastAsia="宋体" w:cs="Times New Roman"/>
                <w:color w:val="auto"/>
                <w:spacing w:val="3"/>
                <w:sz w:val="24"/>
                <w:szCs w:val="24"/>
              </w:rPr>
              <w:t>脱</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离并顺水漂流发育；该复合体的鱼类通常对水位变化较敏感，许多种类在水位</w:t>
            </w:r>
            <w:r>
              <w:rPr>
                <w:rFonts w:hint="default" w:ascii="Times New Roman" w:hAnsi="Times New Roman" w:eastAsia="宋体" w:cs="Times New Roman"/>
                <w:color w:val="auto"/>
                <w:spacing w:val="3"/>
                <w:sz w:val="24"/>
                <w:szCs w:val="24"/>
              </w:rPr>
              <w:t>升</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高时从湖泊进入江河产卵，幼鱼和产卵后的亲鱼入湖泊育肥。在北方当秋季水</w:t>
            </w:r>
            <w:r>
              <w:rPr>
                <w:rFonts w:hint="default" w:ascii="Times New Roman" w:hAnsi="Times New Roman" w:eastAsia="宋体" w:cs="Times New Roman"/>
                <w:color w:val="auto"/>
                <w:spacing w:val="3"/>
                <w:sz w:val="24"/>
                <w:szCs w:val="24"/>
              </w:rPr>
              <w:t>位</w:t>
            </w:r>
            <w:r>
              <w:rPr>
                <w:rFonts w:hint="default" w:ascii="Times New Roman" w:hAnsi="Times New Roman" w:eastAsia="宋体" w:cs="Times New Roman"/>
                <w:color w:val="auto"/>
                <w:spacing w:val="18"/>
                <w:sz w:val="24"/>
                <w:szCs w:val="24"/>
              </w:rPr>
              <w:t>下</w:t>
            </w:r>
            <w:r>
              <w:rPr>
                <w:rFonts w:hint="default" w:ascii="Times New Roman" w:hAnsi="Times New Roman" w:eastAsia="宋体" w:cs="Times New Roman"/>
                <w:color w:val="auto"/>
                <w:spacing w:val="11"/>
                <w:sz w:val="24"/>
                <w:szCs w:val="24"/>
              </w:rPr>
              <w:t>降</w:t>
            </w:r>
            <w:r>
              <w:rPr>
                <w:rFonts w:hint="default" w:ascii="Times New Roman" w:hAnsi="Times New Roman" w:eastAsia="宋体" w:cs="Times New Roman"/>
                <w:color w:val="auto"/>
                <w:spacing w:val="9"/>
                <w:sz w:val="24"/>
                <w:szCs w:val="24"/>
              </w:rPr>
              <w:t>时，鱼类又回到江河中越冬。其中部分种类食物较单纯，生长较快。</w:t>
            </w:r>
          </w:p>
          <w:p>
            <w:pPr>
              <w:keepNext w:val="0"/>
              <w:keepLines w:val="0"/>
              <w:pageBreakBefore w:val="0"/>
              <w:widowControl w:val="0"/>
              <w:kinsoku/>
              <w:wordWrap/>
              <w:overflowPunct/>
              <w:topLinePunct w:val="0"/>
              <w:autoSpaceDE/>
              <w:autoSpaceDN/>
              <w:bidi w:val="0"/>
              <w:adjustRightInd/>
              <w:snapToGrid/>
              <w:spacing w:line="360" w:lineRule="auto"/>
              <w:ind w:left="0" w:right="0" w:firstLine="5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7"/>
                <w:sz w:val="24"/>
                <w:szCs w:val="24"/>
              </w:rPr>
              <w:t>(</w:t>
            </w:r>
            <w:r>
              <w:rPr>
                <w:rFonts w:hint="default" w:ascii="Times New Roman" w:hAnsi="Times New Roman" w:eastAsia="宋体" w:cs="Times New Roman"/>
                <w:color w:val="auto"/>
                <w:spacing w:val="16"/>
                <w:sz w:val="24"/>
                <w:szCs w:val="24"/>
              </w:rPr>
              <w:t>3)南方平原区系复合体</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评价区乌</w:t>
            </w:r>
            <w:r>
              <w:rPr>
                <w:rFonts w:hint="default" w:ascii="Times New Roman" w:hAnsi="Times New Roman" w:eastAsia="宋体" w:cs="Times New Roman"/>
                <w:color w:val="auto"/>
                <w:spacing w:val="7"/>
                <w:sz w:val="24"/>
                <w:szCs w:val="24"/>
              </w:rPr>
              <w:t>鳢</w:t>
            </w:r>
            <w:r>
              <w:rPr>
                <w:rFonts w:hint="default" w:ascii="Times New Roman" w:hAnsi="Times New Roman" w:eastAsia="宋体" w:cs="Times New Roman"/>
                <w:color w:val="auto"/>
                <w:spacing w:val="6"/>
                <w:sz w:val="24"/>
                <w:szCs w:val="24"/>
              </w:rPr>
              <w:t>属此复合体类群。这类鱼具有特化的吸附构造，这类鱼常具拟草</w:t>
            </w:r>
            <w:r>
              <w:rPr>
                <w:rFonts w:hint="default" w:ascii="Times New Roman" w:hAnsi="Times New Roman" w:eastAsia="宋体" w:cs="Times New Roman"/>
                <w:color w:val="auto"/>
                <w:spacing w:val="7"/>
                <w:sz w:val="24"/>
                <w:szCs w:val="24"/>
              </w:rPr>
              <w:t>色，体表多花纹，有些种类具棘和吸取游离氧的副呼吸器官。这类鱼喜暖水，</w:t>
            </w:r>
            <w:r>
              <w:rPr>
                <w:rFonts w:hint="default" w:ascii="Times New Roman" w:hAnsi="Times New Roman" w:eastAsia="宋体" w:cs="Times New Roman"/>
                <w:color w:val="auto"/>
                <w:spacing w:val="1"/>
                <w:sz w:val="24"/>
                <w:szCs w:val="24"/>
              </w:rPr>
              <w:t>在</w:t>
            </w:r>
            <w:r>
              <w:rPr>
                <w:rFonts w:hint="default" w:ascii="Times New Roman" w:hAnsi="Times New Roman" w:eastAsia="宋体" w:cs="Times New Roman"/>
                <w:color w:val="auto"/>
                <w:spacing w:val="16"/>
                <w:sz w:val="24"/>
                <w:szCs w:val="24"/>
              </w:rPr>
              <w:t>较高</w:t>
            </w:r>
            <w:r>
              <w:rPr>
                <w:rFonts w:hint="default" w:ascii="Times New Roman" w:hAnsi="Times New Roman" w:eastAsia="宋体" w:cs="Times New Roman"/>
                <w:color w:val="auto"/>
                <w:spacing w:val="13"/>
                <w:sz w:val="24"/>
                <w:szCs w:val="24"/>
              </w:rPr>
              <w:t>水</w:t>
            </w:r>
            <w:r>
              <w:rPr>
                <w:rFonts w:hint="default" w:ascii="Times New Roman" w:hAnsi="Times New Roman" w:eastAsia="宋体" w:cs="Times New Roman"/>
                <w:color w:val="auto"/>
                <w:spacing w:val="8"/>
                <w:sz w:val="24"/>
                <w:szCs w:val="24"/>
              </w:rPr>
              <w:t>温的夏季繁殖，多有护卵、护幼习性。在东亚愈往低纬度地带种类愈多。</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9"/>
                <w:sz w:val="24"/>
                <w:szCs w:val="24"/>
              </w:rPr>
              <w:t>(</w:t>
            </w:r>
            <w:r>
              <w:rPr>
                <w:rFonts w:hint="default" w:ascii="Times New Roman" w:hAnsi="Times New Roman" w:eastAsia="宋体" w:cs="Times New Roman"/>
                <w:color w:val="auto"/>
                <w:spacing w:val="15"/>
                <w:sz w:val="24"/>
                <w:szCs w:val="24"/>
              </w:rPr>
              <w:t>4)晚第三纪早期区系复合体</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6"/>
                <w:sz w:val="24"/>
                <w:szCs w:val="24"/>
              </w:rPr>
              <w:t>评</w:t>
            </w:r>
            <w:r>
              <w:rPr>
                <w:rFonts w:hint="default" w:ascii="Times New Roman" w:hAnsi="Times New Roman" w:eastAsia="宋体" w:cs="Times New Roman"/>
                <w:color w:val="auto"/>
                <w:spacing w:val="14"/>
                <w:sz w:val="24"/>
                <w:szCs w:val="24"/>
              </w:rPr>
              <w:t>价区有泥鳅属于该区系复合体。该区系复合体被分割成若干不连续的区</w:t>
            </w:r>
            <w:r>
              <w:rPr>
                <w:rFonts w:hint="default" w:ascii="Times New Roman" w:hAnsi="Times New Roman" w:eastAsia="宋体" w:cs="Times New Roman"/>
                <w:color w:val="auto"/>
                <w:spacing w:val="7"/>
                <w:sz w:val="24"/>
                <w:szCs w:val="24"/>
              </w:rPr>
              <w:t>域，有的种类并存于欧亚。它们共同特征是适应性强，分布广泛，适应静水或</w:t>
            </w:r>
            <w:r>
              <w:rPr>
                <w:rFonts w:hint="default" w:ascii="Times New Roman" w:hAnsi="Times New Roman" w:eastAsia="宋体" w:cs="Times New Roman"/>
                <w:color w:val="auto"/>
                <w:spacing w:val="3"/>
                <w:sz w:val="24"/>
                <w:szCs w:val="24"/>
              </w:rPr>
              <w:t>缓</w:t>
            </w:r>
            <w:r>
              <w:rPr>
                <w:rFonts w:hint="default" w:ascii="Times New Roman" w:hAnsi="Times New Roman" w:eastAsia="宋体" w:cs="Times New Roman"/>
                <w:color w:val="auto"/>
                <w:spacing w:val="7"/>
                <w:sz w:val="24"/>
                <w:szCs w:val="24"/>
              </w:rPr>
              <w:t>流水环境，产粘性卵于水草或石砾上，部分种类产卵于软体动物外套膜中，视</w:t>
            </w:r>
            <w:r>
              <w:rPr>
                <w:rFonts w:hint="default" w:ascii="Times New Roman" w:hAnsi="Times New Roman" w:eastAsia="宋体" w:cs="Times New Roman"/>
                <w:color w:val="auto"/>
                <w:spacing w:val="3"/>
                <w:sz w:val="24"/>
                <w:szCs w:val="24"/>
              </w:rPr>
              <w:t>觉</w:t>
            </w:r>
            <w:r>
              <w:rPr>
                <w:rFonts w:hint="default" w:ascii="Times New Roman" w:hAnsi="Times New Roman" w:eastAsia="宋体" w:cs="Times New Roman"/>
                <w:color w:val="auto"/>
                <w:spacing w:val="18"/>
                <w:sz w:val="24"/>
                <w:szCs w:val="24"/>
              </w:rPr>
              <w:t>不</w:t>
            </w:r>
            <w:r>
              <w:rPr>
                <w:rFonts w:hint="default" w:ascii="Times New Roman" w:hAnsi="Times New Roman" w:eastAsia="宋体" w:cs="Times New Roman"/>
                <w:color w:val="auto"/>
                <w:spacing w:val="12"/>
                <w:sz w:val="24"/>
                <w:szCs w:val="24"/>
              </w:rPr>
              <w:t>发</w:t>
            </w:r>
            <w:r>
              <w:rPr>
                <w:rFonts w:hint="default" w:ascii="Times New Roman" w:hAnsi="Times New Roman" w:eastAsia="宋体" w:cs="Times New Roman"/>
                <w:color w:val="auto"/>
                <w:spacing w:val="9"/>
                <w:sz w:val="24"/>
                <w:szCs w:val="24"/>
              </w:rPr>
              <w:t>达，嗅觉发达，以底栖生物为食者较多，适应于在较浑浊水体中生活。</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1.3.5.3、</w:t>
            </w:r>
            <w:r>
              <w:rPr>
                <w:rFonts w:hint="default" w:ascii="Times New Roman" w:hAnsi="Times New Roman" w:cs="Times New Roman"/>
                <w:b/>
                <w:bCs/>
                <w:color w:val="auto"/>
                <w:spacing w:val="8"/>
                <w:sz w:val="24"/>
                <w:szCs w:val="24"/>
                <w:lang w:val="en-US" w:eastAsia="zh-CN"/>
              </w:rPr>
              <w:t>食性类型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根</w:t>
            </w:r>
            <w:r>
              <w:rPr>
                <w:rFonts w:hint="default" w:ascii="Times New Roman" w:hAnsi="Times New Roman" w:eastAsia="宋体" w:cs="Times New Roman"/>
                <w:color w:val="auto"/>
                <w:spacing w:val="7"/>
                <w:sz w:val="24"/>
                <w:szCs w:val="24"/>
              </w:rPr>
              <w:t>据评价区鱼类主要摄食对象的差异性，将鱼类主要划分为以下4 类：</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3"/>
                <w:sz w:val="24"/>
                <w:szCs w:val="24"/>
              </w:rPr>
              <w:t>(1) 植食性鱼类：包括以维管植物为食的草鱼和以周丛植物为食的鲴亚</w:t>
            </w:r>
            <w:r>
              <w:rPr>
                <w:rFonts w:hint="default" w:ascii="Times New Roman" w:hAnsi="Times New Roman" w:eastAsia="宋体" w:cs="Times New Roman"/>
                <w:color w:val="auto"/>
                <w:spacing w:val="11"/>
                <w:sz w:val="24"/>
                <w:szCs w:val="24"/>
              </w:rPr>
              <w:t>科</w:t>
            </w:r>
            <w:r>
              <w:rPr>
                <w:rFonts w:hint="default" w:ascii="Times New Roman" w:hAnsi="Times New Roman" w:eastAsia="宋体" w:cs="Times New Roman"/>
                <w:color w:val="auto"/>
                <w:spacing w:val="8"/>
                <w:sz w:val="24"/>
                <w:szCs w:val="24"/>
              </w:rPr>
              <w:t>鱼类等，如草鱼、鳊等</w:t>
            </w:r>
            <w:r>
              <w:rPr>
                <w:rFonts w:hint="default" w:ascii="Times New Roman" w:hAnsi="Times New Roman" w:eastAsia="宋体" w:cs="Times New Roman"/>
                <w:color w:val="auto"/>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3"/>
                <w:sz w:val="24"/>
                <w:szCs w:val="24"/>
              </w:rPr>
              <w:t>(2) 肉食性鱼类：包括以鱼类为主要捕食对象的翘嘴鲌、鲇、青鱼、黄</w:t>
            </w:r>
            <w:r>
              <w:rPr>
                <w:rFonts w:hint="default" w:ascii="Times New Roman" w:hAnsi="Times New Roman" w:eastAsia="宋体" w:cs="Times New Roman"/>
                <w:color w:val="auto"/>
                <w:spacing w:val="11"/>
                <w:sz w:val="24"/>
                <w:szCs w:val="24"/>
              </w:rPr>
              <w:t>颡</w:t>
            </w:r>
            <w:r>
              <w:rPr>
                <w:rFonts w:hint="default" w:ascii="Times New Roman" w:hAnsi="Times New Roman" w:eastAsia="宋体" w:cs="Times New Roman"/>
                <w:color w:val="auto"/>
                <w:spacing w:val="7"/>
                <w:sz w:val="24"/>
                <w:szCs w:val="24"/>
              </w:rPr>
              <w:t>鱼、鳜、乌鳢等。</w:t>
            </w: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6"/>
                <w:sz w:val="24"/>
                <w:szCs w:val="24"/>
              </w:rPr>
              <w:t>(</w:t>
            </w:r>
            <w:r>
              <w:rPr>
                <w:rFonts w:hint="default" w:ascii="Times New Roman" w:hAnsi="Times New Roman" w:eastAsia="宋体" w:cs="Times New Roman"/>
                <w:color w:val="auto"/>
                <w:spacing w:val="11"/>
                <w:sz w:val="24"/>
                <w:szCs w:val="24"/>
              </w:rPr>
              <w:t>3</w:t>
            </w:r>
            <w:r>
              <w:rPr>
                <w:rFonts w:hint="default" w:ascii="Times New Roman" w:hAnsi="Times New Roman" w:eastAsia="宋体" w:cs="Times New Roman"/>
                <w:color w:val="auto"/>
                <w:spacing w:val="8"/>
                <w:sz w:val="24"/>
                <w:szCs w:val="24"/>
              </w:rPr>
              <w:t>) 滤食性鱼类：以水生浮游动植物为主要食物的鱼类，包括：鲢、鳙等。</w:t>
            </w:r>
          </w:p>
          <w:p>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3"/>
                <w:sz w:val="24"/>
                <w:szCs w:val="24"/>
              </w:rPr>
              <w:t>(4) 杂食性鱼类：该类鱼食谱广，包括小型动物、植物及其碎屑，其食</w:t>
            </w:r>
            <w:r>
              <w:rPr>
                <w:rFonts w:hint="default" w:ascii="Times New Roman" w:hAnsi="Times New Roman" w:eastAsia="宋体" w:cs="Times New Roman"/>
                <w:color w:val="auto"/>
                <w:spacing w:val="11"/>
                <w:sz w:val="24"/>
                <w:szCs w:val="24"/>
              </w:rPr>
              <w:t>性</w:t>
            </w:r>
            <w:r>
              <w:rPr>
                <w:rFonts w:hint="default" w:ascii="Times New Roman" w:hAnsi="Times New Roman" w:eastAsia="宋体" w:cs="Times New Roman"/>
                <w:color w:val="auto"/>
                <w:spacing w:val="7"/>
                <w:sz w:val="24"/>
                <w:szCs w:val="24"/>
              </w:rPr>
              <w:t>在不同环境水体和不同季节有明显变化。包括鲤、鲫、泥鳅、赤眼鳟、䱗属鱼</w:t>
            </w:r>
            <w:r>
              <w:rPr>
                <w:rFonts w:hint="default" w:ascii="Times New Roman" w:hAnsi="Times New Roman" w:eastAsia="宋体" w:cs="Times New Roman"/>
                <w:color w:val="auto"/>
                <w:spacing w:val="5"/>
                <w:sz w:val="24"/>
                <w:szCs w:val="24"/>
              </w:rPr>
              <w:t>类</w:t>
            </w:r>
            <w:r>
              <w:rPr>
                <w:rFonts w:hint="default" w:ascii="Times New Roman" w:hAnsi="Times New Roman" w:eastAsia="宋体" w:cs="Times New Roman"/>
                <w:color w:val="auto"/>
                <w:spacing w:val="1"/>
                <w:sz w:val="24"/>
                <w:szCs w:val="24"/>
              </w:rPr>
              <w:t>等</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1.3.5.4、</w:t>
            </w:r>
            <w:r>
              <w:rPr>
                <w:rFonts w:hint="default" w:ascii="Times New Roman" w:hAnsi="Times New Roman" w:cs="Times New Roman"/>
                <w:b/>
                <w:bCs/>
                <w:color w:val="auto"/>
                <w:spacing w:val="8"/>
                <w:sz w:val="24"/>
                <w:szCs w:val="24"/>
                <w:lang w:val="en-US" w:eastAsia="zh-CN"/>
              </w:rPr>
              <w:t>产卵类型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根据产卵习性</w:t>
            </w:r>
            <w:r>
              <w:rPr>
                <w:rFonts w:hint="default" w:ascii="Times New Roman" w:hAnsi="Times New Roman" w:eastAsia="宋体" w:cs="Times New Roman"/>
                <w:color w:val="auto"/>
                <w:spacing w:val="4"/>
                <w:sz w:val="24"/>
                <w:szCs w:val="24"/>
              </w:rPr>
              <w:t>的所产卵的差异性，评价区分布鱼类依繁殖习性可分为 4 个类</w:t>
            </w:r>
            <w:bookmarkStart w:id="36" w:name="_bookmark25"/>
            <w:bookmarkEnd w:id="36"/>
            <w:r>
              <w:rPr>
                <w:rFonts w:hint="default" w:ascii="Times New Roman" w:hAnsi="Times New Roman" w:eastAsia="宋体" w:cs="Times New Roman"/>
                <w:color w:val="auto"/>
                <w:sz w:val="24"/>
                <w:szCs w:val="24"/>
              </w:rPr>
              <w:t>群：</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9"/>
                <w:sz w:val="24"/>
                <w:szCs w:val="24"/>
              </w:rPr>
              <w:t>(</w:t>
            </w:r>
            <w:r>
              <w:rPr>
                <w:rFonts w:hint="default" w:ascii="Times New Roman" w:hAnsi="Times New Roman" w:eastAsia="宋体" w:cs="Times New Roman"/>
                <w:color w:val="auto"/>
                <w:spacing w:val="17"/>
                <w:sz w:val="24"/>
                <w:szCs w:val="24"/>
              </w:rPr>
              <w:t>1) 产粘沉性卵类群</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本水域</w:t>
            </w:r>
            <w:r>
              <w:rPr>
                <w:rFonts w:hint="default" w:ascii="Times New Roman" w:hAnsi="Times New Roman" w:eastAsia="宋体" w:cs="Times New Roman"/>
                <w:color w:val="auto"/>
                <w:spacing w:val="11"/>
                <w:sz w:val="24"/>
                <w:szCs w:val="24"/>
              </w:rPr>
              <w:t>鱼</w:t>
            </w:r>
            <w:r>
              <w:rPr>
                <w:rFonts w:hint="default" w:ascii="Times New Roman" w:hAnsi="Times New Roman" w:eastAsia="宋体" w:cs="Times New Roman"/>
                <w:color w:val="auto"/>
                <w:spacing w:val="6"/>
                <w:sz w:val="24"/>
                <w:szCs w:val="24"/>
              </w:rPr>
              <w:t>类绝大多数鱼类为产粘沉性卵类群。这一类群包括翘嘴鲌，鲇形目</w:t>
            </w:r>
            <w:r>
              <w:rPr>
                <w:rFonts w:hint="default" w:ascii="Times New Roman" w:hAnsi="Times New Roman" w:eastAsia="宋体" w:cs="Times New Roman"/>
                <w:color w:val="auto"/>
                <w:spacing w:val="7"/>
                <w:sz w:val="24"/>
                <w:szCs w:val="24"/>
              </w:rPr>
              <w:t>的瓦氏黄颡鱼、鲇，鲤科的鲤、鲫、鳅科的泥鳅等；其产卵季节多为春夏间，</w:t>
            </w:r>
            <w:r>
              <w:rPr>
                <w:rFonts w:hint="default" w:ascii="Times New Roman" w:hAnsi="Times New Roman" w:eastAsia="宋体" w:cs="Times New Roman"/>
                <w:color w:val="auto"/>
                <w:spacing w:val="3"/>
                <w:sz w:val="24"/>
                <w:szCs w:val="24"/>
              </w:rPr>
              <w:t>也</w:t>
            </w:r>
            <w:r>
              <w:rPr>
                <w:rFonts w:hint="default" w:ascii="Times New Roman" w:hAnsi="Times New Roman" w:eastAsia="宋体" w:cs="Times New Roman"/>
                <w:color w:val="auto"/>
                <w:spacing w:val="7"/>
                <w:sz w:val="24"/>
                <w:szCs w:val="24"/>
              </w:rPr>
              <w:t>有部分种类晚至秋季，且对产卵水域流态底质有不同的适应性，多数种类都需</w:t>
            </w:r>
            <w:r>
              <w:rPr>
                <w:rFonts w:hint="default" w:ascii="Times New Roman" w:hAnsi="Times New Roman" w:eastAsia="宋体" w:cs="Times New Roman"/>
                <w:color w:val="auto"/>
                <w:spacing w:val="3"/>
                <w:sz w:val="24"/>
                <w:szCs w:val="24"/>
              </w:rPr>
              <w:t>要</w:t>
            </w:r>
            <w:r>
              <w:rPr>
                <w:rFonts w:hint="default" w:ascii="Times New Roman" w:hAnsi="Times New Roman" w:eastAsia="宋体" w:cs="Times New Roman"/>
                <w:color w:val="auto"/>
                <w:spacing w:val="7"/>
                <w:sz w:val="24"/>
                <w:szCs w:val="24"/>
              </w:rPr>
              <w:t>一定的流水刺激，产出的卵或粘附于石砾、水草发育，或落于石缝间在激流冲</w:t>
            </w:r>
            <w:r>
              <w:rPr>
                <w:rFonts w:hint="default" w:ascii="Times New Roman" w:hAnsi="Times New Roman" w:eastAsia="宋体" w:cs="Times New Roman"/>
                <w:color w:val="auto"/>
                <w:spacing w:val="3"/>
                <w:sz w:val="24"/>
                <w:szCs w:val="24"/>
              </w:rPr>
              <w:t>击</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5"/>
                <w:sz w:val="24"/>
                <w:szCs w:val="24"/>
              </w:rPr>
              <w:t>下发育</w:t>
            </w:r>
            <w:r>
              <w:rPr>
                <w:rFonts w:hint="default" w:ascii="Times New Roman" w:hAnsi="Times New Roman" w:eastAsia="宋体" w:cs="Times New Roman"/>
                <w:color w:val="auto"/>
                <w:spacing w:val="4"/>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少数鱼</w:t>
            </w:r>
            <w:r>
              <w:rPr>
                <w:rFonts w:hint="default" w:ascii="Times New Roman" w:hAnsi="Times New Roman" w:eastAsia="宋体" w:cs="Times New Roman"/>
                <w:color w:val="auto"/>
                <w:spacing w:val="11"/>
                <w:sz w:val="24"/>
                <w:szCs w:val="24"/>
              </w:rPr>
              <w:t>类</w:t>
            </w:r>
            <w:r>
              <w:rPr>
                <w:rFonts w:hint="default" w:ascii="Times New Roman" w:hAnsi="Times New Roman" w:eastAsia="宋体" w:cs="Times New Roman"/>
                <w:color w:val="auto"/>
                <w:spacing w:val="6"/>
                <w:sz w:val="24"/>
                <w:szCs w:val="24"/>
              </w:rPr>
              <w:t>产卵时不需要水流刺激，可在静缓流水环境下繁殖，产粘性卵，如</w:t>
            </w:r>
            <w:r>
              <w:rPr>
                <w:rFonts w:hint="default" w:ascii="Times New Roman" w:hAnsi="Times New Roman" w:eastAsia="宋体" w:cs="Times New Roman"/>
                <w:color w:val="auto"/>
                <w:spacing w:val="7"/>
                <w:sz w:val="24"/>
                <w:szCs w:val="24"/>
              </w:rPr>
              <w:t>鲤亚科、鲌亚科、鲇形目鱼类，卵一经产出即分散在水草茎、叶上发育；有的</w:t>
            </w:r>
            <w:r>
              <w:rPr>
                <w:rFonts w:hint="default" w:ascii="Times New Roman" w:hAnsi="Times New Roman" w:eastAsia="宋体" w:cs="Times New Roman"/>
                <w:color w:val="auto"/>
                <w:spacing w:val="3"/>
                <w:sz w:val="24"/>
                <w:szCs w:val="24"/>
              </w:rPr>
              <w:t>黏</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8"/>
                <w:sz w:val="24"/>
                <w:szCs w:val="24"/>
              </w:rPr>
              <w:t>附</w:t>
            </w:r>
            <w:r>
              <w:rPr>
                <w:rFonts w:hint="default" w:ascii="Times New Roman" w:hAnsi="Times New Roman" w:eastAsia="宋体" w:cs="Times New Roman"/>
                <w:color w:val="auto"/>
                <w:spacing w:val="13"/>
                <w:sz w:val="24"/>
                <w:szCs w:val="24"/>
              </w:rPr>
              <w:t>于</w:t>
            </w:r>
            <w:r>
              <w:rPr>
                <w:rFonts w:hint="default" w:ascii="Times New Roman" w:hAnsi="Times New Roman" w:eastAsia="宋体" w:cs="Times New Roman"/>
                <w:color w:val="auto"/>
                <w:spacing w:val="9"/>
                <w:sz w:val="24"/>
                <w:szCs w:val="24"/>
              </w:rPr>
              <w:t>砾石，如黄颡鱼、鳅科鱼类，将卵产在水底的岩石、石砾或沙砾上发育。</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9"/>
                <w:sz w:val="24"/>
                <w:szCs w:val="24"/>
              </w:rPr>
              <w:t>(</w:t>
            </w:r>
            <w:r>
              <w:rPr>
                <w:rFonts w:hint="default" w:ascii="Times New Roman" w:hAnsi="Times New Roman" w:eastAsia="宋体" w:cs="Times New Roman"/>
                <w:color w:val="auto"/>
                <w:spacing w:val="17"/>
                <w:sz w:val="24"/>
                <w:szCs w:val="24"/>
              </w:rPr>
              <w:t>2) 产漂流性卵类群</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产漂流性</w:t>
            </w:r>
            <w:r>
              <w:rPr>
                <w:rFonts w:hint="default" w:ascii="Times New Roman" w:hAnsi="Times New Roman" w:eastAsia="宋体" w:cs="Times New Roman"/>
                <w:color w:val="auto"/>
                <w:spacing w:val="6"/>
                <w:sz w:val="24"/>
                <w:szCs w:val="24"/>
              </w:rPr>
              <w:t>卵鱼类鱼卵在缓流或静水中会沉入水底，但吸水后卵膜膨大，比重</w:t>
            </w:r>
            <w:r>
              <w:rPr>
                <w:rFonts w:hint="default" w:ascii="Times New Roman" w:hAnsi="Times New Roman" w:eastAsia="宋体" w:cs="Times New Roman"/>
                <w:color w:val="auto"/>
                <w:spacing w:val="7"/>
                <w:sz w:val="24"/>
                <w:szCs w:val="24"/>
              </w:rPr>
              <w:t>接近于水，产卵需要湍急的水流条件，通常在汛期洪峰发生后产卵，如青鱼、</w:t>
            </w:r>
            <w:r>
              <w:rPr>
                <w:rFonts w:hint="default" w:ascii="Times New Roman" w:hAnsi="Times New Roman" w:eastAsia="宋体" w:cs="Times New Roman"/>
                <w:color w:val="auto"/>
                <w:spacing w:val="5"/>
                <w:sz w:val="24"/>
                <w:szCs w:val="24"/>
              </w:rPr>
              <w:t>草</w:t>
            </w:r>
            <w:r>
              <w:rPr>
                <w:rFonts w:hint="default" w:ascii="Times New Roman" w:hAnsi="Times New Roman" w:eastAsia="宋体" w:cs="Times New Roman"/>
                <w:color w:val="auto"/>
                <w:spacing w:val="18"/>
                <w:sz w:val="24"/>
                <w:szCs w:val="24"/>
              </w:rPr>
              <w:t>鱼</w:t>
            </w:r>
            <w:r>
              <w:rPr>
                <w:rFonts w:hint="default" w:ascii="Times New Roman" w:hAnsi="Times New Roman" w:eastAsia="宋体" w:cs="Times New Roman"/>
                <w:color w:val="auto"/>
                <w:spacing w:val="9"/>
                <w:sz w:val="24"/>
                <w:szCs w:val="24"/>
              </w:rPr>
              <w:t>、鲢、鳙。受精卵顺水漂流孵化，到江河下游及湖泊中育肥。</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8"/>
                <w:sz w:val="24"/>
                <w:szCs w:val="24"/>
              </w:rPr>
              <w:t>(3) 产浮性卵类</w:t>
            </w:r>
            <w:r>
              <w:rPr>
                <w:rFonts w:hint="default" w:ascii="Times New Roman" w:hAnsi="Times New Roman" w:eastAsia="宋体" w:cs="Times New Roman"/>
                <w:color w:val="auto"/>
                <w:spacing w:val="17"/>
                <w:sz w:val="24"/>
                <w:szCs w:val="24"/>
              </w:rPr>
              <w:t>群</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乌鳢、</w:t>
            </w:r>
            <w:r>
              <w:rPr>
                <w:rFonts w:hint="default" w:ascii="Times New Roman" w:hAnsi="Times New Roman" w:eastAsia="宋体" w:cs="Times New Roman"/>
                <w:color w:val="auto"/>
                <w:spacing w:val="10"/>
                <w:sz w:val="24"/>
                <w:szCs w:val="24"/>
              </w:rPr>
              <w:t>鳜</w:t>
            </w:r>
            <w:r>
              <w:rPr>
                <w:rFonts w:hint="default" w:ascii="Times New Roman" w:hAnsi="Times New Roman" w:eastAsia="宋体" w:cs="Times New Roman"/>
                <w:color w:val="auto"/>
                <w:spacing w:val="6"/>
                <w:sz w:val="24"/>
                <w:szCs w:val="24"/>
              </w:rPr>
              <w:t>等鱼类的卵具油球，在水中漂浮发育，一般产于静水中。此外，鳜</w:t>
            </w:r>
            <w:r>
              <w:rPr>
                <w:rFonts w:hint="default" w:ascii="Times New Roman" w:hAnsi="Times New Roman" w:eastAsia="宋体" w:cs="Times New Roman"/>
                <w:color w:val="auto"/>
                <w:spacing w:val="7"/>
                <w:sz w:val="24"/>
                <w:szCs w:val="24"/>
              </w:rPr>
              <w:t>的受精卵为微粘性，在发育过程中粘性逐步消失，由于卵黄具较大油球，也可</w:t>
            </w:r>
            <w:r>
              <w:rPr>
                <w:rFonts w:hint="default" w:ascii="Times New Roman" w:hAnsi="Times New Roman" w:eastAsia="宋体" w:cs="Times New Roman"/>
                <w:color w:val="auto"/>
                <w:spacing w:val="1"/>
                <w:sz w:val="24"/>
                <w:szCs w:val="24"/>
              </w:rPr>
              <w:t>随</w:t>
            </w:r>
            <w:r>
              <w:rPr>
                <w:rFonts w:hint="default" w:ascii="Times New Roman" w:hAnsi="Times New Roman" w:eastAsia="宋体" w:cs="Times New Roman"/>
                <w:color w:val="auto"/>
                <w:spacing w:val="7"/>
                <w:sz w:val="24"/>
                <w:szCs w:val="24"/>
              </w:rPr>
              <w:t>水</w:t>
            </w:r>
            <w:r>
              <w:rPr>
                <w:rFonts w:hint="default" w:ascii="Times New Roman" w:hAnsi="Times New Roman" w:eastAsia="宋体" w:cs="Times New Roman"/>
                <w:color w:val="auto"/>
                <w:spacing w:val="6"/>
                <w:sz w:val="24"/>
                <w:szCs w:val="24"/>
              </w:rPr>
              <w:t>漂流发育。</w:t>
            </w:r>
          </w:p>
          <w:p>
            <w:pPr>
              <w:keepNext w:val="0"/>
              <w:keepLines w:val="0"/>
              <w:pageBreakBefore w:val="0"/>
              <w:widowControl w:val="0"/>
              <w:kinsoku/>
              <w:wordWrap/>
              <w:overflowPunct/>
              <w:topLinePunct w:val="0"/>
              <w:autoSpaceDE/>
              <w:autoSpaceDN/>
              <w:bidi w:val="0"/>
              <w:adjustRightInd/>
              <w:snapToGrid/>
              <w:spacing w:line="360" w:lineRule="auto"/>
              <w:ind w:left="0" w:right="0" w:firstLine="55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9"/>
                <w:sz w:val="24"/>
                <w:szCs w:val="24"/>
              </w:rPr>
              <w:t>(</w:t>
            </w:r>
            <w:r>
              <w:rPr>
                <w:rFonts w:hint="default" w:ascii="Times New Roman" w:hAnsi="Times New Roman" w:eastAsia="宋体" w:cs="Times New Roman"/>
                <w:color w:val="auto"/>
                <w:spacing w:val="17"/>
                <w:sz w:val="24"/>
                <w:szCs w:val="24"/>
              </w:rPr>
              <w:t>4) 特异性产卵类群</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大鳍鱊</w:t>
            </w:r>
            <w:r>
              <w:rPr>
                <w:rFonts w:hint="default" w:ascii="Times New Roman" w:hAnsi="Times New Roman" w:eastAsia="宋体" w:cs="Times New Roman"/>
                <w:color w:val="auto"/>
                <w:spacing w:val="9"/>
                <w:sz w:val="24"/>
                <w:szCs w:val="24"/>
              </w:rPr>
              <w:t>等</w:t>
            </w:r>
            <w:r>
              <w:rPr>
                <w:rFonts w:hint="default" w:ascii="Times New Roman" w:hAnsi="Times New Roman" w:eastAsia="宋体" w:cs="Times New Roman"/>
                <w:color w:val="auto"/>
                <w:spacing w:val="6"/>
                <w:sz w:val="24"/>
                <w:szCs w:val="24"/>
              </w:rPr>
              <w:t>鱊亚科鱼类，在生殖季节，雌鱼具产卵管，通过产卵管，将卵产在</w:t>
            </w:r>
            <w:r>
              <w:rPr>
                <w:rFonts w:hint="default" w:ascii="Times New Roman" w:hAnsi="Times New Roman" w:eastAsia="宋体" w:cs="Times New Roman"/>
                <w:color w:val="auto"/>
                <w:spacing w:val="9"/>
                <w:sz w:val="24"/>
                <w:szCs w:val="24"/>
              </w:rPr>
              <w:t>河</w:t>
            </w:r>
            <w:r>
              <w:rPr>
                <w:rFonts w:hint="default" w:ascii="Times New Roman" w:hAnsi="Times New Roman" w:eastAsia="宋体" w:cs="Times New Roman"/>
                <w:color w:val="auto"/>
                <w:spacing w:val="8"/>
                <w:sz w:val="24"/>
                <w:szCs w:val="24"/>
              </w:rPr>
              <w:t>蚌的外套腔内发育。</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1.3.5.5、</w:t>
            </w:r>
            <w:r>
              <w:rPr>
                <w:rFonts w:hint="default" w:ascii="Times New Roman" w:hAnsi="Times New Roman" w:cs="Times New Roman"/>
                <w:b/>
                <w:bCs/>
                <w:color w:val="auto"/>
                <w:spacing w:val="8"/>
                <w:sz w:val="24"/>
                <w:szCs w:val="24"/>
                <w:lang w:val="en-US" w:eastAsia="zh-CN"/>
              </w:rPr>
              <w:t>栖息类型</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根</w:t>
            </w:r>
            <w:r>
              <w:rPr>
                <w:rFonts w:hint="default" w:ascii="Times New Roman" w:hAnsi="Times New Roman" w:eastAsia="宋体" w:cs="Times New Roman"/>
                <w:color w:val="auto"/>
                <w:spacing w:val="7"/>
                <w:sz w:val="24"/>
                <w:szCs w:val="24"/>
              </w:rPr>
              <w:t>据水域流态特征和鱼类栖息特点，调查区鱼类可大致分为以下 2 类：</w:t>
            </w:r>
          </w:p>
          <w:p>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0"/>
                <w:sz w:val="24"/>
                <w:szCs w:val="24"/>
              </w:rPr>
              <w:t>(1) 流水类</w:t>
            </w:r>
            <w:r>
              <w:rPr>
                <w:rFonts w:hint="default" w:ascii="Times New Roman" w:hAnsi="Times New Roman" w:eastAsia="宋体" w:cs="Times New Roman"/>
                <w:color w:val="auto"/>
                <w:spacing w:val="19"/>
                <w:sz w:val="24"/>
                <w:szCs w:val="24"/>
              </w:rPr>
              <w:t>群</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此类群主要或完全生活在江河流水环境中，体长形，略侧扁，游泳能力强</w:t>
            </w:r>
            <w:r>
              <w:rPr>
                <w:rFonts w:hint="default" w:ascii="Times New Roman" w:hAnsi="Times New Roman" w:eastAsia="宋体" w:cs="Times New Roman"/>
                <w:color w:val="auto"/>
                <w:spacing w:val="7"/>
                <w:sz w:val="24"/>
                <w:szCs w:val="24"/>
              </w:rPr>
              <w:t>，适应于流水生活。它们或以水底砾石等物体表面附着藻类为食，或以有机碎屑</w:t>
            </w:r>
            <w:r>
              <w:rPr>
                <w:rFonts w:hint="default" w:ascii="Times New Roman" w:hAnsi="Times New Roman" w:eastAsia="宋体" w:cs="Times New Roman"/>
                <w:color w:val="auto"/>
                <w:spacing w:val="4"/>
                <w:sz w:val="24"/>
                <w:szCs w:val="24"/>
              </w:rPr>
              <w:t>为</w:t>
            </w:r>
            <w:r>
              <w:rPr>
                <w:rFonts w:hint="default" w:ascii="Times New Roman" w:hAnsi="Times New Roman" w:eastAsia="宋体" w:cs="Times New Roman"/>
                <w:color w:val="auto"/>
                <w:spacing w:val="7"/>
                <w:sz w:val="24"/>
                <w:szCs w:val="24"/>
              </w:rPr>
              <w:t>食，或以底栖无脊椎动物为食，或以软体动物为食，或以浮游动植物为食。该</w:t>
            </w:r>
            <w:r>
              <w:rPr>
                <w:rFonts w:hint="default" w:ascii="Times New Roman" w:hAnsi="Times New Roman" w:eastAsia="宋体" w:cs="Times New Roman"/>
                <w:color w:val="auto"/>
                <w:spacing w:val="4"/>
                <w:sz w:val="24"/>
                <w:szCs w:val="24"/>
              </w:rPr>
              <w:t>类</w:t>
            </w:r>
            <w:r>
              <w:rPr>
                <w:rFonts w:hint="default" w:ascii="Times New Roman" w:hAnsi="Times New Roman" w:eastAsia="宋体" w:cs="Times New Roman"/>
                <w:color w:val="auto"/>
                <w:spacing w:val="8"/>
                <w:sz w:val="24"/>
                <w:szCs w:val="24"/>
              </w:rPr>
              <w:t>群种类有翘嘴鲌等</w:t>
            </w:r>
            <w:r>
              <w:rPr>
                <w:rFonts w:hint="default" w:ascii="Times New Roman" w:hAnsi="Times New Roman" w:eastAsia="宋体" w:cs="Times New Roman"/>
                <w:color w:val="auto"/>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5"/>
                <w:sz w:val="24"/>
                <w:szCs w:val="24"/>
              </w:rPr>
              <w:t>(</w:t>
            </w:r>
            <w:r>
              <w:rPr>
                <w:rFonts w:hint="default" w:ascii="Times New Roman" w:hAnsi="Times New Roman" w:eastAsia="宋体" w:cs="Times New Roman"/>
                <w:color w:val="auto"/>
                <w:spacing w:val="18"/>
                <w:sz w:val="24"/>
                <w:szCs w:val="24"/>
              </w:rPr>
              <w:t>2) 静缓流类群</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此类群</w:t>
            </w:r>
            <w:r>
              <w:rPr>
                <w:rFonts w:hint="default" w:ascii="Times New Roman" w:hAnsi="Times New Roman" w:eastAsia="宋体" w:cs="Times New Roman"/>
                <w:color w:val="auto"/>
                <w:spacing w:val="11"/>
                <w:sz w:val="24"/>
                <w:szCs w:val="24"/>
              </w:rPr>
              <w:t>适</w:t>
            </w:r>
            <w:r>
              <w:rPr>
                <w:rFonts w:hint="default" w:ascii="Times New Roman" w:hAnsi="Times New Roman" w:eastAsia="宋体" w:cs="Times New Roman"/>
                <w:color w:val="auto"/>
                <w:spacing w:val="6"/>
                <w:sz w:val="24"/>
                <w:szCs w:val="24"/>
              </w:rPr>
              <w:t>宜生活于静缓流水体中，摄食包括浮游动植物食性、动物性食性或</w:t>
            </w:r>
            <w:r>
              <w:rPr>
                <w:rFonts w:hint="default" w:ascii="Times New Roman" w:hAnsi="Times New Roman" w:eastAsia="宋体" w:cs="Times New Roman"/>
                <w:color w:val="auto"/>
                <w:spacing w:val="7"/>
                <w:sz w:val="24"/>
                <w:szCs w:val="24"/>
              </w:rPr>
              <w:t>杂食性，部分种类须在流水环境下产漂流性卵或可归于流水性种类，该类群种</w:t>
            </w:r>
            <w:r>
              <w:rPr>
                <w:rFonts w:hint="default" w:ascii="Times New Roman" w:hAnsi="Times New Roman" w:eastAsia="宋体" w:cs="Times New Roman"/>
                <w:color w:val="auto"/>
                <w:spacing w:val="2"/>
                <w:sz w:val="24"/>
                <w:szCs w:val="24"/>
              </w:rPr>
              <w:t>类</w:t>
            </w:r>
            <w:r>
              <w:rPr>
                <w:rFonts w:hint="default" w:ascii="Times New Roman" w:hAnsi="Times New Roman" w:eastAsia="宋体" w:cs="Times New Roman"/>
                <w:color w:val="auto"/>
                <w:spacing w:val="13"/>
                <w:sz w:val="24"/>
                <w:szCs w:val="24"/>
              </w:rPr>
              <w:t>有</w:t>
            </w:r>
            <w:r>
              <w:rPr>
                <w:rFonts w:hint="default" w:ascii="Times New Roman" w:hAnsi="Times New Roman" w:eastAsia="宋体" w:cs="Times New Roman"/>
                <w:color w:val="auto"/>
                <w:spacing w:val="7"/>
                <w:sz w:val="24"/>
                <w:szCs w:val="24"/>
              </w:rPr>
              <w:t>泥鳅、鲇和鲫等。</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u w:val="single"/>
                <w:lang w:val="en-US" w:eastAsia="zh-CN"/>
              </w:rPr>
            </w:pPr>
            <w:r>
              <w:rPr>
                <w:rFonts w:hint="eastAsia" w:ascii="Times New Roman" w:hAnsi="Times New Roman" w:cs="Times New Roman"/>
                <w:b/>
                <w:bCs/>
                <w:color w:val="auto"/>
                <w:spacing w:val="8"/>
                <w:sz w:val="24"/>
                <w:szCs w:val="24"/>
                <w:u w:val="single"/>
                <w:lang w:val="en-US" w:eastAsia="zh-CN"/>
              </w:rPr>
              <w:t>1.3.5.6、</w:t>
            </w:r>
            <w:r>
              <w:rPr>
                <w:rFonts w:hint="default" w:ascii="Times New Roman" w:hAnsi="Times New Roman" w:cs="Times New Roman"/>
                <w:b/>
                <w:bCs/>
                <w:color w:val="auto"/>
                <w:spacing w:val="8"/>
                <w:sz w:val="24"/>
                <w:szCs w:val="24"/>
                <w:u w:val="single"/>
                <w:lang w:val="en-US" w:eastAsia="zh-CN"/>
              </w:rPr>
              <w:t>重要物种</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pacing w:val="12"/>
                <w:sz w:val="24"/>
                <w:szCs w:val="24"/>
                <w:u w:val="single"/>
              </w:rPr>
              <w:t>评价区内</w:t>
            </w:r>
            <w:r>
              <w:rPr>
                <w:rFonts w:hint="default" w:ascii="Times New Roman" w:hAnsi="Times New Roman" w:eastAsia="宋体" w:cs="Times New Roman"/>
                <w:color w:val="auto"/>
                <w:spacing w:val="7"/>
                <w:sz w:val="24"/>
                <w:szCs w:val="24"/>
                <w:u w:val="single"/>
              </w:rPr>
              <w:t>没</w:t>
            </w:r>
            <w:r>
              <w:rPr>
                <w:rFonts w:hint="default" w:ascii="Times New Roman" w:hAnsi="Times New Roman" w:eastAsia="宋体" w:cs="Times New Roman"/>
                <w:color w:val="auto"/>
                <w:spacing w:val="6"/>
                <w:sz w:val="24"/>
                <w:szCs w:val="24"/>
                <w:u w:val="single"/>
              </w:rPr>
              <w:t>有国家级和湖南省级重点保护鱼类，也没有被列入《中国生物多</w:t>
            </w:r>
            <w:r>
              <w:rPr>
                <w:rFonts w:hint="default" w:ascii="Times New Roman" w:hAnsi="Times New Roman" w:eastAsia="宋体" w:cs="Times New Roman"/>
                <w:color w:val="auto"/>
                <w:spacing w:val="10"/>
                <w:sz w:val="24"/>
                <w:szCs w:val="24"/>
                <w:u w:val="single"/>
              </w:rPr>
              <w:t>样</w:t>
            </w:r>
            <w:r>
              <w:rPr>
                <w:rFonts w:hint="default" w:ascii="Times New Roman" w:hAnsi="Times New Roman" w:eastAsia="宋体" w:cs="Times New Roman"/>
                <w:color w:val="auto"/>
                <w:spacing w:val="9"/>
                <w:sz w:val="24"/>
                <w:szCs w:val="24"/>
                <w:u w:val="single"/>
              </w:rPr>
              <w:t>性红色名录》中极危、濒危、易危的鱼类。</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1.3.5.7、</w:t>
            </w:r>
            <w:r>
              <w:rPr>
                <w:rFonts w:hint="default" w:ascii="Times New Roman" w:hAnsi="Times New Roman" w:cs="Times New Roman"/>
                <w:b/>
                <w:bCs/>
                <w:color w:val="auto"/>
                <w:spacing w:val="8"/>
                <w:sz w:val="24"/>
                <w:szCs w:val="24"/>
                <w:lang w:val="en-US" w:eastAsia="zh-CN"/>
              </w:rPr>
              <w:t>渔获物组成</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通过调查得知，目前范家坝和三汊港南湖被</w:t>
            </w:r>
            <w:r>
              <w:rPr>
                <w:rFonts w:hint="default" w:ascii="Times New Roman" w:hAnsi="Times New Roman" w:eastAsia="宋体" w:cs="Times New Roman"/>
                <w:color w:val="auto"/>
                <w:sz w:val="24"/>
                <w:szCs w:val="24"/>
              </w:rPr>
              <w:t>私人</w:t>
            </w:r>
            <w:r>
              <w:rPr>
                <w:rFonts w:hint="default" w:ascii="Times New Roman" w:hAnsi="Times New Roman" w:eastAsia="宋体" w:cs="Times New Roman"/>
                <w:color w:val="auto"/>
                <w:spacing w:val="8"/>
                <w:sz w:val="24"/>
                <w:szCs w:val="24"/>
              </w:rPr>
              <w:t>承包，主要养殖</w:t>
            </w:r>
            <w:r>
              <w:rPr>
                <w:rFonts w:hint="default" w:ascii="Times New Roman" w:hAnsi="Times New Roman" w:eastAsia="宋体" w:cs="Times New Roman"/>
                <w:color w:val="auto"/>
                <w:spacing w:val="5"/>
                <w:sz w:val="24"/>
                <w:szCs w:val="24"/>
              </w:rPr>
              <w:t>鱼</w:t>
            </w:r>
            <w:r>
              <w:rPr>
                <w:rFonts w:hint="default" w:ascii="Times New Roman" w:hAnsi="Times New Roman" w:eastAsia="宋体" w:cs="Times New Roman"/>
                <w:color w:val="auto"/>
                <w:spacing w:val="4"/>
                <w:sz w:val="24"/>
                <w:szCs w:val="24"/>
              </w:rPr>
              <w:t>类以鲢鳙为主，鳊、鲫、鳜鱼和鲤等为辅。白泥湖在2021年</w:t>
            </w:r>
            <w:r>
              <w:rPr>
                <w:rFonts w:hint="default" w:ascii="Times New Roman" w:hAnsi="Times New Roman" w:eastAsia="宋体" w:cs="Times New Roman"/>
                <w:color w:val="auto"/>
                <w:spacing w:val="7"/>
                <w:sz w:val="24"/>
                <w:szCs w:val="24"/>
              </w:rPr>
              <w:t>解除个人承包，目前由石塘乡人民政府管理，现场调查，渔获物以鲫鱼为主。</w:t>
            </w:r>
            <w:r>
              <w:rPr>
                <w:rFonts w:hint="default" w:ascii="Times New Roman" w:hAnsi="Times New Roman" w:eastAsia="宋体" w:cs="Times New Roman"/>
                <w:color w:val="auto"/>
                <w:spacing w:val="5"/>
                <w:sz w:val="24"/>
                <w:szCs w:val="24"/>
              </w:rPr>
              <w:t>调</w:t>
            </w:r>
            <w:r>
              <w:rPr>
                <w:rFonts w:hint="default" w:ascii="Times New Roman" w:hAnsi="Times New Roman" w:eastAsia="宋体" w:cs="Times New Roman"/>
                <w:color w:val="auto"/>
                <w:spacing w:val="7"/>
                <w:sz w:val="24"/>
                <w:szCs w:val="24"/>
              </w:rPr>
              <w:t>查人员采用地笼网、流刺网的方式在评价区白泥湖、范家坝、三汊港南湖湖区</w:t>
            </w:r>
            <w:r>
              <w:rPr>
                <w:rFonts w:hint="default" w:ascii="Times New Roman" w:hAnsi="Times New Roman" w:eastAsia="宋体" w:cs="Times New Roman"/>
                <w:color w:val="auto"/>
                <w:spacing w:val="5"/>
                <w:sz w:val="24"/>
                <w:szCs w:val="24"/>
              </w:rPr>
              <w:t>共</w:t>
            </w:r>
            <w:r>
              <w:rPr>
                <w:rFonts w:hint="default" w:ascii="Times New Roman" w:hAnsi="Times New Roman" w:eastAsia="宋体" w:cs="Times New Roman"/>
                <w:color w:val="auto"/>
                <w:spacing w:val="-10"/>
                <w:sz w:val="24"/>
                <w:szCs w:val="24"/>
              </w:rPr>
              <w:t>调</w:t>
            </w:r>
            <w:r>
              <w:rPr>
                <w:rFonts w:hint="default" w:ascii="Times New Roman" w:hAnsi="Times New Roman" w:eastAsia="宋体" w:cs="Times New Roman"/>
                <w:color w:val="auto"/>
                <w:spacing w:val="-6"/>
                <w:sz w:val="24"/>
                <w:szCs w:val="24"/>
              </w:rPr>
              <w:t>查到鱼类</w:t>
            </w:r>
            <w:r>
              <w:rPr>
                <w:rFonts w:hint="default" w:ascii="Times New Roman" w:hAnsi="Times New Roman" w:eastAsia="宋体" w:cs="Times New Roman"/>
                <w:color w:val="auto"/>
                <w:spacing w:val="-6"/>
                <w:sz w:val="24"/>
                <w:szCs w:val="24"/>
                <w:lang w:val="en-US" w:eastAsia="zh-CN"/>
              </w:rPr>
              <w:t>4</w:t>
            </w:r>
            <w:r>
              <w:rPr>
                <w:rFonts w:hint="default" w:ascii="Times New Roman" w:hAnsi="Times New Roman" w:eastAsia="宋体" w:cs="Times New Roman"/>
                <w:color w:val="auto"/>
                <w:spacing w:val="-6"/>
                <w:sz w:val="24"/>
                <w:szCs w:val="24"/>
              </w:rPr>
              <w:t xml:space="preserve"> 目</w:t>
            </w:r>
            <w:r>
              <w:rPr>
                <w:rFonts w:hint="default" w:ascii="Times New Roman" w:hAnsi="Times New Roman" w:eastAsia="宋体" w:cs="Times New Roman"/>
                <w:color w:val="auto"/>
                <w:spacing w:val="-6"/>
                <w:sz w:val="24"/>
                <w:szCs w:val="24"/>
                <w:lang w:val="en-US" w:eastAsia="zh-CN"/>
              </w:rPr>
              <w:t>8</w:t>
            </w:r>
            <w:r>
              <w:rPr>
                <w:rFonts w:hint="default" w:ascii="Times New Roman" w:hAnsi="Times New Roman" w:eastAsia="宋体" w:cs="Times New Roman"/>
                <w:color w:val="auto"/>
                <w:spacing w:val="-6"/>
                <w:sz w:val="24"/>
                <w:szCs w:val="24"/>
              </w:rPr>
              <w:t>科</w:t>
            </w:r>
            <w:r>
              <w:rPr>
                <w:rFonts w:hint="default" w:ascii="Times New Roman" w:hAnsi="Times New Roman" w:eastAsia="宋体" w:cs="Times New Roman"/>
                <w:color w:val="auto"/>
                <w:spacing w:val="-6"/>
                <w:sz w:val="24"/>
                <w:szCs w:val="24"/>
                <w:lang w:val="en-US" w:eastAsia="zh-CN"/>
              </w:rPr>
              <w:t>24</w:t>
            </w:r>
            <w:r>
              <w:rPr>
                <w:rFonts w:hint="default" w:ascii="Times New Roman" w:hAnsi="Times New Roman" w:eastAsia="宋体" w:cs="Times New Roman"/>
                <w:color w:val="auto"/>
                <w:spacing w:val="-6"/>
                <w:sz w:val="24"/>
                <w:szCs w:val="24"/>
              </w:rPr>
              <w:t>种。</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3"/>
                <w:sz w:val="24"/>
                <w:szCs w:val="24"/>
              </w:rPr>
              <w:t>(</w:t>
            </w:r>
            <w:r>
              <w:rPr>
                <w:rFonts w:hint="default" w:ascii="Times New Roman" w:hAnsi="Times New Roman" w:eastAsia="宋体" w:cs="Times New Roman"/>
                <w:color w:val="auto"/>
                <w:spacing w:val="21"/>
                <w:sz w:val="24"/>
                <w:szCs w:val="24"/>
              </w:rPr>
              <w:t>1)白泥湖</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4"/>
                <w:sz w:val="24"/>
                <w:szCs w:val="24"/>
              </w:rPr>
              <w:t>调查中，</w:t>
            </w:r>
            <w:r>
              <w:rPr>
                <w:rFonts w:hint="default" w:ascii="Times New Roman" w:hAnsi="Times New Roman" w:eastAsia="宋体" w:cs="Times New Roman"/>
                <w:color w:val="auto"/>
                <w:spacing w:val="2"/>
                <w:sz w:val="24"/>
                <w:szCs w:val="24"/>
              </w:rPr>
              <w:t>白泥湖调查到鱼类 5 种，渔获物以鲫等鱼类为主。</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3"/>
                <w:sz w:val="24"/>
                <w:szCs w:val="24"/>
              </w:rPr>
              <w:t>(</w:t>
            </w:r>
            <w:r>
              <w:rPr>
                <w:rFonts w:hint="default" w:ascii="Times New Roman" w:hAnsi="Times New Roman" w:eastAsia="宋体" w:cs="Times New Roman"/>
                <w:color w:val="auto"/>
                <w:spacing w:val="21"/>
                <w:sz w:val="24"/>
                <w:szCs w:val="24"/>
              </w:rPr>
              <w:t>2)范家坝</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通过调查，范家坝调查到鱼类 18 种，范家坝目前被当地居民承包，主要</w:t>
            </w:r>
            <w:r>
              <w:rPr>
                <w:rFonts w:hint="default" w:ascii="Times New Roman" w:hAnsi="Times New Roman" w:eastAsia="宋体" w:cs="Times New Roman"/>
                <w:color w:val="auto"/>
                <w:spacing w:val="7"/>
                <w:sz w:val="24"/>
                <w:szCs w:val="24"/>
              </w:rPr>
              <w:t>养</w:t>
            </w:r>
            <w:r>
              <w:rPr>
                <w:rFonts w:hint="default" w:ascii="Times New Roman" w:hAnsi="Times New Roman" w:eastAsia="宋体" w:cs="Times New Roman"/>
                <w:color w:val="auto"/>
                <w:spacing w:val="10"/>
                <w:sz w:val="24"/>
                <w:szCs w:val="24"/>
              </w:rPr>
              <w:t>殖</w:t>
            </w:r>
            <w:r>
              <w:rPr>
                <w:rFonts w:hint="default" w:ascii="Times New Roman" w:hAnsi="Times New Roman" w:eastAsia="宋体" w:cs="Times New Roman"/>
                <w:color w:val="auto"/>
                <w:spacing w:val="7"/>
                <w:sz w:val="24"/>
                <w:szCs w:val="24"/>
              </w:rPr>
              <w:t>鲢、鳙和鳊等。</w:t>
            </w:r>
          </w:p>
          <w:p>
            <w:pPr>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5"/>
                <w:sz w:val="24"/>
                <w:szCs w:val="24"/>
              </w:rPr>
              <w:t>(</w:t>
            </w:r>
            <w:r>
              <w:rPr>
                <w:rFonts w:hint="default" w:ascii="Times New Roman" w:hAnsi="Times New Roman" w:eastAsia="宋体" w:cs="Times New Roman"/>
                <w:color w:val="auto"/>
                <w:spacing w:val="18"/>
                <w:sz w:val="24"/>
                <w:szCs w:val="24"/>
              </w:rPr>
              <w:t>3)三汊港南湖</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8"/>
                <w:sz w:val="24"/>
                <w:szCs w:val="24"/>
              </w:rPr>
              <w:t>调查中，三</w:t>
            </w:r>
            <w:r>
              <w:rPr>
                <w:rFonts w:hint="default" w:ascii="Times New Roman" w:hAnsi="Times New Roman" w:eastAsia="宋体" w:cs="Times New Roman"/>
                <w:color w:val="auto"/>
                <w:spacing w:val="6"/>
                <w:sz w:val="24"/>
                <w:szCs w:val="24"/>
              </w:rPr>
              <w:t>汊</w:t>
            </w:r>
            <w:r>
              <w:rPr>
                <w:rFonts w:hint="default" w:ascii="Times New Roman" w:hAnsi="Times New Roman" w:eastAsia="宋体" w:cs="Times New Roman"/>
                <w:color w:val="auto"/>
                <w:spacing w:val="4"/>
                <w:sz w:val="24"/>
                <w:szCs w:val="24"/>
              </w:rPr>
              <w:t>港南湖调查到鱼类 8 种，目前三汊港南湖被当地居民承包，主</w:t>
            </w:r>
            <w:r>
              <w:rPr>
                <w:rFonts w:hint="default" w:ascii="Times New Roman" w:hAnsi="Times New Roman" w:eastAsia="宋体" w:cs="Times New Roman"/>
                <w:color w:val="auto"/>
                <w:spacing w:val="15"/>
                <w:sz w:val="24"/>
                <w:szCs w:val="24"/>
              </w:rPr>
              <w:t>要</w:t>
            </w:r>
            <w:r>
              <w:rPr>
                <w:rFonts w:hint="default" w:ascii="Times New Roman" w:hAnsi="Times New Roman" w:eastAsia="宋体" w:cs="Times New Roman"/>
                <w:color w:val="auto"/>
                <w:spacing w:val="9"/>
                <w:sz w:val="24"/>
                <w:szCs w:val="24"/>
              </w:rPr>
              <w:t>用于鲢鳙的养殖，现场调查渔获物以鲢、鳙、鲫和鲤为主。</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color w:val="auto"/>
                <w:spacing w:val="8"/>
                <w:sz w:val="24"/>
                <w:szCs w:val="24"/>
                <w:lang w:val="en-US" w:eastAsia="zh-CN"/>
              </w:rPr>
            </w:pPr>
            <w:r>
              <w:rPr>
                <w:rFonts w:hint="eastAsia" w:ascii="Times New Roman" w:hAnsi="Times New Roman" w:cs="Times New Roman"/>
                <w:b/>
                <w:bCs/>
                <w:color w:val="auto"/>
                <w:spacing w:val="8"/>
                <w:sz w:val="24"/>
                <w:szCs w:val="24"/>
                <w:lang w:val="en-US" w:eastAsia="zh-CN"/>
              </w:rPr>
              <w:t>1.3.5.8、</w:t>
            </w:r>
            <w:r>
              <w:rPr>
                <w:rFonts w:hint="default" w:ascii="Times New Roman" w:hAnsi="Times New Roman" w:cs="Times New Roman"/>
                <w:b/>
                <w:bCs/>
                <w:color w:val="auto"/>
                <w:spacing w:val="8"/>
                <w:sz w:val="24"/>
                <w:szCs w:val="24"/>
                <w:lang w:val="en-US" w:eastAsia="zh-CN"/>
              </w:rPr>
              <w:t>鱼类重要生境</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3"/>
                <w:sz w:val="24"/>
                <w:szCs w:val="24"/>
              </w:rPr>
              <w:t>(</w:t>
            </w:r>
            <w:r>
              <w:rPr>
                <w:rFonts w:hint="default" w:ascii="Times New Roman" w:hAnsi="Times New Roman" w:eastAsia="宋体" w:cs="Times New Roman"/>
                <w:color w:val="auto"/>
                <w:spacing w:val="21"/>
                <w:sz w:val="24"/>
                <w:szCs w:val="24"/>
              </w:rPr>
              <w:t>1) 白泥湖</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1) 产卵</w:t>
            </w:r>
            <w:r>
              <w:rPr>
                <w:rFonts w:hint="default" w:ascii="Times New Roman" w:hAnsi="Times New Roman" w:eastAsia="宋体" w:cs="Times New Roman"/>
                <w:color w:val="auto"/>
                <w:spacing w:val="1"/>
                <w:sz w:val="24"/>
                <w:szCs w:val="24"/>
              </w:rPr>
              <w:t>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此次在</w:t>
            </w:r>
            <w:r>
              <w:rPr>
                <w:rFonts w:hint="default" w:ascii="Times New Roman" w:hAnsi="Times New Roman" w:eastAsia="宋体" w:cs="Times New Roman"/>
                <w:color w:val="auto"/>
                <w:spacing w:val="11"/>
                <w:sz w:val="24"/>
                <w:szCs w:val="24"/>
              </w:rPr>
              <w:t>评</w:t>
            </w:r>
            <w:r>
              <w:rPr>
                <w:rFonts w:hint="default" w:ascii="Times New Roman" w:hAnsi="Times New Roman" w:eastAsia="宋体" w:cs="Times New Roman"/>
                <w:color w:val="auto"/>
                <w:spacing w:val="6"/>
                <w:sz w:val="24"/>
                <w:szCs w:val="24"/>
              </w:rPr>
              <w:t>价区调查到的产粘性卵鱼类主要有鲫、鲤等种类，这类鱼的产卵场</w:t>
            </w:r>
            <w:r>
              <w:rPr>
                <w:rFonts w:hint="default" w:ascii="Times New Roman" w:hAnsi="Times New Roman" w:eastAsia="宋体" w:cs="Times New Roman"/>
                <w:color w:val="auto"/>
                <w:spacing w:val="7"/>
                <w:sz w:val="24"/>
                <w:szCs w:val="24"/>
              </w:rPr>
              <w:t>主要分布于水流较缓、水草丰茂的湖边。白泥湖岸边水草丰富，可能为产粘草</w:t>
            </w:r>
            <w:r>
              <w:rPr>
                <w:rFonts w:hint="default" w:ascii="Times New Roman" w:hAnsi="Times New Roman" w:eastAsia="宋体" w:cs="Times New Roman"/>
                <w:color w:val="auto"/>
                <w:spacing w:val="3"/>
                <w:sz w:val="24"/>
                <w:szCs w:val="24"/>
              </w:rPr>
              <w:t>基</w:t>
            </w:r>
            <w:r>
              <w:rPr>
                <w:rFonts w:hint="default" w:ascii="Times New Roman" w:hAnsi="Times New Roman" w:eastAsia="宋体" w:cs="Times New Roman"/>
                <w:color w:val="auto"/>
                <w:spacing w:val="11"/>
                <w:sz w:val="24"/>
                <w:szCs w:val="24"/>
              </w:rPr>
              <w:t>质</w:t>
            </w:r>
            <w:r>
              <w:rPr>
                <w:rFonts w:hint="default" w:ascii="Times New Roman" w:hAnsi="Times New Roman" w:eastAsia="宋体" w:cs="Times New Roman"/>
                <w:color w:val="auto"/>
                <w:spacing w:val="8"/>
                <w:sz w:val="24"/>
                <w:szCs w:val="24"/>
              </w:rPr>
              <w:t>鱼卵鱼类理想的产卵场。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2</w:t>
            </w:r>
            <w:r>
              <w:rPr>
                <w:rFonts w:hint="default" w:ascii="Times New Roman" w:hAnsi="Times New Roman" w:eastAsia="宋体" w:cs="Times New Roman"/>
                <w:color w:val="auto"/>
                <w:spacing w:val="6"/>
                <w:sz w:val="24"/>
                <w:szCs w:val="24"/>
              </w:rPr>
              <w:t>) 索饵场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通常鱼类</w:t>
            </w:r>
            <w:r>
              <w:rPr>
                <w:rFonts w:hint="default" w:ascii="Times New Roman" w:hAnsi="Times New Roman" w:eastAsia="宋体" w:cs="Times New Roman"/>
                <w:color w:val="auto"/>
                <w:spacing w:val="6"/>
                <w:sz w:val="24"/>
                <w:szCs w:val="24"/>
              </w:rPr>
              <w:t>的索饵场在产卵场附近，这些区域水流复杂，水草丰茂，有利于幼</w:t>
            </w:r>
            <w:r>
              <w:rPr>
                <w:rFonts w:hint="default" w:ascii="Times New Roman" w:hAnsi="Times New Roman" w:eastAsia="宋体" w:cs="Times New Roman"/>
                <w:color w:val="auto"/>
                <w:spacing w:val="7"/>
                <w:sz w:val="24"/>
                <w:szCs w:val="24"/>
              </w:rPr>
              <w:t>鱼索饵。鱼类的索饵或育幼场，常取决于食性。鲤、鲫、泥鳅等杂食性鱼类索</w:t>
            </w:r>
            <w:r>
              <w:rPr>
                <w:rFonts w:hint="default" w:ascii="Times New Roman" w:hAnsi="Times New Roman" w:eastAsia="宋体" w:cs="Times New Roman"/>
                <w:color w:val="auto"/>
                <w:spacing w:val="5"/>
                <w:sz w:val="24"/>
                <w:szCs w:val="24"/>
              </w:rPr>
              <w:t>饵</w:t>
            </w:r>
            <w:r>
              <w:rPr>
                <w:rFonts w:hint="default" w:ascii="Times New Roman" w:hAnsi="Times New Roman" w:eastAsia="宋体" w:cs="Times New Roman"/>
                <w:color w:val="auto"/>
                <w:spacing w:val="13"/>
                <w:sz w:val="24"/>
                <w:szCs w:val="24"/>
              </w:rPr>
              <w:t>场</w:t>
            </w:r>
            <w:r>
              <w:rPr>
                <w:rFonts w:hint="default" w:ascii="Times New Roman" w:hAnsi="Times New Roman" w:eastAsia="宋体" w:cs="Times New Roman"/>
                <w:color w:val="auto"/>
                <w:spacing w:val="11"/>
                <w:sz w:val="24"/>
                <w:szCs w:val="24"/>
              </w:rPr>
              <w:t xml:space="preserve">通常水质较好，水深一般在0~0.5 </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11"/>
                <w:sz w:val="24"/>
                <w:szCs w:val="24"/>
              </w:rPr>
              <w:t>，浮游动植物等饵料生物丰富，初级生产</w:t>
            </w:r>
            <w:r>
              <w:rPr>
                <w:rFonts w:hint="default" w:ascii="Times New Roman" w:hAnsi="Times New Roman" w:eastAsia="宋体" w:cs="Times New Roman"/>
                <w:color w:val="auto"/>
                <w:spacing w:val="7"/>
                <w:sz w:val="24"/>
                <w:szCs w:val="24"/>
              </w:rPr>
              <w:t>力高，水生植被丰富且敌害较少，有利于幼鱼的存活。现场发现在白泥湖岸边</w:t>
            </w:r>
            <w:r>
              <w:rPr>
                <w:rFonts w:hint="default" w:ascii="Times New Roman" w:hAnsi="Times New Roman" w:eastAsia="宋体" w:cs="Times New Roman"/>
                <w:color w:val="auto"/>
                <w:sz w:val="24"/>
                <w:szCs w:val="24"/>
              </w:rPr>
              <w:t>浅</w:t>
            </w:r>
            <w:r>
              <w:rPr>
                <w:rFonts w:hint="default" w:ascii="Times New Roman" w:hAnsi="Times New Roman" w:eastAsia="宋体" w:cs="Times New Roman"/>
                <w:color w:val="auto"/>
                <w:spacing w:val="12"/>
                <w:sz w:val="24"/>
                <w:szCs w:val="24"/>
              </w:rPr>
              <w:t>水</w:t>
            </w:r>
            <w:r>
              <w:rPr>
                <w:rFonts w:hint="default" w:ascii="Times New Roman" w:hAnsi="Times New Roman" w:eastAsia="宋体" w:cs="Times New Roman"/>
                <w:color w:val="auto"/>
                <w:spacing w:val="9"/>
                <w:sz w:val="24"/>
                <w:szCs w:val="24"/>
              </w:rPr>
              <w:t>区，光照较好，水生植被丰富，是较为理想的索饵场所。</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3) 越冬</w:t>
            </w:r>
            <w:r>
              <w:rPr>
                <w:rFonts w:hint="default" w:ascii="Times New Roman" w:hAnsi="Times New Roman" w:eastAsia="宋体" w:cs="Times New Roman"/>
                <w:color w:val="auto"/>
                <w:spacing w:val="5"/>
                <w:sz w:val="24"/>
                <w:szCs w:val="24"/>
              </w:rPr>
              <w:t>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冬季来</w:t>
            </w:r>
            <w:r>
              <w:rPr>
                <w:rFonts w:hint="default" w:ascii="Times New Roman" w:hAnsi="Times New Roman" w:eastAsia="宋体" w:cs="Times New Roman"/>
                <w:color w:val="auto"/>
                <w:spacing w:val="6"/>
                <w:sz w:val="24"/>
                <w:szCs w:val="24"/>
              </w:rPr>
              <w:t>临之前，鱼类经过夏、秋季的索饵，大都长得身体肥壮，体内贮积大</w:t>
            </w:r>
            <w:r>
              <w:rPr>
                <w:rFonts w:hint="default" w:ascii="Times New Roman" w:hAnsi="Times New Roman" w:eastAsia="宋体" w:cs="Times New Roman"/>
                <w:color w:val="auto"/>
                <w:spacing w:val="7"/>
                <w:sz w:val="24"/>
                <w:szCs w:val="24"/>
              </w:rPr>
              <w:t>量脂肪，每年入秋以后天气转冷，水温随之下降，而河水流量逐渐减少，水位</w:t>
            </w:r>
            <w:r>
              <w:rPr>
                <w:rFonts w:hint="default" w:ascii="Times New Roman" w:hAnsi="Times New Roman" w:eastAsia="宋体" w:cs="Times New Roman"/>
                <w:color w:val="auto"/>
                <w:spacing w:val="5"/>
                <w:sz w:val="24"/>
                <w:szCs w:val="24"/>
              </w:rPr>
              <w:t>降</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低透明度增大，饵料减少，此时，在各不同深度、不同环境中觅食的主要经济</w:t>
            </w:r>
            <w:r>
              <w:rPr>
                <w:rFonts w:hint="default" w:ascii="Times New Roman" w:hAnsi="Times New Roman" w:eastAsia="宋体" w:cs="Times New Roman"/>
                <w:color w:val="auto"/>
                <w:spacing w:val="5"/>
                <w:sz w:val="24"/>
                <w:szCs w:val="24"/>
              </w:rPr>
              <w:t>鱼</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类，逐渐受气候等各种外部因素变化的影响进入深水处活动。鱼类从浅水区进</w:t>
            </w:r>
            <w:r>
              <w:rPr>
                <w:rFonts w:hint="default" w:ascii="Times New Roman" w:hAnsi="Times New Roman" w:eastAsia="宋体" w:cs="Times New Roman"/>
                <w:color w:val="auto"/>
                <w:spacing w:val="5"/>
                <w:sz w:val="24"/>
                <w:szCs w:val="24"/>
              </w:rPr>
              <w:t>入</w:t>
            </w:r>
            <w:r>
              <w:rPr>
                <w:rFonts w:hint="default" w:ascii="Times New Roman" w:hAnsi="Times New Roman" w:eastAsia="宋体" w:cs="Times New Roman"/>
                <w:color w:val="auto"/>
                <w:spacing w:val="7"/>
                <w:sz w:val="24"/>
                <w:szCs w:val="24"/>
              </w:rPr>
              <w:t>饵料资源较为丰富、温度较为稳定的深水潭中越冬，或在砾石之间水较深区域</w:t>
            </w:r>
            <w:r>
              <w:rPr>
                <w:rFonts w:hint="default" w:ascii="Times New Roman" w:hAnsi="Times New Roman" w:eastAsia="宋体" w:cs="Times New Roman"/>
                <w:color w:val="auto"/>
                <w:spacing w:val="5"/>
                <w:sz w:val="24"/>
                <w:szCs w:val="24"/>
              </w:rPr>
              <w:t>就</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4"/>
                <w:sz w:val="24"/>
                <w:szCs w:val="24"/>
              </w:rPr>
              <w:t>近</w:t>
            </w:r>
            <w:r>
              <w:rPr>
                <w:rFonts w:hint="default" w:ascii="Times New Roman" w:hAnsi="Times New Roman" w:eastAsia="宋体" w:cs="Times New Roman"/>
                <w:color w:val="auto"/>
                <w:spacing w:val="9"/>
                <w:sz w:val="24"/>
                <w:szCs w:val="24"/>
              </w:rPr>
              <w:t>越冬。评价区内的鱼类主要在白泥湖区深水区越冬。</w:t>
            </w:r>
          </w:p>
          <w:p>
            <w:pPr>
              <w:keepNext w:val="0"/>
              <w:keepLines w:val="0"/>
              <w:pageBreakBefore w:val="0"/>
              <w:widowControl w:val="0"/>
              <w:kinsoku/>
              <w:wordWrap/>
              <w:overflowPunct/>
              <w:topLinePunct w:val="0"/>
              <w:autoSpaceDE/>
              <w:autoSpaceDN/>
              <w:bidi w:val="0"/>
              <w:adjustRightInd/>
              <w:snapToGrid/>
              <w:spacing w:line="360" w:lineRule="auto"/>
              <w:ind w:left="0" w:right="0" w:firstLine="57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3"/>
                <w:sz w:val="24"/>
                <w:szCs w:val="24"/>
              </w:rPr>
              <w:t>(</w:t>
            </w:r>
            <w:r>
              <w:rPr>
                <w:rFonts w:hint="default" w:ascii="Times New Roman" w:hAnsi="Times New Roman" w:eastAsia="宋体" w:cs="Times New Roman"/>
                <w:color w:val="auto"/>
                <w:spacing w:val="21"/>
                <w:sz w:val="24"/>
                <w:szCs w:val="24"/>
              </w:rPr>
              <w:t>2) 范家坝</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1) 产卵</w:t>
            </w:r>
            <w:r>
              <w:rPr>
                <w:rFonts w:hint="default" w:ascii="Times New Roman" w:hAnsi="Times New Roman" w:eastAsia="宋体" w:cs="Times New Roman"/>
                <w:color w:val="auto"/>
                <w:spacing w:val="1"/>
                <w:sz w:val="24"/>
                <w:szCs w:val="24"/>
              </w:rPr>
              <w:t>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此次</w:t>
            </w:r>
            <w:r>
              <w:rPr>
                <w:rFonts w:hint="default" w:ascii="Times New Roman" w:hAnsi="Times New Roman" w:eastAsia="宋体" w:cs="Times New Roman"/>
                <w:color w:val="auto"/>
                <w:spacing w:val="11"/>
                <w:sz w:val="24"/>
                <w:szCs w:val="24"/>
              </w:rPr>
              <w:t>在</w:t>
            </w:r>
            <w:r>
              <w:rPr>
                <w:rFonts w:hint="default" w:ascii="Times New Roman" w:hAnsi="Times New Roman" w:eastAsia="宋体" w:cs="Times New Roman"/>
                <w:color w:val="auto"/>
                <w:spacing w:val="6"/>
                <w:sz w:val="24"/>
                <w:szCs w:val="24"/>
              </w:rPr>
              <w:t>评价区调查到的产粘性卵鱼类主要有鲫、鲤、䱗等种类 (鲢、鳙等鱼</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2"/>
                <w:sz w:val="24"/>
                <w:szCs w:val="24"/>
              </w:rPr>
              <w:t>主要为养</w:t>
            </w:r>
            <w:r>
              <w:rPr>
                <w:rFonts w:hint="default" w:ascii="Times New Roman" w:hAnsi="Times New Roman" w:eastAsia="宋体" w:cs="Times New Roman"/>
                <w:color w:val="auto"/>
                <w:spacing w:val="6"/>
                <w:sz w:val="24"/>
                <w:szCs w:val="24"/>
              </w:rPr>
              <w:t>殖鱼类) ，这类鱼的产卵场主要分布于水流较缓、水草丰茂的湖边。</w:t>
            </w:r>
            <w:r>
              <w:rPr>
                <w:rFonts w:hint="default" w:ascii="Times New Roman" w:hAnsi="Times New Roman" w:eastAsia="宋体" w:cs="Times New Roman"/>
                <w:color w:val="auto"/>
                <w:spacing w:val="2"/>
                <w:sz w:val="24"/>
                <w:szCs w:val="24"/>
              </w:rPr>
              <w:t>范</w:t>
            </w:r>
            <w:r>
              <w:rPr>
                <w:rFonts w:hint="default" w:ascii="Times New Roman" w:hAnsi="Times New Roman" w:eastAsia="宋体" w:cs="Times New Roman"/>
                <w:color w:val="auto"/>
                <w:spacing w:val="7"/>
                <w:sz w:val="24"/>
                <w:szCs w:val="24"/>
              </w:rPr>
              <w:t>家坝以淤泥基质为主，岸边均有岩石分布，春夏丰水季降雨充沛，湖边水位上</w:t>
            </w:r>
            <w:r>
              <w:rPr>
                <w:rFonts w:hint="default" w:ascii="Times New Roman" w:hAnsi="Times New Roman" w:eastAsia="宋体" w:cs="Times New Roman"/>
                <w:color w:val="auto"/>
                <w:spacing w:val="2"/>
                <w:sz w:val="24"/>
                <w:szCs w:val="24"/>
              </w:rPr>
              <w:t>升</w:t>
            </w:r>
            <w:r>
              <w:rPr>
                <w:rFonts w:hint="default" w:ascii="Times New Roman" w:hAnsi="Times New Roman" w:eastAsia="宋体" w:cs="Times New Roman"/>
                <w:color w:val="auto"/>
                <w:spacing w:val="7"/>
                <w:sz w:val="24"/>
                <w:szCs w:val="24"/>
              </w:rPr>
              <w:t>时，可能为产粘砾石基质鱼卵鱼类理想的产卵场。现场勘察，并未在范家坝发</w:t>
            </w:r>
            <w:r>
              <w:rPr>
                <w:rFonts w:hint="default" w:ascii="Times New Roman" w:hAnsi="Times New Roman" w:eastAsia="宋体" w:cs="Times New Roman"/>
                <w:color w:val="auto"/>
                <w:spacing w:val="2"/>
                <w:sz w:val="24"/>
                <w:szCs w:val="24"/>
              </w:rPr>
              <w:t>现</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9"/>
                <w:sz w:val="24"/>
                <w:szCs w:val="24"/>
              </w:rPr>
              <w:t>呈</w:t>
            </w:r>
            <w:r>
              <w:rPr>
                <w:rFonts w:hint="default" w:ascii="Times New Roman" w:hAnsi="Times New Roman" w:eastAsia="宋体" w:cs="Times New Roman"/>
                <w:color w:val="auto"/>
                <w:spacing w:val="7"/>
                <w:sz w:val="24"/>
                <w:szCs w:val="24"/>
              </w:rPr>
              <w:t>规模的产卵场。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2</w:t>
            </w:r>
            <w:r>
              <w:rPr>
                <w:rFonts w:hint="default" w:ascii="Times New Roman" w:hAnsi="Times New Roman" w:eastAsia="宋体" w:cs="Times New Roman"/>
                <w:color w:val="auto"/>
                <w:spacing w:val="6"/>
                <w:sz w:val="24"/>
                <w:szCs w:val="24"/>
              </w:rPr>
              <w:t>) 索饵场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通常鱼类</w:t>
            </w:r>
            <w:r>
              <w:rPr>
                <w:rFonts w:hint="default" w:ascii="Times New Roman" w:hAnsi="Times New Roman" w:eastAsia="宋体" w:cs="Times New Roman"/>
                <w:color w:val="auto"/>
                <w:spacing w:val="6"/>
                <w:sz w:val="24"/>
                <w:szCs w:val="24"/>
              </w:rPr>
              <w:t>的索饵场在产卵场附近，这些区域水流复杂，水草丰茂，有利于幼</w:t>
            </w:r>
            <w:r>
              <w:rPr>
                <w:rFonts w:hint="default" w:ascii="Times New Roman" w:hAnsi="Times New Roman" w:eastAsia="宋体" w:cs="Times New Roman"/>
                <w:color w:val="auto"/>
                <w:spacing w:val="7"/>
                <w:sz w:val="24"/>
                <w:szCs w:val="24"/>
              </w:rPr>
              <w:t>鱼索饵。鱼类的索饵或育幼场，常取决于食性。如翘嘴鲌、鲇等种类主要以其</w:t>
            </w:r>
            <w:r>
              <w:rPr>
                <w:rFonts w:hint="default" w:ascii="Times New Roman" w:hAnsi="Times New Roman" w:eastAsia="宋体" w:cs="Times New Roman"/>
                <w:color w:val="auto"/>
                <w:spacing w:val="5"/>
                <w:sz w:val="24"/>
                <w:szCs w:val="24"/>
              </w:rPr>
              <w:t>他</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6"/>
                <w:sz w:val="24"/>
                <w:szCs w:val="24"/>
              </w:rPr>
              <w:t>鱼类</w:t>
            </w:r>
            <w:r>
              <w:rPr>
                <w:rFonts w:hint="default" w:ascii="Times New Roman" w:hAnsi="Times New Roman" w:eastAsia="宋体" w:cs="Times New Roman"/>
                <w:color w:val="auto"/>
                <w:spacing w:val="13"/>
                <w:sz w:val="24"/>
                <w:szCs w:val="24"/>
              </w:rPr>
              <w:t>为</w:t>
            </w:r>
            <w:r>
              <w:rPr>
                <w:rFonts w:hint="default" w:ascii="Times New Roman" w:hAnsi="Times New Roman" w:eastAsia="宋体" w:cs="Times New Roman"/>
                <w:color w:val="auto"/>
                <w:spacing w:val="8"/>
                <w:sz w:val="24"/>
                <w:szCs w:val="24"/>
              </w:rPr>
              <w:t>食，其索饵场分布与自身食性、摄食对象鱼类鱼群的分布情况有关。鲤、</w:t>
            </w:r>
            <w:r>
              <w:rPr>
                <w:rFonts w:hint="default" w:ascii="Times New Roman" w:hAnsi="Times New Roman" w:eastAsia="宋体" w:cs="Times New Roman"/>
                <w:color w:val="auto"/>
                <w:spacing w:val="18"/>
                <w:sz w:val="24"/>
                <w:szCs w:val="24"/>
              </w:rPr>
              <w:t>鲫、</w:t>
            </w:r>
            <w:r>
              <w:rPr>
                <w:rFonts w:hint="default" w:ascii="Times New Roman" w:hAnsi="Times New Roman" w:eastAsia="宋体" w:cs="Times New Roman"/>
                <w:color w:val="auto"/>
                <w:spacing w:val="9"/>
                <w:sz w:val="24"/>
                <w:szCs w:val="24"/>
              </w:rPr>
              <w:t>泥鳅和䱗等杂食性鱼类索饵场通常水质较好，水深一般在 0~0.5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9"/>
                <w:sz w:val="24"/>
                <w:szCs w:val="24"/>
              </w:rPr>
              <w:t>，浮游动</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植物等饵料生物丰富，初级生产力高，水生植被丰富且敌害较少，有利于幼鱼</w:t>
            </w:r>
            <w:r>
              <w:rPr>
                <w:rFonts w:hint="default" w:ascii="Times New Roman" w:hAnsi="Times New Roman" w:eastAsia="宋体" w:cs="Times New Roman"/>
                <w:color w:val="auto"/>
                <w:spacing w:val="5"/>
                <w:sz w:val="24"/>
                <w:szCs w:val="24"/>
              </w:rPr>
              <w:t>的</w:t>
            </w:r>
            <w:r>
              <w:rPr>
                <w:rFonts w:hint="default" w:ascii="Times New Roman" w:hAnsi="Times New Roman" w:eastAsia="宋体" w:cs="Times New Roman"/>
                <w:color w:val="auto"/>
                <w:spacing w:val="14"/>
                <w:sz w:val="24"/>
                <w:szCs w:val="24"/>
              </w:rPr>
              <w:t>存</w:t>
            </w:r>
            <w:r>
              <w:rPr>
                <w:rFonts w:hint="default" w:ascii="Times New Roman" w:hAnsi="Times New Roman" w:eastAsia="宋体" w:cs="Times New Roman"/>
                <w:color w:val="auto"/>
                <w:spacing w:val="9"/>
                <w:sz w:val="24"/>
                <w:szCs w:val="24"/>
              </w:rPr>
              <w:t>活。现场勘察，并未在范家坝发现呈规模的索饵场。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3) 越冬</w:t>
            </w:r>
            <w:r>
              <w:rPr>
                <w:rFonts w:hint="default" w:ascii="Times New Roman" w:hAnsi="Times New Roman" w:eastAsia="宋体" w:cs="Times New Roman"/>
                <w:color w:val="auto"/>
                <w:spacing w:val="5"/>
                <w:sz w:val="24"/>
                <w:szCs w:val="24"/>
              </w:rPr>
              <w:t>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冬季来</w:t>
            </w:r>
            <w:r>
              <w:rPr>
                <w:rFonts w:hint="default" w:ascii="Times New Roman" w:hAnsi="Times New Roman" w:eastAsia="宋体" w:cs="Times New Roman"/>
                <w:color w:val="auto"/>
                <w:spacing w:val="6"/>
                <w:sz w:val="24"/>
                <w:szCs w:val="24"/>
              </w:rPr>
              <w:t>临之前，鱼类经过夏、秋季的索饵，大都长得身体肥壮，体内贮积大</w:t>
            </w:r>
            <w:r>
              <w:rPr>
                <w:rFonts w:hint="default" w:ascii="Times New Roman" w:hAnsi="Times New Roman" w:eastAsia="宋体" w:cs="Times New Roman"/>
                <w:color w:val="auto"/>
                <w:spacing w:val="7"/>
                <w:sz w:val="24"/>
                <w:szCs w:val="24"/>
              </w:rPr>
              <w:t>量脂肪，每年入秋以后天气转冷，水温随之下降，而河水流量逐渐减少，水位</w:t>
            </w:r>
            <w:r>
              <w:rPr>
                <w:rFonts w:hint="default" w:ascii="Times New Roman" w:hAnsi="Times New Roman" w:eastAsia="宋体" w:cs="Times New Roman"/>
                <w:color w:val="auto"/>
                <w:spacing w:val="5"/>
                <w:sz w:val="24"/>
                <w:szCs w:val="24"/>
              </w:rPr>
              <w:t>降</w:t>
            </w:r>
            <w:r>
              <w:rPr>
                <w:rFonts w:hint="default" w:ascii="Times New Roman" w:hAnsi="Times New Roman" w:eastAsia="宋体" w:cs="Times New Roman"/>
                <w:color w:val="auto"/>
                <w:spacing w:val="7"/>
                <w:sz w:val="24"/>
                <w:szCs w:val="24"/>
              </w:rPr>
              <w:t>低透明度增大，饵料减少，此时，在各不同深度、不同环境中觅食的主要经济</w:t>
            </w:r>
            <w:r>
              <w:rPr>
                <w:rFonts w:hint="default" w:ascii="Times New Roman" w:hAnsi="Times New Roman" w:eastAsia="宋体" w:cs="Times New Roman"/>
                <w:color w:val="auto"/>
                <w:spacing w:val="5"/>
                <w:sz w:val="24"/>
                <w:szCs w:val="24"/>
              </w:rPr>
              <w:t>鱼</w:t>
            </w:r>
            <w:r>
              <w:rPr>
                <w:rFonts w:hint="default" w:ascii="Times New Roman" w:hAnsi="Times New Roman" w:eastAsia="宋体" w:cs="Times New Roman"/>
                <w:color w:val="auto"/>
                <w:spacing w:val="7"/>
                <w:sz w:val="24"/>
                <w:szCs w:val="24"/>
              </w:rPr>
              <w:t>类，逐渐受气候等各种外部因素变化的影响进入深水处活动。鱼类从浅水区进</w:t>
            </w:r>
            <w:r>
              <w:rPr>
                <w:rFonts w:hint="default" w:ascii="Times New Roman" w:hAnsi="Times New Roman" w:eastAsia="宋体" w:cs="Times New Roman"/>
                <w:color w:val="auto"/>
                <w:spacing w:val="5"/>
                <w:sz w:val="24"/>
                <w:szCs w:val="24"/>
              </w:rPr>
              <w:t>入</w:t>
            </w:r>
          </w:p>
          <w:p>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7"/>
                <w:sz w:val="24"/>
                <w:szCs w:val="24"/>
              </w:rPr>
              <w:t>饵料资源较为丰富、温度较为稳定的深水潭中越冬，或在砾石之间水较深区域</w:t>
            </w:r>
            <w:r>
              <w:rPr>
                <w:rFonts w:hint="default" w:ascii="Times New Roman" w:hAnsi="Times New Roman" w:eastAsia="宋体" w:cs="Times New Roman"/>
                <w:color w:val="auto"/>
                <w:spacing w:val="5"/>
                <w:sz w:val="24"/>
                <w:szCs w:val="24"/>
              </w:rPr>
              <w:t>就</w:t>
            </w:r>
            <w:r>
              <w:rPr>
                <w:rFonts w:hint="default" w:ascii="Times New Roman" w:hAnsi="Times New Roman" w:eastAsia="宋体" w:cs="Times New Roman"/>
                <w:color w:val="auto"/>
                <w:spacing w:val="11"/>
                <w:sz w:val="24"/>
                <w:szCs w:val="24"/>
              </w:rPr>
              <w:t>近</w:t>
            </w:r>
            <w:r>
              <w:rPr>
                <w:rFonts w:hint="default" w:ascii="Times New Roman" w:hAnsi="Times New Roman" w:eastAsia="宋体" w:cs="Times New Roman"/>
                <w:color w:val="auto"/>
                <w:spacing w:val="9"/>
                <w:sz w:val="24"/>
                <w:szCs w:val="24"/>
              </w:rPr>
              <w:t>越冬。范家坝的鱼类主要在湖区深水区越冬。</w:t>
            </w:r>
          </w:p>
          <w:p>
            <w:pPr>
              <w:keepNext w:val="0"/>
              <w:keepLines w:val="0"/>
              <w:pageBreakBefore w:val="0"/>
              <w:widowControl w:val="0"/>
              <w:kinsoku/>
              <w:wordWrap/>
              <w:overflowPunct/>
              <w:topLinePunct w:val="0"/>
              <w:autoSpaceDE/>
              <w:autoSpaceDN/>
              <w:bidi w:val="0"/>
              <w:adjustRightInd/>
              <w:snapToGrid/>
              <w:spacing w:line="360" w:lineRule="auto"/>
              <w:ind w:left="0" w:right="0" w:firstLine="5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25"/>
                <w:sz w:val="24"/>
                <w:szCs w:val="24"/>
              </w:rPr>
              <w:t>(</w:t>
            </w:r>
            <w:r>
              <w:rPr>
                <w:rFonts w:hint="default" w:ascii="Times New Roman" w:hAnsi="Times New Roman" w:eastAsia="宋体" w:cs="Times New Roman"/>
                <w:color w:val="auto"/>
                <w:spacing w:val="18"/>
                <w:sz w:val="24"/>
                <w:szCs w:val="24"/>
              </w:rPr>
              <w:t>3) 三汊港南湖</w:t>
            </w:r>
          </w:p>
          <w:p>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3"/>
                <w:sz w:val="24"/>
                <w:szCs w:val="24"/>
              </w:rPr>
              <w:t>1) 产卵</w:t>
            </w:r>
            <w:r>
              <w:rPr>
                <w:rFonts w:hint="default" w:ascii="Times New Roman" w:hAnsi="Times New Roman" w:eastAsia="宋体" w:cs="Times New Roman"/>
                <w:color w:val="auto"/>
                <w:spacing w:val="1"/>
                <w:sz w:val="24"/>
                <w:szCs w:val="24"/>
              </w:rPr>
              <w:t>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此次</w:t>
            </w:r>
            <w:r>
              <w:rPr>
                <w:rFonts w:hint="default" w:ascii="Times New Roman" w:hAnsi="Times New Roman" w:eastAsia="宋体" w:cs="Times New Roman"/>
                <w:color w:val="auto"/>
                <w:spacing w:val="11"/>
                <w:sz w:val="24"/>
                <w:szCs w:val="24"/>
              </w:rPr>
              <w:t>在</w:t>
            </w:r>
            <w:r>
              <w:rPr>
                <w:rFonts w:hint="default" w:ascii="Times New Roman" w:hAnsi="Times New Roman" w:eastAsia="宋体" w:cs="Times New Roman"/>
                <w:color w:val="auto"/>
                <w:spacing w:val="6"/>
                <w:sz w:val="24"/>
                <w:szCs w:val="24"/>
              </w:rPr>
              <w:t>评价区调查到的产粘性卵鱼类主要有鲫、鲤、䱗等种类 (鲢、鳙等鱼</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2"/>
                <w:sz w:val="24"/>
                <w:szCs w:val="24"/>
              </w:rPr>
              <w:t>主要为养</w:t>
            </w:r>
            <w:r>
              <w:rPr>
                <w:rFonts w:hint="default" w:ascii="Times New Roman" w:hAnsi="Times New Roman" w:eastAsia="宋体" w:cs="Times New Roman"/>
                <w:color w:val="auto"/>
                <w:spacing w:val="6"/>
                <w:sz w:val="24"/>
                <w:szCs w:val="24"/>
              </w:rPr>
              <w:t>殖鱼类) ，这类鱼的产卵场主要分布于水流较缓、水草丰茂的湖边。</w:t>
            </w:r>
            <w:r>
              <w:rPr>
                <w:rFonts w:hint="default" w:ascii="Times New Roman" w:hAnsi="Times New Roman" w:eastAsia="宋体" w:cs="Times New Roman"/>
                <w:color w:val="auto"/>
                <w:spacing w:val="2"/>
                <w:sz w:val="24"/>
                <w:szCs w:val="24"/>
              </w:rPr>
              <w:t>三</w:t>
            </w:r>
            <w:r>
              <w:rPr>
                <w:rFonts w:hint="default" w:ascii="Times New Roman" w:hAnsi="Times New Roman" w:eastAsia="宋体" w:cs="Times New Roman"/>
                <w:color w:val="auto"/>
                <w:spacing w:val="7"/>
                <w:sz w:val="24"/>
                <w:szCs w:val="24"/>
              </w:rPr>
              <w:t>汊港南湖以淤泥基质为主，岸边均有岩石分布，春夏丰水季降雨充沛，湖边水</w:t>
            </w:r>
            <w:r>
              <w:rPr>
                <w:rFonts w:hint="default" w:ascii="Times New Roman" w:hAnsi="Times New Roman" w:eastAsia="宋体" w:cs="Times New Roman"/>
                <w:color w:val="auto"/>
                <w:spacing w:val="2"/>
                <w:sz w:val="24"/>
                <w:szCs w:val="24"/>
              </w:rPr>
              <w:t>位</w:t>
            </w:r>
            <w:r>
              <w:rPr>
                <w:rFonts w:hint="default" w:ascii="Times New Roman" w:hAnsi="Times New Roman" w:eastAsia="宋体" w:cs="Times New Roman"/>
                <w:color w:val="auto"/>
                <w:spacing w:val="7"/>
                <w:sz w:val="24"/>
                <w:szCs w:val="24"/>
              </w:rPr>
              <w:t>上升时，可能为产粘砾石基质鱼卵鱼类理想的产卵场。现场勘察，并未在三汊</w:t>
            </w:r>
            <w:r>
              <w:rPr>
                <w:rFonts w:hint="default" w:ascii="Times New Roman" w:hAnsi="Times New Roman" w:eastAsia="宋体" w:cs="Times New Roman"/>
                <w:color w:val="auto"/>
                <w:spacing w:val="2"/>
                <w:sz w:val="24"/>
                <w:szCs w:val="24"/>
              </w:rPr>
              <w:t>港</w:t>
            </w:r>
            <w:r>
              <w:rPr>
                <w:rFonts w:hint="default" w:ascii="Times New Roman" w:hAnsi="Times New Roman" w:eastAsia="宋体" w:cs="Times New Roman"/>
                <w:color w:val="auto"/>
                <w:spacing w:val="10"/>
                <w:sz w:val="24"/>
                <w:szCs w:val="24"/>
              </w:rPr>
              <w:t>南</w:t>
            </w:r>
            <w:r>
              <w:rPr>
                <w:rFonts w:hint="default" w:ascii="Times New Roman" w:hAnsi="Times New Roman" w:eastAsia="宋体" w:cs="Times New Roman"/>
                <w:color w:val="auto"/>
                <w:spacing w:val="8"/>
                <w:sz w:val="24"/>
                <w:szCs w:val="24"/>
              </w:rPr>
              <w:t>湖发现呈规模的产卵场。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9"/>
                <w:sz w:val="24"/>
                <w:szCs w:val="24"/>
              </w:rPr>
              <w:t>2</w:t>
            </w:r>
            <w:r>
              <w:rPr>
                <w:rFonts w:hint="default" w:ascii="Times New Roman" w:hAnsi="Times New Roman" w:eastAsia="宋体" w:cs="Times New Roman"/>
                <w:color w:val="auto"/>
                <w:spacing w:val="6"/>
                <w:sz w:val="24"/>
                <w:szCs w:val="24"/>
              </w:rPr>
              <w:t>) 索饵场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2"/>
                <w:sz w:val="24"/>
                <w:szCs w:val="24"/>
              </w:rPr>
              <w:t>通常鱼类</w:t>
            </w:r>
            <w:r>
              <w:rPr>
                <w:rFonts w:hint="default" w:ascii="Times New Roman" w:hAnsi="Times New Roman" w:eastAsia="宋体" w:cs="Times New Roman"/>
                <w:color w:val="auto"/>
                <w:spacing w:val="6"/>
                <w:sz w:val="24"/>
                <w:szCs w:val="24"/>
              </w:rPr>
              <w:t>的索饵场在产卵场附近，这些区域水流复杂，水草丰茂，有利于幼</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鱼索饵。鱼类的索饵或育幼场，常取决于食性。如翘嘴鲌、鲇等种类主要以其</w:t>
            </w:r>
            <w:r>
              <w:rPr>
                <w:rFonts w:hint="default" w:ascii="Times New Roman" w:hAnsi="Times New Roman" w:eastAsia="宋体" w:cs="Times New Roman"/>
                <w:color w:val="auto"/>
                <w:spacing w:val="5"/>
                <w:sz w:val="24"/>
                <w:szCs w:val="24"/>
              </w:rPr>
              <w:t>他</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6"/>
                <w:sz w:val="24"/>
                <w:szCs w:val="24"/>
              </w:rPr>
              <w:t>鱼类</w:t>
            </w:r>
            <w:r>
              <w:rPr>
                <w:rFonts w:hint="default" w:ascii="Times New Roman" w:hAnsi="Times New Roman" w:eastAsia="宋体" w:cs="Times New Roman"/>
                <w:color w:val="auto"/>
                <w:spacing w:val="13"/>
                <w:sz w:val="24"/>
                <w:szCs w:val="24"/>
              </w:rPr>
              <w:t>为</w:t>
            </w:r>
            <w:r>
              <w:rPr>
                <w:rFonts w:hint="default" w:ascii="Times New Roman" w:hAnsi="Times New Roman" w:eastAsia="宋体" w:cs="Times New Roman"/>
                <w:color w:val="auto"/>
                <w:spacing w:val="8"/>
                <w:sz w:val="24"/>
                <w:szCs w:val="24"/>
              </w:rPr>
              <w:t>食，其索饵场分布与自身食性、摄食对象鱼类鱼群的分布情况有关。鲤、</w:t>
            </w:r>
            <w:r>
              <w:rPr>
                <w:rFonts w:hint="default" w:ascii="Times New Roman" w:hAnsi="Times New Roman" w:eastAsia="宋体" w:cs="Times New Roman"/>
                <w:color w:val="auto"/>
                <w:spacing w:val="18"/>
                <w:sz w:val="24"/>
                <w:szCs w:val="24"/>
              </w:rPr>
              <w:t>鲫、</w:t>
            </w:r>
            <w:r>
              <w:rPr>
                <w:rFonts w:hint="default" w:ascii="Times New Roman" w:hAnsi="Times New Roman" w:eastAsia="宋体" w:cs="Times New Roman"/>
                <w:color w:val="auto"/>
                <w:spacing w:val="9"/>
                <w:sz w:val="24"/>
                <w:szCs w:val="24"/>
              </w:rPr>
              <w:t>泥鳅和䱗等杂食性鱼类索饵场通常水质较好，水深一般在 0~0.5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pacing w:val="9"/>
                <w:sz w:val="24"/>
                <w:szCs w:val="24"/>
              </w:rPr>
              <w:t>，浮游动</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植物等饵料生物丰富，初级生产力高，水生植被丰富且敌害较少，有利于幼鱼</w:t>
            </w:r>
            <w:r>
              <w:rPr>
                <w:rFonts w:hint="default" w:ascii="Times New Roman" w:hAnsi="Times New Roman" w:eastAsia="宋体" w:cs="Times New Roman"/>
                <w:color w:val="auto"/>
                <w:spacing w:val="5"/>
                <w:sz w:val="24"/>
                <w:szCs w:val="24"/>
              </w:rPr>
              <w:t>的</w:t>
            </w:r>
            <w:r>
              <w:rPr>
                <w:rFonts w:hint="default" w:ascii="Times New Roman" w:hAnsi="Times New Roman" w:eastAsia="宋体" w:cs="Times New Roman"/>
                <w:color w:val="auto"/>
                <w:spacing w:val="16"/>
                <w:sz w:val="24"/>
                <w:szCs w:val="24"/>
              </w:rPr>
              <w:t>存</w:t>
            </w:r>
            <w:r>
              <w:rPr>
                <w:rFonts w:hint="default" w:ascii="Times New Roman" w:hAnsi="Times New Roman" w:eastAsia="宋体" w:cs="Times New Roman"/>
                <w:color w:val="auto"/>
                <w:spacing w:val="9"/>
                <w:sz w:val="24"/>
                <w:szCs w:val="24"/>
              </w:rPr>
              <w:t>活。现场勘察，并未在三汊港南湖发现呈规模的索饵场。</w:t>
            </w:r>
          </w:p>
          <w:p>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3) 越冬</w:t>
            </w:r>
            <w:r>
              <w:rPr>
                <w:rFonts w:hint="default" w:ascii="Times New Roman" w:hAnsi="Times New Roman" w:eastAsia="宋体" w:cs="Times New Roman"/>
                <w:color w:val="auto"/>
                <w:spacing w:val="5"/>
                <w:sz w:val="24"/>
                <w:szCs w:val="24"/>
              </w:rPr>
              <w:t>场</w:t>
            </w:r>
          </w:p>
          <w:p>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rFonts w:hint="eastAsia" w:ascii="Times New Roman" w:hAnsi="Times New Roman" w:cs="Times New Roman"/>
                <w:color w:val="auto"/>
                <w:spacing w:val="9"/>
                <w:sz w:val="24"/>
                <w:szCs w:val="24"/>
                <w:lang w:eastAsia="zh-CN"/>
              </w:rPr>
            </w:pPr>
            <w:r>
              <w:rPr>
                <w:rFonts w:hint="default" w:ascii="Times New Roman" w:hAnsi="Times New Roman" w:eastAsia="宋体" w:cs="Times New Roman"/>
                <w:color w:val="auto"/>
                <w:spacing w:val="12"/>
                <w:sz w:val="24"/>
                <w:szCs w:val="24"/>
              </w:rPr>
              <w:t>冬季来</w:t>
            </w:r>
            <w:r>
              <w:rPr>
                <w:rFonts w:hint="default" w:ascii="Times New Roman" w:hAnsi="Times New Roman" w:eastAsia="宋体" w:cs="Times New Roman"/>
                <w:color w:val="auto"/>
                <w:spacing w:val="6"/>
                <w:sz w:val="24"/>
                <w:szCs w:val="24"/>
              </w:rPr>
              <w:t>临之前，鱼类经过夏、秋季的索饵，大都长得身体肥壮，体内贮积大</w:t>
            </w:r>
            <w:r>
              <w:rPr>
                <w:rFonts w:hint="default" w:ascii="Times New Roman" w:hAnsi="Times New Roman" w:eastAsia="宋体" w:cs="Times New Roman"/>
                <w:color w:val="auto"/>
                <w:spacing w:val="7"/>
                <w:sz w:val="24"/>
                <w:szCs w:val="24"/>
              </w:rPr>
              <w:t>量脂肪，每年入秋以后天气转冷，水温随之下降，而河水流量逐渐减少，水位</w:t>
            </w:r>
            <w:r>
              <w:rPr>
                <w:rFonts w:hint="default" w:ascii="Times New Roman" w:hAnsi="Times New Roman" w:eastAsia="宋体" w:cs="Times New Roman"/>
                <w:color w:val="auto"/>
                <w:spacing w:val="5"/>
                <w:sz w:val="24"/>
                <w:szCs w:val="24"/>
              </w:rPr>
              <w:t>降</w:t>
            </w:r>
            <w:r>
              <w:rPr>
                <w:rFonts w:hint="default" w:ascii="Times New Roman" w:hAnsi="Times New Roman" w:eastAsia="宋体" w:cs="Times New Roman"/>
                <w:color w:val="auto"/>
                <w:spacing w:val="7"/>
                <w:sz w:val="24"/>
                <w:szCs w:val="24"/>
              </w:rPr>
              <w:t>低透明度增大，饵料减少，此时，在各不同深度、不同环境中觅食的主要经济</w:t>
            </w:r>
            <w:r>
              <w:rPr>
                <w:rFonts w:hint="default" w:ascii="Times New Roman" w:hAnsi="Times New Roman" w:eastAsia="宋体" w:cs="Times New Roman"/>
                <w:color w:val="auto"/>
                <w:spacing w:val="5"/>
                <w:sz w:val="24"/>
                <w:szCs w:val="24"/>
              </w:rPr>
              <w:t>鱼</w:t>
            </w:r>
            <w:r>
              <w:rPr>
                <w:rFonts w:hint="default" w:ascii="Times New Roman" w:hAnsi="Times New Roman" w:eastAsia="宋体" w:cs="Times New Roman"/>
                <w:color w:val="auto"/>
                <w:spacing w:val="7"/>
                <w:sz w:val="24"/>
                <w:szCs w:val="24"/>
              </w:rPr>
              <w:t>类，逐渐受气候等各种外部因素变化的影响进入深水处活动。鱼类从浅水区进</w:t>
            </w:r>
            <w:r>
              <w:rPr>
                <w:rFonts w:hint="default" w:ascii="Times New Roman" w:hAnsi="Times New Roman" w:eastAsia="宋体" w:cs="Times New Roman"/>
                <w:color w:val="auto"/>
                <w:spacing w:val="5"/>
                <w:sz w:val="24"/>
                <w:szCs w:val="24"/>
              </w:rPr>
              <w:t>入</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7"/>
                <w:sz w:val="24"/>
                <w:szCs w:val="24"/>
              </w:rPr>
              <w:t>饵料资源较为丰富、温度较为稳定的深水潭中越冬，或在砾石之间水较深区域</w:t>
            </w:r>
            <w:r>
              <w:rPr>
                <w:rFonts w:hint="default" w:ascii="Times New Roman" w:hAnsi="Times New Roman" w:eastAsia="宋体" w:cs="Times New Roman"/>
                <w:color w:val="auto"/>
                <w:spacing w:val="5"/>
                <w:sz w:val="24"/>
                <w:szCs w:val="24"/>
              </w:rPr>
              <w:t>就</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pacing w:val="14"/>
                <w:sz w:val="24"/>
                <w:szCs w:val="24"/>
              </w:rPr>
              <w:t>近</w:t>
            </w:r>
            <w:r>
              <w:rPr>
                <w:rFonts w:hint="default" w:ascii="Times New Roman" w:hAnsi="Times New Roman" w:eastAsia="宋体" w:cs="Times New Roman"/>
                <w:color w:val="auto"/>
                <w:spacing w:val="9"/>
                <w:sz w:val="24"/>
                <w:szCs w:val="24"/>
              </w:rPr>
              <w:t>越冬。三汊港南湖内的鱼类主要在湖区深水区越冬</w:t>
            </w:r>
            <w:r>
              <w:rPr>
                <w:rFonts w:hint="eastAsia" w:ascii="Times New Roman" w:hAnsi="Times New Roman" w:cs="Times New Roman"/>
                <w:color w:val="auto"/>
                <w:spacing w:val="9"/>
                <w:sz w:val="24"/>
                <w:szCs w:val="24"/>
                <w:lang w:eastAsia="zh-CN"/>
              </w:rPr>
              <w:t>。</w:t>
            </w:r>
          </w:p>
          <w:p>
            <w:pPr>
              <w:pStyle w:val="8"/>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
                <w:bCs/>
                <w:caps w:val="0"/>
                <w:smallCaps w:val="0"/>
                <w:snapToGrid w:val="0"/>
                <w:color w:val="auto"/>
                <w:spacing w:val="0"/>
                <w:w w:val="100"/>
                <w:position w:val="0"/>
                <w:sz w:val="24"/>
                <w:szCs w:val="24"/>
                <w:highlight w:val="none"/>
                <w:u w:val="single"/>
              </w:rPr>
            </w:pPr>
            <w:r>
              <w:rPr>
                <w:rFonts w:hint="default" w:ascii="Times New Roman" w:hAnsi="Times New Roman" w:eastAsia="宋体" w:cs="Times New Roman"/>
                <w:color w:val="auto"/>
                <w:spacing w:val="9"/>
                <w:sz w:val="24"/>
                <w:szCs w:val="24"/>
                <w:u w:val="single"/>
                <w:lang w:val="en-US" w:eastAsia="zh-CN"/>
              </w:rPr>
              <w:t>1.4、</w:t>
            </w:r>
            <w:bookmarkStart w:id="37" w:name="_Toc30174"/>
            <w:r>
              <w:rPr>
                <w:rFonts w:hint="default" w:ascii="Times New Roman" w:hAnsi="Times New Roman" w:eastAsia="宋体" w:cs="Times New Roman"/>
                <w:b/>
                <w:bCs/>
                <w:caps w:val="0"/>
                <w:smallCaps w:val="0"/>
                <w:snapToGrid w:val="0"/>
                <w:color w:val="auto"/>
                <w:spacing w:val="0"/>
                <w:w w:val="100"/>
                <w:position w:val="0"/>
                <w:sz w:val="24"/>
                <w:szCs w:val="24"/>
                <w:highlight w:val="none"/>
                <w:u w:val="single"/>
                <w:lang w:val="en-US" w:eastAsia="zh-CN"/>
              </w:rPr>
              <w:t>湖南湘阴横岭湖省级自然保护区</w:t>
            </w:r>
            <w:bookmarkEnd w:id="37"/>
          </w:p>
          <w:p>
            <w:pPr>
              <w:keepNext/>
              <w:keepLines/>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pPr>
            <w:r>
              <w:rPr>
                <w:rFonts w:hint="eastAsia" w:ascii="Times New Roman" w:hAnsi="Times New Roman" w:eastAsia="宋体" w:cs="Times New Roman"/>
                <w:b/>
                <w:bCs/>
                <w:caps w:val="0"/>
                <w:smallCaps w:val="0"/>
                <w:color w:val="auto"/>
                <w:spacing w:val="0"/>
                <w:w w:val="100"/>
                <w:position w:val="0"/>
                <w:sz w:val="24"/>
                <w:szCs w:val="24"/>
                <w:highlight w:val="none"/>
                <w:u w:val="single"/>
                <w:lang w:val="en-US" w:eastAsia="zh-CN"/>
              </w:rPr>
              <w:t>1.4.</w:t>
            </w:r>
            <w:r>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t>1、概况</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2000年6月，经湘阴县人民政府批准，成立了湘阴县横岭湖鸟类和湿地自然保护区，2003年4月经湖南省人民政府（湘政办函【2003】58号）批准湖南横岭湖省级自然保护区成立，2006年湘阴县人民政府（湘编发【2006】14号）批准建立保护区管理分局，为社会公益性副科级事业单位。2012年湖南省环保厅（湘环函【2012】83号）同意了湖南横岭湖省级自然保护区功能区划调整的意见。2019年9月根据《中共湘阴县委办公室、湘阴县人民政府办公室关于印发&lt;湖南省湘阴县横岭湖省级自然保护区管理委员会机构改革方案&gt;的通知》，将保护区内县湖州管理中心、县水利局和县林业局等部门单位实际管辖的湖洲、滩涂，依法依规依程序全面划入管委会管辖范围。</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湖南湘阴横岭湖省级自然保护区（以下简称“横岭湖”或“保护区”）在地理上处于湖南东北部的南洞庭湖与东洞庭湖交汇区，在行政区域上位于岳阳市湘阴县境北部，地理坐标介于东经112°38′~112°57′，北纬28°35′~29° 03′之间，总面积4.3万公顷，其中永久性陆地2.2万公顷，洲滩0.6万公顷，永久性水面1.5万公顷。横岭湖自然保护区是洞庭湖湿地的重要组成部分，由大小二十四个常年性湖泊和三大片季节性洲土珠连玉缀而成。由于湘、资、沅、澧四水所夹带的泥沙长期淤积而渐与洞庭湖形成季节性分裂，丰水期与洞庭湖碧波相连。同时，横岭湖为西洞庭湖、南洞庭湖通往东洞庭湖的咽喉要道，是洞庭湖重要的行、蓄洪通道，它的生态环境状况直接影响到洞庭湖的蓄洪和行洪能力。</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保护区是以保护洞庭湖区典型的自然湿地生态系统、珍稀动植物物种及其栖息地为主，保护自然景观和人文景观为辅，保护与适度开发利用相结合的湿地类型自然保护区。保护区的保护对象为区域内包括野生动植物在内的所有生物物种及由其构成的湿地生态系统、水域景观、地貌景观等。重点保护典型的淡水湿地生态系统；保护大批珍稀濒危动植物物种的天然集中分布区和生物多样性，拯救濒临灭绝的珍稀动植物。</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按照最新批复的《总体规划》，保护区划分为核心区、缓冲区、实验区三大功能区，总面积4.3万hm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。其中核心区1.5万hm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、缓冲区1.2万hm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、实验区1.6万hm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①核心区：横岭湖省级自然保护区的核心区包括横岭湖、严家山和青山之间所包绕的水域及沙洲，核心区总面积1.5万hm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，其边界东起严家山，沿青山向北至杨么头，西至老龙潭与下神湖，向南达慈场湖，向东经南湖边缘到达严家山。核心区含沈家坪、聚贤围和李家台等永久性陆地0.20万hm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及洲滩1.3万hm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。核心区为保存完好的自然状态的湿地生态系统以及珍稀、濒危动植物的集中分布地，主要供珍稀鱼类和珍稀鸟类繁殖、栖息。</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②缓冲区：横岭湖省级自然保护区缓冲区包括沱莲湖、荷叶湖和慈场湖之间所包络的除核心区外的水域及洲滩，总面积1.2万hm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。其边界西起老爷山，向东南经大顺围南端，淳湖下界至慈场湖，向东北经芦林潭至严家山东，向北沿青山至虾湖，向西南经黄土缎至沱莲湖。</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③实验区：实验区为除核心区和缓冲区以外的其余水域、洲滩及单退垸，包括湘江河、芦苇场及浩河、弯河等退田还湖的“单退垸”，实验区总面积1.6万hm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2</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横岭湖是亚热带内陆湿地的典型代表，区内的湖沼洲滩是最为典型的湿地生态系统，湖洲、草甸、沼泽、水域等构成了复杂的生境，孕育着丰富的生物资源。横岭湖省级自然保护区是生物多样性十分丰富的国际重要湿地，是数以万计鸟类的理想越冬地和停歇地。保护对象为湿地生态系统和生物多样性、珍稀濒危水禽及其栖息地、自然生态环境和自然资源，以及自然、人文景观。</w:t>
            </w:r>
          </w:p>
          <w:p>
            <w:pPr>
              <w:keepNext/>
              <w:keepLines/>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pPr>
            <w:r>
              <w:rPr>
                <w:rFonts w:hint="eastAsia" w:ascii="Times New Roman" w:hAnsi="Times New Roman" w:eastAsia="宋体" w:cs="Times New Roman"/>
                <w:b/>
                <w:bCs/>
                <w:caps w:val="0"/>
                <w:smallCaps w:val="0"/>
                <w:color w:val="auto"/>
                <w:spacing w:val="0"/>
                <w:w w:val="100"/>
                <w:position w:val="0"/>
                <w:sz w:val="24"/>
                <w:szCs w:val="24"/>
                <w:highlight w:val="none"/>
                <w:u w:val="single"/>
                <w:lang w:val="en-US" w:eastAsia="zh-CN"/>
              </w:rPr>
              <w:t>1.4.</w:t>
            </w:r>
            <w:r>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t>2、动植物资源</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保护区内野生动植物资源十分丰富，维管束植物106科（196属）397种，有各类野生动物440种。其中鱼类12目21科112种，鸟类16目47科207种，爬行类8科29种；兽类16科28种；两栖类5科12种，虾蟹类5科11种，贝类5科41种。属国家重点保护的野生动植物50种余种。横岭湖是国家一级重点保护物种中华秋沙鸭主要越冬区，也是国家二级重点保护物种江豚主要分布区，同时还是我国野外灭绝种—麋鹿自然野化种群的栖息地之一。</w:t>
            </w:r>
          </w:p>
          <w:p>
            <w:pPr>
              <w:keepNext/>
              <w:keepLines/>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pPr>
            <w:r>
              <w:rPr>
                <w:rFonts w:hint="eastAsia" w:ascii="Times New Roman" w:hAnsi="Times New Roman" w:eastAsia="宋体" w:cs="Times New Roman"/>
                <w:b/>
                <w:bCs/>
                <w:caps w:val="0"/>
                <w:smallCaps w:val="0"/>
                <w:color w:val="auto"/>
                <w:spacing w:val="0"/>
                <w:w w:val="100"/>
                <w:position w:val="0"/>
                <w:sz w:val="24"/>
                <w:szCs w:val="24"/>
                <w:highlight w:val="none"/>
                <w:u w:val="single"/>
                <w:lang w:val="en-US" w:eastAsia="zh-CN"/>
              </w:rPr>
              <w:t>1.4.</w:t>
            </w:r>
            <w:r>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t>3、水文条件</w:t>
            </w:r>
          </w:p>
          <w:p>
            <w:pPr>
              <w:keepNext w:val="0"/>
              <w:keepLines w:val="0"/>
              <w:pageBreakBefore w:val="0"/>
              <w:widowControl w:val="0"/>
              <w:tabs>
                <w:tab w:val="left" w:pos="3190"/>
              </w:tabs>
              <w:kinsoku/>
              <w:wordWrap/>
              <w:overflowPunct/>
              <w:topLinePunct w:val="0"/>
              <w:autoSpaceDE/>
              <w:autoSpaceDN/>
              <w:bidi w:val="0"/>
              <w:adjustRightInd/>
              <w:snapToGrid w:val="0"/>
              <w:spacing w:line="360" w:lineRule="auto"/>
              <w:ind w:leftChars="0" w:firstLine="480" w:firstLineChars="200"/>
              <w:jc w:val="both"/>
              <w:textAlignment w:val="auto"/>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横岭湖位于湘江与资江的交汇处，汇集了湘江、资江、沅水的全部来水及长江三口和澧水的大部分来水，为西洞庭湖、南洞庭湖通向东洞庭湖的咽喉要道：是洞庭湖重要的行、蓄洪通道，湘江在湘阴县境内与横岭湖相通，历年最大流量20300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3</w:t>
            </w:r>
            <w:r>
              <w:rPr>
                <w:rFonts w:hint="default" w:ascii="Times New Roman" w:hAnsi="Times New Roman" w:eastAsia="宋体" w:cs="Times New Roman"/>
                <w:caps w:val="0"/>
                <w:smallCaps w:val="0"/>
                <w:color w:val="auto"/>
                <w:spacing w:val="0"/>
                <w:w w:val="100"/>
                <w:position w:val="0"/>
                <w:sz w:val="24"/>
                <w:szCs w:val="24"/>
                <w:highlight w:val="none"/>
                <w:u w:val="single"/>
                <w:vertAlign w:val="baseline"/>
                <w:lang w:val="en-US" w:eastAsia="zh-CN"/>
              </w:rPr>
              <w:t>/</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s（1968年），最小流量285m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3</w:t>
            </w:r>
            <w:r>
              <w:rPr>
                <w:rFonts w:hint="default" w:ascii="Times New Roman" w:hAnsi="Times New Roman" w:eastAsia="宋体" w:cs="Times New Roman"/>
                <w:caps w:val="0"/>
                <w:smallCaps w:val="0"/>
                <w:color w:val="auto"/>
                <w:spacing w:val="0"/>
                <w:w w:val="100"/>
                <w:position w:val="0"/>
                <w:sz w:val="24"/>
                <w:szCs w:val="24"/>
                <w:highlight w:val="none"/>
                <w:u w:val="single"/>
                <w:vertAlign w:val="baseline"/>
                <w:lang w:val="en-US" w:eastAsia="zh-CN"/>
              </w:rPr>
              <w:t>/</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s，年平均流量2170m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3</w:t>
            </w:r>
            <w:r>
              <w:rPr>
                <w:rFonts w:hint="default" w:ascii="Times New Roman" w:hAnsi="Times New Roman" w:eastAsia="宋体" w:cs="Times New Roman"/>
                <w:caps w:val="0"/>
                <w:smallCaps w:val="0"/>
                <w:color w:val="auto"/>
                <w:spacing w:val="0"/>
                <w:w w:val="100"/>
                <w:position w:val="0"/>
                <w:sz w:val="24"/>
                <w:szCs w:val="24"/>
                <w:highlight w:val="none"/>
                <w:u w:val="single"/>
                <w:vertAlign w:val="baseline"/>
                <w:lang w:val="en-US" w:eastAsia="zh-CN"/>
              </w:rPr>
              <w:t>/</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s，年径流总量634亿m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3</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。资江在湘阴县境内注入横岭湖，最大洪峰流量1980m</w:t>
            </w:r>
            <w:r>
              <w:rPr>
                <w:rFonts w:hint="default" w:ascii="Times New Roman" w:hAnsi="Times New Roman" w:eastAsia="宋体" w:cs="Times New Roman"/>
                <w:caps w:val="0"/>
                <w:smallCaps w:val="0"/>
                <w:color w:val="auto"/>
                <w:spacing w:val="0"/>
                <w:w w:val="100"/>
                <w:position w:val="0"/>
                <w:sz w:val="24"/>
                <w:szCs w:val="24"/>
                <w:highlight w:val="none"/>
                <w:u w:val="single"/>
                <w:vertAlign w:val="superscript"/>
                <w:lang w:val="en-US" w:eastAsia="zh-CN"/>
              </w:rPr>
              <w:t>3</w:t>
            </w:r>
            <w:r>
              <w:rPr>
                <w:rFonts w:hint="default" w:ascii="Times New Roman" w:hAnsi="Times New Roman" w:eastAsia="宋体" w:cs="Times New Roman"/>
                <w:caps w:val="0"/>
                <w:smallCaps w:val="0"/>
                <w:color w:val="auto"/>
                <w:spacing w:val="0"/>
                <w:w w:val="100"/>
                <w:position w:val="0"/>
                <w:sz w:val="24"/>
                <w:szCs w:val="24"/>
                <w:highlight w:val="none"/>
                <w:u w:val="single"/>
                <w:vertAlign w:val="baseline"/>
                <w:lang w:val="en-US" w:eastAsia="zh-CN"/>
              </w:rPr>
              <w:t>/</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s（1955年）。</w:t>
            </w:r>
          </w:p>
          <w:p>
            <w:pPr>
              <w:keepNext/>
              <w:keepLines/>
              <w:pageBreakBefore w:val="0"/>
              <w:widowControl w:val="0"/>
              <w:kinsoku/>
              <w:wordWrap/>
              <w:overflowPunct/>
              <w:topLinePunct w:val="0"/>
              <w:autoSpaceDE/>
              <w:autoSpaceDN/>
              <w:bidi w:val="0"/>
              <w:adjustRightInd/>
              <w:snapToGrid w:val="0"/>
              <w:spacing w:line="360" w:lineRule="auto"/>
              <w:ind w:leftChars="0"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横岭湖湖洲地面海拔高度为26～47.5m，常年水位为26～28m，历史最高洪峰水位（1996年）36.4m，冬枯极限水位24～26m。湖泊最深处在洪水季节4.0～12m，在枯水季节1.0～2m，冬季一般为0.5～1.0m。</w:t>
            </w:r>
          </w:p>
          <w:p>
            <w:pPr>
              <w:keepNext/>
              <w:keepLines/>
              <w:pageBreakBefore w:val="0"/>
              <w:widowControl w:val="0"/>
              <w:kinsoku/>
              <w:wordWrap/>
              <w:overflowPunct/>
              <w:topLinePunct w:val="0"/>
              <w:autoSpaceDE/>
              <w:autoSpaceDN/>
              <w:bidi w:val="0"/>
              <w:adjustRightInd/>
              <w:snapToGrid w:val="0"/>
              <w:spacing w:line="360" w:lineRule="auto"/>
              <w:textAlignment w:val="auto"/>
              <w:outlineLvl w:val="9"/>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pPr>
            <w:r>
              <w:rPr>
                <w:rFonts w:hint="eastAsia" w:ascii="Times New Roman" w:hAnsi="Times New Roman" w:eastAsia="宋体" w:cs="Times New Roman"/>
                <w:b/>
                <w:bCs/>
                <w:caps w:val="0"/>
                <w:smallCaps w:val="0"/>
                <w:color w:val="auto"/>
                <w:spacing w:val="0"/>
                <w:w w:val="100"/>
                <w:position w:val="0"/>
                <w:sz w:val="24"/>
                <w:szCs w:val="24"/>
                <w:highlight w:val="none"/>
                <w:u w:val="single"/>
                <w:lang w:val="en-US" w:eastAsia="zh-CN"/>
              </w:rPr>
              <w:t>1.4.</w:t>
            </w:r>
            <w:r>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t>4、气候条件</w:t>
            </w:r>
          </w:p>
          <w:p>
            <w:pPr>
              <w:keepNext/>
              <w:keepLines/>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横岭湖省级自然保护区属亚热带湿润型气候，其特点是阳光充足，雨量充沛，日照和无霜期均较长。冬春多寒潮风，夏秋易成洪涝。区内年平均降雨1382.8mm，多集中在夏秋季，占全年降雨量的70%。年降雨日数为140～150天，平均相对湿度81%，属夏季半湿润地区。年平均气温17℃，一月份平均温度4.0～4.5℃，七月份平均湿度29～29.5℃，该区极端最高温40.1℃，极端最低温-14.7℃。全年日照时数1759.8h，10℃以上积温5378.8℃，无霜期272天，平均风速2.6～3.4m/ s，以南北风或偏南北风频率最高，全年大风日数在10天以上，最大风速24m/s。</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pPr>
            <w:r>
              <w:rPr>
                <w:rFonts w:hint="eastAsia" w:ascii="Times New Roman" w:hAnsi="Times New Roman" w:eastAsia="宋体" w:cs="Times New Roman"/>
                <w:b/>
                <w:bCs/>
                <w:caps w:val="0"/>
                <w:smallCaps w:val="0"/>
                <w:color w:val="auto"/>
                <w:spacing w:val="0"/>
                <w:w w:val="100"/>
                <w:position w:val="0"/>
                <w:sz w:val="24"/>
                <w:szCs w:val="24"/>
                <w:highlight w:val="none"/>
                <w:u w:val="single"/>
                <w:lang w:val="en-US" w:eastAsia="zh-CN"/>
              </w:rPr>
              <w:t>1.4.5</w:t>
            </w:r>
            <w:r>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t>、</w:t>
            </w:r>
            <w:r>
              <w:rPr>
                <w:rFonts w:hint="eastAsia" w:ascii="Times New Roman" w:hAnsi="Times New Roman" w:eastAsia="宋体" w:cs="Times New Roman"/>
                <w:b/>
                <w:bCs/>
                <w:caps w:val="0"/>
                <w:smallCaps w:val="0"/>
                <w:color w:val="auto"/>
                <w:spacing w:val="0"/>
                <w:w w:val="100"/>
                <w:position w:val="0"/>
                <w:sz w:val="24"/>
                <w:szCs w:val="24"/>
                <w:highlight w:val="none"/>
                <w:u w:val="single"/>
                <w:lang w:val="en-US" w:eastAsia="zh-CN"/>
              </w:rPr>
              <w:t>本项目</w:t>
            </w:r>
            <w:r>
              <w:rPr>
                <w:rFonts w:hint="default" w:ascii="Times New Roman" w:hAnsi="Times New Roman" w:eastAsia="宋体" w:cs="Times New Roman"/>
                <w:b/>
                <w:bCs/>
                <w:caps w:val="0"/>
                <w:smallCaps w:val="0"/>
                <w:color w:val="auto"/>
                <w:spacing w:val="0"/>
                <w:w w:val="100"/>
                <w:position w:val="0"/>
                <w:sz w:val="24"/>
                <w:szCs w:val="24"/>
                <w:highlight w:val="none"/>
                <w:u w:val="single"/>
                <w:lang w:val="en-US" w:eastAsia="zh-CN"/>
              </w:rPr>
              <w:t>与自然保护区的位置关系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Times New Roman" w:hAnsi="Times New Roman" w:eastAsia="宋体" w:cs="Times New Roman"/>
                <w:caps w:val="0"/>
                <w:smallCaps w:val="0"/>
                <w:color w:val="auto"/>
                <w:spacing w:val="0"/>
                <w:w w:val="100"/>
                <w:position w:val="0"/>
                <w:sz w:val="24"/>
                <w:szCs w:val="24"/>
                <w:highlight w:val="none"/>
                <w:u w:val="single"/>
                <w:lang w:eastAsia="zh-CN"/>
              </w:rPr>
            </w:pPr>
            <w:r>
              <w:rPr>
                <w:rFonts w:hint="default" w:ascii="Times New Roman" w:hAnsi="Times New Roman" w:eastAsia="宋体" w:cs="Times New Roman"/>
                <w:caps w:val="0"/>
                <w:smallCaps w:val="0"/>
                <w:color w:val="auto"/>
                <w:spacing w:val="0"/>
                <w:w w:val="100"/>
                <w:position w:val="0"/>
                <w:sz w:val="24"/>
                <w:szCs w:val="24"/>
                <w:highlight w:val="none"/>
                <w:u w:val="single"/>
                <w:lang w:eastAsia="zh-CN"/>
              </w:rPr>
              <w:t>本</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项目施工</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范围不涉及湖南横岭湖省级自然保护区，白泥湖</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施工区</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与湖南湘阴横岭湖省级自然保护区最近距离为1800m，</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范家坝</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湖</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施工区</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与湖南湘阴横岭湖省级自然保护区最近距离为</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80</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0m，三汊港南湖</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施工</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区与湖南湘阴横岭湖省级自然保护区最近距离为</w:t>
            </w:r>
            <w:r>
              <w:rPr>
                <w:rFonts w:hint="eastAsia" w:ascii="Times New Roman" w:hAnsi="Times New Roman" w:eastAsia="宋体" w:cs="Times New Roman"/>
                <w:caps w:val="0"/>
                <w:smallCaps w:val="0"/>
                <w:color w:val="auto"/>
                <w:spacing w:val="0"/>
                <w:w w:val="100"/>
                <w:position w:val="0"/>
                <w:sz w:val="24"/>
                <w:szCs w:val="24"/>
                <w:highlight w:val="none"/>
                <w:u w:val="single"/>
                <w:lang w:val="en-US" w:eastAsia="zh-CN"/>
              </w:rPr>
              <w:t>65</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0m。</w:t>
            </w:r>
          </w:p>
          <w:p>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default" w:ascii="Times New Roman" w:hAnsi="Times New Roman" w:eastAsia="宋体" w:cs="Times New Roman"/>
                <w:color w:val="auto"/>
                <w:spacing w:val="9"/>
                <w:sz w:val="24"/>
                <w:szCs w:val="24"/>
                <w:u w:val="single"/>
                <w:lang w:eastAsia="zh-CN"/>
              </w:rPr>
            </w:pPr>
            <w:r>
              <w:rPr>
                <w:rFonts w:hint="eastAsia" w:ascii="Times New Roman" w:hAnsi="Times New Roman" w:eastAsia="宋体" w:cs="Times New Roman"/>
                <w:color w:val="auto"/>
                <w:spacing w:val="9"/>
                <w:sz w:val="24"/>
                <w:szCs w:val="24"/>
                <w:u w:val="single"/>
                <w:lang w:val="en-US" w:eastAsia="zh-CN"/>
              </w:rPr>
              <w:t>本项目3个内湖中</w:t>
            </w:r>
            <w:r>
              <w:rPr>
                <w:rFonts w:hint="default" w:ascii="Times New Roman" w:hAnsi="Times New Roman" w:eastAsia="宋体" w:cs="Times New Roman"/>
                <w:color w:val="auto"/>
                <w:spacing w:val="9"/>
                <w:sz w:val="24"/>
                <w:szCs w:val="24"/>
                <w:u w:val="single"/>
                <w:lang w:eastAsia="zh-CN"/>
              </w:rPr>
              <w:t>与</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湖南横岭湖</w:t>
            </w:r>
            <w:r>
              <w:rPr>
                <w:rFonts w:hint="default" w:ascii="Times New Roman" w:hAnsi="Times New Roman" w:eastAsia="宋体" w:cs="Times New Roman"/>
                <w:color w:val="auto"/>
                <w:spacing w:val="9"/>
                <w:sz w:val="24"/>
                <w:szCs w:val="24"/>
                <w:u w:val="single"/>
                <w:lang w:eastAsia="zh-CN"/>
              </w:rPr>
              <w:t>自然保护区较近的为三汊港湖，离</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湖南横岭湖</w:t>
            </w:r>
            <w:r>
              <w:rPr>
                <w:rFonts w:hint="default" w:ascii="Times New Roman" w:hAnsi="Times New Roman" w:eastAsia="宋体" w:cs="Times New Roman"/>
                <w:color w:val="auto"/>
                <w:spacing w:val="9"/>
                <w:sz w:val="24"/>
                <w:szCs w:val="24"/>
                <w:u w:val="single"/>
                <w:lang w:eastAsia="zh-CN"/>
              </w:rPr>
              <w:t>自然保护区实验区直线距离为650m，距离较近，</w:t>
            </w:r>
            <w:r>
              <w:rPr>
                <w:rFonts w:hint="eastAsia" w:ascii="Times New Roman" w:hAnsi="Times New Roman" w:eastAsia="宋体" w:cs="Times New Roman"/>
                <w:color w:val="auto"/>
                <w:spacing w:val="9"/>
                <w:sz w:val="24"/>
                <w:szCs w:val="24"/>
                <w:u w:val="single"/>
                <w:lang w:val="en-US" w:eastAsia="zh-CN"/>
              </w:rPr>
              <w:t>三汊港湖</w:t>
            </w:r>
            <w:r>
              <w:rPr>
                <w:rFonts w:hint="default" w:ascii="Times New Roman" w:hAnsi="Times New Roman" w:eastAsia="宋体" w:cs="Times New Roman"/>
                <w:color w:val="auto"/>
                <w:spacing w:val="9"/>
                <w:sz w:val="24"/>
                <w:szCs w:val="24"/>
                <w:u w:val="single"/>
                <w:lang w:eastAsia="zh-CN"/>
              </w:rPr>
              <w:t>为内河，与</w:t>
            </w:r>
            <w:r>
              <w:rPr>
                <w:rFonts w:hint="default" w:ascii="Times New Roman" w:hAnsi="Times New Roman" w:eastAsia="宋体" w:cs="Times New Roman"/>
                <w:caps w:val="0"/>
                <w:smallCaps w:val="0"/>
                <w:color w:val="auto"/>
                <w:spacing w:val="0"/>
                <w:w w:val="100"/>
                <w:position w:val="0"/>
                <w:sz w:val="24"/>
                <w:szCs w:val="24"/>
                <w:highlight w:val="none"/>
                <w:u w:val="single"/>
                <w:lang w:val="en-US" w:eastAsia="zh-CN"/>
              </w:rPr>
              <w:t>横岭湖</w:t>
            </w:r>
            <w:r>
              <w:rPr>
                <w:rFonts w:hint="default" w:ascii="Times New Roman" w:hAnsi="Times New Roman" w:eastAsia="宋体" w:cs="Times New Roman"/>
                <w:color w:val="auto"/>
                <w:spacing w:val="9"/>
                <w:sz w:val="24"/>
                <w:szCs w:val="24"/>
                <w:u w:val="single"/>
                <w:lang w:eastAsia="zh-CN"/>
              </w:rPr>
              <w:t>有堤坝闸阀阻隔，</w:t>
            </w:r>
            <w:r>
              <w:rPr>
                <w:rFonts w:hint="eastAsia" w:ascii="Times New Roman" w:hAnsi="Times New Roman" w:eastAsia="宋体" w:cs="Times New Roman"/>
                <w:color w:val="auto"/>
                <w:spacing w:val="9"/>
                <w:sz w:val="24"/>
                <w:szCs w:val="24"/>
                <w:u w:val="single"/>
                <w:lang w:val="en-US" w:eastAsia="zh-CN"/>
              </w:rPr>
              <w:t>施工</w:t>
            </w:r>
            <w:r>
              <w:rPr>
                <w:rFonts w:hint="default" w:ascii="Times New Roman" w:hAnsi="Times New Roman" w:eastAsia="宋体" w:cs="Times New Roman"/>
                <w:color w:val="auto"/>
                <w:spacing w:val="9"/>
                <w:sz w:val="24"/>
                <w:szCs w:val="24"/>
                <w:u w:val="single"/>
                <w:lang w:eastAsia="zh-CN"/>
              </w:rPr>
              <w:t>时不会发生直接的水力联系，同时排渍废水不排入自然保护区的水体，因此，</w:t>
            </w:r>
            <w:r>
              <w:rPr>
                <w:rFonts w:hint="eastAsia" w:ascii="Times New Roman" w:hAnsi="Times New Roman" w:eastAsia="宋体" w:cs="Times New Roman"/>
                <w:color w:val="auto"/>
                <w:spacing w:val="9"/>
                <w:sz w:val="24"/>
                <w:szCs w:val="24"/>
                <w:u w:val="single"/>
                <w:lang w:val="en-US" w:eastAsia="zh-CN"/>
              </w:rPr>
              <w:t>本项目施工</w:t>
            </w:r>
            <w:r>
              <w:rPr>
                <w:rFonts w:hint="default" w:ascii="Times New Roman" w:hAnsi="Times New Roman" w:eastAsia="宋体" w:cs="Times New Roman"/>
                <w:color w:val="auto"/>
                <w:spacing w:val="9"/>
                <w:sz w:val="24"/>
                <w:szCs w:val="24"/>
                <w:u w:val="single"/>
                <w:lang w:eastAsia="zh-CN"/>
              </w:rPr>
              <w:t>对横岭湖自然保护区水体水质影响不大。</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rPr>
              <w:t>、大气环境</w:t>
            </w:r>
            <w:r>
              <w:rPr>
                <w:rFonts w:hint="eastAsia" w:ascii="Times New Roman" w:hAnsi="Times New Roman" w:cs="Times New Roman"/>
                <w:b/>
                <w:bCs/>
                <w:color w:val="auto"/>
                <w:sz w:val="24"/>
                <w:szCs w:val="24"/>
                <w:highlight w:val="none"/>
                <w:lang w:val="en-US" w:eastAsia="zh-CN"/>
              </w:rPr>
              <w:t>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根据《环境影响评价技术导则—大气环境》（HJ2.2-2018），项目所在区域达标情况判定优先采用国家或地方生态环境主管部门公开发布的环境质量公告或环境质量报告中的数据或结论。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本</w:t>
            </w:r>
            <w:r>
              <w:rPr>
                <w:rFonts w:hint="default" w:ascii="Times New Roman" w:hAnsi="Times New Roman" w:cs="Times New Roman"/>
                <w:color w:val="auto"/>
                <w:sz w:val="24"/>
                <w:szCs w:val="24"/>
                <w:u w:val="none" w:color="auto"/>
              </w:rPr>
              <w:t>项目所在区域达标判定数据来源于岳阳市生态环境局湘阴分局发布的《202</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年</w:t>
            </w:r>
            <w:r>
              <w:rPr>
                <w:rFonts w:hint="default" w:ascii="Times New Roman" w:hAnsi="Times New Roman" w:cs="Times New Roman"/>
                <w:color w:val="auto"/>
                <w:sz w:val="24"/>
                <w:szCs w:val="24"/>
                <w:u w:val="none" w:color="auto"/>
                <w:lang w:val="en-US" w:eastAsia="zh-CN"/>
              </w:rPr>
              <w:t>1月--</w:t>
            </w:r>
            <w:r>
              <w:rPr>
                <w:rFonts w:hint="default" w:ascii="Times New Roman" w:hAnsi="Times New Roman" w:cs="Times New Roman"/>
                <w:color w:val="auto"/>
                <w:sz w:val="24"/>
                <w:szCs w:val="24"/>
                <w:u w:val="none" w:color="auto"/>
              </w:rPr>
              <w:t>12月空气</w:t>
            </w:r>
            <w:r>
              <w:rPr>
                <w:rFonts w:hint="default" w:ascii="Times New Roman" w:hAnsi="Times New Roman" w:cs="Times New Roman"/>
                <w:color w:val="auto"/>
                <w:sz w:val="24"/>
                <w:szCs w:val="24"/>
                <w:u w:val="none" w:color="auto"/>
                <w:lang w:val="en-US" w:eastAsia="zh-CN"/>
              </w:rPr>
              <w:t>质量</w:t>
            </w:r>
            <w:r>
              <w:rPr>
                <w:rFonts w:hint="default" w:ascii="Times New Roman" w:hAnsi="Times New Roman" w:cs="Times New Roman"/>
                <w:color w:val="auto"/>
                <w:sz w:val="24"/>
                <w:szCs w:val="24"/>
                <w:u w:val="none" w:color="auto"/>
              </w:rPr>
              <w:t>报表》中环境</w:t>
            </w:r>
            <w:r>
              <w:rPr>
                <w:rFonts w:hint="default" w:ascii="Times New Roman" w:hAnsi="Times New Roman" w:cs="Times New Roman"/>
                <w:color w:val="auto"/>
                <w:sz w:val="24"/>
                <w:szCs w:val="24"/>
                <w:u w:val="none" w:color="auto"/>
                <w:lang w:val="en-US" w:eastAsia="zh-CN"/>
              </w:rPr>
              <w:t>空气</w:t>
            </w:r>
            <w:r>
              <w:rPr>
                <w:rFonts w:hint="default" w:ascii="Times New Roman" w:hAnsi="Times New Roman" w:cs="Times New Roman"/>
                <w:color w:val="auto"/>
                <w:sz w:val="24"/>
                <w:szCs w:val="24"/>
                <w:u w:val="none" w:color="auto"/>
              </w:rPr>
              <w:t>质量现状数据，具体数据分析见下表：</w:t>
            </w:r>
          </w:p>
          <w:p>
            <w:pPr>
              <w:pStyle w:val="14"/>
              <w:spacing w:before="0" w:after="0" w:line="240" w:lineRule="auto"/>
              <w:ind w:right="0"/>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 xml:space="preserve">表3-1 </w:t>
            </w:r>
            <w:r>
              <w:rPr>
                <w:rFonts w:hint="eastAsia" w:ascii="Times New Roman" w:hAnsi="Times New Roman" w:eastAsia="宋体" w:cs="Times New Roman"/>
                <w:b/>
                <w:bCs/>
                <w:color w:val="auto"/>
                <w:sz w:val="21"/>
                <w:szCs w:val="21"/>
                <w:highlight w:val="none"/>
                <w:u w:val="none" w:color="auto"/>
                <w:lang w:val="en-US" w:eastAsia="zh-CN"/>
              </w:rPr>
              <w:t xml:space="preserve"> 湘阴县2022</w:t>
            </w:r>
            <w:r>
              <w:rPr>
                <w:rFonts w:hint="default" w:ascii="Times New Roman" w:hAnsi="Times New Roman" w:eastAsia="宋体" w:cs="Times New Roman"/>
                <w:b/>
                <w:bCs/>
                <w:color w:val="auto"/>
                <w:sz w:val="21"/>
                <w:szCs w:val="21"/>
                <w:highlight w:val="none"/>
                <w:u w:val="none" w:color="auto"/>
              </w:rPr>
              <w:t>年度环境空气质量现状评价表</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354"/>
              <w:gridCol w:w="1139"/>
              <w:gridCol w:w="1139"/>
              <w:gridCol w:w="695"/>
              <w:gridCol w:w="8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污染物</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年评价指标</w:t>
                  </w:r>
                </w:p>
              </w:tc>
              <w:tc>
                <w:tcPr>
                  <w:tcW w:w="6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现状浓度（μg/m³）</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标准值（μg/m³）</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超标率/%</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SO</w:t>
                  </w:r>
                  <w:r>
                    <w:rPr>
                      <w:rStyle w:val="28"/>
                      <w:rFonts w:hint="default" w:ascii="Times New Roman" w:hAnsi="Times New Roman" w:cs="Times New Roman"/>
                      <w:b w:val="0"/>
                      <w:color w:val="auto"/>
                      <w:sz w:val="21"/>
                      <w:szCs w:val="21"/>
                      <w:u w:val="none" w:color="auto"/>
                      <w:vertAlign w:val="subscript"/>
                    </w:rPr>
                    <w:t>2</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年平均质量浓度</w:t>
                  </w:r>
                </w:p>
              </w:tc>
              <w:tc>
                <w:tcPr>
                  <w:tcW w:w="1139" w:type="dxa"/>
                  <w:tcBorders>
                    <w:tl2br w:val="nil"/>
                    <w:tr2bl w:val="nil"/>
                  </w:tcBorders>
                  <w:noWrap w:val="0"/>
                  <w:vAlign w:val="center"/>
                </w:tcPr>
                <w:p>
                  <w:pPr>
                    <w:pStyle w:val="61"/>
                    <w:spacing w:line="240" w:lineRule="auto"/>
                    <w:ind w:left="0" w:leftChars="0" w:firstLine="0" w:firstLineChars="0"/>
                    <w:jc w:val="center"/>
                    <w:rPr>
                      <w:rStyle w:val="28"/>
                      <w:rFonts w:hint="default" w:ascii="Times New Roman" w:hAnsi="Times New Roman" w:cs="Times New Roman"/>
                      <w:b w:val="0"/>
                      <w:color w:val="auto"/>
                      <w:sz w:val="21"/>
                      <w:szCs w:val="21"/>
                      <w:u w:val="none" w:color="auto"/>
                    </w:rPr>
                  </w:pPr>
                  <w:r>
                    <w:rPr>
                      <w:rFonts w:hint="default" w:ascii="Times New Roman" w:hAnsi="Times New Roman" w:cs="Times New Roman"/>
                      <w:b w:val="0"/>
                      <w:bCs w:val="0"/>
                      <w:color w:val="auto"/>
                      <w:sz w:val="21"/>
                      <w:szCs w:val="21"/>
                      <w:u w:val="none" w:color="auto"/>
                      <w:lang w:val="en-US" w:eastAsia="zh-CN"/>
                    </w:rPr>
                    <w:t>5</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60</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0</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NO</w:t>
                  </w:r>
                  <w:r>
                    <w:rPr>
                      <w:rStyle w:val="28"/>
                      <w:rFonts w:hint="default" w:ascii="Times New Roman" w:hAnsi="Times New Roman" w:cs="Times New Roman"/>
                      <w:b w:val="0"/>
                      <w:color w:val="auto"/>
                      <w:sz w:val="21"/>
                      <w:szCs w:val="21"/>
                      <w:u w:val="none" w:color="auto"/>
                      <w:vertAlign w:val="subscript"/>
                    </w:rPr>
                    <w:t>2</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年平均质量浓度</w:t>
                  </w:r>
                </w:p>
              </w:tc>
              <w:tc>
                <w:tcPr>
                  <w:tcW w:w="1139" w:type="dxa"/>
                  <w:tcBorders>
                    <w:tl2br w:val="nil"/>
                    <w:tr2bl w:val="nil"/>
                  </w:tcBorders>
                  <w:noWrap w:val="0"/>
                  <w:vAlign w:val="center"/>
                </w:tcPr>
                <w:p>
                  <w:pPr>
                    <w:pStyle w:val="61"/>
                    <w:spacing w:line="240" w:lineRule="auto"/>
                    <w:ind w:left="0" w:leftChars="0" w:firstLine="0" w:firstLineChars="0"/>
                    <w:jc w:val="center"/>
                    <w:rPr>
                      <w:rStyle w:val="28"/>
                      <w:rFonts w:hint="default" w:ascii="Times New Roman" w:hAnsi="Times New Roman" w:cs="Times New Roman"/>
                      <w:b w:val="0"/>
                      <w:color w:val="auto"/>
                      <w:sz w:val="21"/>
                      <w:szCs w:val="21"/>
                      <w:u w:val="none" w:color="auto"/>
                      <w:lang w:val="en-US"/>
                    </w:rPr>
                  </w:pPr>
                  <w:r>
                    <w:rPr>
                      <w:rFonts w:hint="default" w:ascii="Times New Roman" w:hAnsi="Times New Roman" w:cs="Times New Roman"/>
                      <w:b w:val="0"/>
                      <w:bCs w:val="0"/>
                      <w:color w:val="auto"/>
                      <w:sz w:val="21"/>
                      <w:szCs w:val="21"/>
                      <w:u w:val="none" w:color="auto"/>
                      <w:lang w:val="en-US" w:eastAsia="zh-CN"/>
                    </w:rPr>
                    <w:t>18.8</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40</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0</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PM</w:t>
                  </w:r>
                  <w:r>
                    <w:rPr>
                      <w:rStyle w:val="28"/>
                      <w:rFonts w:hint="default" w:ascii="Times New Roman" w:hAnsi="Times New Roman" w:cs="Times New Roman"/>
                      <w:b w:val="0"/>
                      <w:color w:val="auto"/>
                      <w:sz w:val="21"/>
                      <w:szCs w:val="21"/>
                      <w:u w:val="none" w:color="auto"/>
                      <w:vertAlign w:val="subscript"/>
                    </w:rPr>
                    <w:t>10</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年平均质量浓度</w:t>
                  </w:r>
                </w:p>
              </w:tc>
              <w:tc>
                <w:tcPr>
                  <w:tcW w:w="1139" w:type="dxa"/>
                  <w:tcBorders>
                    <w:tl2br w:val="nil"/>
                    <w:tr2bl w:val="nil"/>
                  </w:tcBorders>
                  <w:noWrap w:val="0"/>
                  <w:vAlign w:val="center"/>
                </w:tcPr>
                <w:p>
                  <w:pPr>
                    <w:pStyle w:val="61"/>
                    <w:spacing w:line="240" w:lineRule="auto"/>
                    <w:ind w:left="0" w:leftChars="0" w:firstLine="0" w:firstLineChars="0"/>
                    <w:jc w:val="center"/>
                    <w:rPr>
                      <w:rStyle w:val="28"/>
                      <w:rFonts w:hint="default" w:ascii="Times New Roman" w:hAnsi="Times New Roman" w:cs="Times New Roman"/>
                      <w:b w:val="0"/>
                      <w:color w:val="auto"/>
                      <w:sz w:val="21"/>
                      <w:szCs w:val="21"/>
                      <w:u w:val="none" w:color="auto"/>
                      <w:lang w:val="en-US"/>
                    </w:rPr>
                  </w:pPr>
                  <w:r>
                    <w:rPr>
                      <w:rFonts w:hint="default" w:ascii="Times New Roman" w:hAnsi="Times New Roman" w:cs="Times New Roman"/>
                      <w:b w:val="0"/>
                      <w:bCs w:val="0"/>
                      <w:color w:val="auto"/>
                      <w:sz w:val="21"/>
                      <w:szCs w:val="21"/>
                      <w:u w:val="none" w:color="auto"/>
                      <w:lang w:val="en-US" w:eastAsia="zh-CN"/>
                    </w:rPr>
                    <w:t>48.3</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70</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0</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PM</w:t>
                  </w:r>
                  <w:r>
                    <w:rPr>
                      <w:rStyle w:val="28"/>
                      <w:rFonts w:hint="default" w:ascii="Times New Roman" w:hAnsi="Times New Roman" w:cs="Times New Roman"/>
                      <w:b w:val="0"/>
                      <w:color w:val="auto"/>
                      <w:sz w:val="21"/>
                      <w:szCs w:val="21"/>
                      <w:u w:val="none" w:color="auto"/>
                      <w:vertAlign w:val="subscript"/>
                    </w:rPr>
                    <w:t>2.5</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年平均质量浓度</w:t>
                  </w:r>
                </w:p>
              </w:tc>
              <w:tc>
                <w:tcPr>
                  <w:tcW w:w="1139" w:type="dxa"/>
                  <w:tcBorders>
                    <w:tl2br w:val="nil"/>
                    <w:tr2bl w:val="nil"/>
                  </w:tcBorders>
                  <w:noWrap w:val="0"/>
                  <w:vAlign w:val="center"/>
                </w:tcPr>
                <w:p>
                  <w:pPr>
                    <w:pStyle w:val="61"/>
                    <w:spacing w:line="240" w:lineRule="auto"/>
                    <w:ind w:left="0" w:leftChars="0" w:firstLine="0" w:firstLineChars="0"/>
                    <w:jc w:val="center"/>
                    <w:rPr>
                      <w:rStyle w:val="28"/>
                      <w:rFonts w:hint="default" w:ascii="Times New Roman" w:hAnsi="Times New Roman" w:cs="Times New Roman"/>
                      <w:b w:val="0"/>
                      <w:color w:val="auto"/>
                      <w:sz w:val="21"/>
                      <w:szCs w:val="21"/>
                      <w:u w:val="none" w:color="auto"/>
                      <w:lang w:val="en-US"/>
                    </w:rPr>
                  </w:pPr>
                  <w:r>
                    <w:rPr>
                      <w:rFonts w:hint="default" w:ascii="Times New Roman" w:hAnsi="Times New Roman" w:cs="Times New Roman"/>
                      <w:b w:val="0"/>
                      <w:bCs w:val="0"/>
                      <w:color w:val="auto"/>
                      <w:sz w:val="21"/>
                      <w:szCs w:val="21"/>
                      <w:u w:val="none" w:color="auto"/>
                      <w:lang w:val="en-US" w:eastAsia="zh-CN"/>
                    </w:rPr>
                    <w:t>33.5</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35</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none" w:color="auto"/>
                      <w:lang w:eastAsia="zh-CN"/>
                    </w:rPr>
                  </w:pPr>
                  <w:r>
                    <w:rPr>
                      <w:rStyle w:val="28"/>
                      <w:rFonts w:hint="default" w:ascii="Times New Roman" w:hAnsi="Times New Roman" w:cs="Times New Roman"/>
                      <w:b w:val="0"/>
                      <w:color w:val="auto"/>
                      <w:sz w:val="21"/>
                      <w:szCs w:val="21"/>
                      <w:u w:val="none" w:color="auto"/>
                      <w:lang w:val="en-US" w:eastAsia="zh-CN"/>
                    </w:rPr>
                    <w:t>0</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CO</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日平均质量浓度第95百分位数</w:t>
                  </w:r>
                </w:p>
              </w:tc>
              <w:tc>
                <w:tcPr>
                  <w:tcW w:w="1139" w:type="dxa"/>
                  <w:tcBorders>
                    <w:tl2br w:val="nil"/>
                    <w:tr2bl w:val="nil"/>
                  </w:tcBorders>
                  <w:noWrap w:val="0"/>
                  <w:vAlign w:val="center"/>
                </w:tcPr>
                <w:p>
                  <w:pPr>
                    <w:pStyle w:val="61"/>
                    <w:spacing w:line="240" w:lineRule="auto"/>
                    <w:ind w:left="0" w:leftChars="0" w:firstLine="0" w:firstLineChars="0"/>
                    <w:jc w:val="center"/>
                    <w:rPr>
                      <w:rStyle w:val="28"/>
                      <w:rFonts w:hint="default" w:ascii="Times New Roman" w:hAnsi="Times New Roman" w:cs="Times New Roman"/>
                      <w:b w:val="0"/>
                      <w:color w:val="auto"/>
                      <w:sz w:val="21"/>
                      <w:szCs w:val="21"/>
                      <w:u w:val="none" w:color="auto"/>
                      <w:lang w:val="en-US"/>
                    </w:rPr>
                  </w:pPr>
                  <w:r>
                    <w:rPr>
                      <w:rFonts w:hint="default" w:ascii="Times New Roman" w:hAnsi="Times New Roman" w:cs="Times New Roman"/>
                      <w:b w:val="0"/>
                      <w:bCs w:val="0"/>
                      <w:color w:val="auto"/>
                      <w:sz w:val="21"/>
                      <w:szCs w:val="21"/>
                      <w:u w:val="none" w:color="auto"/>
                      <w:lang w:val="en-US" w:eastAsia="zh-CN"/>
                    </w:rPr>
                    <w:t>783.3</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4000</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0</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O</w:t>
                  </w:r>
                  <w:r>
                    <w:rPr>
                      <w:rStyle w:val="28"/>
                      <w:rFonts w:hint="default" w:ascii="Times New Roman" w:hAnsi="Times New Roman" w:cs="Times New Roman"/>
                      <w:b w:val="0"/>
                      <w:color w:val="auto"/>
                      <w:sz w:val="21"/>
                      <w:szCs w:val="21"/>
                      <w:u w:val="none" w:color="auto"/>
                      <w:vertAlign w:val="subscript"/>
                    </w:rPr>
                    <w:t>3</w:t>
                  </w:r>
                </w:p>
              </w:tc>
              <w:tc>
                <w:tcPr>
                  <w:tcW w:w="2180"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日最大8小时平均浓度第90百分位数</w:t>
                  </w:r>
                </w:p>
              </w:tc>
              <w:tc>
                <w:tcPr>
                  <w:tcW w:w="1139" w:type="dxa"/>
                  <w:tcBorders>
                    <w:tl2br w:val="nil"/>
                    <w:tr2bl w:val="nil"/>
                  </w:tcBorders>
                  <w:noWrap w:val="0"/>
                  <w:vAlign w:val="center"/>
                </w:tcPr>
                <w:p>
                  <w:pPr>
                    <w:pStyle w:val="61"/>
                    <w:spacing w:line="240" w:lineRule="auto"/>
                    <w:ind w:left="0" w:leftChars="0" w:firstLine="0" w:firstLineChars="0"/>
                    <w:jc w:val="center"/>
                    <w:rPr>
                      <w:rStyle w:val="28"/>
                      <w:rFonts w:hint="default" w:ascii="Times New Roman" w:hAnsi="Times New Roman" w:cs="Times New Roman"/>
                      <w:b w:val="0"/>
                      <w:color w:val="auto"/>
                      <w:sz w:val="21"/>
                      <w:szCs w:val="21"/>
                      <w:u w:val="none" w:color="auto"/>
                      <w:lang w:val="en-US"/>
                    </w:rPr>
                  </w:pPr>
                  <w:r>
                    <w:rPr>
                      <w:rFonts w:hint="default" w:ascii="Times New Roman" w:hAnsi="Times New Roman" w:cs="Times New Roman"/>
                      <w:b w:val="0"/>
                      <w:bCs w:val="0"/>
                      <w:color w:val="auto"/>
                      <w:sz w:val="21"/>
                      <w:szCs w:val="21"/>
                      <w:u w:val="none" w:color="auto"/>
                      <w:lang w:val="en-US" w:eastAsia="zh-CN"/>
                    </w:rPr>
                    <w:t>129.6</w:t>
                  </w:r>
                </w:p>
              </w:tc>
              <w:tc>
                <w:tcPr>
                  <w:tcW w:w="598"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160</w:t>
                  </w:r>
                </w:p>
              </w:tc>
              <w:tc>
                <w:tcPr>
                  <w:tcW w:w="485"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0</w:t>
                  </w:r>
                </w:p>
              </w:tc>
              <w:tc>
                <w:tcPr>
                  <w:tcW w:w="569" w:type="pct"/>
                  <w:tcBorders>
                    <w:tl2br w:val="nil"/>
                    <w:tr2bl w:val="nil"/>
                  </w:tcBorders>
                  <w:noWrap w:val="0"/>
                  <w:vAlign w:val="center"/>
                </w:tcPr>
                <w:p>
                  <w:pPr>
                    <w:spacing w:line="240" w:lineRule="auto"/>
                    <w:ind w:firstLine="0" w:firstLineChars="0"/>
                    <w:jc w:val="center"/>
                    <w:rPr>
                      <w:rStyle w:val="28"/>
                      <w:rFonts w:hint="default" w:ascii="Times New Roman" w:hAnsi="Times New Roman" w:cs="Times New Roman"/>
                      <w:b w:val="0"/>
                      <w:color w:val="auto"/>
                      <w:sz w:val="21"/>
                      <w:szCs w:val="21"/>
                      <w:u w:val="none" w:color="auto"/>
                    </w:rPr>
                  </w:pPr>
                  <w:r>
                    <w:rPr>
                      <w:rStyle w:val="28"/>
                      <w:rFonts w:hint="default" w:ascii="Times New Roman" w:hAnsi="Times New Roman" w:cs="Times New Roman"/>
                      <w:b w:val="0"/>
                      <w:color w:val="auto"/>
                      <w:sz w:val="21"/>
                      <w:szCs w:val="21"/>
                      <w:u w:val="none" w:color="auto"/>
                    </w:rPr>
                    <w:t>达标</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szCs w:val="24"/>
                <w:u w:val="none" w:color="auto"/>
                <w:lang w:eastAsia="zh-CN"/>
              </w:rPr>
            </w:pPr>
            <w:r>
              <w:rPr>
                <w:rFonts w:hint="default" w:ascii="Times New Roman" w:hAnsi="Times New Roman" w:cs="Times New Roman"/>
                <w:bCs/>
                <w:color w:val="auto"/>
                <w:sz w:val="24"/>
                <w:szCs w:val="24"/>
                <w:u w:val="none" w:color="auto"/>
                <w:lang w:val="zh-CN"/>
              </w:rPr>
              <w:t>由上表可知</w:t>
            </w:r>
            <w:r>
              <w:rPr>
                <w:rFonts w:hint="default" w:ascii="Times New Roman" w:hAnsi="Times New Roman" w:cs="Times New Roman"/>
                <w:bCs/>
                <w:color w:val="auto"/>
                <w:sz w:val="24"/>
                <w:szCs w:val="24"/>
                <w:u w:val="none" w:color="auto"/>
              </w:rPr>
              <w:t>，202</w:t>
            </w:r>
            <w:r>
              <w:rPr>
                <w:rFonts w:hint="default" w:ascii="Times New Roman" w:hAnsi="Times New Roman" w:cs="Times New Roman"/>
                <w:bCs/>
                <w:color w:val="auto"/>
                <w:sz w:val="24"/>
                <w:szCs w:val="24"/>
                <w:u w:val="none" w:color="auto"/>
                <w:lang w:val="en-US" w:eastAsia="zh-CN"/>
              </w:rPr>
              <w:t>2</w:t>
            </w:r>
            <w:r>
              <w:rPr>
                <w:rFonts w:hint="default" w:ascii="Times New Roman" w:hAnsi="Times New Roman" w:cs="Times New Roman"/>
                <w:bCs/>
                <w:color w:val="auto"/>
                <w:sz w:val="24"/>
                <w:szCs w:val="24"/>
                <w:u w:val="none" w:color="auto"/>
              </w:rPr>
              <w:t>年</w:t>
            </w:r>
            <w:r>
              <w:rPr>
                <w:rFonts w:hint="default" w:ascii="Times New Roman" w:hAnsi="Times New Roman" w:cs="Times New Roman"/>
                <w:bCs/>
                <w:color w:val="auto"/>
                <w:sz w:val="24"/>
                <w:szCs w:val="24"/>
                <w:u w:val="none" w:color="auto"/>
                <w:lang w:val="zh-CN"/>
              </w:rPr>
              <w:t>项目所在区域的</w:t>
            </w:r>
            <w:r>
              <w:rPr>
                <w:rFonts w:hint="default" w:ascii="Times New Roman" w:hAnsi="Times New Roman" w:cs="Times New Roman"/>
                <w:bCs/>
                <w:color w:val="auto"/>
                <w:sz w:val="24"/>
                <w:szCs w:val="24"/>
                <w:u w:val="none" w:color="auto"/>
              </w:rPr>
              <w:t>PM</w:t>
            </w:r>
            <w:r>
              <w:rPr>
                <w:rFonts w:hint="default" w:ascii="Times New Roman" w:hAnsi="Times New Roman" w:cs="Times New Roman"/>
                <w:bCs/>
                <w:color w:val="auto"/>
                <w:sz w:val="24"/>
                <w:szCs w:val="24"/>
                <w:u w:val="none" w:color="auto"/>
                <w:vertAlign w:val="subscript"/>
              </w:rPr>
              <w:t>10</w:t>
            </w:r>
            <w:r>
              <w:rPr>
                <w:rFonts w:hint="default" w:ascii="Times New Roman" w:hAnsi="Times New Roman" w:cs="Times New Roman"/>
                <w:bCs/>
                <w:color w:val="auto"/>
                <w:sz w:val="24"/>
                <w:szCs w:val="24"/>
                <w:u w:val="none" w:color="auto"/>
              </w:rPr>
              <w:t>、PM</w:t>
            </w:r>
            <w:r>
              <w:rPr>
                <w:rFonts w:hint="default" w:ascii="Times New Roman" w:hAnsi="Times New Roman" w:cs="Times New Roman"/>
                <w:bCs/>
                <w:color w:val="auto"/>
                <w:sz w:val="24"/>
                <w:szCs w:val="24"/>
                <w:u w:val="none" w:color="auto"/>
                <w:vertAlign w:val="subscript"/>
              </w:rPr>
              <w:t>2.5</w:t>
            </w:r>
            <w:r>
              <w:rPr>
                <w:rFonts w:hint="default" w:ascii="Times New Roman" w:hAnsi="Times New Roman" w:cs="Times New Roman"/>
                <w:bCs/>
                <w:color w:val="auto"/>
                <w:sz w:val="24"/>
                <w:szCs w:val="24"/>
                <w:u w:val="none" w:color="auto"/>
                <w:lang w:eastAsia="zh-CN"/>
              </w:rPr>
              <w:t>、</w:t>
            </w:r>
            <w:r>
              <w:rPr>
                <w:rFonts w:hint="default" w:ascii="Times New Roman" w:hAnsi="Times New Roman" w:cs="Times New Roman"/>
                <w:bCs/>
                <w:color w:val="auto"/>
                <w:sz w:val="24"/>
                <w:szCs w:val="24"/>
                <w:u w:val="none" w:color="auto"/>
              </w:rPr>
              <w:t>SO</w:t>
            </w:r>
            <w:r>
              <w:rPr>
                <w:rFonts w:hint="default" w:ascii="Times New Roman" w:hAnsi="Times New Roman" w:cs="Times New Roman"/>
                <w:bCs/>
                <w:color w:val="auto"/>
                <w:sz w:val="24"/>
                <w:szCs w:val="24"/>
                <w:u w:val="none" w:color="auto"/>
                <w:vertAlign w:val="subscript"/>
              </w:rPr>
              <w:t>2</w:t>
            </w:r>
            <w:r>
              <w:rPr>
                <w:rFonts w:hint="default" w:ascii="Times New Roman" w:hAnsi="Times New Roman" w:cs="Times New Roman"/>
                <w:bCs/>
                <w:color w:val="auto"/>
                <w:sz w:val="24"/>
                <w:szCs w:val="24"/>
                <w:u w:val="none" w:color="auto"/>
                <w:lang w:val="zh-CN"/>
              </w:rPr>
              <w:t>、</w:t>
            </w:r>
            <w:r>
              <w:rPr>
                <w:rFonts w:hint="default" w:ascii="Times New Roman" w:hAnsi="Times New Roman" w:cs="Times New Roman"/>
                <w:bCs/>
                <w:color w:val="auto"/>
                <w:sz w:val="24"/>
                <w:szCs w:val="24"/>
                <w:u w:val="none" w:color="auto"/>
              </w:rPr>
              <w:t>NO</w:t>
            </w:r>
            <w:r>
              <w:rPr>
                <w:rFonts w:hint="default" w:ascii="Times New Roman" w:hAnsi="Times New Roman" w:cs="Times New Roman"/>
                <w:bCs/>
                <w:color w:val="auto"/>
                <w:sz w:val="24"/>
                <w:szCs w:val="24"/>
                <w:u w:val="none" w:color="auto"/>
                <w:vertAlign w:val="subscript"/>
              </w:rPr>
              <w:t>2</w:t>
            </w:r>
            <w:r>
              <w:rPr>
                <w:rFonts w:hint="default" w:ascii="Times New Roman" w:hAnsi="Times New Roman" w:cs="Times New Roman"/>
                <w:bCs/>
                <w:color w:val="auto"/>
                <w:sz w:val="24"/>
                <w:szCs w:val="24"/>
                <w:u w:val="none" w:color="auto"/>
              </w:rPr>
              <w:t>年</w:t>
            </w:r>
            <w:r>
              <w:rPr>
                <w:rFonts w:hint="default" w:ascii="Times New Roman" w:hAnsi="Times New Roman" w:cs="Times New Roman"/>
                <w:bCs/>
                <w:color w:val="auto"/>
                <w:sz w:val="24"/>
                <w:szCs w:val="24"/>
                <w:u w:val="none" w:color="auto"/>
                <w:lang w:val="zh-CN"/>
              </w:rPr>
              <w:t>平均浓度</w:t>
            </w:r>
            <w:r>
              <w:rPr>
                <w:rFonts w:hint="default" w:ascii="Times New Roman" w:hAnsi="Times New Roman" w:cs="Times New Roman"/>
                <w:bCs/>
                <w:color w:val="auto"/>
                <w:sz w:val="24"/>
                <w:szCs w:val="24"/>
                <w:u w:val="none" w:color="auto"/>
              </w:rPr>
              <w:t>，CO的日均值第95百分位浓度均值，O</w:t>
            </w:r>
            <w:r>
              <w:rPr>
                <w:rFonts w:hint="default" w:ascii="Times New Roman" w:hAnsi="Times New Roman" w:cs="Times New Roman"/>
                <w:bCs/>
                <w:color w:val="auto"/>
                <w:sz w:val="24"/>
                <w:szCs w:val="24"/>
                <w:u w:val="none" w:color="auto"/>
                <w:vertAlign w:val="subscript"/>
              </w:rPr>
              <w:t>3</w:t>
            </w:r>
            <w:r>
              <w:rPr>
                <w:rFonts w:hint="default" w:ascii="Times New Roman" w:hAnsi="Times New Roman" w:cs="Times New Roman"/>
                <w:bCs/>
                <w:color w:val="auto"/>
                <w:sz w:val="24"/>
                <w:szCs w:val="24"/>
                <w:u w:val="none" w:color="auto"/>
              </w:rPr>
              <w:t>的日最大8小时平均第90百分位浓度均值都</w:t>
            </w:r>
            <w:r>
              <w:rPr>
                <w:rFonts w:hint="default" w:ascii="Times New Roman" w:hAnsi="Times New Roman" w:cs="Times New Roman"/>
                <w:bCs/>
                <w:color w:val="auto"/>
                <w:sz w:val="24"/>
                <w:szCs w:val="24"/>
                <w:u w:val="none" w:color="auto"/>
                <w:lang w:val="zh-CN"/>
              </w:rPr>
              <w:t>符合《环境空气质量标准》</w:t>
            </w:r>
            <w:r>
              <w:rPr>
                <w:rFonts w:hint="default" w:ascii="Times New Roman" w:hAnsi="Times New Roman" w:cs="Times New Roman"/>
                <w:bCs/>
                <w:color w:val="auto"/>
                <w:sz w:val="24"/>
                <w:szCs w:val="24"/>
                <w:u w:val="none" w:color="auto"/>
              </w:rPr>
              <w:t>(GB3095-2012)及修改单</w:t>
            </w:r>
            <w:r>
              <w:rPr>
                <w:rFonts w:hint="default" w:ascii="Times New Roman" w:hAnsi="Times New Roman" w:cs="Times New Roman"/>
                <w:bCs/>
                <w:color w:val="auto"/>
                <w:sz w:val="24"/>
                <w:szCs w:val="24"/>
                <w:u w:val="none" w:color="auto"/>
                <w:lang w:val="zh-CN"/>
              </w:rPr>
              <w:t>中的二级标准要求</w:t>
            </w:r>
            <w:r>
              <w:rPr>
                <w:rFonts w:hint="default" w:ascii="Times New Roman" w:hAnsi="Times New Roman" w:cs="Times New Roman"/>
                <w:bCs/>
                <w:color w:val="auto"/>
                <w:sz w:val="24"/>
                <w:szCs w:val="24"/>
                <w:u w:val="none" w:color="auto"/>
              </w:rPr>
              <w:t>，故本项目所在区域为环境空气质量达标区</w:t>
            </w:r>
            <w:r>
              <w:rPr>
                <w:rFonts w:hint="default" w:ascii="Times New Roman" w:hAnsi="Times New Roman" w:cs="Times New Roman"/>
                <w:bCs/>
                <w:color w:val="auto"/>
                <w:sz w:val="24"/>
                <w:szCs w:val="24"/>
                <w:u w:val="none" w:color="auto"/>
                <w:lang w:eastAsia="zh-CN"/>
              </w:rPr>
              <w:t>。</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3、地表水环境现状</w:t>
            </w:r>
          </w:p>
          <w:p>
            <w:pPr>
              <w:tabs>
                <w:tab w:val="left" w:pos="600"/>
                <w:tab w:val="left" w:pos="7343"/>
              </w:tabs>
              <w:spacing w:line="360" w:lineRule="auto"/>
              <w:ind w:firstLine="480" w:firstLineChars="200"/>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本项目位于湘阴县石塘镇、三塘镇和东塘镇，地表水域主要为湘江、范家坝湖、白泥湖</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三汊港湖</w:t>
            </w:r>
            <w:r>
              <w:rPr>
                <w:rFonts w:hint="eastAsia" w:ascii="Times New Roman" w:hAnsi="Times New Roman" w:eastAsia="宋体" w:cs="Times New Roman"/>
                <w:color w:val="auto"/>
                <w:kern w:val="0"/>
                <w:sz w:val="24"/>
                <w:szCs w:val="24"/>
                <w:highlight w:val="none"/>
              </w:rPr>
              <w:t>，湘江石塘镇段、范家坝湖、白泥湖</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三汊港湖</w:t>
            </w:r>
            <w:r>
              <w:rPr>
                <w:rFonts w:hint="eastAsia" w:ascii="Times New Roman" w:hAnsi="Times New Roman" w:eastAsia="宋体" w:cs="Times New Roman"/>
                <w:color w:val="auto"/>
                <w:kern w:val="0"/>
                <w:sz w:val="24"/>
                <w:szCs w:val="24"/>
                <w:highlight w:val="none"/>
              </w:rPr>
              <w:t>其水域功能为渔业、农业用水，执行《地表水环境质量标准》（GB3838-2002）中的Ⅲ类标准。</w:t>
            </w:r>
          </w:p>
          <w:p>
            <w:pPr>
              <w:tabs>
                <w:tab w:val="left" w:pos="600"/>
                <w:tab w:val="left" w:pos="7343"/>
              </w:tabs>
              <w:spacing w:line="360" w:lineRule="auto"/>
              <w:ind w:firstLine="480" w:firstLineChars="200"/>
              <w:rPr>
                <w:rFonts w:hint="eastAsia" w:ascii="Times New Roman" w:hAnsi="Times New Roman" w:eastAsia="宋体" w:cs="Times New Roman"/>
                <w:color w:val="auto"/>
                <w:kern w:val="0"/>
                <w:sz w:val="24"/>
                <w:szCs w:val="24"/>
                <w:highlight w:val="none"/>
              </w:rPr>
            </w:pPr>
          </w:p>
          <w:p>
            <w:pPr>
              <w:autoSpaceDE w:val="0"/>
              <w:autoSpaceDN w:val="0"/>
              <w:adjustRightInd w:val="0"/>
              <w:spacing w:line="360" w:lineRule="auto"/>
              <w:textAlignment w:val="baseline"/>
              <w:rPr>
                <w:rFonts w:ascii="Times New Roman" w:hAnsi="Times New Roman"/>
                <w:color w:val="auto"/>
                <w:kern w:val="0"/>
                <w:szCs w:val="21"/>
              </w:rPr>
            </w:pPr>
          </w:p>
        </w:tc>
      </w:tr>
    </w:tbl>
    <w:p>
      <w:pPr>
        <w:pStyle w:val="22"/>
        <w:adjustRightInd w:val="0"/>
        <w:snapToGrid w:val="0"/>
        <w:spacing w:before="0" w:beforeAutospacing="0" w:after="0" w:afterAutospacing="0" w:line="14" w:lineRule="auto"/>
        <w:jc w:val="center"/>
        <w:outlineLvl w:val="9"/>
        <w:rPr>
          <w:rFonts w:ascii="Times New Roman" w:hAnsi="Times New Roman" w:eastAsia="黑体"/>
          <w:snapToGrid w:val="0"/>
          <w:color w:val="auto"/>
          <w:kern w:val="2"/>
          <w:sz w:val="36"/>
          <w:szCs w:val="36"/>
        </w:rPr>
      </w:pPr>
    </w:p>
    <w:p>
      <w:pPr>
        <w:pStyle w:val="22"/>
        <w:jc w:val="center"/>
        <w:outlineLvl w:val="9"/>
        <w:rPr>
          <w:rFonts w:ascii="Times New Roman" w:hAnsi="Times New Roman" w:eastAsia="黑体"/>
          <w:snapToGrid w:val="0"/>
          <w:color w:val="auto"/>
          <w:kern w:val="2"/>
          <w:sz w:val="36"/>
          <w:szCs w:val="36"/>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5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6" w:type="pct"/>
            <w:vAlign w:val="center"/>
          </w:tcPr>
          <w:p>
            <w:pPr>
              <w:adjustRightInd w:val="0"/>
              <w:snapToGrid w:val="0"/>
              <w:jc w:val="center"/>
              <w:rPr>
                <w:rFonts w:ascii="Times New Roman" w:hAnsi="Times New Roman"/>
                <w:color w:val="auto"/>
                <w:kern w:val="0"/>
                <w:szCs w:val="21"/>
              </w:rPr>
            </w:pPr>
          </w:p>
        </w:tc>
        <w:tc>
          <w:tcPr>
            <w:tcW w:w="4774" w:type="pct"/>
            <w:vAlign w:val="center"/>
          </w:tcPr>
          <w:p>
            <w:pPr>
              <w:tabs>
                <w:tab w:val="left" w:pos="600"/>
                <w:tab w:val="left" w:pos="7343"/>
              </w:tabs>
              <w:spacing w:line="360" w:lineRule="auto"/>
              <w:ind w:firstLine="480" w:firstLineChars="200"/>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本项目</w:t>
            </w:r>
            <w:r>
              <w:rPr>
                <w:rFonts w:hint="eastAsia" w:ascii="Times New Roman" w:hAnsi="Times New Roman" w:cs="Times New Roman"/>
                <w:color w:val="auto"/>
                <w:kern w:val="0"/>
                <w:sz w:val="24"/>
                <w:szCs w:val="24"/>
                <w:highlight w:val="none"/>
                <w:lang w:val="en-US" w:eastAsia="zh-CN"/>
              </w:rPr>
              <w:t>引用</w:t>
            </w:r>
            <w:r>
              <w:rPr>
                <w:rFonts w:hint="eastAsia" w:ascii="Times New Roman" w:hAnsi="Times New Roman" w:eastAsia="宋体" w:cs="Times New Roman"/>
                <w:color w:val="auto"/>
                <w:kern w:val="0"/>
                <w:sz w:val="24"/>
                <w:szCs w:val="24"/>
                <w:highlight w:val="none"/>
              </w:rPr>
              <w:t>湖南乾诚检测有限公司2022年</w:t>
            </w:r>
            <w:r>
              <w:rPr>
                <w:rFonts w:hint="eastAsia" w:ascii="Times New Roman" w:hAnsi="Times New Roman" w:cs="Times New Roman"/>
                <w:color w:val="auto"/>
                <w:kern w:val="0"/>
                <w:sz w:val="24"/>
                <w:szCs w:val="24"/>
                <w:highlight w:val="none"/>
                <w:lang w:val="en-US" w:eastAsia="zh-CN"/>
              </w:rPr>
              <w:t>10</w:t>
            </w:r>
            <w:r>
              <w:rPr>
                <w:rFonts w:hint="eastAsia" w:ascii="Times New Roman" w:hAnsi="Times New Roman" w:eastAsia="宋体" w:cs="Times New Roman"/>
                <w:color w:val="auto"/>
                <w:kern w:val="0"/>
                <w:sz w:val="24"/>
                <w:szCs w:val="24"/>
                <w:highlight w:val="none"/>
              </w:rPr>
              <w:t>月2</w:t>
            </w:r>
            <w:r>
              <w:rPr>
                <w:rFonts w:hint="eastAsia" w:ascii="Times New Roman" w:hAnsi="Times New Roman" w:cs="Times New Roman"/>
                <w:color w:val="auto"/>
                <w:kern w:val="0"/>
                <w:sz w:val="24"/>
                <w:szCs w:val="24"/>
                <w:highlight w:val="none"/>
                <w:lang w:val="en-US" w:eastAsia="zh-CN"/>
              </w:rPr>
              <w:t>5</w:t>
            </w:r>
            <w:r>
              <w:rPr>
                <w:rFonts w:hint="eastAsia" w:ascii="Times New Roman" w:hAnsi="Times New Roman" w:eastAsia="宋体" w:cs="Times New Roman"/>
                <w:color w:val="auto"/>
                <w:kern w:val="0"/>
                <w:sz w:val="24"/>
                <w:szCs w:val="24"/>
                <w:highlight w:val="none"/>
              </w:rPr>
              <w:t>日～</w:t>
            </w:r>
            <w:r>
              <w:rPr>
                <w:rFonts w:hint="eastAsia" w:ascii="Times New Roman" w:hAnsi="Times New Roman" w:cs="Times New Roman"/>
                <w:color w:val="auto"/>
                <w:kern w:val="0"/>
                <w:sz w:val="24"/>
                <w:szCs w:val="24"/>
                <w:highlight w:val="none"/>
                <w:lang w:val="en-US" w:eastAsia="zh-CN"/>
              </w:rPr>
              <w:t>27</w:t>
            </w:r>
            <w:r>
              <w:rPr>
                <w:rFonts w:hint="eastAsia" w:ascii="Times New Roman" w:hAnsi="Times New Roman" w:eastAsia="宋体" w:cs="Times New Roman"/>
                <w:color w:val="auto"/>
                <w:kern w:val="0"/>
                <w:sz w:val="24"/>
                <w:szCs w:val="24"/>
                <w:highlight w:val="none"/>
              </w:rPr>
              <w:t>日对范家坝湖、白泥湖</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三汊港湖</w:t>
            </w:r>
            <w:r>
              <w:rPr>
                <w:rFonts w:hint="eastAsia" w:ascii="Times New Roman" w:hAnsi="Times New Roman" w:eastAsia="宋体" w:cs="Times New Roman"/>
                <w:color w:val="auto"/>
                <w:kern w:val="0"/>
                <w:sz w:val="24"/>
                <w:szCs w:val="24"/>
                <w:highlight w:val="none"/>
              </w:rPr>
              <w:t>水质进行</w:t>
            </w:r>
            <w:r>
              <w:rPr>
                <w:rFonts w:hint="eastAsia" w:ascii="Times New Roman" w:hAnsi="Times New Roman" w:cs="Times New Roman"/>
                <w:color w:val="auto"/>
                <w:kern w:val="0"/>
                <w:sz w:val="24"/>
                <w:szCs w:val="24"/>
                <w:highlight w:val="none"/>
                <w:lang w:val="en-US" w:eastAsia="zh-CN"/>
              </w:rPr>
              <w:t>的</w:t>
            </w:r>
            <w:r>
              <w:rPr>
                <w:rFonts w:hint="eastAsia" w:ascii="Times New Roman" w:hAnsi="Times New Roman" w:eastAsia="宋体" w:cs="Times New Roman"/>
                <w:color w:val="auto"/>
                <w:kern w:val="0"/>
                <w:sz w:val="24"/>
                <w:szCs w:val="24"/>
                <w:highlight w:val="none"/>
              </w:rPr>
              <w:t>监测</w:t>
            </w:r>
            <w:r>
              <w:rPr>
                <w:rFonts w:hint="eastAsia" w:ascii="Times New Roman" w:hAnsi="Times New Roman" w:cs="Times New Roman"/>
                <w:color w:val="auto"/>
                <w:kern w:val="0"/>
                <w:sz w:val="24"/>
                <w:szCs w:val="24"/>
                <w:highlight w:val="none"/>
                <w:lang w:val="en-US" w:eastAsia="zh-CN"/>
              </w:rPr>
              <w:t>数据</w:t>
            </w:r>
            <w:r>
              <w:rPr>
                <w:rFonts w:hint="eastAsia" w:ascii="Times New Roman" w:hAnsi="Times New Roman" w:eastAsia="宋体" w:cs="Times New Roman"/>
                <w:color w:val="auto"/>
                <w:kern w:val="0"/>
                <w:sz w:val="24"/>
                <w:szCs w:val="24"/>
                <w:highlight w:val="none"/>
              </w:rPr>
              <w:t>，同时引用</w:t>
            </w:r>
            <w:r>
              <w:rPr>
                <w:rFonts w:hint="eastAsia" w:ascii="Times New Roman" w:hAnsi="Times New Roman" w:cs="Times New Roman"/>
                <w:color w:val="auto"/>
                <w:kern w:val="0"/>
                <w:sz w:val="24"/>
                <w:szCs w:val="24"/>
                <w:highlight w:val="none"/>
                <w:lang w:val="en-US" w:eastAsia="zh-CN"/>
              </w:rPr>
              <w:t>岳阳市</w:t>
            </w:r>
            <w:r>
              <w:rPr>
                <w:rFonts w:hint="eastAsia" w:ascii="Times New Roman" w:hAnsi="Times New Roman" w:eastAsia="宋体" w:cs="Times New Roman"/>
                <w:color w:val="auto"/>
                <w:kern w:val="0"/>
                <w:sz w:val="24"/>
                <w:szCs w:val="24"/>
                <w:highlight w:val="none"/>
              </w:rPr>
              <w:t>境内湘江干流</w:t>
            </w:r>
            <w:r>
              <w:rPr>
                <w:rFonts w:hint="eastAsia" w:ascii="Times New Roman" w:hAnsi="Times New Roman" w:cs="Times New Roman"/>
                <w:color w:val="auto"/>
                <w:kern w:val="0"/>
                <w:sz w:val="24"/>
                <w:szCs w:val="24"/>
                <w:highlight w:val="none"/>
                <w:lang w:val="en-US" w:eastAsia="zh-CN"/>
              </w:rPr>
              <w:t>屈原湘江取水口（湘阴县）、</w:t>
            </w:r>
            <w:r>
              <w:rPr>
                <w:rFonts w:hint="eastAsia" w:ascii="Times New Roman" w:hAnsi="Times New Roman" w:eastAsia="宋体" w:cs="Times New Roman"/>
                <w:color w:val="auto"/>
                <w:kern w:val="0"/>
                <w:sz w:val="24"/>
                <w:szCs w:val="24"/>
                <w:highlight w:val="none"/>
              </w:rPr>
              <w:t>屈原自来水厂</w:t>
            </w: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屈原管理区</w:t>
            </w:r>
            <w:r>
              <w:rPr>
                <w:rFonts w:hint="eastAsia" w:ascii="Times New Roman" w:hAnsi="Times New Roman"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省/国控断面的</w:t>
            </w:r>
            <w:r>
              <w:rPr>
                <w:rFonts w:hint="eastAsia" w:ascii="Times New Roman" w:hAnsi="Times New Roman" w:cs="Times New Roman"/>
                <w:color w:val="auto"/>
                <w:kern w:val="0"/>
                <w:sz w:val="24"/>
                <w:szCs w:val="24"/>
                <w:highlight w:val="none"/>
                <w:lang w:val="en-US" w:eastAsia="zh-CN"/>
              </w:rPr>
              <w:t>2022年</w:t>
            </w:r>
            <w:r>
              <w:rPr>
                <w:rFonts w:hint="eastAsia" w:ascii="Times New Roman" w:hAnsi="Times New Roman" w:eastAsia="宋体" w:cs="Times New Roman"/>
                <w:color w:val="auto"/>
                <w:kern w:val="0"/>
                <w:sz w:val="24"/>
                <w:szCs w:val="24"/>
                <w:highlight w:val="none"/>
              </w:rPr>
              <w:t>例行监测数据进行分析。</w:t>
            </w:r>
          </w:p>
          <w:p>
            <w:pPr>
              <w:adjustRightInd w:val="0"/>
              <w:snapToGrid w:val="0"/>
              <w:spacing w:line="240" w:lineRule="auto"/>
              <w:ind w:firstLine="422"/>
              <w:jc w:val="center"/>
              <w:rPr>
                <w:rFonts w:hint="default" w:ascii="Times New Roman" w:hAnsi="Times New Roman" w:eastAsia="宋体" w:cs="Times New Roman"/>
                <w:b/>
                <w:bCs w:val="0"/>
                <w:color w:val="auto"/>
                <w:sz w:val="21"/>
                <w:szCs w:val="21"/>
                <w:highlight w:val="none"/>
                <w:u w:val="single" w:color="auto"/>
                <w:lang w:val="en-US" w:eastAsia="zh-CN" w:bidi="ar"/>
              </w:rPr>
            </w:pPr>
            <w:r>
              <w:rPr>
                <w:rFonts w:hint="default" w:ascii="Times New Roman" w:hAnsi="Times New Roman" w:eastAsia="宋体" w:cs="Times New Roman"/>
                <w:b/>
                <w:bCs w:val="0"/>
                <w:color w:val="auto"/>
                <w:sz w:val="21"/>
                <w:szCs w:val="21"/>
                <w:highlight w:val="none"/>
                <w:u w:val="single" w:color="auto"/>
                <w:lang w:val="en-US" w:eastAsia="zh-CN" w:bidi="ar"/>
              </w:rPr>
              <w:t>表3-</w:t>
            </w:r>
            <w:r>
              <w:rPr>
                <w:rFonts w:hint="eastAsia" w:ascii="Times New Roman" w:hAnsi="Times New Roman" w:eastAsia="宋体" w:cs="Times New Roman"/>
                <w:b/>
                <w:bCs w:val="0"/>
                <w:color w:val="auto"/>
                <w:sz w:val="21"/>
                <w:szCs w:val="21"/>
                <w:highlight w:val="none"/>
                <w:u w:val="single" w:color="auto"/>
                <w:lang w:val="en-US" w:eastAsia="zh-CN" w:bidi="ar"/>
              </w:rPr>
              <w:t>2</w:t>
            </w:r>
            <w:r>
              <w:rPr>
                <w:rFonts w:hint="default" w:ascii="Times New Roman" w:hAnsi="Times New Roman" w:eastAsia="宋体" w:cs="Times New Roman"/>
                <w:b/>
                <w:bCs w:val="0"/>
                <w:color w:val="auto"/>
                <w:sz w:val="21"/>
                <w:szCs w:val="21"/>
                <w:highlight w:val="none"/>
                <w:u w:val="single" w:color="auto"/>
                <w:lang w:val="en-US" w:eastAsia="zh-CN" w:bidi="ar"/>
              </w:rPr>
              <w:t xml:space="preserve">  </w:t>
            </w:r>
            <w:r>
              <w:rPr>
                <w:rFonts w:hint="eastAsia" w:ascii="Times New Roman" w:hAnsi="Times New Roman" w:eastAsia="宋体" w:cs="Times New Roman"/>
                <w:b/>
                <w:bCs w:val="0"/>
                <w:color w:val="auto"/>
                <w:sz w:val="21"/>
                <w:szCs w:val="21"/>
                <w:highlight w:val="none"/>
                <w:u w:val="single" w:color="auto"/>
                <w:lang w:val="en-US" w:eastAsia="zh-CN" w:bidi="ar"/>
              </w:rPr>
              <w:t>湘江</w:t>
            </w:r>
            <w:r>
              <w:rPr>
                <w:rFonts w:hint="default" w:ascii="Times New Roman" w:hAnsi="Times New Roman" w:eastAsia="宋体" w:cs="Times New Roman"/>
                <w:b/>
                <w:bCs w:val="0"/>
                <w:color w:val="auto"/>
                <w:sz w:val="21"/>
                <w:szCs w:val="21"/>
                <w:highlight w:val="none"/>
                <w:u w:val="single" w:color="auto"/>
                <w:lang w:val="en-US" w:eastAsia="zh-CN" w:bidi="ar"/>
              </w:rPr>
              <w:t>水环境质量现状监测结果</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3803"/>
              <w:gridCol w:w="3379"/>
              <w:gridCol w:w="43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00" w:hRule="atLeast"/>
                <w:jc w:val="center"/>
              </w:trPr>
              <w:tc>
                <w:tcPr>
                  <w:tcW w:w="2112" w:type="pct"/>
                  <w:gridSpan w:val="2"/>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河流名称</w:t>
                  </w:r>
                </w:p>
              </w:tc>
              <w:tc>
                <w:tcPr>
                  <w:tcW w:w="2887" w:type="pct"/>
                  <w:gridSpan w:val="2"/>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eastAsia" w:ascii="Times New Roman" w:hAnsi="Times New Roman" w:cs="Times New Roman"/>
                      <w:b w:val="0"/>
                      <w:color w:val="auto"/>
                      <w:sz w:val="21"/>
                      <w:szCs w:val="21"/>
                      <w:u w:val="single" w:color="auto"/>
                      <w:lang w:val="en-US" w:eastAsia="zh-CN"/>
                    </w:rPr>
                    <w:t>湘江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112" w:type="pct"/>
                  <w:gridSpan w:val="2"/>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断面名称</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eastAsia" w:ascii="Times New Roman" w:hAnsi="Times New Roman" w:eastAsia="宋体" w:cs="Times New Roman"/>
                      <w:b w:val="0"/>
                      <w:color w:val="auto"/>
                      <w:sz w:val="21"/>
                      <w:szCs w:val="21"/>
                      <w:u w:val="single" w:color="auto"/>
                      <w:lang w:val="en-US" w:eastAsia="zh-CN"/>
                    </w:rPr>
                    <w:t>屈原湘江取水口</w:t>
                  </w:r>
                  <w:r>
                    <w:rPr>
                      <w:rStyle w:val="28"/>
                      <w:rFonts w:hint="eastAsia" w:ascii="Times New Roman" w:hAnsi="Times New Roman" w:cs="Times New Roman"/>
                      <w:b w:val="0"/>
                      <w:color w:val="auto"/>
                      <w:sz w:val="21"/>
                      <w:szCs w:val="21"/>
                      <w:u w:val="single" w:color="auto"/>
                      <w:lang w:val="en-US" w:eastAsia="zh-CN"/>
                    </w:rPr>
                    <w:t>（湘阴县）</w:t>
                  </w:r>
                </w:p>
              </w:tc>
              <w:tc>
                <w:tcPr>
                  <w:tcW w:w="1618" w:type="pct"/>
                  <w:tcBorders>
                    <w:tl2br w:val="nil"/>
                    <w:tr2bl w:val="nil"/>
                  </w:tcBorders>
                  <w:noWrap w:val="0"/>
                  <w:vAlign w:val="center"/>
                </w:tcPr>
                <w:p>
                  <w:pPr>
                    <w:spacing w:line="240" w:lineRule="auto"/>
                    <w:ind w:firstLine="0" w:firstLineChars="0"/>
                    <w:jc w:val="center"/>
                    <w:rPr>
                      <w:rStyle w:val="28"/>
                      <w:rFonts w:hint="eastAsia" w:ascii="Times New Roman" w:hAnsi="Times New Roman" w:eastAsia="宋体" w:cs="Times New Roman"/>
                      <w:b w:val="0"/>
                      <w:color w:val="auto"/>
                      <w:sz w:val="21"/>
                      <w:szCs w:val="21"/>
                      <w:u w:val="single" w:color="auto"/>
                      <w:lang w:val="en-US" w:eastAsia="zh-CN"/>
                    </w:rPr>
                  </w:pPr>
                  <w:r>
                    <w:rPr>
                      <w:rFonts w:hint="eastAsia" w:ascii="Times New Roman" w:hAnsi="Times New Roman" w:eastAsia="宋体" w:cs="Times New Roman"/>
                      <w:color w:val="auto"/>
                      <w:kern w:val="0"/>
                      <w:sz w:val="24"/>
                      <w:szCs w:val="24"/>
                      <w:highlight w:val="none"/>
                      <w:u w:val="single" w:color="auto"/>
                    </w:rPr>
                    <w:t>屈原自来水厂</w:t>
                  </w:r>
                  <w:r>
                    <w:rPr>
                      <w:rFonts w:hint="eastAsia" w:ascii="Times New Roman" w:hAnsi="Times New Roman" w:eastAsia="宋体" w:cs="Times New Roman"/>
                      <w:color w:val="auto"/>
                      <w:kern w:val="0"/>
                      <w:sz w:val="24"/>
                      <w:szCs w:val="24"/>
                      <w:highlight w:val="none"/>
                      <w:u w:val="single" w:color="auto"/>
                      <w:lang w:eastAsia="zh-CN"/>
                    </w:rPr>
                    <w:t>（</w:t>
                  </w:r>
                  <w:r>
                    <w:rPr>
                      <w:rFonts w:hint="eastAsia" w:ascii="Times New Roman" w:hAnsi="Times New Roman" w:eastAsia="宋体" w:cs="Times New Roman"/>
                      <w:color w:val="auto"/>
                      <w:kern w:val="0"/>
                      <w:sz w:val="24"/>
                      <w:szCs w:val="24"/>
                      <w:highlight w:val="none"/>
                      <w:u w:val="single" w:color="auto"/>
                      <w:lang w:val="en-US" w:eastAsia="zh-CN"/>
                    </w:rPr>
                    <w:t>屈原管理区</w:t>
                  </w:r>
                  <w:r>
                    <w:rPr>
                      <w:rFonts w:hint="eastAsia" w:ascii="Times New Roman" w:hAnsi="Times New Roman" w:eastAsia="宋体" w:cs="Times New Roman"/>
                      <w:color w:val="auto"/>
                      <w:kern w:val="0"/>
                      <w:sz w:val="24"/>
                      <w:szCs w:val="24"/>
                      <w:highlight w:val="none"/>
                      <w:u w:val="single" w:color="auto"/>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12" w:type="pct"/>
                  <w:gridSpan w:val="2"/>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断面属性</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省控</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国控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restar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水质类别</w:t>
                  </w: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.1</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2</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3</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4</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5</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6</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7</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8</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9</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w:t>
                  </w:r>
                  <w:r>
                    <w:rPr>
                      <w:rStyle w:val="28"/>
                      <w:rFonts w:hint="eastAsia" w:ascii="Times New Roman" w:hAnsi="Times New Roman" w:eastAsia="宋体" w:cs="Times New Roman"/>
                      <w:b w:val="0"/>
                      <w:color w:val="auto"/>
                      <w:sz w:val="21"/>
                      <w:szCs w:val="21"/>
                      <w:u w:val="single" w:color="auto"/>
                      <w:lang w:val="en-US" w:eastAsia="zh-CN"/>
                    </w:rPr>
                    <w:t>10</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.1</w:t>
                  </w:r>
                  <w:r>
                    <w:rPr>
                      <w:rStyle w:val="28"/>
                      <w:rFonts w:hint="eastAsia" w:ascii="Times New Roman" w:hAnsi="Times New Roman" w:eastAsia="宋体" w:cs="Times New Roman"/>
                      <w:b w:val="0"/>
                      <w:color w:val="auto"/>
                      <w:sz w:val="21"/>
                      <w:szCs w:val="21"/>
                      <w:u w:val="single" w:color="auto"/>
                      <w:lang w:val="en-US" w:eastAsia="zh-CN"/>
                    </w:rPr>
                    <w:t>1</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pct"/>
                  <w:vMerge w:val="continue"/>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p>
              </w:tc>
              <w:tc>
                <w:tcPr>
                  <w:tcW w:w="142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202</w:t>
                  </w:r>
                  <w:r>
                    <w:rPr>
                      <w:rStyle w:val="28"/>
                      <w:rFonts w:hint="eastAsia" w:ascii="Times New Roman" w:hAnsi="Times New Roman" w:eastAsia="宋体" w:cs="Times New Roman"/>
                      <w:b w:val="0"/>
                      <w:color w:val="auto"/>
                      <w:sz w:val="21"/>
                      <w:szCs w:val="21"/>
                      <w:u w:val="single" w:color="auto"/>
                      <w:lang w:val="en-US" w:eastAsia="zh-CN"/>
                    </w:rPr>
                    <w:t>2</w:t>
                  </w:r>
                  <w:r>
                    <w:rPr>
                      <w:rStyle w:val="28"/>
                      <w:rFonts w:hint="default" w:ascii="Times New Roman" w:hAnsi="Times New Roman" w:eastAsia="宋体" w:cs="Times New Roman"/>
                      <w:b w:val="0"/>
                      <w:color w:val="auto"/>
                      <w:sz w:val="21"/>
                      <w:szCs w:val="21"/>
                      <w:u w:val="single" w:color="auto"/>
                      <w:lang w:val="en-US" w:eastAsia="zh-CN"/>
                    </w:rPr>
                    <w:t>.12</w:t>
                  </w:r>
                </w:p>
              </w:tc>
              <w:tc>
                <w:tcPr>
                  <w:tcW w:w="1269"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c>
                <w:tcPr>
                  <w:tcW w:w="1618" w:type="pct"/>
                  <w:tcBorders>
                    <w:tl2br w:val="nil"/>
                    <w:tr2bl w:val="nil"/>
                  </w:tcBorders>
                  <w:noWrap w:val="0"/>
                  <w:vAlign w:val="center"/>
                </w:tcPr>
                <w:p>
                  <w:pPr>
                    <w:spacing w:line="240" w:lineRule="auto"/>
                    <w:ind w:firstLine="0" w:firstLineChars="0"/>
                    <w:jc w:val="center"/>
                    <w:rPr>
                      <w:rStyle w:val="28"/>
                      <w:rFonts w:hint="default" w:ascii="Times New Roman" w:hAnsi="Times New Roman" w:eastAsia="宋体" w:cs="Times New Roman"/>
                      <w:b w:val="0"/>
                      <w:color w:val="auto"/>
                      <w:sz w:val="21"/>
                      <w:szCs w:val="21"/>
                      <w:u w:val="single" w:color="auto"/>
                      <w:lang w:val="en-US" w:eastAsia="zh-CN"/>
                    </w:rPr>
                  </w:pPr>
                  <w:r>
                    <w:rPr>
                      <w:rStyle w:val="28"/>
                      <w:rFonts w:hint="default" w:ascii="Times New Roman" w:hAnsi="Times New Roman" w:eastAsia="宋体" w:cs="Times New Roman"/>
                      <w:b w:val="0"/>
                      <w:color w:val="auto"/>
                      <w:sz w:val="21"/>
                      <w:szCs w:val="21"/>
                      <w:u w:val="single" w:color="auto"/>
                      <w:lang w:val="en-US" w:eastAsia="zh-CN"/>
                    </w:rPr>
                    <w:t>Ⅱ</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u w:val="single" w:color="auto"/>
              </w:rPr>
            </w:pPr>
            <w:r>
              <w:rPr>
                <w:rFonts w:hint="default" w:ascii="Times New Roman" w:hAnsi="Times New Roman" w:cs="Times New Roman"/>
                <w:bCs/>
                <w:color w:val="auto"/>
                <w:sz w:val="24"/>
                <w:u w:val="single" w:color="auto"/>
              </w:rPr>
              <w:t>根据监测结果可知，</w:t>
            </w:r>
            <w:r>
              <w:rPr>
                <w:rFonts w:hint="eastAsia" w:ascii="Times New Roman" w:hAnsi="Times New Roman" w:cs="Times New Roman"/>
                <w:bCs/>
                <w:color w:val="auto"/>
                <w:sz w:val="24"/>
                <w:u w:val="single" w:color="auto"/>
                <w:lang w:val="en-US" w:eastAsia="zh-CN"/>
              </w:rPr>
              <w:t>湘江</w:t>
            </w:r>
            <w:r>
              <w:rPr>
                <w:rFonts w:hint="eastAsia" w:ascii="Times New Roman" w:hAnsi="Times New Roman" w:cs="Times New Roman"/>
                <w:color w:val="auto"/>
                <w:kern w:val="0"/>
                <w:sz w:val="24"/>
                <w:szCs w:val="24"/>
                <w:highlight w:val="none"/>
                <w:u w:val="single" w:color="auto"/>
                <w:lang w:val="en-US" w:eastAsia="zh-CN"/>
              </w:rPr>
              <w:t>屈原湘江取水口（湘阴县）、</w:t>
            </w:r>
            <w:r>
              <w:rPr>
                <w:rFonts w:hint="eastAsia" w:ascii="Times New Roman" w:hAnsi="Times New Roman" w:eastAsia="宋体" w:cs="Times New Roman"/>
                <w:color w:val="auto"/>
                <w:kern w:val="0"/>
                <w:sz w:val="24"/>
                <w:szCs w:val="24"/>
                <w:highlight w:val="none"/>
                <w:u w:val="single" w:color="auto"/>
              </w:rPr>
              <w:t>屈原自来水厂</w:t>
            </w:r>
            <w:r>
              <w:rPr>
                <w:rFonts w:hint="eastAsia" w:ascii="Times New Roman" w:hAnsi="Times New Roman" w:cs="Times New Roman"/>
                <w:color w:val="auto"/>
                <w:kern w:val="0"/>
                <w:sz w:val="24"/>
                <w:szCs w:val="24"/>
                <w:highlight w:val="none"/>
                <w:u w:val="single" w:color="auto"/>
                <w:lang w:eastAsia="zh-CN"/>
              </w:rPr>
              <w:t>（</w:t>
            </w:r>
            <w:r>
              <w:rPr>
                <w:rFonts w:hint="eastAsia" w:ascii="Times New Roman" w:hAnsi="Times New Roman" w:cs="Times New Roman"/>
                <w:color w:val="auto"/>
                <w:kern w:val="0"/>
                <w:sz w:val="24"/>
                <w:szCs w:val="24"/>
                <w:highlight w:val="none"/>
                <w:u w:val="single" w:color="auto"/>
                <w:lang w:val="en-US" w:eastAsia="zh-CN"/>
              </w:rPr>
              <w:t>屈原管理区</w:t>
            </w:r>
            <w:r>
              <w:rPr>
                <w:rFonts w:hint="eastAsia" w:ascii="Times New Roman" w:hAnsi="Times New Roman" w:cs="Times New Roman"/>
                <w:color w:val="auto"/>
                <w:kern w:val="0"/>
                <w:sz w:val="24"/>
                <w:szCs w:val="24"/>
                <w:highlight w:val="none"/>
                <w:u w:val="single" w:color="auto"/>
                <w:lang w:eastAsia="zh-CN"/>
              </w:rPr>
              <w:t>）</w:t>
            </w:r>
            <w:r>
              <w:rPr>
                <w:rFonts w:hint="eastAsia" w:ascii="Times New Roman" w:hAnsi="Times New Roman" w:cs="Times New Roman"/>
                <w:color w:val="auto"/>
                <w:kern w:val="0"/>
                <w:sz w:val="24"/>
                <w:szCs w:val="24"/>
                <w:highlight w:val="none"/>
                <w:u w:val="single" w:color="auto"/>
                <w:lang w:val="en-US" w:eastAsia="zh-CN"/>
              </w:rPr>
              <w:t>断面</w:t>
            </w:r>
            <w:r>
              <w:rPr>
                <w:rFonts w:hint="default" w:ascii="Times New Roman" w:hAnsi="Times New Roman" w:cs="Times New Roman"/>
                <w:bCs/>
                <w:color w:val="auto"/>
                <w:sz w:val="24"/>
                <w:u w:val="single" w:color="auto"/>
              </w:rPr>
              <w:t>水环境质量较好。</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eastAsia="宋体" w:cs="Times New Roman"/>
                <w:b/>
                <w:bCs w:val="0"/>
                <w:color w:val="auto"/>
                <w:sz w:val="21"/>
                <w:szCs w:val="21"/>
                <w:u w:val="none"/>
                <w:lang w:val="en-US" w:eastAsia="zh-CN"/>
              </w:rPr>
              <w:t>表</w:t>
            </w:r>
            <w:r>
              <w:rPr>
                <w:rFonts w:hint="eastAsia" w:eastAsia="宋体" w:cs="Times New Roman"/>
                <w:b/>
                <w:bCs w:val="0"/>
                <w:color w:val="auto"/>
                <w:sz w:val="21"/>
                <w:szCs w:val="21"/>
                <w:u w:val="none"/>
                <w:lang w:val="en-US" w:eastAsia="zh-CN"/>
              </w:rPr>
              <w:t xml:space="preserve">3-3  </w:t>
            </w:r>
            <w:r>
              <w:rPr>
                <w:rFonts w:hint="default" w:ascii="Times New Roman" w:hAnsi="Times New Roman" w:eastAsia="宋体" w:cs="Times New Roman"/>
                <w:b/>
                <w:bCs w:val="0"/>
                <w:color w:val="auto"/>
                <w:sz w:val="21"/>
                <w:szCs w:val="21"/>
                <w:u w:val="none"/>
                <w:lang w:val="en-US" w:eastAsia="zh-CN"/>
              </w:rPr>
              <w:t>W1-W4 断面各因子标准指数计算结果   单位：mg/L 、pH：无量纲、粪大肠菌群：个/L</w:t>
            </w:r>
          </w:p>
          <w:tbl>
            <w:tblPr>
              <w:tblStyle w:val="75"/>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44"/>
              <w:gridCol w:w="815"/>
              <w:gridCol w:w="955"/>
              <w:gridCol w:w="955"/>
              <w:gridCol w:w="955"/>
              <w:gridCol w:w="955"/>
              <w:gridCol w:w="955"/>
              <w:gridCol w:w="955"/>
              <w:gridCol w:w="955"/>
              <w:gridCol w:w="955"/>
              <w:gridCol w:w="955"/>
              <w:gridCol w:w="955"/>
              <w:gridCol w:w="955"/>
              <w:gridCol w:w="95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07"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检测项目</w:t>
                  </w:r>
                </w:p>
              </w:tc>
              <w:tc>
                <w:tcPr>
                  <w:tcW w:w="304"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标准值</w:t>
                  </w:r>
                </w:p>
              </w:tc>
              <w:tc>
                <w:tcPr>
                  <w:tcW w:w="1072" w:type="pct"/>
                  <w:gridSpan w:val="3"/>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W1 白泥湖</w:t>
                  </w:r>
                </w:p>
              </w:tc>
              <w:tc>
                <w:tcPr>
                  <w:tcW w:w="1072" w:type="pct"/>
                  <w:gridSpan w:val="3"/>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W2 范家坝北侧支流</w:t>
                  </w:r>
                </w:p>
              </w:tc>
              <w:tc>
                <w:tcPr>
                  <w:tcW w:w="1072" w:type="pct"/>
                  <w:gridSpan w:val="3"/>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W3 范家坝南侧支流</w:t>
                  </w:r>
                </w:p>
              </w:tc>
              <w:tc>
                <w:tcPr>
                  <w:tcW w:w="1071" w:type="pct"/>
                  <w:gridSpan w:val="3"/>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W4 三汊港南湖</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407"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04"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2022.10.19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pH 值</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6.82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6.85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6.80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6.94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6.97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6.92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7. 11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7. 15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7.08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7.04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7.06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6.98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化学需氧量</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氨氮</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 1.0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0.688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0.712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0.718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1.51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0.903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0.909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0.927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0.754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0.772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0.787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总磷</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总氮</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 1.0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1.50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1.50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1.67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1.65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1.64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悬浮物</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五日生化需氧量</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45.2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48.3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48.5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粪大肠菌群</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 10000(个 /L)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2.7×10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2.3×10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2.4×10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9.4×10</w:t>
                  </w:r>
                  <w:r>
                    <w:rPr>
                      <w:rFonts w:hint="default" w:ascii="Times New Roman" w:hAnsi="Times New Roman" w:eastAsia="宋体" w:cs="Times New Roman"/>
                      <w:color w:val="auto"/>
                      <w:sz w:val="21"/>
                      <w:szCs w:val="21"/>
                      <w:u w:val="none"/>
                      <w:vertAlign w:val="superscript"/>
                      <w:lang w:val="en-US" w:eastAsia="zh-CN"/>
                    </w:rPr>
                    <w:t>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 1×10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1.4×10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1.9×10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2.2×10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2.4×10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1.5×10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1.9×10</w:t>
                  </w:r>
                  <w:r>
                    <w:rPr>
                      <w:rFonts w:hint="default" w:ascii="Times New Roman" w:hAnsi="Times New Roman" w:eastAsia="宋体" w:cs="Times New Roman"/>
                      <w:color w:val="auto"/>
                      <w:sz w:val="21"/>
                      <w:szCs w:val="21"/>
                      <w:u w:val="none"/>
                      <w:vertAlign w:val="superscript"/>
                      <w:lang w:val="en-US" w:eastAsia="zh-CN"/>
                    </w:rPr>
                    <w:t>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1.6×10</w:t>
                  </w:r>
                  <w:r>
                    <w:rPr>
                      <w:rFonts w:hint="default" w:ascii="Times New Roman" w:hAnsi="Times New Roman" w:eastAsia="宋体" w:cs="Times New Roman"/>
                      <w:color w:val="auto"/>
                      <w:sz w:val="21"/>
                      <w:szCs w:val="21"/>
                      <w:u w:val="none"/>
                      <w:vertAlign w:val="superscript"/>
                      <w:lang w:val="en-US" w:eastAsia="zh-CN"/>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溶解氧</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5.92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5.89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5.97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6.04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6.01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6.06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6. 15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6. 13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6. 19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5.94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5.92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5.99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阴离子表面活性剂</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1.25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1.22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1.28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石油类</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六价铬</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硝酸盐</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 10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0.513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0.522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0.491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0.344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0.329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0.341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0.235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0.204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0.226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0.306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0.297</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0.274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硫酸盐</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≤250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7.56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7.54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7.62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11.5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11. 1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11.3</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13.9</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铜</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 1.0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锌</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 1.0</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铅</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镉</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砷</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硒</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0.001L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镍</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0.006</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硫化物</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0.01L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挥发酚</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0.0003L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40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氰化物</w:t>
                  </w:r>
                </w:p>
              </w:tc>
              <w:tc>
                <w:tcPr>
                  <w:tcW w:w="30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0.055</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0.058</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0.054</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c>
                <w:tcPr>
                  <w:tcW w:w="35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0.004L</w:t>
                  </w:r>
                </w:p>
              </w:tc>
            </w:tr>
          </w:tbl>
          <w:p>
            <w:pPr>
              <w:tabs>
                <w:tab w:val="left" w:pos="600"/>
                <w:tab w:val="left" w:pos="7343"/>
              </w:tabs>
              <w:spacing w:line="360" w:lineRule="auto"/>
              <w:ind w:firstLine="480" w:firstLineChars="200"/>
              <w:rPr>
                <w:rFonts w:hint="eastAsia" w:ascii="Times New Roman" w:hAnsi="Times New Roman"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rPr>
              <w:t>由监测结果</w:t>
            </w:r>
            <w:r>
              <w:rPr>
                <w:rFonts w:hint="eastAsia" w:ascii="Times New Roman" w:hAnsi="Times New Roman" w:cs="Times New Roman"/>
                <w:color w:val="auto"/>
                <w:kern w:val="0"/>
                <w:sz w:val="24"/>
                <w:szCs w:val="24"/>
                <w:highlight w:val="none"/>
                <w:lang w:val="en-US" w:eastAsia="zh-CN"/>
              </w:rPr>
              <w:t>可以</w:t>
            </w:r>
            <w:r>
              <w:rPr>
                <w:rFonts w:hint="eastAsia" w:ascii="Times New Roman" w:hAnsi="Times New Roman" w:eastAsia="宋体" w:cs="Times New Roman"/>
                <w:color w:val="auto"/>
                <w:kern w:val="0"/>
                <w:sz w:val="24"/>
                <w:szCs w:val="24"/>
                <w:highlight w:val="none"/>
              </w:rPr>
              <w:t>看出，W1 、W2 、W3 、W4 监测断面中</w:t>
            </w:r>
            <w:r>
              <w:rPr>
                <w:rFonts w:hint="eastAsia" w:ascii="Times New Roman" w:hAnsi="Times New Roman" w:cs="Times New Roman"/>
                <w:color w:val="auto"/>
                <w:kern w:val="0"/>
                <w:sz w:val="24"/>
                <w:szCs w:val="24"/>
                <w:highlight w:val="none"/>
                <w:lang w:val="en-US" w:eastAsia="zh-CN"/>
              </w:rPr>
              <w:t>COD</w:t>
            </w:r>
            <w:r>
              <w:rPr>
                <w:rFonts w:hint="eastAsia" w:ascii="Times New Roman" w:hAnsi="Times New Roman" w:eastAsia="宋体" w:cs="Times New Roman"/>
                <w:color w:val="auto"/>
                <w:kern w:val="0"/>
                <w:sz w:val="24"/>
                <w:szCs w:val="24"/>
                <w:highlight w:val="none"/>
              </w:rPr>
              <w:t>、总氮、悬浮物、</w:t>
            </w:r>
            <w:r>
              <w:rPr>
                <w:rFonts w:hint="eastAsia" w:ascii="Times New Roman" w:hAnsi="Times New Roman" w:cs="Times New Roman"/>
                <w:color w:val="auto"/>
                <w:kern w:val="0"/>
                <w:sz w:val="24"/>
                <w:szCs w:val="24"/>
                <w:highlight w:val="none"/>
                <w:lang w:val="en-US" w:eastAsia="zh-CN"/>
              </w:rPr>
              <w:t>BOD</w:t>
            </w:r>
            <w:r>
              <w:rPr>
                <w:rFonts w:hint="eastAsia" w:ascii="Times New Roman" w:hAnsi="Times New Roman" w:cs="Times New Roman"/>
                <w:color w:val="auto"/>
                <w:kern w:val="0"/>
                <w:sz w:val="24"/>
                <w:szCs w:val="24"/>
                <w:highlight w:val="none"/>
                <w:vertAlign w:val="subscript"/>
                <w:lang w:val="en-US" w:eastAsia="zh-CN"/>
              </w:rPr>
              <w:t>5</w:t>
            </w:r>
            <w:r>
              <w:rPr>
                <w:rFonts w:hint="eastAsia" w:ascii="Times New Roman" w:hAnsi="Times New Roman" w:eastAsia="宋体" w:cs="Times New Roman"/>
                <w:color w:val="auto"/>
                <w:kern w:val="0"/>
                <w:sz w:val="24"/>
                <w:szCs w:val="24"/>
                <w:highlight w:val="none"/>
              </w:rPr>
              <w:t>均超标，W1 监测断面中阴离子表 面活性剂超标，W2 监测断面中总氮、总磷超标，其余监测因子均满足《地表水环境质量标准》  (GB3838-2002) Ⅲ类标准的要求</w:t>
            </w:r>
            <w:r>
              <w:rPr>
                <w:rFonts w:hint="eastAsia" w:ascii="Times New Roman" w:hAnsi="Times New Roman"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4、底泥环境质量现状</w:t>
            </w:r>
          </w:p>
          <w:p>
            <w:pPr>
              <w:tabs>
                <w:tab w:val="left" w:pos="600"/>
                <w:tab w:val="left" w:pos="7343"/>
              </w:tabs>
              <w:spacing w:line="360" w:lineRule="auto"/>
              <w:ind w:firstLine="480" w:firstLineChars="200"/>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根据淤泥泥质监测结果，结合泥质拟利用途径，本次采用农用地土壤污染风险控制标准进行评价，统计见表</w:t>
            </w:r>
            <w:r>
              <w:rPr>
                <w:rFonts w:hint="eastAsia" w:ascii="Times New Roman" w:hAnsi="Times New Roman" w:cs="Times New Roman"/>
                <w:color w:val="auto"/>
                <w:kern w:val="0"/>
                <w:sz w:val="24"/>
                <w:szCs w:val="24"/>
                <w:highlight w:val="none"/>
                <w:lang w:val="en-US" w:eastAsia="zh-CN"/>
              </w:rPr>
              <w:t>3-4</w:t>
            </w:r>
            <w:r>
              <w:rPr>
                <w:rFonts w:hint="eastAsia" w:ascii="Times New Roman" w:hAnsi="Times New Roman" w:cs="Times New Roman"/>
                <w:color w:val="auto"/>
                <w:kern w:val="0"/>
                <w:sz w:val="24"/>
                <w:szCs w:val="24"/>
                <w:highlight w:val="none"/>
                <w:lang w:eastAsia="zh-CN"/>
              </w:rPr>
              <w:t>。</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eastAsia="宋体" w:cs="Times New Roman"/>
                <w:b/>
                <w:bCs w:val="0"/>
                <w:color w:val="auto"/>
                <w:sz w:val="21"/>
                <w:szCs w:val="21"/>
                <w:u w:val="none"/>
                <w:lang w:val="en-US" w:eastAsia="zh-CN"/>
              </w:rPr>
              <w:t>表</w:t>
            </w:r>
            <w:r>
              <w:rPr>
                <w:rFonts w:hint="eastAsia" w:eastAsia="宋体" w:cs="Times New Roman"/>
                <w:b/>
                <w:bCs w:val="0"/>
                <w:color w:val="auto"/>
                <w:sz w:val="21"/>
                <w:szCs w:val="21"/>
                <w:u w:val="none"/>
                <w:lang w:val="en-US" w:eastAsia="zh-CN"/>
              </w:rPr>
              <w:t xml:space="preserve">3-4  </w:t>
            </w:r>
            <w:r>
              <w:rPr>
                <w:rFonts w:hint="default" w:ascii="Times New Roman" w:hAnsi="Times New Roman" w:eastAsia="宋体" w:cs="Times New Roman"/>
                <w:b/>
                <w:bCs w:val="0"/>
                <w:color w:val="auto"/>
                <w:sz w:val="21"/>
                <w:szCs w:val="21"/>
                <w:u w:val="none"/>
                <w:lang w:val="en-US" w:eastAsia="zh-CN"/>
              </w:rPr>
              <w:t>T1-T4 底泥检测结果一览表 ( mg/kg)</w:t>
            </w:r>
          </w:p>
          <w:tbl>
            <w:tblPr>
              <w:tblStyle w:val="75"/>
              <w:tblpPr w:leftFromText="180" w:rightFromText="180" w:vertAnchor="text" w:horzAnchor="page" w:tblpX="3" w:tblpY="105"/>
              <w:tblOverlap w:val="never"/>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145"/>
              <w:gridCol w:w="1022"/>
              <w:gridCol w:w="1720"/>
              <w:gridCol w:w="2521"/>
              <w:gridCol w:w="2521"/>
              <w:gridCol w:w="2133"/>
              <w:gridCol w:w="1214"/>
              <w:gridCol w:w="103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30"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采样时间</w:t>
                  </w:r>
                </w:p>
              </w:tc>
              <w:tc>
                <w:tcPr>
                  <w:tcW w:w="384"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检测项目</w:t>
                  </w:r>
                </w:p>
              </w:tc>
              <w:tc>
                <w:tcPr>
                  <w:tcW w:w="3341" w:type="pct"/>
                  <w:gridSpan w:val="4"/>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采样点位和检测结果 (pH 无量纲，mg/kg)</w:t>
                  </w:r>
                </w:p>
              </w:tc>
              <w:tc>
                <w:tcPr>
                  <w:tcW w:w="456"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标准值</w:t>
                  </w:r>
                </w:p>
              </w:tc>
              <w:tc>
                <w:tcPr>
                  <w:tcW w:w="385"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T1</w:t>
                  </w:r>
                  <w:r>
                    <w:rPr>
                      <w:rFonts w:hint="default" w:ascii="Times New Roman" w:hAnsi="Times New Roman" w:eastAsia="宋体" w:cs="Times New Roman"/>
                      <w:color w:val="auto"/>
                      <w:sz w:val="21"/>
                      <w:szCs w:val="21"/>
                      <w:u w:val="none"/>
                      <w:lang w:val="en-US" w:eastAsia="zh-CN"/>
                    </w:rPr>
                    <w:t>白泥湖</w:t>
                  </w:r>
                  <w:r>
                    <w:rPr>
                      <w:rFonts w:hint="eastAsia" w:ascii="Times New Roman" w:hAnsi="Times New Roman" w:cs="Times New Roman"/>
                      <w:color w:val="auto"/>
                      <w:sz w:val="21"/>
                      <w:szCs w:val="21"/>
                      <w:u w:val="none"/>
                      <w:lang w:val="en-US" w:eastAsia="zh-CN"/>
                    </w:rPr>
                    <w:t>中心</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T2范家坝北侧支流中心</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T3范家坝南侧支流中心</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T4三汊港南湖中心</w:t>
                  </w:r>
                </w:p>
              </w:tc>
              <w:tc>
                <w:tcPr>
                  <w:tcW w:w="456"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5"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430" w:type="pct"/>
                  <w:vMerge w:val="restar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2022. 10. 17</w:t>
                  </w: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pH</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6.88</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6.72</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6.89</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6.93</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6.5&lt;pH≤7.5</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铜</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53</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37</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24</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100</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锌</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103</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111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94</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76</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250</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铅</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54</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37</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44</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36</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120</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镉</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0.23</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0. 11</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0.05</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0.3</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镍</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33</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42</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35</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100</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总铬</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181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162</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177</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175</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200</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砷</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21.2</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19. 1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21.0</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22.4</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30</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30" w:type="pct"/>
                  <w:vMerge w:val="continue"/>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p>
              </w:tc>
              <w:tc>
                <w:tcPr>
                  <w:tcW w:w="384"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汞</w:t>
                  </w:r>
                </w:p>
              </w:tc>
              <w:tc>
                <w:tcPr>
                  <w:tcW w:w="64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0.760</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0.361</w:t>
                  </w:r>
                </w:p>
              </w:tc>
              <w:tc>
                <w:tcPr>
                  <w:tcW w:w="947"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0.565</w:t>
                  </w:r>
                </w:p>
              </w:tc>
              <w:tc>
                <w:tcPr>
                  <w:tcW w:w="801"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0.764</w:t>
                  </w:r>
                </w:p>
              </w:tc>
              <w:tc>
                <w:tcPr>
                  <w:tcW w:w="456"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2.4</w:t>
                  </w:r>
                </w:p>
              </w:tc>
              <w:tc>
                <w:tcPr>
                  <w:tcW w:w="385" w:type="pct"/>
                  <w:tcBorders>
                    <w:tl2br w:val="nil"/>
                    <w:tr2bl w:val="nil"/>
                  </w:tcBorders>
                  <w:vAlign w:val="center"/>
                </w:tcPr>
                <w:p>
                  <w:pPr>
                    <w:bidi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000" w:type="pct"/>
                  <w:gridSpan w:val="8"/>
                  <w:tcBorders>
                    <w:tl2br w:val="nil"/>
                    <w:tr2bl w:val="nil"/>
                  </w:tcBorders>
                  <w:vAlign w:val="center"/>
                </w:tcPr>
                <w:p>
                  <w:pPr>
                    <w:bidi w:val="0"/>
                    <w:jc w:val="both"/>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备注：“检出限+L”表示检测结果低于本方法检出限，未检出。</w:t>
                  </w:r>
                </w:p>
              </w:tc>
            </w:tr>
          </w:tbl>
          <w:p>
            <w:pPr>
              <w:tabs>
                <w:tab w:val="left" w:pos="600"/>
                <w:tab w:val="left" w:pos="7343"/>
              </w:tabs>
              <w:spacing w:line="360" w:lineRule="auto"/>
              <w:ind w:firstLine="480" w:firstLineChars="200"/>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根据监测数据分析表明，规划采区各项监测因子均能满足《土壤环境质量标准 农用地土壤污染风险管控标准 (试行) 》 (GB15618-2018) 表 1 中的筛选值，当地底泥土壤环境总体良好。</w:t>
            </w:r>
          </w:p>
          <w:p>
            <w:pPr>
              <w:tabs>
                <w:tab w:val="left" w:pos="600"/>
                <w:tab w:val="left" w:pos="7343"/>
              </w:tabs>
              <w:spacing w:line="360" w:lineRule="auto"/>
              <w:ind w:firstLine="420" w:firstLineChars="200"/>
              <w:rPr>
                <w:rFonts w:hint="eastAsia" w:ascii="Times New Roman" w:hAnsi="Times New Roman" w:eastAsia="宋体"/>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eastAsia="宋体"/>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eastAsia" w:ascii="Times New Roman" w:hAnsi="Times New Roman"/>
                <w:color w:val="auto"/>
                <w:kern w:val="0"/>
                <w:szCs w:val="21"/>
                <w:lang w:val="en-US" w:eastAsia="zh-CN"/>
              </w:rPr>
            </w:pPr>
          </w:p>
          <w:p>
            <w:pPr>
              <w:tabs>
                <w:tab w:val="left" w:pos="600"/>
                <w:tab w:val="left" w:pos="7343"/>
              </w:tabs>
              <w:spacing w:line="360" w:lineRule="auto"/>
              <w:ind w:firstLine="420" w:firstLineChars="200"/>
              <w:rPr>
                <w:rFonts w:hint="default" w:ascii="Times New Roman" w:hAnsi="Times New Roman" w:eastAsia="宋体"/>
                <w:color w:val="auto"/>
                <w:kern w:val="0"/>
                <w:szCs w:val="21"/>
                <w:lang w:val="en-US" w:eastAsia="zh-CN"/>
              </w:rPr>
            </w:pPr>
          </w:p>
        </w:tc>
      </w:tr>
    </w:tbl>
    <w:p>
      <w:pPr>
        <w:pStyle w:val="22"/>
        <w:jc w:val="both"/>
        <w:outlineLvl w:val="9"/>
        <w:rPr>
          <w:rFonts w:hint="eastAsia" w:ascii="Times New Roman" w:hAnsi="Times New Roman" w:eastAsia="黑体"/>
          <w:snapToGrid w:val="0"/>
          <w:color w:val="auto"/>
          <w:kern w:val="2"/>
          <w:sz w:val="36"/>
          <w:szCs w:val="36"/>
          <w:lang w:val="en-US" w:eastAsia="zh-CN"/>
        </w:rPr>
        <w:sectPr>
          <w:pgSz w:w="16838" w:h="11906" w:orient="landscape"/>
          <w:pgMar w:top="1800" w:right="1440" w:bottom="1800" w:left="1440"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0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7" w:type="pct"/>
            <w:vAlign w:val="center"/>
          </w:tcPr>
          <w:p>
            <w:pPr>
              <w:adjustRightInd w:val="0"/>
              <w:snapToGrid w:val="0"/>
              <w:jc w:val="center"/>
              <w:rPr>
                <w:rFonts w:ascii="Times New Roman" w:hAnsi="Times New Roman"/>
                <w:color w:val="auto"/>
                <w:kern w:val="0"/>
                <w:szCs w:val="21"/>
              </w:rPr>
            </w:pPr>
          </w:p>
        </w:tc>
        <w:tc>
          <w:tcPr>
            <w:tcW w:w="4732" w:type="pct"/>
            <w:vAlign w:val="center"/>
          </w:tcPr>
          <w:p>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5、声环境现状</w:t>
            </w:r>
          </w:p>
          <w:p>
            <w:pPr>
              <w:tabs>
                <w:tab w:val="left" w:pos="600"/>
                <w:tab w:val="left" w:pos="7343"/>
              </w:tabs>
              <w:spacing w:line="360" w:lineRule="auto"/>
              <w:ind w:firstLine="480" w:firstLineChars="200"/>
              <w:rPr>
                <w:rFonts w:hint="eastAsia" w:ascii="Times New Roman" w:hAnsi="Times New Roman" w:eastAsia="宋体" w:cs="Times New Roman"/>
                <w:color w:val="auto"/>
                <w:kern w:val="0"/>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1</w:t>
            </w:r>
            <w:r>
              <w:rPr>
                <w:rFonts w:hint="eastAsia" w:ascii="Times New Roman" w:hAnsi="Times New Roman"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rPr>
              <w:t>监测点布置</w:t>
            </w:r>
          </w:p>
          <w:p>
            <w:pPr>
              <w:tabs>
                <w:tab w:val="left" w:pos="600"/>
                <w:tab w:val="left" w:pos="7343"/>
              </w:tabs>
              <w:spacing w:line="360" w:lineRule="auto"/>
              <w:ind w:firstLine="480" w:firstLineChars="200"/>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根据项目实际情况，共布设了1</w:t>
            </w:r>
            <w:r>
              <w:rPr>
                <w:rFonts w:hint="eastAsia" w:ascii="Times New Roman" w:hAnsi="Times New Roman"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个噪声监测点，见表</w:t>
            </w:r>
            <w:r>
              <w:rPr>
                <w:rFonts w:hint="eastAsia" w:ascii="Times New Roman" w:hAnsi="Times New Roman" w:cs="Times New Roman"/>
                <w:color w:val="auto"/>
                <w:kern w:val="0"/>
                <w:sz w:val="24"/>
                <w:szCs w:val="24"/>
                <w:highlight w:val="none"/>
                <w:lang w:val="en-US" w:eastAsia="zh-CN"/>
              </w:rPr>
              <w:t>3-5</w:t>
            </w:r>
            <w:r>
              <w:rPr>
                <w:rFonts w:hint="eastAsia" w:ascii="Times New Roman" w:hAnsi="Times New Roman" w:eastAsia="宋体" w:cs="Times New Roman"/>
                <w:color w:val="auto"/>
                <w:kern w:val="0"/>
                <w:sz w:val="24"/>
                <w:szCs w:val="24"/>
                <w:highlight w:val="none"/>
              </w:rPr>
              <w:t>。</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eastAsia="宋体" w:cs="Times New Roman"/>
                <w:b/>
                <w:bCs w:val="0"/>
                <w:color w:val="auto"/>
                <w:sz w:val="21"/>
                <w:szCs w:val="21"/>
                <w:u w:val="none"/>
                <w:lang w:val="en-US" w:eastAsia="zh-CN"/>
              </w:rPr>
              <w:t>表</w:t>
            </w:r>
            <w:r>
              <w:rPr>
                <w:rFonts w:hint="eastAsia" w:eastAsia="宋体" w:cs="Times New Roman"/>
                <w:b/>
                <w:bCs w:val="0"/>
                <w:color w:val="auto"/>
                <w:sz w:val="21"/>
                <w:szCs w:val="21"/>
                <w:u w:val="none"/>
                <w:lang w:val="en-US" w:eastAsia="zh-CN"/>
              </w:rPr>
              <w:t xml:space="preserve">3-5  </w:t>
            </w:r>
            <w:r>
              <w:rPr>
                <w:rFonts w:hint="default" w:ascii="Times New Roman" w:hAnsi="Times New Roman" w:eastAsia="宋体" w:cs="Times New Roman"/>
                <w:b/>
                <w:bCs w:val="0"/>
                <w:color w:val="auto"/>
                <w:sz w:val="21"/>
                <w:szCs w:val="21"/>
                <w:u w:val="none"/>
                <w:lang w:val="en-US" w:eastAsia="zh-CN"/>
              </w:rPr>
              <w:t>声环境质量监测点位</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248"/>
              <w:gridCol w:w="674"/>
              <w:gridCol w:w="3316"/>
              <w:gridCol w:w="13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tcBorders>
                    <w:bottom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lang w:eastAsia="zh-CN"/>
                    </w:rPr>
                    <w:t>所对应河段</w:t>
                  </w:r>
                </w:p>
              </w:tc>
              <w:tc>
                <w:tcPr>
                  <w:tcW w:w="795" w:type="pct"/>
                  <w:tcBorders>
                    <w:bottom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lang w:eastAsia="zh-CN"/>
                    </w:rPr>
                    <w:t>所对应采区</w:t>
                  </w:r>
                </w:p>
              </w:tc>
              <w:tc>
                <w:tcPr>
                  <w:tcW w:w="429" w:type="pct"/>
                  <w:tcBorders>
                    <w:bottom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rPr>
                    <w:t>序号</w:t>
                  </w:r>
                </w:p>
              </w:tc>
              <w:tc>
                <w:tcPr>
                  <w:tcW w:w="2112" w:type="pct"/>
                  <w:tcBorders>
                    <w:bottom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rPr>
                    <w:t>监测点位置</w:t>
                  </w:r>
                </w:p>
              </w:tc>
              <w:tc>
                <w:tcPr>
                  <w:tcW w:w="873" w:type="pct"/>
                  <w:tcBorders>
                    <w:bottom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bCs/>
                      <w:caps w:val="0"/>
                      <w:smallCaps w:val="0"/>
                      <w:color w:val="auto"/>
                      <w:spacing w:val="0"/>
                      <w:w w:val="100"/>
                      <w:position w:val="0"/>
                      <w:sz w:val="21"/>
                      <w:szCs w:val="21"/>
                      <w:highlight w:val="none"/>
                      <w:shd w:val="clear" w:color="auto" w:fill="auto"/>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uto"/>
                    <w:ind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p>
              </w:tc>
              <w:tc>
                <w:tcPr>
                  <w:tcW w:w="795" w:type="pct"/>
                  <w:vMerge w:val="restart"/>
                  <w:tcBorders>
                    <w:top w:val="single" w:color="auto" w:sz="12" w:space="0"/>
                  </w:tcBorders>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p>
              </w:tc>
              <w:tc>
                <w:tcPr>
                  <w:tcW w:w="429" w:type="pct"/>
                  <w:tcBorders>
                    <w:top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N1</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w:t>
                  </w:r>
                </w:p>
              </w:tc>
              <w:tc>
                <w:tcPr>
                  <w:tcW w:w="2112" w:type="pct"/>
                  <w:tcBorders>
                    <w:top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东侧厂界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tcBorders>
                    <w:top w:val="single" w:color="auto" w:sz="12"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2</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南侧厂界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1-3</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西侧厂界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1-4</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白泥湖采区附近居民点</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白泥湖乡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1-5</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北侧厂界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uto"/>
                    <w:ind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w:t>
                  </w:r>
                </w:p>
              </w:tc>
              <w:tc>
                <w:tcPr>
                  <w:tcW w:w="795" w:type="pct"/>
                  <w:vMerge w:val="restart"/>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w:t>
                  </w: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2-1</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范家坝采区北侧支流</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东厂界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2-2</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范家坝采区北侧支流南侧附近居民点</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马尾州居民点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2-3</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范家坝采区西</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2-4</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范家坝采区北侧支流北侧附近居民点</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2-5</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范家坝采区南侧支流东</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2-6</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范家坝采区南侧支流南侧附近居民点</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箭毛咀居民点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pStyle w:val="62"/>
                    <w:keepNext w:val="0"/>
                    <w:keepLines w:val="0"/>
                    <w:pageBreakBefore w:val="0"/>
                    <w:widowControl w:val="0"/>
                    <w:kinsoku/>
                    <w:wordWrap/>
                    <w:overflowPunct/>
                    <w:topLinePunct w:val="0"/>
                    <w:autoSpaceDE/>
                    <w:autoSpaceDN/>
                    <w:bidi w:val="0"/>
                    <w:adjustRightInd/>
                    <w:spacing w:before="0" w:beforeAutospacing="0" w:line="240" w:lineRule="auto"/>
                    <w:ind w:left="0" w:leftChars="0"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2-7</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范家坝采区南侧支流北侧附近居民点</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240" w:lineRule="auto"/>
                    <w:ind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w:t>
                  </w:r>
                </w:p>
              </w:tc>
              <w:tc>
                <w:tcPr>
                  <w:tcW w:w="795" w:type="pct"/>
                  <w:vMerge w:val="restart"/>
                  <w:noWrap w:val="0"/>
                  <w:vAlign w:val="center"/>
                </w:tcPr>
                <w:p>
                  <w:pPr>
                    <w:pStyle w:val="62"/>
                    <w:keepNext w:val="0"/>
                    <w:keepLines w:val="0"/>
                    <w:pageBreakBefore w:val="0"/>
                    <w:kinsoku/>
                    <w:wordWrap/>
                    <w:overflowPunct/>
                    <w:topLinePunct w:val="0"/>
                    <w:autoSpaceDE/>
                    <w:autoSpaceDN/>
                    <w:bidi w:val="0"/>
                    <w:spacing w:before="0" w:beforeAutospacing="0" w:line="240" w:lineRule="auto"/>
                    <w:ind w:right="0" w:rightChars="0"/>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w:t>
                  </w: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3-1</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三汊港南湖采区东</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3-2</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三汊港南湖采区南</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3-3</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三汊港南湖采区西侧附近居民点</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三</w:t>
                  </w: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汊</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3-4</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三汊港南湖采区北</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9"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795" w:type="pct"/>
                  <w:vMerge w:val="continue"/>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p>
              </w:tc>
              <w:tc>
                <w:tcPr>
                  <w:tcW w:w="429"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3-5</w:t>
                  </w:r>
                </w:p>
              </w:tc>
              <w:tc>
                <w:tcPr>
                  <w:tcW w:w="2112"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三汊港南湖采区东北</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873" w:type="pct"/>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张家坝</w:t>
                  </w:r>
                </w:p>
              </w:tc>
            </w:tr>
          </w:tbl>
          <w:p>
            <w:pPr>
              <w:tabs>
                <w:tab w:val="left" w:pos="600"/>
                <w:tab w:val="left" w:pos="7343"/>
              </w:tabs>
              <w:spacing w:line="360" w:lineRule="auto"/>
              <w:ind w:firstLine="480" w:firstLineChars="200"/>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w:t>
            </w:r>
            <w:r>
              <w:rPr>
                <w:rFonts w:hint="eastAsia" w:ascii="Times New Roman" w:hAnsi="Times New Roman" w:cs="Times New Roman"/>
                <w:color w:val="auto"/>
                <w:kern w:val="0"/>
                <w:sz w:val="24"/>
                <w:szCs w:val="24"/>
                <w:highlight w:val="none"/>
                <w:lang w:eastAsia="zh-CN"/>
              </w:rPr>
              <w:t>监测结果</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eastAsia="宋体" w:cs="Times New Roman"/>
                <w:b/>
                <w:bCs w:val="0"/>
                <w:color w:val="auto"/>
                <w:sz w:val="21"/>
                <w:szCs w:val="21"/>
                <w:u w:val="none"/>
                <w:lang w:val="en-US" w:eastAsia="zh-CN"/>
              </w:rPr>
              <w:t>表</w:t>
            </w:r>
            <w:r>
              <w:rPr>
                <w:rFonts w:hint="eastAsia" w:eastAsia="宋体" w:cs="Times New Roman"/>
                <w:b/>
                <w:bCs w:val="0"/>
                <w:color w:val="auto"/>
                <w:sz w:val="21"/>
                <w:szCs w:val="21"/>
                <w:u w:val="none"/>
                <w:lang w:val="en-US" w:eastAsia="zh-CN"/>
              </w:rPr>
              <w:t xml:space="preserve">3-6  </w:t>
            </w:r>
            <w:r>
              <w:rPr>
                <w:rFonts w:hint="default" w:ascii="Times New Roman" w:hAnsi="Times New Roman" w:eastAsia="宋体" w:cs="Times New Roman"/>
                <w:b/>
                <w:bCs w:val="0"/>
                <w:color w:val="auto"/>
                <w:sz w:val="21"/>
                <w:szCs w:val="21"/>
                <w:u w:val="none"/>
                <w:lang w:val="en-US" w:eastAsia="zh-CN"/>
              </w:rPr>
              <w:t>声环境监测结果一览表</w:t>
            </w:r>
          </w:p>
          <w:tbl>
            <w:tblPr>
              <w:tblStyle w:val="25"/>
              <w:tblW w:w="4998" w:type="pct"/>
              <w:jc w:val="center"/>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Layout w:type="fixed"/>
              <w:tblCellMar>
                <w:top w:w="0" w:type="dxa"/>
                <w:left w:w="108" w:type="dxa"/>
                <w:bottom w:w="0" w:type="dxa"/>
                <w:right w:w="108" w:type="dxa"/>
              </w:tblCellMar>
            </w:tblPr>
            <w:tblGrid>
              <w:gridCol w:w="661"/>
              <w:gridCol w:w="3631"/>
              <w:gridCol w:w="763"/>
              <w:gridCol w:w="810"/>
              <w:gridCol w:w="989"/>
              <w:gridCol w:w="994"/>
            </w:tblGrid>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Merge w:val="restart"/>
                  <w:tcBorders>
                    <w:lef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kern w:val="0"/>
                      <w:position w:val="0"/>
                      <w:sz w:val="21"/>
                      <w:szCs w:val="21"/>
                      <w:highlight w:val="none"/>
                      <w:lang w:eastAsia="zh-CN"/>
                    </w:rPr>
                  </w:pPr>
                  <w:r>
                    <w:rPr>
                      <w:rFonts w:hint="default" w:ascii="Times New Roman" w:hAnsi="Times New Roman" w:eastAsia="宋体" w:cs="Times New Roman"/>
                      <w:b/>
                      <w:bCs/>
                      <w:caps w:val="0"/>
                      <w:smallCaps w:val="0"/>
                      <w:snapToGrid w:val="0"/>
                      <w:color w:val="auto"/>
                      <w:spacing w:val="0"/>
                      <w:w w:val="100"/>
                      <w:kern w:val="0"/>
                      <w:position w:val="0"/>
                      <w:sz w:val="21"/>
                      <w:szCs w:val="21"/>
                      <w:highlight w:val="none"/>
                      <w:lang w:eastAsia="zh-CN"/>
                    </w:rPr>
                    <w:t>编号</w:t>
                  </w:r>
                </w:p>
              </w:tc>
              <w:tc>
                <w:tcPr>
                  <w:tcW w:w="2313" w:type="pct"/>
                  <w:vMerge w:val="restart"/>
                  <w:tcBorders>
                    <w:left w:val="nil"/>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kern w:val="0"/>
                      <w:position w:val="0"/>
                      <w:sz w:val="21"/>
                      <w:szCs w:val="21"/>
                      <w:highlight w:val="none"/>
                    </w:rPr>
                  </w:pPr>
                  <w:r>
                    <w:rPr>
                      <w:rFonts w:hint="default" w:ascii="Times New Roman" w:hAnsi="Times New Roman" w:eastAsia="宋体" w:cs="Times New Roman"/>
                      <w:b/>
                      <w:bCs/>
                      <w:caps w:val="0"/>
                      <w:smallCaps w:val="0"/>
                      <w:snapToGrid w:val="0"/>
                      <w:color w:val="auto"/>
                      <w:spacing w:val="0"/>
                      <w:w w:val="100"/>
                      <w:kern w:val="0"/>
                      <w:position w:val="0"/>
                      <w:sz w:val="21"/>
                      <w:szCs w:val="21"/>
                      <w:highlight w:val="none"/>
                    </w:rPr>
                    <w:t>采样点位</w:t>
                  </w:r>
                </w:p>
              </w:tc>
              <w:tc>
                <w:tcPr>
                  <w:tcW w:w="2265" w:type="pct"/>
                  <w:gridSpan w:val="4"/>
                  <w:tcBorders>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kern w:val="0"/>
                      <w:position w:val="0"/>
                      <w:sz w:val="21"/>
                      <w:szCs w:val="21"/>
                      <w:highlight w:val="none"/>
                    </w:rPr>
                  </w:pPr>
                  <w:r>
                    <w:rPr>
                      <w:rFonts w:hint="default" w:ascii="Times New Roman" w:hAnsi="Times New Roman" w:eastAsia="宋体" w:cs="Times New Roman"/>
                      <w:b/>
                      <w:bCs/>
                      <w:caps w:val="0"/>
                      <w:smallCaps w:val="0"/>
                      <w:snapToGrid w:val="0"/>
                      <w:color w:val="auto"/>
                      <w:spacing w:val="0"/>
                      <w:w w:val="100"/>
                      <w:kern w:val="0"/>
                      <w:position w:val="0"/>
                      <w:sz w:val="21"/>
                      <w:szCs w:val="21"/>
                      <w:highlight w:val="none"/>
                    </w:rPr>
                    <w:t>采样时间及检测结果</w:t>
                  </w:r>
                  <w:r>
                    <w:rPr>
                      <w:rFonts w:hint="default" w:ascii="Times New Roman" w:hAnsi="Times New Roman" w:eastAsia="宋体" w:cs="Times New Roman"/>
                      <w:b/>
                      <w:bCs/>
                      <w:caps w:val="0"/>
                      <w:smallCaps w:val="0"/>
                      <w:color w:val="auto"/>
                      <w:spacing w:val="0"/>
                      <w:w w:val="100"/>
                      <w:position w:val="0"/>
                      <w:sz w:val="21"/>
                      <w:szCs w:val="21"/>
                      <w:highlight w:val="none"/>
                      <w:shd w:val="clear" w:color="auto" w:fill="FFFFFF"/>
                    </w:rPr>
                    <w:t>dB（A）</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Merge w:val="continue"/>
                  <w:tcBorders>
                    <w:left w:val="nil"/>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rPr>
                  </w:pPr>
                </w:p>
              </w:tc>
              <w:tc>
                <w:tcPr>
                  <w:tcW w:w="2313" w:type="pct"/>
                  <w:vMerge w:val="continue"/>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rPr>
                  </w:pPr>
                </w:p>
              </w:tc>
              <w:tc>
                <w:tcPr>
                  <w:tcW w:w="1002" w:type="pct"/>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bCs/>
                      <w:caps w:val="0"/>
                      <w:smallCaps w:val="0"/>
                      <w:snapToGrid w:val="0"/>
                      <w:color w:val="auto"/>
                      <w:spacing w:val="0"/>
                      <w:w w:val="100"/>
                      <w:position w:val="0"/>
                      <w:sz w:val="21"/>
                      <w:szCs w:val="21"/>
                      <w:highlight w:val="none"/>
                      <w:lang w:val="en-US" w:eastAsia="zh-CN"/>
                    </w:rPr>
                    <w:t>2022.10.17</w:t>
                  </w:r>
                </w:p>
              </w:tc>
              <w:tc>
                <w:tcPr>
                  <w:tcW w:w="1263" w:type="pct"/>
                  <w:gridSpan w:val="2"/>
                  <w:tcBorders>
                    <w:top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bCs/>
                      <w:caps w:val="0"/>
                      <w:smallCaps w:val="0"/>
                      <w:snapToGrid w:val="0"/>
                      <w:color w:val="auto"/>
                      <w:spacing w:val="0"/>
                      <w:w w:val="100"/>
                      <w:position w:val="0"/>
                      <w:sz w:val="21"/>
                      <w:szCs w:val="21"/>
                      <w:highlight w:val="none"/>
                      <w:lang w:val="en-US" w:eastAsia="zh-CN"/>
                    </w:rPr>
                    <w:t>2022.10.18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Merge w:val="continue"/>
                  <w:tcBorders>
                    <w:left w:val="nil"/>
                    <w:bottom w:val="single" w:color="auto" w:sz="12"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rPr>
                  </w:pPr>
                </w:p>
              </w:tc>
              <w:tc>
                <w:tcPr>
                  <w:tcW w:w="2313" w:type="pct"/>
                  <w:vMerge w:val="continue"/>
                  <w:tcBorders>
                    <w:top w:val="single" w:color="auto" w:sz="4" w:space="0"/>
                    <w:left w:val="nil"/>
                    <w:bottom w:val="single" w:color="auto" w:sz="12"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b/>
                      <w:bCs/>
                      <w:caps w:val="0"/>
                      <w:smallCaps w:val="0"/>
                      <w:color w:val="auto"/>
                      <w:spacing w:val="0"/>
                      <w:w w:val="100"/>
                      <w:position w:val="0"/>
                      <w:sz w:val="21"/>
                      <w:szCs w:val="21"/>
                      <w:highlight w:val="none"/>
                    </w:rPr>
                  </w:pPr>
                </w:p>
              </w:tc>
              <w:tc>
                <w:tcPr>
                  <w:tcW w:w="486" w:type="pct"/>
                  <w:tcBorders>
                    <w:top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position w:val="0"/>
                      <w:sz w:val="21"/>
                      <w:szCs w:val="21"/>
                      <w:highlight w:val="none"/>
                    </w:rPr>
                  </w:pPr>
                  <w:r>
                    <w:rPr>
                      <w:rFonts w:hint="default" w:ascii="Times New Roman" w:hAnsi="Times New Roman" w:eastAsia="宋体" w:cs="Times New Roman"/>
                      <w:b/>
                      <w:bCs/>
                      <w:caps w:val="0"/>
                      <w:smallCaps w:val="0"/>
                      <w:snapToGrid w:val="0"/>
                      <w:color w:val="auto"/>
                      <w:spacing w:val="0"/>
                      <w:w w:val="100"/>
                      <w:position w:val="0"/>
                      <w:sz w:val="21"/>
                      <w:szCs w:val="21"/>
                      <w:highlight w:val="none"/>
                    </w:rPr>
                    <w:t>昼间</w:t>
                  </w:r>
                </w:p>
              </w:tc>
              <w:tc>
                <w:tcPr>
                  <w:tcW w:w="516" w:type="pct"/>
                  <w:tcBorders>
                    <w:top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position w:val="0"/>
                      <w:sz w:val="21"/>
                      <w:szCs w:val="21"/>
                      <w:highlight w:val="none"/>
                    </w:rPr>
                  </w:pPr>
                  <w:r>
                    <w:rPr>
                      <w:rFonts w:hint="default" w:ascii="Times New Roman" w:hAnsi="Times New Roman" w:eastAsia="宋体" w:cs="Times New Roman"/>
                      <w:b/>
                      <w:bCs/>
                      <w:caps w:val="0"/>
                      <w:smallCaps w:val="0"/>
                      <w:snapToGrid w:val="0"/>
                      <w:color w:val="auto"/>
                      <w:spacing w:val="0"/>
                      <w:w w:val="100"/>
                      <w:position w:val="0"/>
                      <w:sz w:val="21"/>
                      <w:szCs w:val="21"/>
                      <w:highlight w:val="none"/>
                    </w:rPr>
                    <w:t>夜间</w:t>
                  </w:r>
                </w:p>
              </w:tc>
              <w:tc>
                <w:tcPr>
                  <w:tcW w:w="630" w:type="pct"/>
                  <w:tcBorders>
                    <w:top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position w:val="0"/>
                      <w:sz w:val="21"/>
                      <w:szCs w:val="21"/>
                      <w:highlight w:val="none"/>
                    </w:rPr>
                  </w:pPr>
                  <w:r>
                    <w:rPr>
                      <w:rFonts w:hint="default" w:ascii="Times New Roman" w:hAnsi="Times New Roman" w:eastAsia="宋体" w:cs="Times New Roman"/>
                      <w:b/>
                      <w:bCs/>
                      <w:caps w:val="0"/>
                      <w:smallCaps w:val="0"/>
                      <w:snapToGrid w:val="0"/>
                      <w:color w:val="auto"/>
                      <w:spacing w:val="0"/>
                      <w:w w:val="100"/>
                      <w:position w:val="0"/>
                      <w:sz w:val="21"/>
                      <w:szCs w:val="21"/>
                      <w:highlight w:val="none"/>
                    </w:rPr>
                    <w:t>昼间</w:t>
                  </w:r>
                </w:p>
              </w:tc>
              <w:tc>
                <w:tcPr>
                  <w:tcW w:w="633" w:type="pct"/>
                  <w:tcBorders>
                    <w:top w:val="single" w:color="auto" w:sz="4" w:space="0"/>
                    <w:bottom w:val="single" w:color="auto" w:sz="12"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aps w:val="0"/>
                      <w:smallCaps w:val="0"/>
                      <w:snapToGrid w:val="0"/>
                      <w:color w:val="auto"/>
                      <w:spacing w:val="0"/>
                      <w:w w:val="100"/>
                      <w:position w:val="0"/>
                      <w:sz w:val="21"/>
                      <w:szCs w:val="21"/>
                      <w:highlight w:val="none"/>
                    </w:rPr>
                  </w:pPr>
                  <w:r>
                    <w:rPr>
                      <w:rFonts w:hint="default" w:ascii="Times New Roman" w:hAnsi="Times New Roman" w:eastAsia="宋体" w:cs="Times New Roman"/>
                      <w:b/>
                      <w:bCs/>
                      <w:caps w:val="0"/>
                      <w:smallCaps w:val="0"/>
                      <w:snapToGrid w:val="0"/>
                      <w:color w:val="auto"/>
                      <w:spacing w:val="0"/>
                      <w:w w:val="100"/>
                      <w:position w:val="0"/>
                      <w:sz w:val="21"/>
                      <w:szCs w:val="21"/>
                      <w:highlight w:val="none"/>
                    </w:rPr>
                    <w:t>夜间</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12"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N1</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w:t>
                  </w:r>
                </w:p>
              </w:tc>
              <w:tc>
                <w:tcPr>
                  <w:tcW w:w="2313" w:type="pct"/>
                  <w:tcBorders>
                    <w:top w:val="single" w:color="auto" w:sz="12"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东侧厂界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12"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44.9</w:t>
                  </w:r>
                </w:p>
              </w:tc>
              <w:tc>
                <w:tcPr>
                  <w:tcW w:w="516" w:type="pct"/>
                  <w:tcBorders>
                    <w:top w:val="single" w:color="auto" w:sz="12"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40.5</w:t>
                  </w:r>
                </w:p>
              </w:tc>
              <w:tc>
                <w:tcPr>
                  <w:tcW w:w="630" w:type="pct"/>
                  <w:tcBorders>
                    <w:top w:val="single" w:color="auto" w:sz="12"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45.5</w:t>
                  </w:r>
                </w:p>
              </w:tc>
              <w:tc>
                <w:tcPr>
                  <w:tcW w:w="633" w:type="pct"/>
                  <w:tcBorders>
                    <w:top w:val="single" w:color="auto" w:sz="12"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39.7</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2</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南侧厂界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49.4</w:t>
                  </w:r>
                </w:p>
              </w:tc>
              <w:tc>
                <w:tcPr>
                  <w:tcW w:w="516"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44.1</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47.9</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1-3</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西侧厂界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2"/>
                      <w:position w:val="0"/>
                      <w:sz w:val="21"/>
                      <w:szCs w:val="21"/>
                      <w:highlight w:val="none"/>
                      <w:lang w:val="en-US" w:eastAsia="zh-CN" w:bidi="ar-SA"/>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47.8</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2"/>
                      <w:position w:val="0"/>
                      <w:sz w:val="21"/>
                      <w:szCs w:val="21"/>
                      <w:highlight w:val="none"/>
                      <w:lang w:val="en-US" w:eastAsia="zh-CN" w:bidi="ar-SA"/>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45.9</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48.1</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45.4</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1-4</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白泥湖采区附近居民点</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46.6</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42.1</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45.9</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1-5</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北侧厂界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47.1</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43.9</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47.7</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2-1</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范家坝采区北侧支流</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东厂界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44.7</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41.1</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45.1</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2-2</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范家坝采区北侧支流南侧附近居民点</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45.1</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42.8</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44.2</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2-3</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范家坝采区西</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43.6</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39.1</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44.1</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2-4</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范家坝采区北侧支流北侧附近居民点</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46.8</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43.3</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45.2</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43.9</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2-5</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范家坝采区南侧支流东</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40.8</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36.6</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41.3</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37.2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2-6</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范家坝采区南侧支流南侧附近居民点</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40.6</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37.5</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40.9</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37.8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2-7</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范家坝采区南侧支流北侧附近居民点</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43.9</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43.7</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43.1</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3-1</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三汊港南湖采区东</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47.1</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41.6</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47.5</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3-2</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三汊港南湖采区南</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44.3</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42.9</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45.5</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3-3</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三汊港南湖采区西侧附近居民点</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45.8</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40.7</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44.9</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39.9</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3-4</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firstLine="210" w:firstLineChars="100"/>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三汊港南湖采区北</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42.2</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39.9</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41.6</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38.7</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3-5</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三汊港南湖采区东北</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40.9</w:t>
                  </w:r>
                </w:p>
              </w:tc>
              <w:tc>
                <w:tcPr>
                  <w:tcW w:w="516"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37.9</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40.3</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37.1</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N1</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东侧厂界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44.9</w:t>
                  </w:r>
                </w:p>
              </w:tc>
              <w:tc>
                <w:tcPr>
                  <w:tcW w:w="516"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40.5</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45.5</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39.7</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beforeAutospacing="0" w:line="240" w:lineRule="auto"/>
                    <w:jc w:val="center"/>
                    <w:textAlignment w:val="auto"/>
                    <w:outlineLvl w:val="9"/>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N</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2</w:t>
                  </w:r>
                </w:p>
              </w:tc>
              <w:tc>
                <w:tcPr>
                  <w:tcW w:w="2313" w:type="pct"/>
                  <w:tcBorders>
                    <w:top w:val="single" w:color="auto" w:sz="4" w:space="0"/>
                    <w:left w:val="nil"/>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shd w:val="clear" w:color="auto" w:fill="auto"/>
                      <w:lang w:val="en-US" w:eastAsia="zh-CN"/>
                    </w:rPr>
                    <w:t>白泥湖</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rPr>
                    <w:t>采区</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eastAsia="zh-CN"/>
                    </w:rPr>
                    <w:t>南侧厂界</w:t>
                  </w:r>
                  <w:r>
                    <w:rPr>
                      <w:rFonts w:hint="default" w:ascii="Times New Roman" w:hAnsi="Times New Roman" w:eastAsia="宋体" w:cs="Times New Roman"/>
                      <w:caps w:val="0"/>
                      <w:smallCaps w:val="0"/>
                      <w:color w:val="auto"/>
                      <w:spacing w:val="0"/>
                      <w:w w:val="100"/>
                      <w:position w:val="0"/>
                      <w:sz w:val="21"/>
                      <w:szCs w:val="21"/>
                      <w:highlight w:val="none"/>
                      <w:shd w:val="clear" w:color="auto" w:fill="auto"/>
                      <w:lang w:val="en-US" w:eastAsia="zh-CN"/>
                    </w:rPr>
                    <w:t>1m处</w:t>
                  </w:r>
                </w:p>
              </w:tc>
              <w:tc>
                <w:tcPr>
                  <w:tcW w:w="486"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49.4</w:t>
                  </w:r>
                </w:p>
              </w:tc>
              <w:tc>
                <w:tcPr>
                  <w:tcW w:w="516" w:type="pct"/>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44.1</w:t>
                  </w:r>
                </w:p>
              </w:tc>
              <w:tc>
                <w:tcPr>
                  <w:tcW w:w="630" w:type="pc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position w:val="0"/>
                      <w:sz w:val="21"/>
                      <w:szCs w:val="21"/>
                      <w:highlight w:val="none"/>
                      <w:lang w:val="en-US" w:eastAsia="zh-CN"/>
                    </w:rPr>
                    <w:t>47.9</w:t>
                  </w:r>
                </w:p>
              </w:tc>
              <w:tc>
                <w:tcPr>
                  <w:tcW w:w="633" w:type="pct"/>
                  <w:tcBorders>
                    <w:top w:val="single" w:color="auto" w:sz="4" w:space="0"/>
                    <w:bottom w:val="single" w:color="auto" w:sz="4" w:space="0"/>
                    <w:right w:val="nil"/>
                  </w:tcBorders>
                  <w:noWrap w:val="0"/>
                  <w:vAlign w:val="center"/>
                </w:tcPr>
                <w:p>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43.6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2734" w:type="pct"/>
                  <w:gridSpan w:val="2"/>
                  <w:tcBorders>
                    <w:top w:val="single" w:color="auto" w:sz="4" w:space="0"/>
                    <w:left w:val="nil"/>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标准值</w:t>
                  </w:r>
                </w:p>
              </w:tc>
              <w:tc>
                <w:tcPr>
                  <w:tcW w:w="486" w:type="pc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u w:val="none"/>
                    </w:rPr>
                    <w:t>60dB</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r>
                    <w:rPr>
                      <w:rFonts w:hint="default" w:ascii="Times New Roman" w:hAnsi="Times New Roman" w:eastAsia="宋体" w:cs="Times New Roman"/>
                      <w:b w:val="0"/>
                      <w:bCs/>
                      <w:caps w:val="0"/>
                      <w:smallCaps w:val="0"/>
                      <w:color w:val="auto"/>
                      <w:spacing w:val="0"/>
                      <w:w w:val="100"/>
                      <w:position w:val="0"/>
                      <w:sz w:val="21"/>
                      <w:szCs w:val="21"/>
                      <w:highlight w:val="none"/>
                      <w:u w:val="none"/>
                    </w:rPr>
                    <w:t>A</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p>
              </w:tc>
              <w:tc>
                <w:tcPr>
                  <w:tcW w:w="516" w:type="pc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u w:val="none"/>
                    </w:rPr>
                    <w:t>50dB</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r>
                    <w:rPr>
                      <w:rFonts w:hint="default" w:ascii="Times New Roman" w:hAnsi="Times New Roman" w:eastAsia="宋体" w:cs="Times New Roman"/>
                      <w:b w:val="0"/>
                      <w:bCs/>
                      <w:caps w:val="0"/>
                      <w:smallCaps w:val="0"/>
                      <w:color w:val="auto"/>
                      <w:spacing w:val="0"/>
                      <w:w w:val="100"/>
                      <w:position w:val="0"/>
                      <w:sz w:val="21"/>
                      <w:szCs w:val="21"/>
                      <w:highlight w:val="none"/>
                      <w:u w:val="none"/>
                    </w:rPr>
                    <w:t>A</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p>
              </w:tc>
              <w:tc>
                <w:tcPr>
                  <w:tcW w:w="630" w:type="pc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u w:val="none"/>
                    </w:rPr>
                    <w:t>60dB</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r>
                    <w:rPr>
                      <w:rFonts w:hint="default" w:ascii="Times New Roman" w:hAnsi="Times New Roman" w:eastAsia="宋体" w:cs="Times New Roman"/>
                      <w:b w:val="0"/>
                      <w:bCs/>
                      <w:caps w:val="0"/>
                      <w:smallCaps w:val="0"/>
                      <w:color w:val="auto"/>
                      <w:spacing w:val="0"/>
                      <w:w w:val="100"/>
                      <w:position w:val="0"/>
                      <w:sz w:val="21"/>
                      <w:szCs w:val="21"/>
                      <w:highlight w:val="none"/>
                      <w:u w:val="none"/>
                    </w:rPr>
                    <w:t>A</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p>
              </w:tc>
              <w:tc>
                <w:tcPr>
                  <w:tcW w:w="633" w:type="pct"/>
                  <w:tcBorders>
                    <w:top w:val="single" w:color="auto" w:sz="4" w:space="0"/>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b w:val="0"/>
                      <w:bCs/>
                      <w:caps w:val="0"/>
                      <w:smallCaps w:val="0"/>
                      <w:color w:val="auto"/>
                      <w:spacing w:val="0"/>
                      <w:w w:val="100"/>
                      <w:position w:val="0"/>
                      <w:sz w:val="21"/>
                      <w:szCs w:val="21"/>
                      <w:highlight w:val="none"/>
                      <w:u w:val="none"/>
                    </w:rPr>
                    <w:t>50dB</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r>
                    <w:rPr>
                      <w:rFonts w:hint="default" w:ascii="Times New Roman" w:hAnsi="Times New Roman" w:eastAsia="宋体" w:cs="Times New Roman"/>
                      <w:b w:val="0"/>
                      <w:bCs/>
                      <w:caps w:val="0"/>
                      <w:smallCaps w:val="0"/>
                      <w:color w:val="auto"/>
                      <w:spacing w:val="0"/>
                      <w:w w:val="100"/>
                      <w:position w:val="0"/>
                      <w:sz w:val="21"/>
                      <w:szCs w:val="21"/>
                      <w:highlight w:val="none"/>
                      <w:u w:val="none"/>
                    </w:rPr>
                    <w:t>A</w:t>
                  </w:r>
                  <w:r>
                    <w:rPr>
                      <w:rFonts w:hint="default" w:ascii="Times New Roman" w:hAnsi="Times New Roman" w:eastAsia="宋体" w:cs="Times New Roman"/>
                      <w:b w:val="0"/>
                      <w:bCs/>
                      <w:caps w:val="0"/>
                      <w:smallCaps w:val="0"/>
                      <w:color w:val="auto"/>
                      <w:spacing w:val="0"/>
                      <w:w w:val="100"/>
                      <w:position w:val="0"/>
                      <w:sz w:val="21"/>
                      <w:szCs w:val="21"/>
                      <w:highlight w:val="none"/>
                      <w:u w:val="none"/>
                      <w:lang w:eastAsia="zh-CN"/>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108" w:type="dxa"/>
                  <w:bottom w:w="0" w:type="dxa"/>
                  <w:right w:w="108" w:type="dxa"/>
                </w:tblCellMar>
              </w:tblPrEx>
              <w:trPr>
                <w:trHeight w:val="0" w:hRule="atLeast"/>
                <w:jc w:val="center"/>
              </w:trPr>
              <w:tc>
                <w:tcPr>
                  <w:tcW w:w="2734" w:type="pct"/>
                  <w:gridSpan w:val="2"/>
                  <w:tcBorders>
                    <w:top w:val="single" w:color="auto" w:sz="4" w:space="0"/>
                    <w:lef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position w:val="0"/>
                      <w:sz w:val="21"/>
                      <w:szCs w:val="21"/>
                      <w:highlight w:val="none"/>
                      <w:lang w:val="en-US" w:eastAsia="zh-CN"/>
                    </w:rPr>
                    <w:t>是否达标</w:t>
                  </w:r>
                </w:p>
              </w:tc>
              <w:tc>
                <w:tcPr>
                  <w:tcW w:w="486"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t>是</w:t>
                  </w:r>
                </w:p>
              </w:tc>
              <w:tc>
                <w:tcPr>
                  <w:tcW w:w="516"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t>是</w:t>
                  </w:r>
                </w:p>
              </w:tc>
              <w:tc>
                <w:tcPr>
                  <w:tcW w:w="630"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t>是</w:t>
                  </w:r>
                </w:p>
              </w:tc>
              <w:tc>
                <w:tcPr>
                  <w:tcW w:w="633" w:type="pct"/>
                  <w:tcBorders>
                    <w:top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snapToGrid w:val="0"/>
                      <w:color w:val="auto"/>
                      <w:spacing w:val="0"/>
                      <w:w w:val="100"/>
                      <w:kern w:val="0"/>
                      <w:position w:val="0"/>
                      <w:sz w:val="21"/>
                      <w:szCs w:val="21"/>
                      <w:highlight w:val="none"/>
                      <w:lang w:val="en-US" w:eastAsia="zh-CN"/>
                    </w:rPr>
                    <w:t>否</w:t>
                  </w:r>
                </w:p>
              </w:tc>
            </w:tr>
          </w:tbl>
          <w:p>
            <w:pPr>
              <w:tabs>
                <w:tab w:val="left" w:pos="600"/>
                <w:tab w:val="left" w:pos="7343"/>
              </w:tabs>
              <w:spacing w:line="360" w:lineRule="auto"/>
              <w:ind w:firstLine="480" w:firstLineChars="200"/>
              <w:rPr>
                <w:rFonts w:ascii="Times New Roman" w:hAnsi="Times New Roman" w:eastAsia="Calibri"/>
                <w:color w:val="auto"/>
                <w:kern w:val="0"/>
                <w:szCs w:val="21"/>
              </w:rPr>
            </w:pPr>
            <w:r>
              <w:rPr>
                <w:rFonts w:hint="eastAsia" w:ascii="Times New Roman" w:hAnsi="Times New Roman" w:cs="Times New Roman"/>
                <w:color w:val="auto"/>
                <w:kern w:val="0"/>
                <w:sz w:val="24"/>
                <w:szCs w:val="24"/>
                <w:highlight w:val="none"/>
                <w:lang w:eastAsia="zh-CN"/>
              </w:rPr>
              <w:t>根据监测结果可知，各个监测点位昼、夜监测结果均能满足《声环境质量标准》 (GB3096-2008) 中的 2 类区标准要求，评价区声环境质量较好。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67" w:type="pct"/>
            <w:vAlign w:val="center"/>
          </w:tcPr>
          <w:p>
            <w:pPr>
              <w:adjustRightInd w:val="0"/>
              <w:snapToGrid w:val="0"/>
              <w:jc w:val="center"/>
              <w:rPr>
                <w:rFonts w:ascii="Times New Roman" w:hAnsi="Times New Roman"/>
                <w:bCs/>
                <w:color w:val="auto"/>
                <w:sz w:val="24"/>
                <w:szCs w:val="24"/>
              </w:rPr>
            </w:pPr>
            <w:r>
              <w:rPr>
                <w:rFonts w:ascii="Times New Roman" w:hAnsi="Times New Roman"/>
                <w:bCs/>
                <w:color w:val="auto"/>
                <w:sz w:val="24"/>
                <w:szCs w:val="24"/>
              </w:rPr>
              <w:t>与项目有关的原有环境污染和生态破坏问题</w:t>
            </w:r>
          </w:p>
        </w:tc>
        <w:tc>
          <w:tcPr>
            <w:tcW w:w="4732"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rPr>
            </w:pPr>
            <w:r>
              <w:rPr>
                <w:rFonts w:hint="default" w:ascii="Times New Roman" w:hAnsi="Times New Roman" w:eastAsia="宋体" w:cs="Times New Roman"/>
                <w:color w:val="auto"/>
                <w:kern w:val="0"/>
                <w:sz w:val="24"/>
                <w:szCs w:val="24"/>
                <w:u w:val="none"/>
              </w:rPr>
              <w:t>1）渍堤堤身现有防洪标准低，防洪基础设施薄弱。设计防洪标准为10年一遇，现状防洪能力仅为5年一遇，防洪安全性不足。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rPr>
            </w:pPr>
            <w:r>
              <w:rPr>
                <w:rFonts w:hint="default" w:ascii="Times New Roman" w:hAnsi="Times New Roman" w:eastAsia="宋体" w:cs="Times New Roman"/>
                <w:color w:val="auto"/>
                <w:kern w:val="0"/>
                <w:sz w:val="24"/>
                <w:szCs w:val="24"/>
                <w:u w:val="none"/>
              </w:rPr>
              <w:t>2）渍堤堤身、堤基存在渗漏及抗滑稳定性等问题。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rPr>
            </w:pPr>
            <w:r>
              <w:rPr>
                <w:rFonts w:hint="default" w:ascii="Times New Roman" w:hAnsi="Times New Roman" w:eastAsia="宋体" w:cs="Times New Roman"/>
                <w:color w:val="auto"/>
                <w:kern w:val="0"/>
                <w:sz w:val="24"/>
                <w:szCs w:val="24"/>
                <w:u w:val="none"/>
              </w:rPr>
              <w:t>3）渍堤堤岸坡脚冲刷、淘蚀、崩垮严重。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rPr>
            </w:pPr>
            <w:r>
              <w:rPr>
                <w:rFonts w:hint="default" w:ascii="Times New Roman" w:hAnsi="Times New Roman" w:eastAsia="宋体" w:cs="Times New Roman"/>
                <w:color w:val="auto"/>
                <w:kern w:val="0"/>
                <w:sz w:val="24"/>
                <w:szCs w:val="24"/>
                <w:u w:val="none"/>
              </w:rPr>
              <w:t>4）湖底淤积严重、杂草丛生，调蓄能力不足，严重影响其排涝和灌溉能力。湖泊淤积严重，兴利库容不断减小，目前灌溉可供水量严重不足，导致农业灌溉用水无法保证，灌溉效益无法充分发挥。根据现场调查和水文计算白泥湖正常年份水深约0.6～0.8m，严重影响其生态和灌溉功能；范家坝灌区年缺水量达309.</w:t>
            </w:r>
            <w:r>
              <w:rPr>
                <w:rFonts w:hint="eastAsia" w:ascii="Times New Roman" w:hAnsi="Times New Roman" w:eastAsia="宋体" w:cs="Times New Roman"/>
                <w:color w:val="auto"/>
                <w:kern w:val="0"/>
                <w:sz w:val="24"/>
                <w:szCs w:val="24"/>
                <w:u w:val="none"/>
                <w:lang w:val="en-US" w:eastAsia="zh-CN"/>
              </w:rPr>
              <w:t>71</w:t>
            </w:r>
            <w:r>
              <w:rPr>
                <w:rFonts w:hint="default" w:ascii="Times New Roman" w:hAnsi="Times New Roman" w:eastAsia="宋体" w:cs="Times New Roman"/>
                <w:color w:val="auto"/>
                <w:kern w:val="0"/>
                <w:sz w:val="24"/>
                <w:szCs w:val="24"/>
                <w:u w:val="none"/>
              </w:rPr>
              <w:t>万m</w:t>
            </w:r>
            <w:r>
              <w:rPr>
                <w:rFonts w:hint="default" w:ascii="Times New Roman" w:hAnsi="Times New Roman" w:eastAsia="宋体" w:cs="Times New Roman"/>
                <w:color w:val="auto"/>
                <w:kern w:val="0"/>
                <w:sz w:val="24"/>
                <w:szCs w:val="24"/>
                <w:u w:val="none"/>
                <w:vertAlign w:val="superscript"/>
              </w:rPr>
              <w:t>3</w:t>
            </w:r>
            <w:r>
              <w:rPr>
                <w:rFonts w:hint="default" w:ascii="Times New Roman" w:hAnsi="Times New Roman" w:eastAsia="宋体" w:cs="Times New Roman"/>
                <w:color w:val="auto"/>
                <w:kern w:val="0"/>
                <w:sz w:val="24"/>
                <w:szCs w:val="24"/>
                <w:u w:val="none"/>
              </w:rPr>
              <w:t>，三汊港灌区年缺水量达</w:t>
            </w:r>
            <w:r>
              <w:rPr>
                <w:rFonts w:hint="eastAsia" w:ascii="Times New Roman" w:hAnsi="Times New Roman" w:eastAsia="宋体" w:cs="Times New Roman"/>
                <w:color w:val="auto"/>
                <w:kern w:val="0"/>
                <w:sz w:val="24"/>
                <w:szCs w:val="24"/>
                <w:u w:val="none"/>
                <w:lang w:val="en-US" w:eastAsia="zh-CN"/>
              </w:rPr>
              <w:t>211.36</w:t>
            </w:r>
            <w:r>
              <w:rPr>
                <w:rFonts w:hint="default" w:ascii="Times New Roman" w:hAnsi="Times New Roman" w:eastAsia="宋体" w:cs="Times New Roman"/>
                <w:color w:val="auto"/>
                <w:kern w:val="0"/>
                <w:sz w:val="24"/>
                <w:szCs w:val="24"/>
                <w:u w:val="none"/>
              </w:rPr>
              <w:t>万m</w:t>
            </w:r>
            <w:r>
              <w:rPr>
                <w:rFonts w:hint="default" w:ascii="Times New Roman" w:hAnsi="Times New Roman" w:eastAsia="宋体" w:cs="Times New Roman"/>
                <w:color w:val="auto"/>
                <w:kern w:val="0"/>
                <w:sz w:val="24"/>
                <w:szCs w:val="24"/>
                <w:u w:val="none"/>
                <w:vertAlign w:val="superscript"/>
              </w:rPr>
              <w:t>3</w:t>
            </w:r>
            <w:r>
              <w:rPr>
                <w:rFonts w:hint="default" w:ascii="Times New Roman" w:hAnsi="Times New Roman" w:eastAsia="宋体" w:cs="Times New Roman"/>
                <w:color w:val="auto"/>
                <w:kern w:val="0"/>
                <w:sz w:val="24"/>
                <w:szCs w:val="24"/>
                <w:u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u w:val="none"/>
              </w:rPr>
            </w:pPr>
            <w:r>
              <w:rPr>
                <w:rFonts w:hint="eastAsia" w:ascii="Times New Roman" w:hAnsi="Times New Roman" w:eastAsia="宋体" w:cs="Times New Roman"/>
                <w:color w:val="auto"/>
                <w:kern w:val="0"/>
                <w:sz w:val="24"/>
                <w:szCs w:val="24"/>
                <w:u w:val="none"/>
                <w:lang w:val="en-US" w:eastAsia="zh-CN"/>
              </w:rPr>
              <w:t>5</w:t>
            </w:r>
            <w:r>
              <w:rPr>
                <w:rFonts w:hint="default" w:ascii="Times New Roman" w:hAnsi="Times New Roman" w:eastAsia="宋体" w:cs="Times New Roman"/>
                <w:color w:val="auto"/>
                <w:kern w:val="0"/>
                <w:sz w:val="24"/>
                <w:szCs w:val="24"/>
                <w:u w:val="none"/>
              </w:rPr>
              <w:t>）湖泊配套涵闸年久失修、涵身开裂，闸门锈蚀漏水，启闭机启闭困难，影响灌溉和排涝。</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6</w:t>
            </w:r>
            <w:r>
              <w:rPr>
                <w:rFonts w:hint="default" w:ascii="Times New Roman" w:hAnsi="Times New Roman" w:eastAsia="宋体" w:cs="Times New Roman"/>
                <w:color w:val="auto"/>
                <w:kern w:val="0"/>
                <w:sz w:val="24"/>
                <w:szCs w:val="24"/>
                <w:u w:val="none"/>
              </w:rPr>
              <w:t>）湖泊配套灌溉泵站年久失修，机电、金属结构老化严重，带病运行，影响灌溉</w:t>
            </w:r>
            <w:r>
              <w:rPr>
                <w:rFonts w:hint="eastAsia" w:ascii="Times New Roman" w:hAnsi="Times New Roman" w:eastAsia="宋体" w:cs="Times New Roman"/>
                <w:color w:val="auto"/>
                <w:kern w:val="0"/>
                <w:sz w:val="24"/>
                <w:szCs w:val="24"/>
                <w:u w:val="none"/>
                <w:lang w:val="en-US" w:eastAsia="zh-CN"/>
              </w:rPr>
              <w:t>功能。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color w:val="auto"/>
                <w:kern w:val="0"/>
                <w:sz w:val="24"/>
                <w:szCs w:val="24"/>
                <w:u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color w:val="auto"/>
                <w:kern w:val="0"/>
                <w:sz w:val="24"/>
                <w:szCs w:val="24"/>
                <w:u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color w:val="auto"/>
                <w:kern w:val="0"/>
                <w:sz w:val="24"/>
                <w:szCs w:val="24"/>
                <w:u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color w:val="auto"/>
                <w:kern w:val="0"/>
                <w:sz w:val="24"/>
                <w:szCs w:val="24"/>
                <w:u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imes New Roman" w:hAnsi="Times New Roman" w:eastAsia="黑体"/>
                <w:bCs/>
                <w:color w:val="auto"/>
                <w:kern w:val="0"/>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imes New Roman" w:hAnsi="Times New Roman" w:eastAsia="黑体"/>
                <w:bCs/>
                <w:color w:val="auto"/>
                <w:kern w:val="0"/>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imes New Roman" w:hAnsi="Times New Roman" w:eastAsia="黑体"/>
                <w:bCs/>
                <w:color w:val="auto"/>
                <w:kern w:val="0"/>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imes New Roman" w:hAnsi="Times New Roman" w:eastAsia="黑体"/>
                <w:bCs/>
                <w:color w:val="auto"/>
                <w:kern w:val="0"/>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黑体"/>
                <w:bCs/>
                <w:color w:val="auto"/>
                <w:kern w:val="0"/>
                <w:szCs w:val="21"/>
                <w:lang w:val="en-US" w:eastAsia="zh-CN"/>
              </w:rPr>
            </w:pPr>
          </w:p>
        </w:tc>
      </w:tr>
    </w:tbl>
    <w:p>
      <w:pPr>
        <w:pStyle w:val="22"/>
        <w:jc w:val="center"/>
        <w:outlineLvl w:val="9"/>
        <w:rPr>
          <w:rFonts w:hint="eastAsia" w:ascii="Times New Roman" w:hAnsi="Times New Roman" w:eastAsia="黑体"/>
          <w:snapToGrid w:val="0"/>
          <w:color w:val="auto"/>
          <w:kern w:val="2"/>
          <w:sz w:val="36"/>
          <w:szCs w:val="36"/>
          <w:lang w:val="en-US" w:eastAsia="zh-CN"/>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35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226" w:type="pct"/>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生态环境保护目标</w:t>
            </w:r>
          </w:p>
        </w:tc>
        <w:tc>
          <w:tcPr>
            <w:tcW w:w="4774"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auto"/>
                <w:kern w:val="0"/>
                <w:sz w:val="24"/>
                <w:szCs w:val="24"/>
                <w:u w:val="none"/>
              </w:rPr>
            </w:pPr>
            <w:r>
              <w:rPr>
                <w:rFonts w:hint="eastAsia" w:ascii="Times New Roman" w:hAnsi="Times New Roman" w:eastAsia="宋体" w:cs="Times New Roman"/>
                <w:b/>
                <w:bCs/>
                <w:color w:val="auto"/>
                <w:kern w:val="0"/>
                <w:sz w:val="24"/>
                <w:szCs w:val="24"/>
                <w:u w:val="none"/>
                <w:lang w:val="en-US" w:eastAsia="zh-CN"/>
              </w:rPr>
              <w:t>1、</w:t>
            </w:r>
            <w:r>
              <w:rPr>
                <w:rFonts w:hint="default" w:ascii="Times New Roman" w:hAnsi="Times New Roman" w:eastAsia="宋体" w:cs="Times New Roman"/>
                <w:b/>
                <w:bCs/>
                <w:color w:val="auto"/>
                <w:kern w:val="0"/>
                <w:sz w:val="24"/>
                <w:szCs w:val="24"/>
                <w:u w:val="none"/>
              </w:rPr>
              <w:t>生态环境</w:t>
            </w:r>
            <w:r>
              <w:rPr>
                <w:rFonts w:hint="eastAsia" w:ascii="Times New Roman" w:hAnsi="Times New Roman" w:eastAsia="宋体" w:cs="Times New Roman"/>
                <w:b/>
                <w:bCs/>
                <w:color w:val="auto"/>
                <w:kern w:val="0"/>
                <w:sz w:val="24"/>
                <w:szCs w:val="24"/>
                <w:u w:val="none"/>
                <w:lang w:eastAsia="zh-CN"/>
              </w:rPr>
              <w:t>、</w:t>
            </w:r>
            <w:r>
              <w:rPr>
                <w:rFonts w:hint="eastAsia" w:ascii="Times New Roman" w:hAnsi="Times New Roman" w:eastAsia="宋体" w:cs="Times New Roman"/>
                <w:b/>
                <w:bCs/>
                <w:color w:val="auto"/>
                <w:kern w:val="0"/>
                <w:sz w:val="24"/>
                <w:szCs w:val="24"/>
                <w:u w:val="none"/>
                <w:lang w:val="en-US" w:eastAsia="zh-CN"/>
              </w:rPr>
              <w:t>地表水环境</w:t>
            </w:r>
            <w:r>
              <w:rPr>
                <w:rFonts w:hint="default" w:ascii="Times New Roman" w:hAnsi="Times New Roman" w:eastAsia="宋体" w:cs="Times New Roman"/>
                <w:b/>
                <w:bCs/>
                <w:color w:val="auto"/>
                <w:kern w:val="0"/>
                <w:sz w:val="24"/>
                <w:szCs w:val="24"/>
                <w:u w:val="none"/>
              </w:rPr>
              <w:t>保护目标</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single"/>
                <w:lang w:val="en-US" w:eastAsia="zh-CN"/>
              </w:rPr>
            </w:pPr>
            <w:r>
              <w:rPr>
                <w:rFonts w:hint="default" w:ascii="Times New Roman" w:hAnsi="Times New Roman" w:eastAsia="宋体" w:cs="Times New Roman"/>
                <w:b/>
                <w:bCs w:val="0"/>
                <w:color w:val="auto"/>
                <w:sz w:val="21"/>
                <w:szCs w:val="21"/>
                <w:u w:val="single"/>
                <w:lang w:val="en-US" w:eastAsia="zh-CN"/>
              </w:rPr>
              <w:t>表</w:t>
            </w:r>
            <w:r>
              <w:rPr>
                <w:rFonts w:hint="eastAsia" w:eastAsia="宋体" w:cs="Times New Roman"/>
                <w:b/>
                <w:bCs w:val="0"/>
                <w:color w:val="auto"/>
                <w:sz w:val="21"/>
                <w:szCs w:val="21"/>
                <w:u w:val="single"/>
                <w:lang w:val="en-US" w:eastAsia="zh-CN"/>
              </w:rPr>
              <w:t xml:space="preserve">3-7  </w:t>
            </w:r>
            <w:r>
              <w:rPr>
                <w:rFonts w:hint="default" w:ascii="Times New Roman" w:hAnsi="Times New Roman" w:eastAsia="宋体" w:cs="Times New Roman"/>
                <w:b/>
                <w:bCs w:val="0"/>
                <w:color w:val="auto"/>
                <w:sz w:val="21"/>
                <w:szCs w:val="21"/>
                <w:u w:val="single"/>
                <w:lang w:val="en-US" w:eastAsia="zh-CN"/>
              </w:rPr>
              <w:t>生态环境</w:t>
            </w:r>
            <w:r>
              <w:rPr>
                <w:rFonts w:hint="eastAsia" w:ascii="Times New Roman" w:hAnsi="Times New Roman" w:eastAsia="宋体" w:cs="Times New Roman"/>
                <w:b/>
                <w:bCs w:val="0"/>
                <w:color w:val="auto"/>
                <w:sz w:val="21"/>
                <w:szCs w:val="21"/>
                <w:u w:val="single"/>
                <w:lang w:val="en-US" w:eastAsia="zh-CN"/>
              </w:rPr>
              <w:t>、地表水环境</w:t>
            </w:r>
            <w:r>
              <w:rPr>
                <w:rFonts w:hint="default" w:ascii="Times New Roman" w:hAnsi="Times New Roman" w:eastAsia="宋体" w:cs="Times New Roman"/>
                <w:b/>
                <w:bCs w:val="0"/>
                <w:color w:val="auto"/>
                <w:sz w:val="21"/>
                <w:szCs w:val="21"/>
                <w:u w:val="single"/>
                <w:lang w:val="en-US" w:eastAsia="zh-CN"/>
              </w:rPr>
              <w:t>保护目标</w:t>
            </w:r>
          </w:p>
          <w:tbl>
            <w:tblPr>
              <w:tblStyle w:val="75"/>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1316"/>
              <w:gridCol w:w="3460"/>
              <w:gridCol w:w="752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80"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序号</w:t>
                  </w:r>
                </w:p>
              </w:tc>
              <w:tc>
                <w:tcPr>
                  <w:tcW w:w="494"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内容</w:t>
                  </w:r>
                </w:p>
              </w:tc>
              <w:tc>
                <w:tcPr>
                  <w:tcW w:w="1299"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保护目标</w:t>
                  </w:r>
                </w:p>
              </w:tc>
              <w:tc>
                <w:tcPr>
                  <w:tcW w:w="2825"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保护要求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380"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1</w:t>
                  </w:r>
                </w:p>
              </w:tc>
              <w:tc>
                <w:tcPr>
                  <w:tcW w:w="494"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生态环境</w:t>
                  </w:r>
                </w:p>
              </w:tc>
              <w:tc>
                <w:tcPr>
                  <w:tcW w:w="1299" w:type="pct"/>
                  <w:tcBorders>
                    <w:tl2br w:val="nil"/>
                    <w:tr2bl w:val="nil"/>
                  </w:tcBorders>
                  <w:vAlign w:val="center"/>
                </w:tcPr>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水生生物、土壤、水土流失量、陆生动植物</w:t>
                  </w:r>
                </w:p>
              </w:tc>
              <w:tc>
                <w:tcPr>
                  <w:tcW w:w="2825" w:type="pct"/>
                  <w:tcBorders>
                    <w:tl2br w:val="nil"/>
                    <w:tr2bl w:val="nil"/>
                  </w:tcBorders>
                  <w:vAlign w:val="center"/>
                </w:tcPr>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1 、保护河流生态系统功能，维护生态平衡；</w:t>
                  </w:r>
                </w:p>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 、保护河流生物多样性；</w:t>
                  </w:r>
                </w:p>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3 、保护生态敏感区；</w:t>
                  </w:r>
                </w:p>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4 、区域的持续发展不影响现状生态</w:t>
                  </w:r>
                  <w:r>
                    <w:rPr>
                      <w:rFonts w:hint="eastAsia" w:ascii="Times New Roman" w:hAnsi="Times New Roman" w:cs="Times New Roman"/>
                      <w:color w:val="auto"/>
                      <w:sz w:val="21"/>
                      <w:szCs w:val="21"/>
                      <w:u w:val="single"/>
                      <w:lang w:val="en-US" w:eastAsia="zh-CN"/>
                    </w:rPr>
                    <w:t>环境</w:t>
                  </w:r>
                  <w:r>
                    <w:rPr>
                      <w:rFonts w:hint="default" w:ascii="Times New Roman" w:hAnsi="Times New Roman" w:eastAsia="宋体" w:cs="Times New Roman"/>
                      <w:color w:val="auto"/>
                      <w:sz w:val="21"/>
                      <w:szCs w:val="21"/>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380"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w:t>
                  </w:r>
                </w:p>
              </w:tc>
              <w:tc>
                <w:tcPr>
                  <w:tcW w:w="494" w:type="pct"/>
                  <w:tcBorders>
                    <w:tl2br w:val="nil"/>
                    <w:tr2bl w:val="nil"/>
                  </w:tcBorders>
                  <w:vAlign w:val="center"/>
                </w:tcPr>
                <w:p>
                  <w:pPr>
                    <w:bidi w:val="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地表水环境</w:t>
                  </w:r>
                </w:p>
              </w:tc>
              <w:tc>
                <w:tcPr>
                  <w:tcW w:w="1299" w:type="pct"/>
                  <w:tcBorders>
                    <w:tl2br w:val="nil"/>
                    <w:tr2bl w:val="nil"/>
                  </w:tcBorders>
                  <w:vAlign w:val="center"/>
                </w:tcPr>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白泥湖、范家坝、三汊港湖3个内湖全部水域范围</w:t>
                  </w:r>
                  <w:r>
                    <w:rPr>
                      <w:rFonts w:hint="eastAsia" w:ascii="Times New Roman" w:hAnsi="Times New Roman" w:cs="Times New Roman"/>
                      <w:color w:val="auto"/>
                      <w:sz w:val="21"/>
                      <w:szCs w:val="21"/>
                      <w:u w:val="single"/>
                      <w:lang w:val="en-US" w:eastAsia="zh-CN"/>
                    </w:rPr>
                    <w:t>、湘江</w:t>
                  </w:r>
                </w:p>
              </w:tc>
              <w:tc>
                <w:tcPr>
                  <w:tcW w:w="2825" w:type="pct"/>
                  <w:tcBorders>
                    <w:tl2br w:val="nil"/>
                    <w:tr2bl w:val="nil"/>
                  </w:tcBorders>
                  <w:vAlign w:val="center"/>
                </w:tcPr>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1 、维持河流水功能；</w:t>
                  </w:r>
                </w:p>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 、恢复和改善地表水环境质量；</w:t>
                  </w:r>
                </w:p>
                <w:p>
                  <w:pPr>
                    <w:bidi w:val="0"/>
                    <w:jc w:val="both"/>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3 、保护流域地表水资源量，促进水资源可持续利用。</w:t>
                  </w:r>
                </w:p>
              </w:tc>
            </w:tr>
          </w:tbl>
          <w:p>
            <w:pPr>
              <w:pStyle w:val="81"/>
              <w:keepNext w:val="0"/>
              <w:keepLines w:val="0"/>
              <w:pageBreakBefore w:val="0"/>
              <w:widowControl w:val="0"/>
              <w:kinsoku/>
              <w:wordWrap/>
              <w:overflowPunct/>
              <w:topLinePunct w:val="0"/>
              <w:autoSpaceDE/>
              <w:autoSpaceDN/>
              <w:bidi w:val="0"/>
              <w:spacing w:line="360" w:lineRule="auto"/>
              <w:rPr>
                <w:rFonts w:hint="default" w:ascii="Times New Roman" w:hAnsi="Times New Roman" w:eastAsia="宋体" w:cs="Times New Roman"/>
                <w:caps w:val="0"/>
                <w:smallCaps w:val="0"/>
                <w:color w:val="auto"/>
                <w:spacing w:val="0"/>
                <w:w w:val="100"/>
                <w:sz w:val="24"/>
                <w:szCs w:val="24"/>
                <w:highlight w:val="none"/>
                <w:u w:val="single"/>
              </w:rPr>
            </w:pPr>
            <w:r>
              <w:rPr>
                <w:rFonts w:hint="eastAsia" w:ascii="Times New Roman" w:hAnsi="Times New Roman" w:cs="Times New Roman"/>
                <w:caps w:val="0"/>
                <w:smallCaps w:val="0"/>
                <w:color w:val="auto"/>
                <w:spacing w:val="0"/>
                <w:w w:val="100"/>
                <w:sz w:val="24"/>
                <w:szCs w:val="24"/>
                <w:highlight w:val="none"/>
                <w:u w:val="single"/>
                <w:lang w:val="en-US" w:eastAsia="zh-CN"/>
              </w:rPr>
              <w:t>根据</w:t>
            </w:r>
            <w:r>
              <w:rPr>
                <w:rFonts w:hint="default" w:ascii="Times New Roman" w:hAnsi="Times New Roman" w:eastAsia="宋体" w:cs="Times New Roman"/>
                <w:caps w:val="0"/>
                <w:smallCaps w:val="0"/>
                <w:color w:val="auto"/>
                <w:spacing w:val="0"/>
                <w:w w:val="100"/>
                <w:sz w:val="24"/>
                <w:szCs w:val="24"/>
                <w:highlight w:val="none"/>
                <w:u w:val="single"/>
              </w:rPr>
              <w:t>湖泊生态环境调查，结果详见表</w:t>
            </w:r>
            <w:r>
              <w:rPr>
                <w:rFonts w:hint="eastAsia" w:ascii="Times New Roman" w:hAnsi="Times New Roman" w:cs="Times New Roman"/>
                <w:caps w:val="0"/>
                <w:smallCaps w:val="0"/>
                <w:color w:val="auto"/>
                <w:spacing w:val="0"/>
                <w:w w:val="100"/>
                <w:sz w:val="24"/>
                <w:szCs w:val="24"/>
                <w:highlight w:val="none"/>
                <w:u w:val="single"/>
                <w:lang w:val="en-US" w:eastAsia="zh-CN"/>
              </w:rPr>
              <w:t>3-8</w:t>
            </w:r>
            <w:r>
              <w:rPr>
                <w:rFonts w:hint="default" w:ascii="Times New Roman" w:hAnsi="Times New Roman" w:eastAsia="宋体" w:cs="Times New Roman"/>
                <w:caps w:val="0"/>
                <w:smallCaps w:val="0"/>
                <w:color w:val="auto"/>
                <w:spacing w:val="0"/>
                <w:w w:val="100"/>
                <w:sz w:val="24"/>
                <w:szCs w:val="24"/>
                <w:highlight w:val="none"/>
                <w:u w:val="single"/>
              </w:rPr>
              <w:t>。</w:t>
            </w:r>
          </w:p>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outlineLvl w:val="9"/>
              <w:rPr>
                <w:rFonts w:hint="default" w:ascii="Times New Roman" w:hAnsi="Times New Roman" w:eastAsia="宋体" w:cs="Times New Roman"/>
                <w:b/>
                <w:caps w:val="0"/>
                <w:smallCaps w:val="0"/>
                <w:color w:val="auto"/>
                <w:spacing w:val="0"/>
                <w:w w:val="100"/>
                <w:kern w:val="0"/>
                <w:position w:val="0"/>
                <w:sz w:val="21"/>
                <w:szCs w:val="21"/>
                <w:highlight w:val="none"/>
                <w:u w:val="single"/>
              </w:rPr>
            </w:pPr>
            <w:bookmarkStart w:id="38" w:name="_Ref120111004"/>
            <w:bookmarkStart w:id="39" w:name="_Ref120053150"/>
            <w:r>
              <w:rPr>
                <w:rFonts w:hint="default" w:ascii="Times New Roman" w:hAnsi="Times New Roman" w:eastAsia="宋体" w:cs="Times New Roman"/>
                <w:b/>
                <w:caps w:val="0"/>
                <w:smallCaps w:val="0"/>
                <w:color w:val="auto"/>
                <w:spacing w:val="0"/>
                <w:w w:val="100"/>
                <w:kern w:val="0"/>
                <w:position w:val="0"/>
                <w:sz w:val="21"/>
                <w:szCs w:val="21"/>
                <w:highlight w:val="none"/>
                <w:u w:val="single"/>
              </w:rPr>
              <w:t>表</w:t>
            </w:r>
            <w:bookmarkEnd w:id="38"/>
            <w:r>
              <w:rPr>
                <w:rFonts w:hint="eastAsia" w:ascii="Times New Roman" w:hAnsi="Times New Roman" w:eastAsia="宋体" w:cs="Times New Roman"/>
                <w:b/>
                <w:caps w:val="0"/>
                <w:smallCaps w:val="0"/>
                <w:color w:val="auto"/>
                <w:spacing w:val="0"/>
                <w:w w:val="100"/>
                <w:kern w:val="0"/>
                <w:position w:val="0"/>
                <w:sz w:val="21"/>
                <w:szCs w:val="21"/>
                <w:highlight w:val="none"/>
                <w:u w:val="single"/>
                <w:lang w:val="en-US" w:eastAsia="zh-CN"/>
              </w:rPr>
              <w:t>3-8</w:t>
            </w:r>
            <w:r>
              <w:rPr>
                <w:rFonts w:hint="default" w:ascii="Times New Roman" w:hAnsi="Times New Roman" w:eastAsia="宋体" w:cs="Times New Roman"/>
                <w:b/>
                <w:caps w:val="0"/>
                <w:smallCaps w:val="0"/>
                <w:color w:val="auto"/>
                <w:spacing w:val="0"/>
                <w:w w:val="100"/>
                <w:kern w:val="0"/>
                <w:position w:val="0"/>
                <w:sz w:val="21"/>
                <w:szCs w:val="21"/>
                <w:highlight w:val="none"/>
                <w:u w:val="single"/>
                <w:lang w:val="en-US" w:eastAsia="zh-CN"/>
              </w:rPr>
              <w:t xml:space="preserve">  </w:t>
            </w:r>
            <w:r>
              <w:rPr>
                <w:rFonts w:hint="default" w:ascii="Times New Roman" w:hAnsi="Times New Roman" w:eastAsia="宋体" w:cs="Times New Roman"/>
                <w:b/>
                <w:caps w:val="0"/>
                <w:smallCaps w:val="0"/>
                <w:color w:val="auto"/>
                <w:spacing w:val="0"/>
                <w:w w:val="100"/>
                <w:kern w:val="0"/>
                <w:position w:val="0"/>
                <w:sz w:val="21"/>
                <w:szCs w:val="21"/>
                <w:highlight w:val="none"/>
                <w:u w:val="single"/>
              </w:rPr>
              <w:t>项目</w:t>
            </w:r>
            <w:r>
              <w:rPr>
                <w:rFonts w:hint="eastAsia" w:ascii="Times New Roman" w:hAnsi="Times New Roman" w:eastAsia="宋体" w:cs="Times New Roman"/>
                <w:b/>
                <w:caps w:val="0"/>
                <w:smallCaps w:val="0"/>
                <w:color w:val="auto"/>
                <w:spacing w:val="0"/>
                <w:w w:val="100"/>
                <w:kern w:val="0"/>
                <w:position w:val="0"/>
                <w:sz w:val="21"/>
                <w:szCs w:val="21"/>
                <w:highlight w:val="none"/>
                <w:u w:val="single"/>
                <w:lang w:val="en-US" w:eastAsia="zh-CN"/>
              </w:rPr>
              <w:t>评价范围</w:t>
            </w:r>
            <w:r>
              <w:rPr>
                <w:rFonts w:hint="default" w:ascii="Times New Roman" w:hAnsi="Times New Roman" w:eastAsia="宋体" w:cs="Times New Roman"/>
                <w:b/>
                <w:caps w:val="0"/>
                <w:smallCaps w:val="0"/>
                <w:color w:val="auto"/>
                <w:spacing w:val="0"/>
                <w:w w:val="100"/>
                <w:kern w:val="0"/>
                <w:position w:val="0"/>
                <w:sz w:val="21"/>
                <w:szCs w:val="21"/>
                <w:highlight w:val="none"/>
                <w:u w:val="single"/>
              </w:rPr>
              <w:t>环境敏感区域及对象情况一览表</w:t>
            </w:r>
            <w:bookmarkEnd w:id="39"/>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839"/>
              <w:gridCol w:w="1217"/>
              <w:gridCol w:w="2840"/>
              <w:gridCol w:w="2649"/>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trPr>
              <w:tc>
                <w:tcPr>
                  <w:tcW w:w="1050" w:type="pct"/>
                  <w:gridSpan w:val="2"/>
                  <w:vMerge w:val="restart"/>
                  <w:tcBorders>
                    <w:top w:val="single" w:color="auto" w:sz="12" w:space="0"/>
                    <w:left w:val="nil"/>
                  </w:tcBorders>
                  <w:noWrap w:val="0"/>
                  <w:vAlign w:val="center"/>
                </w:tcPr>
                <w:p>
                  <w:pPr>
                    <w:pStyle w:val="81"/>
                    <w:spacing w:line="240" w:lineRule="auto"/>
                    <w:ind w:firstLine="0" w:firstLineChars="0"/>
                    <w:jc w:val="center"/>
                    <w:rPr>
                      <w:rFonts w:hint="default" w:ascii="Times New Roman" w:hAnsi="Times New Roman" w:eastAsia="宋体" w:cs="Times New Roman"/>
                      <w:b/>
                      <w:caps w:val="0"/>
                      <w:smallCaps w:val="0"/>
                      <w:color w:val="auto"/>
                      <w:spacing w:val="0"/>
                      <w:w w:val="100"/>
                      <w:sz w:val="21"/>
                      <w:szCs w:val="21"/>
                      <w:highlight w:val="none"/>
                      <w:u w:val="single"/>
                    </w:rPr>
                  </w:pPr>
                  <w:bookmarkStart w:id="40" w:name="_Toc512341823"/>
                  <w:bookmarkStart w:id="41" w:name="_Toc490153735"/>
                  <w:bookmarkStart w:id="42" w:name="_Toc490151672"/>
                  <w:bookmarkStart w:id="43" w:name="_Toc512602292"/>
                  <w:bookmarkStart w:id="44" w:name="_Toc515439834"/>
                  <w:bookmarkStart w:id="45" w:name="_Toc515368357"/>
                  <w:bookmarkStart w:id="46" w:name="_Toc512342621"/>
                  <w:bookmarkStart w:id="47" w:name="_Toc515374349"/>
                  <w:bookmarkStart w:id="48" w:name="_Hlk60213059"/>
                  <w:r>
                    <w:rPr>
                      <w:rFonts w:hint="default" w:ascii="Times New Roman" w:hAnsi="Times New Roman" w:eastAsia="宋体" w:cs="Times New Roman"/>
                      <w:b/>
                      <w:caps w:val="0"/>
                      <w:smallCaps w:val="0"/>
                      <w:color w:val="auto"/>
                      <w:spacing w:val="0"/>
                      <w:w w:val="100"/>
                      <w:sz w:val="21"/>
                      <w:szCs w:val="21"/>
                      <w:highlight w:val="none"/>
                      <w:u w:val="single"/>
                    </w:rPr>
                    <w:t>敏感对象</w:t>
                  </w:r>
                  <w:bookmarkEnd w:id="40"/>
                  <w:bookmarkEnd w:id="41"/>
                  <w:bookmarkEnd w:id="42"/>
                  <w:bookmarkEnd w:id="43"/>
                  <w:bookmarkEnd w:id="44"/>
                  <w:bookmarkEnd w:id="45"/>
                  <w:bookmarkEnd w:id="46"/>
                  <w:bookmarkEnd w:id="47"/>
                </w:p>
              </w:tc>
              <w:tc>
                <w:tcPr>
                  <w:tcW w:w="2519" w:type="pct"/>
                  <w:gridSpan w:val="3"/>
                  <w:tcBorders>
                    <w:top w:val="single" w:color="auto" w:sz="12" w:space="0"/>
                  </w:tcBorders>
                  <w:noWrap w:val="0"/>
                  <w:vAlign w:val="center"/>
                </w:tcPr>
                <w:p>
                  <w:pPr>
                    <w:pStyle w:val="81"/>
                    <w:spacing w:line="240" w:lineRule="auto"/>
                    <w:ind w:firstLine="0" w:firstLineChars="0"/>
                    <w:jc w:val="center"/>
                    <w:rPr>
                      <w:rFonts w:hint="default" w:ascii="Times New Roman" w:hAnsi="Times New Roman" w:eastAsia="宋体" w:cs="Times New Roman"/>
                      <w:b/>
                      <w:caps w:val="0"/>
                      <w:smallCaps w:val="0"/>
                      <w:color w:val="auto"/>
                      <w:spacing w:val="0"/>
                      <w:w w:val="100"/>
                      <w:sz w:val="21"/>
                      <w:szCs w:val="21"/>
                      <w:highlight w:val="none"/>
                      <w:u w:val="single"/>
                    </w:rPr>
                  </w:pPr>
                  <w:bookmarkStart w:id="49" w:name="_Toc512341824"/>
                  <w:bookmarkStart w:id="50" w:name="_Toc490151673"/>
                  <w:bookmarkStart w:id="51" w:name="_Toc515368358"/>
                  <w:bookmarkStart w:id="52" w:name="_Toc515374350"/>
                  <w:bookmarkStart w:id="53" w:name="_Toc512342622"/>
                  <w:bookmarkStart w:id="54" w:name="_Toc515439835"/>
                  <w:bookmarkStart w:id="55" w:name="_Toc490153736"/>
                  <w:bookmarkStart w:id="56" w:name="_Toc512602293"/>
                  <w:r>
                    <w:rPr>
                      <w:rFonts w:hint="default" w:ascii="Times New Roman" w:hAnsi="Times New Roman" w:eastAsia="宋体" w:cs="Times New Roman"/>
                      <w:b/>
                      <w:caps w:val="0"/>
                      <w:smallCaps w:val="0"/>
                      <w:color w:val="auto"/>
                      <w:spacing w:val="0"/>
                      <w:w w:val="100"/>
                      <w:sz w:val="21"/>
                      <w:szCs w:val="21"/>
                      <w:highlight w:val="none"/>
                      <w:u w:val="single"/>
                    </w:rPr>
                    <w:t>敏感目标特征</w:t>
                  </w:r>
                  <w:bookmarkEnd w:id="49"/>
                  <w:bookmarkEnd w:id="50"/>
                  <w:bookmarkEnd w:id="51"/>
                  <w:bookmarkEnd w:id="52"/>
                  <w:bookmarkEnd w:id="53"/>
                  <w:bookmarkEnd w:id="54"/>
                  <w:bookmarkEnd w:id="55"/>
                  <w:bookmarkEnd w:id="56"/>
                </w:p>
              </w:tc>
              <w:tc>
                <w:tcPr>
                  <w:tcW w:w="1430" w:type="pct"/>
                  <w:vMerge w:val="restart"/>
                  <w:tcBorders>
                    <w:top w:val="single" w:color="auto" w:sz="12" w:space="0"/>
                    <w:right w:val="nil"/>
                  </w:tcBorders>
                  <w:noWrap w:val="0"/>
                  <w:vAlign w:val="center"/>
                </w:tcPr>
                <w:p>
                  <w:pPr>
                    <w:pStyle w:val="81"/>
                    <w:spacing w:line="240" w:lineRule="auto"/>
                    <w:ind w:firstLine="0" w:firstLineChars="0"/>
                    <w:jc w:val="center"/>
                    <w:rPr>
                      <w:rFonts w:hint="default" w:ascii="Times New Roman" w:hAnsi="Times New Roman" w:eastAsia="宋体" w:cs="Times New Roman"/>
                      <w:b/>
                      <w:caps w:val="0"/>
                      <w:smallCaps w:val="0"/>
                      <w:color w:val="auto"/>
                      <w:spacing w:val="0"/>
                      <w:w w:val="100"/>
                      <w:sz w:val="21"/>
                      <w:szCs w:val="21"/>
                      <w:highlight w:val="none"/>
                      <w:u w:val="single"/>
                    </w:rPr>
                  </w:pPr>
                  <w:bookmarkStart w:id="57" w:name="_Toc512602294"/>
                  <w:bookmarkStart w:id="58" w:name="_Toc515374351"/>
                  <w:bookmarkStart w:id="59" w:name="_Toc515368359"/>
                  <w:bookmarkStart w:id="60" w:name="_Toc515439836"/>
                  <w:bookmarkStart w:id="61" w:name="_Toc490151674"/>
                  <w:bookmarkStart w:id="62" w:name="_Toc490153737"/>
                  <w:bookmarkStart w:id="63" w:name="_Toc512341825"/>
                  <w:bookmarkStart w:id="64" w:name="_Toc512342623"/>
                  <w:r>
                    <w:rPr>
                      <w:rFonts w:hint="default" w:ascii="Times New Roman" w:hAnsi="Times New Roman" w:eastAsia="宋体" w:cs="Times New Roman"/>
                      <w:b/>
                      <w:caps w:val="0"/>
                      <w:smallCaps w:val="0"/>
                      <w:color w:val="auto"/>
                      <w:spacing w:val="0"/>
                      <w:w w:val="100"/>
                      <w:sz w:val="21"/>
                      <w:szCs w:val="21"/>
                      <w:highlight w:val="none"/>
                      <w:u w:val="single"/>
                    </w:rPr>
                    <w:t>与本规划的</w:t>
                  </w:r>
                  <w:bookmarkEnd w:id="57"/>
                  <w:bookmarkEnd w:id="58"/>
                  <w:bookmarkEnd w:id="59"/>
                  <w:bookmarkEnd w:id="60"/>
                  <w:bookmarkEnd w:id="61"/>
                  <w:bookmarkEnd w:id="62"/>
                  <w:bookmarkEnd w:id="63"/>
                  <w:bookmarkEnd w:id="64"/>
                </w:p>
                <w:p>
                  <w:pPr>
                    <w:pStyle w:val="81"/>
                    <w:spacing w:line="240" w:lineRule="auto"/>
                    <w:ind w:firstLine="0" w:firstLineChars="0"/>
                    <w:jc w:val="center"/>
                    <w:rPr>
                      <w:rFonts w:hint="default" w:ascii="Times New Roman" w:hAnsi="Times New Roman" w:eastAsia="宋体" w:cs="Times New Roman"/>
                      <w:caps w:val="0"/>
                      <w:smallCaps w:val="0"/>
                      <w:color w:val="auto"/>
                      <w:spacing w:val="0"/>
                      <w:w w:val="100"/>
                      <w:sz w:val="21"/>
                      <w:szCs w:val="21"/>
                      <w:highlight w:val="none"/>
                      <w:u w:val="single"/>
                    </w:rPr>
                  </w:pPr>
                  <w:bookmarkStart w:id="65" w:name="_Toc515374352"/>
                  <w:bookmarkStart w:id="66" w:name="_Toc512602295"/>
                  <w:bookmarkStart w:id="67" w:name="_Toc490153738"/>
                  <w:bookmarkStart w:id="68" w:name="_Toc515368360"/>
                  <w:bookmarkStart w:id="69" w:name="_Toc512342624"/>
                  <w:bookmarkStart w:id="70" w:name="_Toc512341826"/>
                  <w:bookmarkStart w:id="71" w:name="_Toc490151675"/>
                  <w:bookmarkStart w:id="72" w:name="_Toc515439837"/>
                  <w:r>
                    <w:rPr>
                      <w:rFonts w:hint="default" w:ascii="Times New Roman" w:hAnsi="Times New Roman" w:eastAsia="宋体" w:cs="Times New Roman"/>
                      <w:b/>
                      <w:caps w:val="0"/>
                      <w:smallCaps w:val="0"/>
                      <w:color w:val="auto"/>
                      <w:spacing w:val="0"/>
                      <w:w w:val="100"/>
                      <w:sz w:val="21"/>
                      <w:szCs w:val="21"/>
                      <w:highlight w:val="none"/>
                      <w:u w:val="single"/>
                    </w:rPr>
                    <w:t>位置关系</w:t>
                  </w:r>
                  <w:bookmarkEnd w:id="65"/>
                  <w:bookmarkEnd w:id="66"/>
                  <w:bookmarkEnd w:id="67"/>
                  <w:bookmarkEnd w:id="68"/>
                  <w:bookmarkEnd w:id="69"/>
                  <w:bookmarkEnd w:id="70"/>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050" w:type="pct"/>
                  <w:gridSpan w:val="2"/>
                  <w:vMerge w:val="continue"/>
                  <w:tcBorders>
                    <w:left w:val="nil"/>
                    <w:bottom w:val="single" w:color="auto" w:sz="12" w:space="0"/>
                  </w:tcBorders>
                  <w:noWrap w:val="0"/>
                  <w:vAlign w:val="center"/>
                </w:tcPr>
                <w:p>
                  <w:pPr>
                    <w:pStyle w:val="81"/>
                    <w:spacing w:line="240" w:lineRule="auto"/>
                    <w:ind w:firstLine="0" w:firstLineChars="0"/>
                    <w:rPr>
                      <w:rFonts w:hint="default" w:ascii="Times New Roman" w:hAnsi="Times New Roman" w:eastAsia="宋体" w:cs="Times New Roman"/>
                      <w:b/>
                      <w:caps w:val="0"/>
                      <w:smallCaps w:val="0"/>
                      <w:color w:val="auto"/>
                      <w:spacing w:val="0"/>
                      <w:w w:val="100"/>
                      <w:sz w:val="21"/>
                      <w:szCs w:val="21"/>
                      <w:highlight w:val="none"/>
                      <w:u w:val="single"/>
                    </w:rPr>
                  </w:pPr>
                </w:p>
              </w:tc>
              <w:tc>
                <w:tcPr>
                  <w:tcW w:w="457" w:type="pct"/>
                  <w:tcBorders>
                    <w:bottom w:val="single" w:color="auto" w:sz="12" w:space="0"/>
                  </w:tcBorders>
                  <w:noWrap w:val="0"/>
                  <w:vAlign w:val="center"/>
                </w:tcPr>
                <w:p>
                  <w:pPr>
                    <w:pStyle w:val="81"/>
                    <w:spacing w:line="240" w:lineRule="auto"/>
                    <w:ind w:firstLine="0" w:firstLineChars="0"/>
                    <w:jc w:val="center"/>
                    <w:rPr>
                      <w:rFonts w:hint="default" w:ascii="Times New Roman" w:hAnsi="Times New Roman" w:eastAsia="宋体" w:cs="Times New Roman"/>
                      <w:b/>
                      <w:caps w:val="0"/>
                      <w:smallCaps w:val="0"/>
                      <w:color w:val="auto"/>
                      <w:spacing w:val="0"/>
                      <w:w w:val="100"/>
                      <w:sz w:val="21"/>
                      <w:szCs w:val="21"/>
                      <w:highlight w:val="none"/>
                      <w:u w:val="single"/>
                    </w:rPr>
                  </w:pPr>
                  <w:r>
                    <w:rPr>
                      <w:rFonts w:hint="default" w:ascii="Times New Roman" w:hAnsi="Times New Roman" w:eastAsia="宋体" w:cs="Times New Roman"/>
                      <w:b/>
                      <w:caps w:val="0"/>
                      <w:smallCaps w:val="0"/>
                      <w:color w:val="auto"/>
                      <w:spacing w:val="0"/>
                      <w:w w:val="100"/>
                      <w:sz w:val="21"/>
                      <w:szCs w:val="21"/>
                      <w:highlight w:val="none"/>
                      <w:u w:val="single"/>
                    </w:rPr>
                    <w:t>级别</w:t>
                  </w:r>
                </w:p>
              </w:tc>
              <w:tc>
                <w:tcPr>
                  <w:tcW w:w="1067" w:type="pct"/>
                  <w:tcBorders>
                    <w:bottom w:val="single" w:color="auto" w:sz="12" w:space="0"/>
                  </w:tcBorders>
                  <w:noWrap w:val="0"/>
                  <w:vAlign w:val="center"/>
                </w:tcPr>
                <w:p>
                  <w:pPr>
                    <w:pStyle w:val="81"/>
                    <w:spacing w:line="240" w:lineRule="auto"/>
                    <w:ind w:firstLine="0" w:firstLineChars="0"/>
                    <w:jc w:val="center"/>
                    <w:rPr>
                      <w:rFonts w:hint="default" w:ascii="Times New Roman" w:hAnsi="Times New Roman" w:eastAsia="宋体" w:cs="Times New Roman"/>
                      <w:b/>
                      <w:caps w:val="0"/>
                      <w:smallCaps w:val="0"/>
                      <w:color w:val="auto"/>
                      <w:spacing w:val="0"/>
                      <w:w w:val="100"/>
                      <w:sz w:val="21"/>
                      <w:szCs w:val="21"/>
                      <w:highlight w:val="none"/>
                      <w:u w:val="single"/>
                    </w:rPr>
                  </w:pPr>
                  <w:r>
                    <w:rPr>
                      <w:rFonts w:hint="default" w:ascii="Times New Roman" w:hAnsi="Times New Roman" w:eastAsia="宋体" w:cs="Times New Roman"/>
                      <w:b/>
                      <w:caps w:val="0"/>
                      <w:smallCaps w:val="0"/>
                      <w:color w:val="auto"/>
                      <w:spacing w:val="0"/>
                      <w:w w:val="100"/>
                      <w:sz w:val="21"/>
                      <w:szCs w:val="21"/>
                      <w:highlight w:val="none"/>
                      <w:u w:val="single"/>
                    </w:rPr>
                    <w:t>类别</w:t>
                  </w:r>
                </w:p>
              </w:tc>
              <w:tc>
                <w:tcPr>
                  <w:tcW w:w="994" w:type="pct"/>
                  <w:tcBorders>
                    <w:bottom w:val="single" w:color="auto" w:sz="12" w:space="0"/>
                  </w:tcBorders>
                  <w:noWrap w:val="0"/>
                  <w:vAlign w:val="center"/>
                </w:tcPr>
                <w:p>
                  <w:pPr>
                    <w:pStyle w:val="81"/>
                    <w:spacing w:line="240" w:lineRule="auto"/>
                    <w:ind w:firstLine="0" w:firstLineChars="0"/>
                    <w:jc w:val="center"/>
                    <w:rPr>
                      <w:rFonts w:hint="default" w:ascii="Times New Roman" w:hAnsi="Times New Roman" w:eastAsia="宋体" w:cs="Times New Roman"/>
                      <w:b/>
                      <w:caps w:val="0"/>
                      <w:smallCaps w:val="0"/>
                      <w:color w:val="auto"/>
                      <w:spacing w:val="0"/>
                      <w:w w:val="100"/>
                      <w:sz w:val="21"/>
                      <w:szCs w:val="21"/>
                      <w:highlight w:val="none"/>
                      <w:u w:val="single"/>
                    </w:rPr>
                  </w:pPr>
                  <w:r>
                    <w:rPr>
                      <w:rFonts w:hint="default" w:ascii="Times New Roman" w:hAnsi="Times New Roman" w:eastAsia="宋体" w:cs="Times New Roman"/>
                      <w:b/>
                      <w:caps w:val="0"/>
                      <w:smallCaps w:val="0"/>
                      <w:color w:val="auto"/>
                      <w:spacing w:val="0"/>
                      <w:w w:val="100"/>
                      <w:sz w:val="21"/>
                      <w:szCs w:val="21"/>
                      <w:highlight w:val="none"/>
                      <w:u w:val="single"/>
                    </w:rPr>
                    <w:t>主要保护对象</w:t>
                  </w:r>
                </w:p>
              </w:tc>
              <w:tc>
                <w:tcPr>
                  <w:tcW w:w="1430" w:type="pct"/>
                  <w:vMerge w:val="continue"/>
                  <w:tcBorders>
                    <w:bottom w:val="single" w:color="auto" w:sz="12" w:space="0"/>
                    <w:right w:val="nil"/>
                  </w:tcBorders>
                  <w:noWrap w:val="0"/>
                  <w:vAlign w:val="center"/>
                </w:tcPr>
                <w:p>
                  <w:pPr>
                    <w:pStyle w:val="81"/>
                    <w:spacing w:line="240" w:lineRule="auto"/>
                    <w:ind w:firstLine="0" w:firstLineChars="0"/>
                    <w:rPr>
                      <w:rFonts w:hint="default" w:ascii="Times New Roman" w:hAnsi="Times New Roman" w:eastAsia="宋体" w:cs="Times New Roman"/>
                      <w:caps w:val="0"/>
                      <w:smallCaps w:val="0"/>
                      <w:color w:val="auto"/>
                      <w:spacing w:val="0"/>
                      <w:w w:val="100"/>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59" w:type="pct"/>
                  <w:tcBorders>
                    <w:top w:val="single" w:color="auto" w:sz="12" w:space="0"/>
                    <w:left w:val="nil"/>
                    <w:bottom w:val="single" w:color="auto" w:sz="12" w:space="0"/>
                  </w:tcBorders>
                  <w:noWrap w:val="0"/>
                  <w:vAlign w:val="center"/>
                </w:tcPr>
                <w:p>
                  <w:pPr>
                    <w:pStyle w:val="81"/>
                    <w:spacing w:line="240" w:lineRule="auto"/>
                    <w:ind w:firstLine="0" w:firstLineChars="0"/>
                    <w:rPr>
                      <w:rFonts w:hint="default" w:ascii="Times New Roman" w:hAnsi="Times New Roman" w:eastAsia="宋体" w:cs="Times New Roman"/>
                      <w:bCs/>
                      <w:caps w:val="0"/>
                      <w:smallCaps w:val="0"/>
                      <w:color w:val="auto"/>
                      <w:spacing w:val="0"/>
                      <w:w w:val="100"/>
                      <w:sz w:val="21"/>
                      <w:szCs w:val="21"/>
                      <w:highlight w:val="none"/>
                      <w:u w:val="single"/>
                    </w:rPr>
                  </w:pPr>
                  <w:r>
                    <w:rPr>
                      <w:rFonts w:hint="default" w:ascii="Times New Roman" w:hAnsi="Times New Roman" w:eastAsia="宋体" w:cs="Times New Roman"/>
                      <w:bCs/>
                      <w:caps w:val="0"/>
                      <w:smallCaps w:val="0"/>
                      <w:color w:val="auto"/>
                      <w:spacing w:val="0"/>
                      <w:w w:val="100"/>
                      <w:sz w:val="21"/>
                      <w:szCs w:val="21"/>
                      <w:highlight w:val="none"/>
                      <w:u w:val="single"/>
                    </w:rPr>
                    <w:t>野生动物</w:t>
                  </w:r>
                </w:p>
              </w:tc>
              <w:tc>
                <w:tcPr>
                  <w:tcW w:w="691" w:type="pct"/>
                  <w:tcBorders>
                    <w:top w:val="single" w:color="auto" w:sz="12" w:space="0"/>
                    <w:bottom w:val="single" w:color="auto" w:sz="12" w:space="0"/>
                  </w:tcBorders>
                  <w:noWrap w:val="0"/>
                  <w:vAlign w:val="center"/>
                </w:tcPr>
                <w:p>
                  <w:pPr>
                    <w:pStyle w:val="81"/>
                    <w:spacing w:line="240" w:lineRule="auto"/>
                    <w:ind w:firstLine="0" w:firstLineChars="0"/>
                    <w:rPr>
                      <w:rFonts w:hint="default" w:ascii="Times New Roman" w:hAnsi="Times New Roman" w:eastAsia="宋体" w:cs="Times New Roman"/>
                      <w:caps w:val="0"/>
                      <w:smallCaps w:val="0"/>
                      <w:color w:val="auto"/>
                      <w:spacing w:val="0"/>
                      <w:w w:val="100"/>
                      <w:sz w:val="21"/>
                      <w:szCs w:val="21"/>
                      <w:highlight w:val="none"/>
                      <w:u w:val="single"/>
                    </w:rPr>
                  </w:pPr>
                  <w:r>
                    <w:rPr>
                      <w:rFonts w:hint="default" w:ascii="Times New Roman" w:hAnsi="Times New Roman" w:eastAsia="宋体" w:cs="Times New Roman"/>
                      <w:caps w:val="0"/>
                      <w:smallCaps w:val="0"/>
                      <w:color w:val="auto"/>
                      <w:spacing w:val="0"/>
                      <w:w w:val="100"/>
                      <w:sz w:val="21"/>
                      <w:szCs w:val="21"/>
                      <w:highlight w:val="none"/>
                      <w:u w:val="single"/>
                    </w:rPr>
                    <w:t>重点保护野生动物</w:t>
                  </w:r>
                </w:p>
              </w:tc>
              <w:tc>
                <w:tcPr>
                  <w:tcW w:w="457" w:type="pct"/>
                  <w:tcBorders>
                    <w:top w:val="single" w:color="auto" w:sz="12" w:space="0"/>
                    <w:bottom w:val="single" w:color="auto" w:sz="12" w:space="0"/>
                  </w:tcBorders>
                  <w:noWrap w:val="0"/>
                  <w:vAlign w:val="center"/>
                </w:tcPr>
                <w:p>
                  <w:pPr>
                    <w:pStyle w:val="81"/>
                    <w:spacing w:line="240" w:lineRule="auto"/>
                    <w:ind w:firstLine="0" w:firstLineChars="0"/>
                    <w:jc w:val="left"/>
                    <w:rPr>
                      <w:rFonts w:hint="default" w:ascii="Times New Roman" w:hAnsi="Times New Roman" w:eastAsia="宋体" w:cs="Times New Roman"/>
                      <w:caps w:val="0"/>
                      <w:smallCaps w:val="0"/>
                      <w:color w:val="auto"/>
                      <w:spacing w:val="0"/>
                      <w:w w:val="100"/>
                      <w:sz w:val="21"/>
                      <w:szCs w:val="21"/>
                      <w:highlight w:val="none"/>
                      <w:u w:val="single"/>
                    </w:rPr>
                  </w:pPr>
                  <w:r>
                    <w:rPr>
                      <w:rFonts w:hint="default" w:ascii="Times New Roman" w:hAnsi="Times New Roman" w:eastAsia="宋体" w:cs="Times New Roman"/>
                      <w:caps w:val="0"/>
                      <w:smallCaps w:val="0"/>
                      <w:color w:val="auto"/>
                      <w:spacing w:val="0"/>
                      <w:w w:val="100"/>
                      <w:sz w:val="21"/>
                      <w:szCs w:val="21"/>
                      <w:highlight w:val="none"/>
                      <w:u w:val="single"/>
                    </w:rPr>
                    <w:t>湖南省级</w:t>
                  </w:r>
                </w:p>
              </w:tc>
              <w:tc>
                <w:tcPr>
                  <w:tcW w:w="2062" w:type="pct"/>
                  <w:gridSpan w:val="2"/>
                  <w:tcBorders>
                    <w:top w:val="single" w:color="auto" w:sz="12" w:space="0"/>
                    <w:bottom w:val="single" w:color="auto" w:sz="12" w:space="0"/>
                  </w:tcBorders>
                  <w:noWrap w:val="0"/>
                  <w:vAlign w:val="center"/>
                </w:tcPr>
                <w:p>
                  <w:pPr>
                    <w:pStyle w:val="81"/>
                    <w:spacing w:line="240" w:lineRule="auto"/>
                    <w:ind w:firstLine="0" w:firstLineChars="0"/>
                    <w:rPr>
                      <w:rFonts w:hint="default" w:ascii="Times New Roman" w:hAnsi="Times New Roman" w:eastAsia="宋体" w:cs="Times New Roman"/>
                      <w:caps w:val="0"/>
                      <w:smallCaps w:val="0"/>
                      <w:color w:val="auto"/>
                      <w:spacing w:val="0"/>
                      <w:w w:val="100"/>
                      <w:sz w:val="21"/>
                      <w:szCs w:val="21"/>
                      <w:highlight w:val="none"/>
                      <w:u w:val="single"/>
                    </w:rPr>
                  </w:pPr>
                  <w:r>
                    <w:rPr>
                      <w:rFonts w:hint="default" w:ascii="Times New Roman" w:hAnsi="Times New Roman" w:eastAsia="宋体" w:cs="Times New Roman"/>
                      <w:caps w:val="0"/>
                      <w:smallCaps w:val="0"/>
                      <w:color w:val="auto"/>
                      <w:spacing w:val="0"/>
                      <w:w w:val="100"/>
                      <w:sz w:val="21"/>
                      <w:szCs w:val="21"/>
                      <w:highlight w:val="none"/>
                      <w:u w:val="single"/>
                    </w:rPr>
                    <w:t>61种，两栖类5种，爬行类10种，43种鸟类和3种兽类。</w:t>
                  </w:r>
                </w:p>
              </w:tc>
              <w:tc>
                <w:tcPr>
                  <w:tcW w:w="1430" w:type="pct"/>
                  <w:tcBorders>
                    <w:top w:val="single" w:color="auto" w:sz="12" w:space="0"/>
                    <w:bottom w:val="single" w:color="auto" w:sz="12" w:space="0"/>
                    <w:right w:val="nil"/>
                  </w:tcBorders>
                  <w:noWrap w:val="0"/>
                  <w:vAlign w:val="center"/>
                </w:tcPr>
                <w:p>
                  <w:pPr>
                    <w:pStyle w:val="81"/>
                    <w:spacing w:line="240" w:lineRule="auto"/>
                    <w:ind w:firstLine="0" w:firstLineChars="0"/>
                    <w:rPr>
                      <w:rFonts w:hint="default" w:ascii="Times New Roman" w:hAnsi="Times New Roman" w:eastAsia="宋体" w:cs="Times New Roman"/>
                      <w:caps w:val="0"/>
                      <w:smallCaps w:val="0"/>
                      <w:color w:val="auto"/>
                      <w:spacing w:val="0"/>
                      <w:w w:val="100"/>
                      <w:sz w:val="21"/>
                      <w:szCs w:val="21"/>
                      <w:highlight w:val="none"/>
                      <w:u w:val="single"/>
                    </w:rPr>
                  </w:pPr>
                  <w:r>
                    <w:rPr>
                      <w:rFonts w:hint="default" w:ascii="Times New Roman" w:hAnsi="Times New Roman" w:eastAsia="宋体" w:cs="Times New Roman"/>
                      <w:caps w:val="0"/>
                      <w:smallCaps w:val="0"/>
                      <w:color w:val="auto"/>
                      <w:spacing w:val="0"/>
                      <w:w w:val="100"/>
                      <w:sz w:val="21"/>
                      <w:szCs w:val="21"/>
                      <w:highlight w:val="none"/>
                      <w:u w:val="single"/>
                    </w:rPr>
                    <w:t>评价</w:t>
                  </w:r>
                  <w:r>
                    <w:rPr>
                      <w:rFonts w:hint="eastAsia" w:ascii="Times New Roman" w:hAnsi="Times New Roman" w:cs="Times New Roman"/>
                      <w:caps w:val="0"/>
                      <w:smallCaps w:val="0"/>
                      <w:color w:val="auto"/>
                      <w:spacing w:val="0"/>
                      <w:w w:val="100"/>
                      <w:sz w:val="21"/>
                      <w:szCs w:val="21"/>
                      <w:highlight w:val="none"/>
                      <w:u w:val="single"/>
                      <w:lang w:val="en-US" w:eastAsia="zh-CN"/>
                    </w:rPr>
                    <w:t>范围内</w:t>
                  </w:r>
                  <w:r>
                    <w:rPr>
                      <w:rFonts w:hint="default" w:ascii="Times New Roman" w:hAnsi="Times New Roman" w:eastAsia="宋体" w:cs="Times New Roman"/>
                      <w:caps w:val="0"/>
                      <w:smallCaps w:val="0"/>
                      <w:color w:val="auto"/>
                      <w:spacing w:val="0"/>
                      <w:w w:val="100"/>
                      <w:sz w:val="21"/>
                      <w:szCs w:val="21"/>
                      <w:highlight w:val="none"/>
                      <w:u w:val="single"/>
                    </w:rPr>
                    <w:t>均有分布，其中鸟类种的游禽、涉禽主要分布在三个</w:t>
                  </w:r>
                  <w:r>
                    <w:rPr>
                      <w:rFonts w:hint="eastAsia" w:ascii="Times New Roman" w:hAnsi="Times New Roman" w:cs="Times New Roman"/>
                      <w:caps w:val="0"/>
                      <w:smallCaps w:val="0"/>
                      <w:color w:val="auto"/>
                      <w:spacing w:val="0"/>
                      <w:w w:val="100"/>
                      <w:sz w:val="21"/>
                      <w:szCs w:val="21"/>
                      <w:highlight w:val="none"/>
                      <w:u w:val="single"/>
                      <w:lang w:val="en-US" w:eastAsia="zh-CN"/>
                    </w:rPr>
                    <w:t>湖</w:t>
                  </w:r>
                  <w:r>
                    <w:rPr>
                      <w:rFonts w:hint="default" w:ascii="Times New Roman" w:hAnsi="Times New Roman" w:eastAsia="宋体" w:cs="Times New Roman"/>
                      <w:caps w:val="0"/>
                      <w:smallCaps w:val="0"/>
                      <w:color w:val="auto"/>
                      <w:spacing w:val="0"/>
                      <w:w w:val="100"/>
                      <w:sz w:val="21"/>
                      <w:szCs w:val="21"/>
                      <w:highlight w:val="none"/>
                      <w:u w:val="single"/>
                    </w:rPr>
                    <w:t>区</w:t>
                  </w:r>
                </w:p>
              </w:tc>
            </w:tr>
            <w:bookmarkEnd w:id="48"/>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bCs/>
                <w:color w:val="auto"/>
                <w:kern w:val="0"/>
                <w:sz w:val="24"/>
                <w:szCs w:val="24"/>
                <w:u w:val="none"/>
                <w:lang w:val="en-US" w:eastAsia="zh-CN"/>
              </w:rPr>
            </w:pPr>
            <w:r>
              <w:rPr>
                <w:rFonts w:hint="eastAsia" w:ascii="Times New Roman" w:hAnsi="Times New Roman"/>
                <w:color w:val="auto"/>
                <w:szCs w:val="21"/>
                <w:lang w:val="en-US" w:eastAsia="zh-CN"/>
              </w:rPr>
              <w:t>2、</w:t>
            </w:r>
            <w:r>
              <w:rPr>
                <w:rFonts w:hint="eastAsia" w:ascii="Times New Roman" w:hAnsi="Times New Roman" w:eastAsia="宋体" w:cs="Times New Roman"/>
                <w:b/>
                <w:bCs/>
                <w:color w:val="auto"/>
                <w:kern w:val="0"/>
                <w:sz w:val="24"/>
                <w:szCs w:val="24"/>
                <w:u w:val="none"/>
                <w:lang w:val="en-US" w:eastAsia="zh-CN"/>
              </w:rPr>
              <w:t>大气、声环境保护目标</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single"/>
                <w:lang w:val="en-US" w:eastAsia="zh-CN"/>
              </w:rPr>
            </w:pPr>
            <w:r>
              <w:rPr>
                <w:rFonts w:hint="default" w:ascii="Times New Roman" w:hAnsi="Times New Roman" w:eastAsia="宋体" w:cs="Times New Roman"/>
                <w:b/>
                <w:bCs w:val="0"/>
                <w:color w:val="auto"/>
                <w:sz w:val="21"/>
                <w:szCs w:val="21"/>
                <w:u w:val="single"/>
                <w:lang w:val="en-US" w:eastAsia="zh-CN"/>
              </w:rPr>
              <w:t>表</w:t>
            </w:r>
            <w:r>
              <w:rPr>
                <w:rFonts w:hint="eastAsia" w:eastAsia="宋体" w:cs="Times New Roman"/>
                <w:b/>
                <w:bCs w:val="0"/>
                <w:color w:val="auto"/>
                <w:sz w:val="21"/>
                <w:szCs w:val="21"/>
                <w:u w:val="single"/>
                <w:lang w:val="en-US" w:eastAsia="zh-CN"/>
              </w:rPr>
              <w:t xml:space="preserve">3-9  </w:t>
            </w:r>
            <w:r>
              <w:rPr>
                <w:rFonts w:hint="default" w:ascii="Times New Roman" w:hAnsi="Times New Roman" w:eastAsia="宋体" w:cs="Times New Roman"/>
                <w:b/>
                <w:bCs w:val="0"/>
                <w:color w:val="auto"/>
                <w:sz w:val="21"/>
                <w:szCs w:val="21"/>
                <w:u w:val="single"/>
                <w:lang w:val="en-US" w:eastAsia="zh-CN"/>
              </w:rPr>
              <w:t>环境保护目标一览表</w:t>
            </w:r>
          </w:p>
          <w:tbl>
            <w:tblPr>
              <w:tblStyle w:val="2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448"/>
              <w:gridCol w:w="1641"/>
              <w:gridCol w:w="1551"/>
              <w:gridCol w:w="924"/>
              <w:gridCol w:w="1739"/>
              <w:gridCol w:w="1375"/>
              <w:gridCol w:w="1591"/>
              <w:gridCol w:w="11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湖泊</w:t>
                  </w:r>
                </w:p>
              </w:tc>
              <w:tc>
                <w:tcPr>
                  <w:tcW w:w="2448" w:type="dxa"/>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敏感</w:t>
                  </w:r>
                  <w:r>
                    <w:rPr>
                      <w:rFonts w:hint="default" w:ascii="Times New Roman" w:hAnsi="Times New Roman" w:eastAsia="宋体" w:cs="Times New Roman"/>
                      <w:b/>
                      <w:bCs/>
                      <w:caps w:val="0"/>
                      <w:smallCaps w:val="0"/>
                      <w:color w:val="auto"/>
                      <w:spacing w:val="0"/>
                      <w:w w:val="100"/>
                      <w:position w:val="0"/>
                      <w:sz w:val="18"/>
                      <w:szCs w:val="18"/>
                      <w:highlight w:val="none"/>
                      <w:u w:val="single"/>
                    </w:rPr>
                    <w:t>目标</w:t>
                  </w:r>
                </w:p>
              </w:tc>
              <w:tc>
                <w:tcPr>
                  <w:tcW w:w="3192" w:type="dxa"/>
                  <w:gridSpan w:val="2"/>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坐标</w:t>
                  </w:r>
                </w:p>
              </w:tc>
              <w:tc>
                <w:tcPr>
                  <w:tcW w:w="924" w:type="dxa"/>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保护对象</w:t>
                  </w:r>
                </w:p>
              </w:tc>
              <w:tc>
                <w:tcPr>
                  <w:tcW w:w="1739" w:type="dxa"/>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保护内容</w:t>
                  </w:r>
                </w:p>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（大气</w:t>
                  </w:r>
                  <w:r>
                    <w:rPr>
                      <w:rFonts w:hint="default" w:ascii="Times New Roman" w:hAnsi="Times New Roman" w:eastAsia="宋体" w:cs="Times New Roman"/>
                      <w:b/>
                      <w:bCs/>
                      <w:caps w:val="0"/>
                      <w:smallCaps w:val="0"/>
                      <w:color w:val="auto"/>
                      <w:spacing w:val="0"/>
                      <w:w w:val="100"/>
                      <w:position w:val="0"/>
                      <w:sz w:val="18"/>
                      <w:szCs w:val="18"/>
                      <w:highlight w:val="none"/>
                      <w:u w:val="single"/>
                      <w:lang w:val="en-US" w:eastAsia="zh-CN"/>
                    </w:rPr>
                    <w:t>/声</w:t>
                  </w: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w:t>
                  </w:r>
                </w:p>
              </w:tc>
              <w:tc>
                <w:tcPr>
                  <w:tcW w:w="0" w:type="auto"/>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环境功能区</w:t>
                  </w:r>
                </w:p>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（大气</w:t>
                  </w:r>
                  <w:r>
                    <w:rPr>
                      <w:rFonts w:hint="default" w:ascii="Times New Roman" w:hAnsi="Times New Roman" w:eastAsia="宋体" w:cs="Times New Roman"/>
                      <w:b/>
                      <w:bCs/>
                      <w:caps w:val="0"/>
                      <w:smallCaps w:val="0"/>
                      <w:color w:val="auto"/>
                      <w:spacing w:val="0"/>
                      <w:w w:val="100"/>
                      <w:position w:val="0"/>
                      <w:sz w:val="18"/>
                      <w:szCs w:val="18"/>
                      <w:highlight w:val="none"/>
                      <w:u w:val="single"/>
                      <w:lang w:val="en-US" w:eastAsia="zh-CN"/>
                    </w:rPr>
                    <w:t>/噪声</w:t>
                  </w: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w:t>
                  </w:r>
                </w:p>
              </w:tc>
              <w:tc>
                <w:tcPr>
                  <w:tcW w:w="0" w:type="auto"/>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rPr>
                  </w:pPr>
                  <w:r>
                    <w:rPr>
                      <w:rFonts w:hint="default" w:ascii="Times New Roman" w:hAnsi="Times New Roman" w:eastAsia="宋体" w:cs="Times New Roman"/>
                      <w:b/>
                      <w:bCs/>
                      <w:caps w:val="0"/>
                      <w:smallCaps w:val="0"/>
                      <w:color w:val="auto"/>
                      <w:spacing w:val="0"/>
                      <w:w w:val="100"/>
                      <w:position w:val="0"/>
                      <w:sz w:val="18"/>
                      <w:szCs w:val="18"/>
                      <w:highlight w:val="none"/>
                      <w:u w:val="single"/>
                      <w:lang w:eastAsia="zh-CN"/>
                    </w:rPr>
                    <w:t>相对</w:t>
                  </w:r>
                  <w:r>
                    <w:rPr>
                      <w:rFonts w:hint="default" w:ascii="Times New Roman" w:hAnsi="Times New Roman" w:eastAsia="宋体" w:cs="Times New Roman"/>
                      <w:b/>
                      <w:bCs/>
                      <w:caps w:val="0"/>
                      <w:smallCaps w:val="0"/>
                      <w:color w:val="auto"/>
                      <w:spacing w:val="0"/>
                      <w:w w:val="100"/>
                      <w:position w:val="0"/>
                      <w:sz w:val="18"/>
                      <w:szCs w:val="18"/>
                      <w:highlight w:val="none"/>
                      <w:u w:val="single"/>
                    </w:rPr>
                    <w:t>方位</w:t>
                  </w:r>
                </w:p>
              </w:tc>
              <w:tc>
                <w:tcPr>
                  <w:tcW w:w="0" w:type="auto"/>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rPr>
                  </w:pPr>
                  <w:r>
                    <w:rPr>
                      <w:rFonts w:hint="default" w:ascii="Times New Roman" w:hAnsi="Times New Roman" w:eastAsia="宋体" w:cs="Times New Roman"/>
                      <w:b/>
                      <w:bCs/>
                      <w:caps w:val="0"/>
                      <w:smallCaps w:val="0"/>
                      <w:color w:val="auto"/>
                      <w:spacing w:val="0"/>
                      <w:w w:val="100"/>
                      <w:position w:val="0"/>
                      <w:sz w:val="18"/>
                      <w:szCs w:val="18"/>
                      <w:highlight w:val="none"/>
                      <w:u w:val="single"/>
                    </w:rPr>
                    <w:t>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p>
              </w:tc>
              <w:tc>
                <w:tcPr>
                  <w:tcW w:w="2448" w:type="dxa"/>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p>
              </w:tc>
              <w:tc>
                <w:tcPr>
                  <w:tcW w:w="1641" w:type="dxa"/>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val="en-US" w:eastAsia="zh-CN"/>
                    </w:rPr>
                    <w:t>E</w:t>
                  </w:r>
                </w:p>
              </w:tc>
              <w:tc>
                <w:tcPr>
                  <w:tcW w:w="1551" w:type="dxa"/>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b/>
                      <w:bCs/>
                      <w:caps w:val="0"/>
                      <w:smallCaps w:val="0"/>
                      <w:color w:val="auto"/>
                      <w:spacing w:val="0"/>
                      <w:w w:val="100"/>
                      <w:position w:val="0"/>
                      <w:sz w:val="18"/>
                      <w:szCs w:val="18"/>
                      <w:highlight w:val="none"/>
                      <w:u w:val="single"/>
                      <w:lang w:val="en-US" w:eastAsia="zh-CN"/>
                    </w:rPr>
                    <w:t>N</w:t>
                  </w:r>
                </w:p>
              </w:tc>
              <w:tc>
                <w:tcPr>
                  <w:tcW w:w="924" w:type="dxa"/>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p>
              </w:tc>
              <w:tc>
                <w:tcPr>
                  <w:tcW w:w="1739" w:type="dxa"/>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p>
              </w:tc>
              <w:tc>
                <w:tcPr>
                  <w:tcW w:w="0" w:type="auto"/>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p>
              </w:tc>
              <w:tc>
                <w:tcPr>
                  <w:tcW w:w="0" w:type="auto"/>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p>
              </w:tc>
              <w:tc>
                <w:tcPr>
                  <w:tcW w:w="0" w:type="auto"/>
                  <w:vMerge w:val="continue"/>
                  <w:tcBorders>
                    <w:bottom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restart"/>
                  <w:tcBorders>
                    <w:top w:val="single" w:color="auto" w:sz="12"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白泥湖</w:t>
                  </w:r>
                </w:p>
              </w:tc>
              <w:tc>
                <w:tcPr>
                  <w:tcW w:w="2448" w:type="dxa"/>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唐杨套村</w:t>
                  </w:r>
                </w:p>
              </w:tc>
              <w:tc>
                <w:tcPr>
                  <w:tcW w:w="1641" w:type="dxa"/>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112°51′56.91066″</w:t>
                  </w:r>
                </w:p>
              </w:tc>
              <w:tc>
                <w:tcPr>
                  <w:tcW w:w="1551" w:type="dxa"/>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28°44′48.57472″</w:t>
                  </w:r>
                </w:p>
              </w:tc>
              <w:tc>
                <w:tcPr>
                  <w:tcW w:w="924" w:type="dxa"/>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0" w:type="auto"/>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W</w:t>
                  </w:r>
                </w:p>
              </w:tc>
              <w:tc>
                <w:tcPr>
                  <w:tcW w:w="0" w:type="auto"/>
                  <w:tcBorders>
                    <w:top w:val="single" w:color="auto" w:sz="12" w:space="0"/>
                    <w:bottom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90~500m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p>
              </w:tc>
              <w:tc>
                <w:tcPr>
                  <w:tcW w:w="2448" w:type="dxa"/>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哑港</w:t>
                  </w:r>
                </w:p>
              </w:tc>
              <w:tc>
                <w:tcPr>
                  <w:tcW w:w="1641" w:type="dxa"/>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112°52′19.93045″</w:t>
                  </w:r>
                </w:p>
              </w:tc>
              <w:tc>
                <w:tcPr>
                  <w:tcW w:w="1551" w:type="dxa"/>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28°44′15.58998″</w:t>
                  </w:r>
                </w:p>
              </w:tc>
              <w:tc>
                <w:tcPr>
                  <w:tcW w:w="924" w:type="dxa"/>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t>
                  </w:r>
                </w:p>
              </w:tc>
              <w:tc>
                <w:tcPr>
                  <w:tcW w:w="0" w:type="auto"/>
                  <w:tcBorders>
                    <w:top w:val="single" w:color="auto" w:sz="4" w:space="0"/>
                  </w:tcBorders>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468~500m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横潭村</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112°52′4.66440″</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28°45′16.36455″</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130~500m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散户</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112°52′58.69910″</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28°45′30.84848″</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居民点</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17~28m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牛心山</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112°53′12.58436″</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28°45′9.18052″</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居民点</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280~500m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王家陇</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112°53′13.97482″</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28°44′49.46306″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居民点</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310~500m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船形李</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112°53′14.86317″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28°44′33.39556″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居民点</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316~500m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kern w:val="0"/>
                      <w:position w:val="0"/>
                      <w:sz w:val="18"/>
                      <w:szCs w:val="18"/>
                      <w:highlight w:val="none"/>
                      <w:u w:val="single"/>
                      <w:lang w:eastAsia="zh-CN"/>
                    </w:rPr>
                    <w:t>范家坝</w:t>
                  </w: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kern w:val="0"/>
                      <w:position w:val="0"/>
                      <w:sz w:val="18"/>
                      <w:szCs w:val="18"/>
                      <w:highlight w:val="none"/>
                      <w:u w:val="single"/>
                      <w:lang w:eastAsia="zh-CN"/>
                    </w:rPr>
                    <w:t>箭毛咀</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112°53′18.14619″</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28°45′30.32706″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30~250m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石家大屋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112°53′17.29647″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28°45′21.86844″</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290~500m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彭家山</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112°53′43.90827″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28°45′5.76231″</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205~500m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邹家</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112°53′54.52982″</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28°45′15.34101″</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285~500m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杨公咀</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112°53′25.88061″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28°45′42.02041″</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66~500m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杨家山</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112°52′52.83794″</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28°46′16.58872″</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NW（北侧支流）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20~305m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湘阴县花鼓戏艺术发展中心</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112°52′59.05637″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28°46′23.28995″</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文化</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NW（北侧支流）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120~130m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楠竹山</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112°53′1.72142″</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28°46′27.03646″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NW（北侧支流）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180~500m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楠竹山艺术幼儿园</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112°53′1.72142″</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28°46′31.55545″</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学校</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NW（北侧支流）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310~340m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楠竹山二组</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112°53′18.63865″</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28°46′17.26464″</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NW（北侧支流）</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40~310m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天鹅咀</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112°53′58.57566″</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28°46′27.19096″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34~200m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殷家大屋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112°54′29.12710″</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28°46′29.77875″</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440~500m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长坪</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112°54′54.61881″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28°46′19.50482″</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185~500m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熊家河</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112°55′1.37798″</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28°46′12.66840″</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60~500m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范家坝</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112°55′26.25171″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28°46′4.98227″</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E（北侧支流）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220~500m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万家屋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112°55′15.08943″</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28°45′48.21953″</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80~500m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贺家山</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112°54′56.60794″</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28°45′55.50012″</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樟树屋里</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112°54′14.50799″</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28°45′47.15738″</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420~500m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贺家里后</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112°54′9.56414″</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28°46′1.02333″</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100~210m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马尾洲</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112°53′56.37411″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28°46′2.64553″</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72~270m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杨公咀</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112°53′41.61981″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28°45′59.24663″</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44~390m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纸马冲</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112°54′34.14819″</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28°45′48.25816″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S（北侧支流）</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210~380m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restart"/>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kern w:val="0"/>
                      <w:position w:val="0"/>
                      <w:sz w:val="18"/>
                      <w:szCs w:val="18"/>
                      <w:highlight w:val="none"/>
                      <w:u w:val="single"/>
                      <w:lang w:eastAsia="zh-CN"/>
                    </w:rPr>
                    <w:t>三汊港南湖</w:t>
                  </w: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三汊港</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112°53′22.57827″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28°48′40.96452″</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/声环境</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46~390m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三汊港管委会</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112°53′18.79314″</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28°48′37.64287″</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办公</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160~170m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香炉山</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112°53′14.62177″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28°48′26.78958″</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390~500m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虞公庙</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112°53′34.47441″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28°48′14.77758″</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370~500m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六姓屋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112°53′41.87087″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28°48′20.32010″</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95~220m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张家坝</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112°53′45.63669″</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28°48′13.42575″</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123~228m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向家冲</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112°53′56.08443″</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28°48′7.34250″</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53~500m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杨门</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112°54′4.10853″</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28°47′58.95147″</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110~500m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钟家花屋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112°54′1.17312″</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28°47′46.95878″</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480~500m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宋家</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112°54′25.66061″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28°47′52.32749″</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260~470m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钟田屋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112°54′46.09261″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28°47′55.49464″</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200~270m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鱼口坝</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112°54′43.48550″</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28°47′43.84956″</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SE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470~500m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三塘镇</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112°54′50.05155″</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28°48′12.97192″</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300~500m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苏仑村</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112°54′29.73542″</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28°48′20.46494″</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155~481m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亭子屋</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112°54′22.02997″</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28°48′19.82764″</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110~500m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王山上</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112°53′53.87321″</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28°48′45.12624″</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160~500m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7" w:type="dxa"/>
                  <w:vMerge w:val="continue"/>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kern w:val="0"/>
                      <w:position w:val="0"/>
                      <w:sz w:val="18"/>
                      <w:szCs w:val="18"/>
                      <w:highlight w:val="none"/>
                      <w:u w:val="single"/>
                    </w:rPr>
                  </w:pPr>
                </w:p>
              </w:tc>
              <w:tc>
                <w:tcPr>
                  <w:tcW w:w="2448"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三汊港</w:t>
                  </w:r>
                </w:p>
              </w:tc>
              <w:tc>
                <w:tcPr>
                  <w:tcW w:w="164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112°53′48.62038″</w:t>
                  </w:r>
                </w:p>
              </w:tc>
              <w:tc>
                <w:tcPr>
                  <w:tcW w:w="1551"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rPr>
                  </w:pPr>
                  <w:r>
                    <w:rPr>
                      <w:rFonts w:hint="default" w:ascii="Times New Roman" w:hAnsi="Times New Roman" w:eastAsia="宋体" w:cs="Times New Roman"/>
                      <w:caps w:val="0"/>
                      <w:smallCaps w:val="0"/>
                      <w:color w:val="auto"/>
                      <w:spacing w:val="0"/>
                      <w:w w:val="100"/>
                      <w:position w:val="0"/>
                      <w:sz w:val="18"/>
                      <w:szCs w:val="18"/>
                      <w:highlight w:val="none"/>
                      <w:u w:val="single"/>
                    </w:rPr>
                    <w:t>28°48′58.99219″</w:t>
                  </w:r>
                </w:p>
              </w:tc>
              <w:tc>
                <w:tcPr>
                  <w:tcW w:w="9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居民区</w:t>
                  </w:r>
                </w:p>
              </w:tc>
              <w:tc>
                <w:tcPr>
                  <w:tcW w:w="1739"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空气质量</w:t>
                  </w:r>
                </w:p>
              </w:tc>
              <w:tc>
                <w:tcPr>
                  <w:tcW w:w="1375" w:type="dxa"/>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right="113" w:rightChars="0"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eastAsia="zh-CN"/>
                    </w:rPr>
                    <w:t>二类</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NE</w:t>
                  </w:r>
                </w:p>
              </w:tc>
              <w:tc>
                <w:tcPr>
                  <w:tcW w:w="0" w:type="auto"/>
                  <w:noWrap w:val="0"/>
                  <w:vAlign w:val="center"/>
                </w:tcPr>
                <w:p>
                  <w:pPr>
                    <w:pStyle w:val="80"/>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pPr>
                  <w:r>
                    <w:rPr>
                      <w:rFonts w:hint="default" w:ascii="Times New Roman" w:hAnsi="Times New Roman" w:eastAsia="宋体" w:cs="Times New Roman"/>
                      <w:caps w:val="0"/>
                      <w:smallCaps w:val="0"/>
                      <w:color w:val="auto"/>
                      <w:spacing w:val="0"/>
                      <w:w w:val="100"/>
                      <w:position w:val="0"/>
                      <w:sz w:val="18"/>
                      <w:szCs w:val="18"/>
                      <w:highlight w:val="none"/>
                      <w:u w:val="single"/>
                      <w:lang w:val="en-US" w:eastAsia="zh-CN"/>
                    </w:rPr>
                    <w:t>230~500m</w:t>
                  </w:r>
                </w:p>
              </w:tc>
            </w:tr>
          </w:tbl>
          <w:p>
            <w:pPr>
              <w:pStyle w:val="7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宋体" w:cs="Times New Roman"/>
                <w:b/>
                <w:bCs w:val="0"/>
                <w:color w:val="auto"/>
                <w:sz w:val="21"/>
                <w:szCs w:val="21"/>
                <w:u w:val="single"/>
                <w:lang w:val="en-US" w:eastAsia="zh-CN"/>
              </w:rPr>
            </w:pPr>
            <w:r>
              <w:rPr>
                <w:rFonts w:hint="eastAsia" w:eastAsia="宋体" w:cs="Times New Roman"/>
                <w:b/>
                <w:bCs w:val="0"/>
                <w:color w:val="auto"/>
                <w:sz w:val="21"/>
                <w:szCs w:val="21"/>
                <w:u w:val="single"/>
                <w:lang w:val="en-US" w:eastAsia="zh-CN"/>
              </w:rPr>
              <w:t>注：声环境保护目标为项目施工区域周边≤50m范围内。</w:t>
            </w:r>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none"/>
                <w:lang w:val="en-US" w:eastAsia="zh-CN"/>
              </w:rPr>
            </w:pPr>
          </w:p>
          <w:p>
            <w:pPr>
              <w:jc w:val="center"/>
              <w:rPr>
                <w:rFonts w:ascii="Times New Roman" w:hAnsi="Times New Roman"/>
                <w:b/>
                <w:bCs/>
                <w:color w:val="auto"/>
                <w:szCs w:val="21"/>
              </w:rPr>
            </w:pPr>
          </w:p>
          <w:p>
            <w:pPr>
              <w:jc w:val="center"/>
              <w:rPr>
                <w:rFonts w:ascii="Times New Roman" w:hAnsi="Times New Roman"/>
                <w:b/>
                <w:bCs/>
                <w:color w:val="auto"/>
                <w:szCs w:val="21"/>
              </w:rPr>
            </w:pPr>
          </w:p>
          <w:p>
            <w:pPr>
              <w:jc w:val="center"/>
              <w:rPr>
                <w:rFonts w:ascii="Times New Roman" w:hAnsi="Times New Roman"/>
                <w:b/>
                <w:bCs/>
                <w:color w:val="auto"/>
                <w:szCs w:val="21"/>
              </w:rPr>
            </w:pPr>
          </w:p>
          <w:p>
            <w:pPr>
              <w:jc w:val="center"/>
              <w:rPr>
                <w:rFonts w:ascii="Times New Roman" w:hAnsi="Times New Roman"/>
                <w:b/>
                <w:bCs/>
                <w:color w:val="auto"/>
                <w:szCs w:val="21"/>
              </w:rPr>
            </w:pPr>
          </w:p>
          <w:p>
            <w:pPr>
              <w:spacing w:line="360" w:lineRule="auto"/>
              <w:jc w:val="center"/>
              <w:rPr>
                <w:rFonts w:hint="eastAsia" w:ascii="Times New Roman" w:hAnsi="Times New Roman"/>
                <w:color w:val="auto"/>
                <w:kern w:val="0"/>
                <w:szCs w:val="21"/>
                <w:lang w:val="en-US" w:eastAsia="zh-CN"/>
              </w:rPr>
            </w:pPr>
          </w:p>
          <w:p>
            <w:pPr>
              <w:spacing w:line="360" w:lineRule="auto"/>
              <w:jc w:val="center"/>
              <w:rPr>
                <w:rFonts w:hint="eastAsia" w:ascii="Times New Roman" w:hAnsi="Times New Roman"/>
                <w:color w:val="auto"/>
                <w:kern w:val="0"/>
                <w:szCs w:val="21"/>
                <w:lang w:val="en-US" w:eastAsia="zh-CN"/>
              </w:rPr>
            </w:pPr>
          </w:p>
          <w:p>
            <w:pPr>
              <w:spacing w:line="360" w:lineRule="auto"/>
              <w:jc w:val="center"/>
              <w:rPr>
                <w:rFonts w:hint="eastAsia" w:ascii="Times New Roman" w:hAnsi="Times New Roman"/>
                <w:color w:val="auto"/>
                <w:kern w:val="0"/>
                <w:szCs w:val="21"/>
                <w:lang w:val="en-US" w:eastAsia="zh-CN"/>
              </w:rPr>
            </w:pPr>
          </w:p>
          <w:p>
            <w:pPr>
              <w:spacing w:line="360" w:lineRule="auto"/>
              <w:jc w:val="both"/>
              <w:rPr>
                <w:rFonts w:hint="default" w:ascii="Times New Roman" w:hAnsi="Times New Roman" w:eastAsia="宋体"/>
                <w:color w:val="auto"/>
                <w:kern w:val="0"/>
                <w:szCs w:val="21"/>
                <w:lang w:val="en-US" w:eastAsia="zh-CN"/>
              </w:rPr>
            </w:pPr>
          </w:p>
        </w:tc>
      </w:tr>
    </w:tbl>
    <w:p>
      <w:pPr>
        <w:pStyle w:val="22"/>
        <w:jc w:val="center"/>
        <w:outlineLvl w:val="9"/>
        <w:rPr>
          <w:rFonts w:hint="eastAsia" w:ascii="Times New Roman" w:hAnsi="Times New Roman" w:eastAsia="黑体"/>
          <w:snapToGrid w:val="0"/>
          <w:color w:val="auto"/>
          <w:kern w:val="2"/>
          <w:sz w:val="36"/>
          <w:szCs w:val="36"/>
          <w:lang w:val="en-US" w:eastAsia="zh-CN"/>
        </w:rPr>
        <w:sectPr>
          <w:pgSz w:w="16838" w:h="11906" w:orient="landscape"/>
          <w:pgMar w:top="1800" w:right="1440" w:bottom="1800" w:left="1440" w:header="851" w:footer="1077" w:gutter="0"/>
          <w:pgBorders>
            <w:top w:val="none" w:sz="0" w:space="0"/>
            <w:left w:val="none" w:sz="0" w:space="0"/>
            <w:bottom w:val="none" w:sz="0" w:space="0"/>
            <w:right w:val="none" w:sz="0" w:space="0"/>
          </w:pgBorders>
          <w:pgNumType w:fmt="decimal"/>
          <w:cols w:space="720" w:num="1"/>
          <w:docGrid w:linePitch="312" w:charSpace="0"/>
        </w:sectPr>
      </w:pP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0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 w:type="pct"/>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评价</w:t>
            </w:r>
          </w:p>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标准</w:t>
            </w:r>
          </w:p>
        </w:tc>
        <w:tc>
          <w:tcPr>
            <w:tcW w:w="4732" w:type="pct"/>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lang w:val="en-US" w:eastAsia="zh-CN"/>
              </w:rPr>
              <w:t>1、</w:t>
            </w:r>
            <w:r>
              <w:rPr>
                <w:rFonts w:hint="default" w:ascii="Times New Roman" w:hAnsi="Times New Roman" w:eastAsia="宋体" w:cs="Times New Roman"/>
                <w:b/>
                <w:bCs w:val="0"/>
                <w:color w:val="auto"/>
                <w:kern w:val="0"/>
                <w:sz w:val="24"/>
                <w:szCs w:val="24"/>
              </w:rPr>
              <w:t>环境质量标准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（1）环境空气质量标准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本项目所在区域属于二类环境空气功能区。NO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、臭氧</w:t>
            </w:r>
            <w:bookmarkStart w:id="73" w:name="_Hlk5791231"/>
            <w:r>
              <w:rPr>
                <w:rFonts w:hint="default" w:ascii="Times New Roman" w:hAnsi="Times New Roman" w:eastAsia="宋体" w:cs="Times New Roman"/>
                <w:color w:val="auto"/>
                <w:sz w:val="24"/>
                <w:szCs w:val="24"/>
              </w:rPr>
              <w:t>、CO执行《环境空气质量标准》（GB3095-2012）及其修改单二级标准。</w:t>
            </w:r>
            <w:bookmarkEnd w:id="73"/>
          </w:p>
          <w:p>
            <w:pPr>
              <w:pStyle w:val="76"/>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eastAsia="宋体" w:cs="Times New Roman"/>
                <w:b/>
                <w:bCs w:val="0"/>
                <w:color w:val="auto"/>
                <w:sz w:val="21"/>
                <w:szCs w:val="21"/>
                <w:u w:val="none"/>
                <w:lang w:val="en-US" w:eastAsia="zh-CN"/>
              </w:rPr>
              <w:t>表</w:t>
            </w:r>
            <w:r>
              <w:rPr>
                <w:rFonts w:hint="eastAsia" w:eastAsia="宋体" w:cs="Times New Roman"/>
                <w:b/>
                <w:bCs w:val="0"/>
                <w:color w:val="auto"/>
                <w:sz w:val="21"/>
                <w:szCs w:val="21"/>
                <w:u w:val="none"/>
                <w:lang w:val="en-US" w:eastAsia="zh-CN"/>
              </w:rPr>
              <w:t xml:space="preserve">3-10  </w:t>
            </w:r>
            <w:r>
              <w:rPr>
                <w:rFonts w:hint="default" w:ascii="Times New Roman" w:hAnsi="Times New Roman" w:eastAsia="宋体" w:cs="Times New Roman"/>
                <w:b/>
                <w:bCs w:val="0"/>
                <w:color w:val="auto"/>
                <w:sz w:val="21"/>
                <w:szCs w:val="21"/>
                <w:u w:val="none"/>
                <w:lang w:val="en-US" w:eastAsia="zh-CN"/>
              </w:rPr>
              <w:t>环境空气质量标准</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1903"/>
              <w:gridCol w:w="1060"/>
              <w:gridCol w:w="777"/>
              <w:gridCol w:w="14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污染物项目</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平均时间</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浓度限值</w:t>
                  </w:r>
                </w:p>
              </w:tc>
              <w:tc>
                <w:tcPr>
                  <w:tcW w:w="49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单位</w:t>
                  </w:r>
                </w:p>
              </w:tc>
              <w:tc>
                <w:tcPr>
                  <w:tcW w:w="90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二氧化硫（SO</w:t>
                  </w:r>
                  <w:r>
                    <w:rPr>
                      <w:rFonts w:ascii="Times New Roman" w:hAnsi="Times New Roman"/>
                      <w:color w:val="auto"/>
                      <w:szCs w:val="21"/>
                      <w:vertAlign w:val="subscript"/>
                    </w:rPr>
                    <w:t>2</w:t>
                  </w:r>
                  <w:r>
                    <w:rPr>
                      <w:rFonts w:ascii="Times New Roman" w:hAnsi="Times New Roman"/>
                      <w:color w:val="auto"/>
                      <w:szCs w:val="21"/>
                    </w:rPr>
                    <w:t>）</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年平均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0</w:t>
                  </w:r>
                </w:p>
              </w:tc>
              <w:tc>
                <w:tcPr>
                  <w:tcW w:w="49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μg/m</w:t>
                  </w:r>
                  <w:r>
                    <w:rPr>
                      <w:rFonts w:ascii="Times New Roman" w:hAnsi="Times New Roman"/>
                      <w:color w:val="auto"/>
                      <w:szCs w:val="21"/>
                      <w:vertAlign w:val="superscript"/>
                    </w:rPr>
                    <w:t>3</w:t>
                  </w:r>
                </w:p>
              </w:tc>
              <w:tc>
                <w:tcPr>
                  <w:tcW w:w="90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GB3095-2012及其修改单二级标准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24小时平均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150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500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二氧化氮（NO</w:t>
                  </w:r>
                  <w:r>
                    <w:rPr>
                      <w:rFonts w:ascii="Times New Roman" w:hAnsi="Times New Roman"/>
                      <w:color w:val="auto"/>
                      <w:szCs w:val="21"/>
                      <w:vertAlign w:val="subscript"/>
                    </w:rPr>
                    <w:t>2</w:t>
                  </w:r>
                  <w:r>
                    <w:rPr>
                      <w:rFonts w:ascii="Times New Roman" w:hAnsi="Times New Roman"/>
                      <w:color w:val="auto"/>
                      <w:szCs w:val="21"/>
                    </w:rPr>
                    <w:t>）</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年平均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40</w:t>
                  </w:r>
                </w:p>
              </w:tc>
              <w:tc>
                <w:tcPr>
                  <w:tcW w:w="49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μg/m</w:t>
                  </w:r>
                  <w:r>
                    <w:rPr>
                      <w:rFonts w:ascii="Times New Roman" w:hAnsi="Times New Roman"/>
                      <w:color w:val="auto"/>
                      <w:szCs w:val="21"/>
                      <w:vertAlign w:val="superscript"/>
                    </w:rPr>
                    <w:t>3</w:t>
                  </w: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24小时平均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80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200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9" w:hRule="atLeast"/>
                <w:jc w:val="center"/>
              </w:trPr>
              <w:tc>
                <w:tcPr>
                  <w:tcW w:w="1711"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一氧化碳（CO）</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24小时平均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4</w:t>
                  </w:r>
                </w:p>
              </w:tc>
              <w:tc>
                <w:tcPr>
                  <w:tcW w:w="49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mg/m</w:t>
                  </w:r>
                  <w:r>
                    <w:rPr>
                      <w:rFonts w:ascii="Times New Roman" w:hAnsi="Times New Roman"/>
                      <w:color w:val="auto"/>
                      <w:szCs w:val="21"/>
                      <w:vertAlign w:val="superscript"/>
                    </w:rPr>
                    <w:t>3</w:t>
                  </w: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臭氧（O</w:t>
                  </w:r>
                  <w:r>
                    <w:rPr>
                      <w:rFonts w:ascii="Times New Roman" w:hAnsi="Times New Roman"/>
                      <w:color w:val="auto"/>
                      <w:szCs w:val="21"/>
                      <w:vertAlign w:val="subscript"/>
                    </w:rPr>
                    <w:t>3</w:t>
                  </w:r>
                  <w:r>
                    <w:rPr>
                      <w:rFonts w:ascii="Times New Roman" w:hAnsi="Times New Roman"/>
                      <w:color w:val="auto"/>
                      <w:szCs w:val="21"/>
                    </w:rPr>
                    <w:t>）</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日最大8小时平均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160</w:t>
                  </w:r>
                </w:p>
              </w:tc>
              <w:tc>
                <w:tcPr>
                  <w:tcW w:w="49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μg/m</w:t>
                  </w:r>
                  <w:r>
                    <w:rPr>
                      <w:rFonts w:ascii="Times New Roman" w:hAnsi="Times New Roman"/>
                      <w:color w:val="auto"/>
                      <w:szCs w:val="21"/>
                      <w:vertAlign w:val="superscript"/>
                    </w:rPr>
                    <w:t>3</w:t>
                  </w: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200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颗粒物</w:t>
                  </w:r>
                </w:p>
                <w:p>
                  <w:pPr>
                    <w:jc w:val="center"/>
                    <w:rPr>
                      <w:rFonts w:ascii="Times New Roman" w:hAnsi="Times New Roman"/>
                      <w:color w:val="auto"/>
                      <w:szCs w:val="21"/>
                    </w:rPr>
                  </w:pPr>
                  <w:r>
                    <w:rPr>
                      <w:rFonts w:ascii="Times New Roman" w:hAnsi="Times New Roman"/>
                      <w:color w:val="auto"/>
                      <w:szCs w:val="21"/>
                    </w:rPr>
                    <w:t>（粒径小于等于10μm）</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年平均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70</w:t>
                  </w:r>
                </w:p>
              </w:tc>
              <w:tc>
                <w:tcPr>
                  <w:tcW w:w="49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μg/m</w:t>
                  </w:r>
                  <w:r>
                    <w:rPr>
                      <w:rFonts w:ascii="Times New Roman" w:hAnsi="Times New Roman"/>
                      <w:color w:val="auto"/>
                      <w:szCs w:val="21"/>
                      <w:vertAlign w:val="superscript"/>
                    </w:rPr>
                    <w:t>3</w:t>
                  </w: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24小时平均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150</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颗粒物</w:t>
                  </w:r>
                </w:p>
                <w:p>
                  <w:pPr>
                    <w:jc w:val="center"/>
                    <w:rPr>
                      <w:rFonts w:ascii="Times New Roman" w:hAnsi="Times New Roman"/>
                      <w:color w:val="auto"/>
                      <w:szCs w:val="21"/>
                    </w:rPr>
                  </w:pPr>
                  <w:r>
                    <w:rPr>
                      <w:rFonts w:ascii="Times New Roman" w:hAnsi="Times New Roman"/>
                      <w:color w:val="auto"/>
                      <w:szCs w:val="21"/>
                    </w:rPr>
                    <w:t>（粒径小于等于2.5μm）</w:t>
                  </w: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年平均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35</w:t>
                  </w:r>
                </w:p>
              </w:tc>
              <w:tc>
                <w:tcPr>
                  <w:tcW w:w="495"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μg/m</w:t>
                  </w:r>
                  <w:r>
                    <w:rPr>
                      <w:rFonts w:ascii="Times New Roman" w:hAnsi="Times New Roman"/>
                      <w:color w:val="auto"/>
                      <w:szCs w:val="21"/>
                      <w:vertAlign w:val="superscript"/>
                    </w:rPr>
                    <w:t>3</w:t>
                  </w: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1" w:type="pct"/>
                  <w:vMerge w:val="continue"/>
                  <w:tcBorders>
                    <w:tl2br w:val="nil"/>
                    <w:tr2bl w:val="nil"/>
                  </w:tcBorders>
                  <w:vAlign w:val="center"/>
                </w:tcPr>
                <w:p>
                  <w:pPr>
                    <w:widowControl/>
                    <w:jc w:val="left"/>
                    <w:rPr>
                      <w:rFonts w:ascii="Times New Roman" w:hAnsi="Times New Roman"/>
                      <w:color w:val="auto"/>
                      <w:szCs w:val="21"/>
                    </w:rPr>
                  </w:pPr>
                </w:p>
              </w:tc>
              <w:tc>
                <w:tcPr>
                  <w:tcW w:w="121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24小时平均</w:t>
                  </w:r>
                </w:p>
              </w:tc>
              <w:tc>
                <w:tcPr>
                  <w:tcW w:w="67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75</w:t>
                  </w:r>
                </w:p>
              </w:tc>
              <w:tc>
                <w:tcPr>
                  <w:tcW w:w="495" w:type="pct"/>
                  <w:vMerge w:val="continue"/>
                  <w:tcBorders>
                    <w:tl2br w:val="nil"/>
                    <w:tr2bl w:val="nil"/>
                  </w:tcBorders>
                  <w:vAlign w:val="center"/>
                </w:tcPr>
                <w:p>
                  <w:pPr>
                    <w:widowControl/>
                    <w:jc w:val="left"/>
                    <w:rPr>
                      <w:rFonts w:ascii="Times New Roman" w:hAnsi="Times New Roman"/>
                      <w:color w:val="auto"/>
                      <w:szCs w:val="21"/>
                    </w:rPr>
                  </w:pPr>
                </w:p>
              </w:tc>
              <w:tc>
                <w:tcPr>
                  <w:tcW w:w="905" w:type="pct"/>
                  <w:vMerge w:val="continue"/>
                  <w:tcBorders>
                    <w:tl2br w:val="nil"/>
                    <w:tr2bl w:val="nil"/>
                  </w:tcBorders>
                  <w:vAlign w:val="center"/>
                </w:tcPr>
                <w:p>
                  <w:pPr>
                    <w:widowControl/>
                    <w:jc w:val="left"/>
                    <w:rPr>
                      <w:rFonts w:ascii="Times New Roman" w:hAnsi="Times New Roman"/>
                      <w:color w:val="auto"/>
                      <w:szCs w:val="21"/>
                    </w:rPr>
                  </w:pPr>
                </w:p>
              </w:tc>
            </w:tr>
          </w:tbl>
          <w:p>
            <w:pPr>
              <w:keepNext w:val="0"/>
              <w:keepLines w:val="0"/>
              <w:pageBreakBefore w:val="0"/>
              <w:widowControl w:val="0"/>
              <w:numPr>
                <w:ilvl w:val="0"/>
                <w:numId w:val="5"/>
              </w:numPr>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地表水环境质量标准</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范家坝湖、</w:t>
            </w:r>
            <w:r>
              <w:rPr>
                <w:rFonts w:hint="default" w:ascii="Times New Roman" w:hAnsi="Times New Roman" w:eastAsia="宋体" w:cs="Times New Roman"/>
                <w:color w:val="auto"/>
                <w:sz w:val="24"/>
                <w:szCs w:val="24"/>
              </w:rPr>
              <w:t>白泥湖</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三汊港湖</w:t>
            </w:r>
            <w:r>
              <w:rPr>
                <w:rFonts w:hint="default" w:ascii="Times New Roman" w:hAnsi="Times New Roman" w:eastAsia="宋体" w:cs="Times New Roman"/>
                <w:color w:val="auto"/>
                <w:sz w:val="24"/>
                <w:szCs w:val="24"/>
              </w:rPr>
              <w:t>为农业、渔业用水，执行《地表水环境质量标准》（GB3838-2002）III类标准（SS参照《地表水资源质量标准(SL63-94)》限值）。</w:t>
            </w:r>
          </w:p>
          <w:p>
            <w:pPr>
              <w:spacing w:line="360" w:lineRule="auto"/>
              <w:jc w:val="center"/>
              <w:rPr>
                <w:rFonts w:ascii="Times New Roman" w:hAnsi="Times New Roman"/>
                <w:b/>
                <w:color w:val="auto"/>
                <w:szCs w:val="21"/>
              </w:rPr>
            </w:pPr>
            <w:r>
              <w:rPr>
                <w:rFonts w:ascii="Times New Roman" w:hAnsi="Times New Roman"/>
                <w:b/>
                <w:color w:val="auto"/>
                <w:szCs w:val="21"/>
              </w:rPr>
              <w:t>表</w:t>
            </w:r>
            <w:r>
              <w:rPr>
                <w:rFonts w:hint="eastAsia" w:ascii="Times New Roman" w:hAnsi="Times New Roman"/>
                <w:b/>
                <w:color w:val="auto"/>
                <w:szCs w:val="21"/>
                <w:lang w:val="en-US" w:eastAsia="zh-CN"/>
              </w:rPr>
              <w:t xml:space="preserve">3-11  </w:t>
            </w:r>
            <w:r>
              <w:rPr>
                <w:rFonts w:ascii="Times New Roman" w:hAnsi="Times New Roman"/>
                <w:b/>
                <w:color w:val="auto"/>
                <w:szCs w:val="21"/>
              </w:rPr>
              <w:t>地表水环境质量标准单位：mg/L，pH无量纲</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71"/>
              <w:gridCol w:w="1068"/>
              <w:gridCol w:w="1068"/>
              <w:gridCol w:w="1387"/>
              <w:gridCol w:w="1010"/>
              <w:gridCol w:w="11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项目</w:t>
                  </w:r>
                </w:p>
              </w:tc>
              <w:tc>
                <w:tcPr>
                  <w:tcW w:w="68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pH值</w:t>
                  </w:r>
                </w:p>
              </w:tc>
              <w:tc>
                <w:tcPr>
                  <w:tcW w:w="68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SS</w:t>
                  </w:r>
                </w:p>
              </w:tc>
              <w:tc>
                <w:tcPr>
                  <w:tcW w:w="68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化学需氧量</w:t>
                  </w:r>
                </w:p>
              </w:tc>
              <w:tc>
                <w:tcPr>
                  <w:tcW w:w="883"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五日生化需氧量</w:t>
                  </w:r>
                </w:p>
              </w:tc>
              <w:tc>
                <w:tcPr>
                  <w:tcW w:w="643"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氨氮</w:t>
                  </w:r>
                </w:p>
              </w:tc>
              <w:tc>
                <w:tcPr>
                  <w:tcW w:w="75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总磷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Ⅲ类标准</w:t>
                  </w:r>
                </w:p>
              </w:tc>
              <w:tc>
                <w:tcPr>
                  <w:tcW w:w="682"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6~9</w:t>
                  </w:r>
                </w:p>
              </w:tc>
              <w:tc>
                <w:tcPr>
                  <w:tcW w:w="68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30</w:t>
                  </w:r>
                </w:p>
              </w:tc>
              <w:tc>
                <w:tcPr>
                  <w:tcW w:w="68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≤20</w:t>
                  </w:r>
                </w:p>
              </w:tc>
              <w:tc>
                <w:tcPr>
                  <w:tcW w:w="883"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≤4</w:t>
                  </w:r>
                </w:p>
              </w:tc>
              <w:tc>
                <w:tcPr>
                  <w:tcW w:w="643"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≤1.0</w:t>
                  </w:r>
                </w:p>
              </w:tc>
              <w:tc>
                <w:tcPr>
                  <w:tcW w:w="75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≤0.</w:t>
                  </w:r>
                  <w:r>
                    <w:rPr>
                      <w:rFonts w:hint="eastAsia" w:ascii="Times New Roman" w:hAnsi="Times New Roman"/>
                      <w:color w:val="auto"/>
                      <w:szCs w:val="21"/>
                    </w:rPr>
                    <w:t>05</w:t>
                  </w:r>
                </w:p>
              </w:tc>
            </w:tr>
          </w:tbl>
          <w:p>
            <w:pPr>
              <w:keepNext w:val="0"/>
              <w:keepLines w:val="0"/>
              <w:pageBreakBefore w:val="0"/>
              <w:widowControl w:val="0"/>
              <w:numPr>
                <w:ilvl w:val="0"/>
                <w:numId w:val="5"/>
              </w:numPr>
              <w:kinsoku/>
              <w:wordWrap/>
              <w:overflowPunct/>
              <w:topLinePunct w:val="0"/>
              <w:bidi w:val="0"/>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声环境质量标准</w:t>
            </w:r>
            <w:bookmarkStart w:id="74" w:name="_Hlk5791310"/>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周边居民区等环境敏感点的声环境执行《声环境质量标准》（GB3096-2008）2类标准。</w:t>
            </w:r>
            <w:bookmarkEnd w:id="74"/>
          </w:p>
          <w:p>
            <w:pPr>
              <w:spacing w:line="360" w:lineRule="auto"/>
              <w:jc w:val="center"/>
              <w:rPr>
                <w:rFonts w:ascii="Times New Roman" w:hAnsi="Times New Roman"/>
                <w:b/>
                <w:color w:val="auto"/>
                <w:szCs w:val="21"/>
              </w:rPr>
            </w:pPr>
          </w:p>
          <w:p>
            <w:pPr>
              <w:spacing w:line="360" w:lineRule="auto"/>
              <w:jc w:val="center"/>
              <w:rPr>
                <w:rFonts w:ascii="Times New Roman" w:hAnsi="Times New Roman"/>
                <w:b/>
                <w:color w:val="auto"/>
                <w:szCs w:val="21"/>
              </w:rPr>
            </w:pPr>
          </w:p>
          <w:p>
            <w:pPr>
              <w:spacing w:line="360" w:lineRule="auto"/>
              <w:jc w:val="center"/>
              <w:rPr>
                <w:rFonts w:ascii="Times New Roman" w:hAnsi="Times New Roman"/>
                <w:b/>
                <w:color w:val="auto"/>
                <w:szCs w:val="21"/>
              </w:rPr>
            </w:pPr>
          </w:p>
          <w:p>
            <w:pPr>
              <w:spacing w:line="360" w:lineRule="auto"/>
              <w:jc w:val="center"/>
              <w:rPr>
                <w:rFonts w:ascii="Times New Roman" w:hAnsi="Times New Roman"/>
                <w:color w:val="auto"/>
                <w:szCs w:val="21"/>
              </w:rPr>
            </w:pPr>
            <w:r>
              <w:rPr>
                <w:rFonts w:ascii="Times New Roman" w:hAnsi="Times New Roman"/>
                <w:b/>
                <w:color w:val="auto"/>
                <w:szCs w:val="21"/>
              </w:rPr>
              <w:t>表</w:t>
            </w:r>
            <w:r>
              <w:rPr>
                <w:rFonts w:hint="eastAsia" w:ascii="Times New Roman" w:hAnsi="Times New Roman"/>
                <w:b/>
                <w:color w:val="auto"/>
                <w:szCs w:val="21"/>
                <w:lang w:val="en-US" w:eastAsia="zh-CN"/>
              </w:rPr>
              <w:t xml:space="preserve">3-12  </w:t>
            </w:r>
            <w:r>
              <w:rPr>
                <w:rFonts w:ascii="Times New Roman" w:hAnsi="Times New Roman"/>
                <w:b/>
                <w:color w:val="auto"/>
                <w:szCs w:val="21"/>
              </w:rPr>
              <w:t>环境噪声限值</w:t>
            </w:r>
            <w:r>
              <w:rPr>
                <w:rFonts w:hint="eastAsia" w:ascii="Times New Roman" w:hAnsi="Times New Roman"/>
                <w:b/>
                <w:color w:val="auto"/>
                <w:szCs w:val="21"/>
                <w:lang w:val="en-US" w:eastAsia="zh-CN"/>
              </w:rPr>
              <w:t xml:space="preserve">  </w:t>
            </w:r>
            <w:r>
              <w:rPr>
                <w:rFonts w:ascii="Times New Roman" w:hAnsi="Times New Roman"/>
                <w:color w:val="auto"/>
                <w:szCs w:val="21"/>
              </w:rPr>
              <w:t>单位：dB（A）</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2395"/>
              <w:gridCol w:w="2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49" w:type="pct"/>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声环境功能区类别</w:t>
                  </w:r>
                </w:p>
              </w:tc>
              <w:tc>
                <w:tcPr>
                  <w:tcW w:w="3050" w:type="pct"/>
                  <w:gridSpan w:val="2"/>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49" w:type="pct"/>
                  <w:vMerge w:val="continue"/>
                  <w:tcBorders>
                    <w:tl2br w:val="nil"/>
                    <w:tr2bl w:val="nil"/>
                  </w:tcBorders>
                  <w:vAlign w:val="center"/>
                </w:tcPr>
                <w:p>
                  <w:pPr>
                    <w:widowControl/>
                    <w:jc w:val="left"/>
                    <w:rPr>
                      <w:rFonts w:ascii="Times New Roman" w:hAnsi="Times New Roman"/>
                      <w:color w:val="auto"/>
                      <w:szCs w:val="21"/>
                    </w:rPr>
                  </w:pPr>
                </w:p>
              </w:tc>
              <w:tc>
                <w:tcPr>
                  <w:tcW w:w="152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昼间</w:t>
                  </w:r>
                </w:p>
              </w:tc>
              <w:tc>
                <w:tcPr>
                  <w:tcW w:w="152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49"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2类</w:t>
                  </w:r>
                </w:p>
              </w:tc>
              <w:tc>
                <w:tcPr>
                  <w:tcW w:w="152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60</w:t>
                  </w:r>
                </w:p>
              </w:tc>
              <w:tc>
                <w:tcPr>
                  <w:tcW w:w="1525"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50</w:t>
                  </w:r>
                </w:p>
              </w:tc>
            </w:tr>
          </w:tbl>
          <w:p>
            <w:pPr>
              <w:keepNext w:val="0"/>
              <w:keepLines w:val="0"/>
              <w:pageBreakBefore w:val="0"/>
              <w:widowControl w:val="0"/>
              <w:numPr>
                <w:ilvl w:val="0"/>
                <w:numId w:val="5"/>
              </w:numPr>
              <w:kinsoku/>
              <w:wordWrap/>
              <w:overflowPunct/>
              <w:topLinePunct w:val="0"/>
              <w:bidi w:val="0"/>
              <w:snapToGrid/>
              <w:spacing w:line="360" w:lineRule="auto"/>
              <w:ind w:left="0" w:lef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底泥</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执行《土壤环境质量 农用地土壤污染风险管控标准（试行）》（GB 15618-2018）中风险筛选</w:t>
            </w:r>
            <w:r>
              <w:rPr>
                <w:rFonts w:hint="eastAsia" w:ascii="Times New Roman" w:hAnsi="Times New Roman" w:eastAsia="宋体" w:cs="Times New Roman"/>
                <w:color w:val="auto"/>
                <w:sz w:val="24"/>
                <w:szCs w:val="24"/>
              </w:rPr>
              <w:t>。</w:t>
            </w:r>
          </w:p>
          <w:p>
            <w:pPr>
              <w:spacing w:line="360" w:lineRule="auto"/>
              <w:jc w:val="center"/>
              <w:rPr>
                <w:rFonts w:ascii="Times New Roman" w:hAnsi="Times New Roman" w:cs="Times New Roman"/>
                <w:b/>
                <w:color w:val="auto"/>
                <w:szCs w:val="21"/>
              </w:rPr>
            </w:pPr>
            <w:r>
              <w:rPr>
                <w:rFonts w:ascii="Times New Roman" w:hAnsi="Times New Roman" w:cs="Times New Roman"/>
                <w:b/>
                <w:color w:val="auto"/>
                <w:szCs w:val="21"/>
              </w:rPr>
              <w:t>表3-</w:t>
            </w:r>
            <w:r>
              <w:rPr>
                <w:rFonts w:hint="eastAsia" w:ascii="Times New Roman" w:hAnsi="Times New Roman" w:cs="Times New Roman"/>
                <w:b/>
                <w:color w:val="auto"/>
                <w:szCs w:val="21"/>
                <w:lang w:val="en-US"/>
              </w:rPr>
              <w:t>1</w:t>
            </w:r>
            <w:r>
              <w:rPr>
                <w:rFonts w:hint="eastAsia" w:ascii="Times New Roman" w:hAnsi="Times New Roman" w:cs="Times New Roman"/>
                <w:b/>
                <w:color w:val="auto"/>
                <w:szCs w:val="21"/>
                <w:lang w:val="en-US" w:eastAsia="zh-CN"/>
              </w:rPr>
              <w:t xml:space="preserve">3 </w:t>
            </w:r>
            <w:r>
              <w:rPr>
                <w:rFonts w:ascii="Times New Roman" w:hAnsi="Times New Roman" w:cs="Times New Roman"/>
                <w:b/>
                <w:color w:val="auto"/>
                <w:szCs w:val="21"/>
              </w:rPr>
              <w:t xml:space="preserve">《土壤环境质量 </w:t>
            </w:r>
            <w:r>
              <w:rPr>
                <w:rFonts w:hint="eastAsia" w:ascii="Times New Roman" w:hAnsi="Times New Roman" w:cs="Times New Roman"/>
                <w:b/>
                <w:color w:val="auto"/>
                <w:szCs w:val="21"/>
                <w:lang w:val="en-US" w:eastAsia="zh-CN"/>
              </w:rPr>
              <w:t xml:space="preserve"> </w:t>
            </w:r>
            <w:r>
              <w:rPr>
                <w:rFonts w:ascii="Times New Roman" w:hAnsi="Times New Roman" w:cs="Times New Roman"/>
                <w:b/>
                <w:color w:val="auto"/>
                <w:szCs w:val="21"/>
              </w:rPr>
              <w:t>农用地土壤污染风险管控标准（试行）》</w:t>
            </w:r>
          </w:p>
          <w:tbl>
            <w:tblPr>
              <w:tblStyle w:val="25"/>
              <w:tblW w:w="0" w:type="auto"/>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89"/>
              <w:gridCol w:w="1942"/>
              <w:gridCol w:w="1875"/>
              <w:gridCol w:w="317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89" w:type="dxa"/>
                  <w:tcBorders>
                    <w:tl2br w:val="nil"/>
                    <w:tr2bl w:val="nil"/>
                  </w:tcBorders>
                  <w:noWrap w:val="0"/>
                  <w:vAlign w:val="top"/>
                </w:tcPr>
                <w:p>
                  <w:pPr>
                    <w:pStyle w:val="62"/>
                    <w:spacing w:line="400" w:lineRule="exact"/>
                    <w:jc w:val="center"/>
                    <w:rPr>
                      <w:rFonts w:ascii="Times New Roman" w:hAnsi="Times New Roman"/>
                      <w:color w:val="auto"/>
                      <w:sz w:val="21"/>
                      <w:szCs w:val="21"/>
                    </w:rPr>
                  </w:pPr>
                  <w:r>
                    <w:rPr>
                      <w:rFonts w:ascii="Times New Roman" w:hAnsi="Times New Roman"/>
                      <w:color w:val="auto"/>
                      <w:sz w:val="21"/>
                      <w:szCs w:val="21"/>
                    </w:rPr>
                    <w:t>序号</w:t>
                  </w:r>
                </w:p>
              </w:tc>
              <w:tc>
                <w:tcPr>
                  <w:tcW w:w="1942" w:type="dxa"/>
                  <w:tcBorders>
                    <w:tl2br w:val="nil"/>
                    <w:tr2bl w:val="nil"/>
                  </w:tcBorders>
                  <w:noWrap w:val="0"/>
                  <w:vAlign w:val="top"/>
                </w:tcPr>
                <w:p>
                  <w:pPr>
                    <w:pStyle w:val="62"/>
                    <w:spacing w:line="400" w:lineRule="exact"/>
                    <w:jc w:val="center"/>
                    <w:rPr>
                      <w:rFonts w:ascii="Times New Roman" w:hAnsi="Times New Roman"/>
                      <w:color w:val="auto"/>
                      <w:sz w:val="21"/>
                      <w:szCs w:val="21"/>
                    </w:rPr>
                  </w:pPr>
                  <w:r>
                    <w:rPr>
                      <w:rFonts w:ascii="Times New Roman" w:hAnsi="Times New Roman"/>
                      <w:color w:val="auto"/>
                      <w:sz w:val="21"/>
                      <w:szCs w:val="21"/>
                    </w:rPr>
                    <w:t>控制项目</w:t>
                  </w:r>
                </w:p>
              </w:tc>
              <w:tc>
                <w:tcPr>
                  <w:tcW w:w="1875" w:type="dxa"/>
                  <w:tcBorders>
                    <w:tl2br w:val="nil"/>
                    <w:tr2bl w:val="nil"/>
                  </w:tcBorders>
                  <w:noWrap w:val="0"/>
                  <w:vAlign w:val="top"/>
                </w:tcPr>
                <w:p>
                  <w:pPr>
                    <w:pStyle w:val="62"/>
                    <w:spacing w:line="400" w:lineRule="exact"/>
                    <w:jc w:val="center"/>
                    <w:rPr>
                      <w:rFonts w:ascii="Times New Roman" w:hAnsi="Times New Roman"/>
                      <w:color w:val="auto"/>
                      <w:sz w:val="21"/>
                      <w:szCs w:val="21"/>
                    </w:rPr>
                  </w:pPr>
                  <w:r>
                    <w:rPr>
                      <w:rFonts w:ascii="Times New Roman" w:hAnsi="Times New Roman"/>
                      <w:color w:val="auto"/>
                      <w:sz w:val="21"/>
                      <w:szCs w:val="21"/>
                    </w:rPr>
                    <w:t>单位</w:t>
                  </w:r>
                </w:p>
              </w:tc>
              <w:tc>
                <w:tcPr>
                  <w:tcW w:w="3172" w:type="dxa"/>
                  <w:tcBorders>
                    <w:tl2br w:val="nil"/>
                    <w:tr2bl w:val="nil"/>
                  </w:tcBorders>
                  <w:noWrap w:val="0"/>
                  <w:vAlign w:val="top"/>
                </w:tcPr>
                <w:p>
                  <w:pPr>
                    <w:pStyle w:val="62"/>
                    <w:spacing w:line="400" w:lineRule="exact"/>
                    <w:jc w:val="center"/>
                    <w:rPr>
                      <w:rFonts w:ascii="Times New Roman" w:hAnsi="Times New Roman"/>
                      <w:color w:val="auto"/>
                      <w:sz w:val="21"/>
                      <w:szCs w:val="21"/>
                    </w:rPr>
                  </w:pPr>
                  <w:r>
                    <w:rPr>
                      <w:rFonts w:ascii="Times New Roman" w:hAnsi="Times New Roman"/>
                      <w:color w:val="auto"/>
                      <w:sz w:val="21"/>
                      <w:szCs w:val="21"/>
                    </w:rPr>
                    <w:t>污染物限值5.5﹤pH≤6.5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1</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镉</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0.4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2</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汞</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3</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铅</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100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4</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铬</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250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5</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砷</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30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6</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镍</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7</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锌</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200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9"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8</w:t>
                  </w:r>
                </w:p>
              </w:tc>
              <w:tc>
                <w:tcPr>
                  <w:tcW w:w="194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铜</w:t>
                  </w:r>
                </w:p>
              </w:tc>
              <w:tc>
                <w:tcPr>
                  <w:tcW w:w="1875"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mg/kg</w:t>
                  </w:r>
                </w:p>
              </w:tc>
              <w:tc>
                <w:tcPr>
                  <w:tcW w:w="3172" w:type="dxa"/>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50</w:t>
                  </w:r>
                </w:p>
              </w:tc>
            </w:tr>
          </w:tbl>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bCs w:val="0"/>
                <w:color w:val="auto"/>
                <w:kern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bCs w:val="0"/>
                <w:color w:val="auto"/>
                <w:kern w:val="0"/>
                <w:sz w:val="24"/>
                <w:szCs w:val="24"/>
                <w:lang w:val="en-US" w:eastAsia="zh-CN"/>
              </w:rPr>
            </w:pPr>
            <w:r>
              <w:rPr>
                <w:rFonts w:hint="eastAsia" w:ascii="Times New Roman" w:hAnsi="Times New Roman" w:cs="Times New Roman"/>
                <w:b/>
                <w:bCs w:val="0"/>
                <w:color w:val="auto"/>
                <w:kern w:val="0"/>
                <w:sz w:val="24"/>
                <w:szCs w:val="24"/>
                <w:lang w:val="en-US" w:eastAsia="zh-CN"/>
              </w:rPr>
              <w:t>2、</w:t>
            </w:r>
            <w:r>
              <w:rPr>
                <w:rFonts w:hint="default" w:ascii="Times New Roman" w:hAnsi="Times New Roman" w:eastAsia="宋体" w:cs="Times New Roman"/>
                <w:b/>
                <w:bCs w:val="0"/>
                <w:color w:val="auto"/>
                <w:kern w:val="0"/>
                <w:sz w:val="24"/>
                <w:szCs w:val="24"/>
                <w:lang w:val="en-US" w:eastAsia="zh-CN"/>
              </w:rPr>
              <w:t>污染物排放标准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（1）大气污染物排放标准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rPr>
              <w:t>施工期TSP执行《大气污染综合排放标准》(GB16297-1996)</w:t>
            </w:r>
            <w:r>
              <w:rPr>
                <w:rFonts w:hint="default" w:ascii="Times New Roman" w:hAnsi="Times New Roman" w:eastAsia="宋体" w:cs="Times New Roman"/>
                <w:color w:val="auto"/>
                <w:sz w:val="24"/>
                <w:szCs w:val="24"/>
              </w:rPr>
              <w:t>表 2 中无组织排放监控浓度限值，硫化氢、氨、臭气浓度执行无组织排放执行《恶臭污染物排放标准》（GB 14554-93）中标准限值。</w:t>
            </w:r>
          </w:p>
          <w:p>
            <w:pPr>
              <w:widowControl/>
              <w:adjustRightInd w:val="0"/>
              <w:snapToGrid w:val="0"/>
              <w:spacing w:line="240" w:lineRule="auto"/>
              <w:ind w:firstLine="0" w:firstLineChars="0"/>
              <w:jc w:val="center"/>
              <w:rPr>
                <w:rFonts w:hint="eastAsia" w:ascii="Times New Roman" w:hAnsi="Times New Roman"/>
                <w:b/>
                <w:bCs/>
                <w:snapToGrid w:val="0"/>
                <w:color w:val="auto"/>
                <w:kern w:val="0"/>
                <w:sz w:val="21"/>
                <w:szCs w:val="21"/>
                <w:shd w:val="clear" w:color="auto" w:fill="FFFFFF"/>
              </w:rPr>
            </w:pPr>
            <w:r>
              <w:rPr>
                <w:rFonts w:ascii="Times New Roman" w:hAnsi="Times New Roman"/>
                <w:b/>
                <w:bCs/>
                <w:snapToGrid w:val="0"/>
                <w:color w:val="auto"/>
                <w:kern w:val="0"/>
                <w:sz w:val="21"/>
                <w:szCs w:val="21"/>
                <w:shd w:val="clear" w:color="auto" w:fill="FFFFFF"/>
              </w:rPr>
              <w:t>表3-</w:t>
            </w:r>
            <w:r>
              <w:rPr>
                <w:rFonts w:hint="eastAsia" w:ascii="Times New Roman" w:hAnsi="Times New Roman"/>
                <w:b/>
                <w:bCs/>
                <w:snapToGrid w:val="0"/>
                <w:color w:val="auto"/>
                <w:kern w:val="0"/>
                <w:sz w:val="21"/>
                <w:szCs w:val="21"/>
                <w:shd w:val="clear" w:color="auto" w:fill="FFFFFF"/>
              </w:rPr>
              <w:t>1</w:t>
            </w:r>
            <w:r>
              <w:rPr>
                <w:rFonts w:hint="eastAsia" w:ascii="Times New Roman" w:hAnsi="Times New Roman"/>
                <w:b/>
                <w:bCs/>
                <w:snapToGrid w:val="0"/>
                <w:color w:val="auto"/>
                <w:kern w:val="0"/>
                <w:sz w:val="21"/>
                <w:szCs w:val="21"/>
                <w:shd w:val="clear" w:color="auto" w:fill="FFFFFF"/>
                <w:lang w:val="en-US" w:eastAsia="zh-CN"/>
              </w:rPr>
              <w:t xml:space="preserve">4 </w:t>
            </w:r>
            <w:r>
              <w:rPr>
                <w:rFonts w:ascii="Times New Roman" w:hAnsi="Times New Roman"/>
                <w:b/>
                <w:bCs/>
                <w:snapToGrid w:val="0"/>
                <w:color w:val="auto"/>
                <w:kern w:val="0"/>
                <w:sz w:val="21"/>
                <w:szCs w:val="21"/>
                <w:shd w:val="clear" w:color="auto" w:fill="FFFFFF"/>
              </w:rPr>
              <w:t xml:space="preserve"> </w:t>
            </w:r>
            <w:r>
              <w:rPr>
                <w:rFonts w:hint="eastAsia" w:ascii="Times New Roman" w:hAnsi="Times New Roman"/>
                <w:b/>
                <w:bCs/>
                <w:snapToGrid w:val="0"/>
                <w:color w:val="auto"/>
                <w:kern w:val="0"/>
                <w:sz w:val="21"/>
                <w:szCs w:val="21"/>
                <w:shd w:val="clear" w:color="auto" w:fill="FFFFFF"/>
              </w:rPr>
              <w:t>大气污染物排放限值</w:t>
            </w:r>
          </w:p>
          <w:tbl>
            <w:tblPr>
              <w:tblStyle w:val="25"/>
              <w:tblW w:w="4999"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648"/>
              <w:gridCol w:w="3572"/>
              <w:gridCol w:w="262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50" w:type="pct"/>
                  <w:vMerge w:val="restart"/>
                  <w:tcBorders>
                    <w:tl2br w:val="nil"/>
                    <w:tr2bl w:val="nil"/>
                  </w:tcBorders>
                  <w:noWrap w:val="0"/>
                  <w:vAlign w:val="top"/>
                </w:tcPr>
                <w:p>
                  <w:pPr>
                    <w:pStyle w:val="62"/>
                    <w:spacing w:line="400" w:lineRule="exact"/>
                    <w:jc w:val="center"/>
                    <w:rPr>
                      <w:rFonts w:ascii="Times New Roman" w:hAnsi="Times New Roman"/>
                      <w:color w:val="auto"/>
                      <w:sz w:val="21"/>
                    </w:rPr>
                  </w:pPr>
                  <w:r>
                    <w:rPr>
                      <w:rFonts w:ascii="Times New Roman" w:hAnsi="Times New Roman"/>
                      <w:color w:val="auto"/>
                      <w:sz w:val="21"/>
                    </w:rPr>
                    <w:t>污染物</w:t>
                  </w:r>
                </w:p>
              </w:tc>
              <w:tc>
                <w:tcPr>
                  <w:tcW w:w="3949" w:type="pct"/>
                  <w:gridSpan w:val="2"/>
                  <w:tcBorders>
                    <w:tl2br w:val="nil"/>
                    <w:tr2bl w:val="nil"/>
                  </w:tcBorders>
                  <w:noWrap w:val="0"/>
                  <w:vAlign w:val="top"/>
                </w:tcPr>
                <w:p>
                  <w:pPr>
                    <w:pStyle w:val="62"/>
                    <w:spacing w:line="400" w:lineRule="exact"/>
                    <w:jc w:val="center"/>
                    <w:rPr>
                      <w:rFonts w:ascii="Times New Roman" w:hAnsi="Times New Roman"/>
                      <w:color w:val="auto"/>
                      <w:sz w:val="21"/>
                    </w:rPr>
                  </w:pPr>
                  <w:r>
                    <w:rPr>
                      <w:rFonts w:ascii="Times New Roman" w:hAnsi="Times New Roman"/>
                      <w:color w:val="auto"/>
                      <w:sz w:val="21"/>
                    </w:rPr>
                    <w:t>无组织排放监控浓度限值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50" w:type="pct"/>
                  <w:vMerge w:val="continue"/>
                  <w:tcBorders>
                    <w:tl2br w:val="nil"/>
                    <w:tr2bl w:val="nil"/>
                  </w:tcBorders>
                  <w:noWrap w:val="0"/>
                  <w:vAlign w:val="top"/>
                </w:tcPr>
                <w:p>
                  <w:pPr>
                    <w:spacing w:line="400" w:lineRule="exact"/>
                    <w:ind w:firstLine="40"/>
                    <w:jc w:val="center"/>
                    <w:rPr>
                      <w:rFonts w:ascii="Times New Roman" w:hAnsi="Times New Roman"/>
                      <w:color w:val="auto"/>
                      <w:sz w:val="2"/>
                      <w:szCs w:val="2"/>
                    </w:rPr>
                  </w:pPr>
                </w:p>
              </w:tc>
              <w:tc>
                <w:tcPr>
                  <w:tcW w:w="2275" w:type="pct"/>
                  <w:tcBorders>
                    <w:tl2br w:val="nil"/>
                    <w:tr2bl w:val="nil"/>
                  </w:tcBorders>
                  <w:noWrap w:val="0"/>
                  <w:vAlign w:val="top"/>
                </w:tcPr>
                <w:p>
                  <w:pPr>
                    <w:pStyle w:val="62"/>
                    <w:spacing w:line="400" w:lineRule="exact"/>
                    <w:jc w:val="center"/>
                    <w:rPr>
                      <w:rFonts w:ascii="Times New Roman" w:hAnsi="Times New Roman"/>
                      <w:color w:val="auto"/>
                      <w:sz w:val="21"/>
                    </w:rPr>
                  </w:pPr>
                  <w:r>
                    <w:rPr>
                      <w:rFonts w:ascii="Times New Roman" w:hAnsi="Times New Roman"/>
                      <w:color w:val="auto"/>
                      <w:sz w:val="21"/>
                    </w:rPr>
                    <w:t>监控点</w:t>
                  </w:r>
                </w:p>
              </w:tc>
              <w:tc>
                <w:tcPr>
                  <w:tcW w:w="1674" w:type="pct"/>
                  <w:tcBorders>
                    <w:tl2br w:val="nil"/>
                    <w:tr2bl w:val="nil"/>
                  </w:tcBorders>
                  <w:noWrap w:val="0"/>
                  <w:vAlign w:val="top"/>
                </w:tcPr>
                <w:p>
                  <w:pPr>
                    <w:pStyle w:val="62"/>
                    <w:spacing w:line="400" w:lineRule="exact"/>
                    <w:jc w:val="center"/>
                    <w:rPr>
                      <w:rFonts w:ascii="Times New Roman" w:hAnsi="Times New Roman"/>
                      <w:color w:val="auto"/>
                      <w:sz w:val="21"/>
                    </w:rPr>
                  </w:pPr>
                  <w:r>
                    <w:rPr>
                      <w:rFonts w:ascii="Times New Roman" w:hAnsi="Times New Roman"/>
                      <w:color w:val="auto"/>
                      <w:sz w:val="21"/>
                    </w:rPr>
                    <w:t>浓度限值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50"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颗粒物</w:t>
                  </w:r>
                </w:p>
              </w:tc>
              <w:tc>
                <w:tcPr>
                  <w:tcW w:w="2275" w:type="pct"/>
                  <w:tcBorders>
                    <w:tl2br w:val="nil"/>
                    <w:tr2bl w:val="nil"/>
                  </w:tcBorders>
                  <w:noWrap w:val="0"/>
                  <w:vAlign w:val="top"/>
                </w:tcPr>
                <w:p>
                  <w:pPr>
                    <w:pStyle w:val="62"/>
                    <w:spacing w:line="400" w:lineRule="exact"/>
                    <w:jc w:val="center"/>
                    <w:rPr>
                      <w:rFonts w:ascii="Times New Roman" w:hAnsi="Times New Roman"/>
                      <w:color w:val="auto"/>
                      <w:sz w:val="21"/>
                    </w:rPr>
                  </w:pPr>
                  <w:r>
                    <w:rPr>
                      <w:rFonts w:ascii="Times New Roman" w:hAnsi="Times New Roman"/>
                      <w:color w:val="auto"/>
                      <w:sz w:val="21"/>
                    </w:rPr>
                    <w:t>周界外浓度最高点</w:t>
                  </w:r>
                </w:p>
              </w:tc>
              <w:tc>
                <w:tcPr>
                  <w:tcW w:w="1674" w:type="pct"/>
                  <w:tcBorders>
                    <w:tl2br w:val="nil"/>
                    <w:tr2bl w:val="nil"/>
                  </w:tcBorders>
                  <w:noWrap w:val="0"/>
                  <w:vAlign w:val="top"/>
                </w:tcPr>
                <w:p>
                  <w:pPr>
                    <w:pStyle w:val="62"/>
                    <w:spacing w:line="400" w:lineRule="exact"/>
                    <w:jc w:val="center"/>
                    <w:rPr>
                      <w:rFonts w:ascii="Times New Roman" w:hAnsi="Times New Roman"/>
                      <w:color w:val="auto"/>
                      <w:sz w:val="13"/>
                    </w:rPr>
                  </w:pPr>
                  <w:r>
                    <w:rPr>
                      <w:rFonts w:ascii="Times New Roman" w:hAnsi="Times New Roman"/>
                      <w:color w:val="auto"/>
                      <w:sz w:val="21"/>
                    </w:rPr>
                    <w:t>1.0mg/m</w:t>
                  </w:r>
                  <w:r>
                    <w:rPr>
                      <w:rFonts w:ascii="Times New Roman" w:hAnsi="Times New Roman"/>
                      <w:color w:val="auto"/>
                      <w:position w:val="7"/>
                      <w:sz w:val="13"/>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50"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H</w:t>
                  </w:r>
                  <w:r>
                    <w:rPr>
                      <w:color w:val="auto"/>
                      <w:sz w:val="21"/>
                      <w:szCs w:val="21"/>
                      <w:vertAlign w:val="subscript"/>
                      <w:lang w:val="en-US" w:eastAsia="zh-CN"/>
                    </w:rPr>
                    <w:t>2</w:t>
                  </w:r>
                  <w:r>
                    <w:rPr>
                      <w:color w:val="auto"/>
                      <w:sz w:val="21"/>
                      <w:szCs w:val="21"/>
                      <w:lang w:val="en-US" w:eastAsia="zh-CN"/>
                    </w:rPr>
                    <w:t>S</w:t>
                  </w:r>
                </w:p>
              </w:tc>
              <w:tc>
                <w:tcPr>
                  <w:tcW w:w="2275"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rFonts w:hint="eastAsia"/>
                      <w:color w:val="auto"/>
                      <w:sz w:val="21"/>
                      <w:szCs w:val="21"/>
                      <w:lang w:val="en-US" w:eastAsia="zh-CN"/>
                    </w:rPr>
                    <w:t>厂界</w:t>
                  </w:r>
                </w:p>
              </w:tc>
              <w:tc>
                <w:tcPr>
                  <w:tcW w:w="1674" w:type="pct"/>
                  <w:tcBorders>
                    <w:tl2br w:val="nil"/>
                    <w:tr2bl w:val="nil"/>
                  </w:tcBorders>
                  <w:noWrap w:val="0"/>
                  <w:vAlign w:val="top"/>
                </w:tcPr>
                <w:p>
                  <w:pPr>
                    <w:pStyle w:val="62"/>
                    <w:spacing w:line="400" w:lineRule="exact"/>
                    <w:jc w:val="center"/>
                    <w:rPr>
                      <w:rFonts w:ascii="Times New Roman" w:hAnsi="Times New Roman"/>
                      <w:color w:val="auto"/>
                      <w:sz w:val="21"/>
                    </w:rPr>
                  </w:pPr>
                  <w:r>
                    <w:rPr>
                      <w:rFonts w:hint="eastAsia" w:ascii="Times New Roman" w:hAnsi="Times New Roman"/>
                      <w:color w:val="auto"/>
                      <w:sz w:val="21"/>
                    </w:rPr>
                    <w:t>0.06</w:t>
                  </w:r>
                  <w:r>
                    <w:rPr>
                      <w:rFonts w:ascii="Times New Roman" w:hAnsi="Times New Roman"/>
                      <w:color w:val="auto"/>
                      <w:sz w:val="21"/>
                    </w:rPr>
                    <w:t>mg/m</w:t>
                  </w:r>
                  <w:r>
                    <w:rPr>
                      <w:rFonts w:ascii="Times New Roman" w:hAnsi="Times New Roman"/>
                      <w:color w:val="auto"/>
                      <w:position w:val="7"/>
                      <w:sz w:val="13"/>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 w:hRule="atLeast"/>
              </w:trPr>
              <w:tc>
                <w:tcPr>
                  <w:tcW w:w="1050"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color w:val="auto"/>
                      <w:sz w:val="21"/>
                      <w:szCs w:val="21"/>
                      <w:lang w:val="en-US" w:eastAsia="zh-CN"/>
                    </w:rPr>
                    <w:t>NH</w:t>
                  </w:r>
                  <w:r>
                    <w:rPr>
                      <w:color w:val="auto"/>
                      <w:sz w:val="21"/>
                      <w:szCs w:val="21"/>
                      <w:vertAlign w:val="subscript"/>
                      <w:lang w:val="en-US" w:eastAsia="zh-CN"/>
                    </w:rPr>
                    <w:t>3</w:t>
                  </w:r>
                </w:p>
              </w:tc>
              <w:tc>
                <w:tcPr>
                  <w:tcW w:w="2275"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rFonts w:hint="eastAsia"/>
                      <w:color w:val="auto"/>
                      <w:sz w:val="21"/>
                      <w:szCs w:val="21"/>
                      <w:lang w:val="en-US" w:eastAsia="zh-CN"/>
                    </w:rPr>
                    <w:t>厂界</w:t>
                  </w:r>
                </w:p>
              </w:tc>
              <w:tc>
                <w:tcPr>
                  <w:tcW w:w="1674" w:type="pct"/>
                  <w:tcBorders>
                    <w:tl2br w:val="nil"/>
                    <w:tr2bl w:val="nil"/>
                  </w:tcBorders>
                  <w:noWrap w:val="0"/>
                  <w:vAlign w:val="top"/>
                </w:tcPr>
                <w:p>
                  <w:pPr>
                    <w:pStyle w:val="62"/>
                    <w:spacing w:line="400" w:lineRule="exact"/>
                    <w:jc w:val="center"/>
                    <w:rPr>
                      <w:rFonts w:ascii="Times New Roman" w:hAnsi="Times New Roman"/>
                      <w:color w:val="auto"/>
                      <w:sz w:val="21"/>
                    </w:rPr>
                  </w:pPr>
                  <w:r>
                    <w:rPr>
                      <w:rFonts w:ascii="Times New Roman" w:hAnsi="Times New Roman"/>
                      <w:color w:val="auto"/>
                      <w:sz w:val="21"/>
                    </w:rPr>
                    <w:t>1.</w:t>
                  </w:r>
                  <w:r>
                    <w:rPr>
                      <w:rFonts w:hint="eastAsia" w:ascii="Times New Roman" w:hAnsi="Times New Roman"/>
                      <w:color w:val="auto"/>
                      <w:sz w:val="21"/>
                    </w:rPr>
                    <w:t>5</w:t>
                  </w:r>
                  <w:r>
                    <w:rPr>
                      <w:rFonts w:ascii="Times New Roman" w:hAnsi="Times New Roman"/>
                      <w:color w:val="auto"/>
                      <w:sz w:val="21"/>
                    </w:rPr>
                    <w:t>mg/m</w:t>
                  </w:r>
                  <w:r>
                    <w:rPr>
                      <w:rFonts w:ascii="Times New Roman" w:hAnsi="Times New Roman"/>
                      <w:color w:val="auto"/>
                      <w:position w:val="7"/>
                      <w:sz w:val="13"/>
                    </w:rPr>
                    <w:t>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050"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rFonts w:hint="eastAsia"/>
                      <w:color w:val="auto"/>
                      <w:sz w:val="21"/>
                      <w:szCs w:val="21"/>
                      <w:lang w:val="en-US" w:eastAsia="zh-CN"/>
                    </w:rPr>
                    <w:t xml:space="preserve">  </w:t>
                  </w:r>
                  <w:r>
                    <w:rPr>
                      <w:color w:val="auto"/>
                      <w:sz w:val="21"/>
                      <w:szCs w:val="21"/>
                      <w:lang w:val="en-US" w:eastAsia="zh-CN"/>
                    </w:rPr>
                    <w:t>臭气浓度</w:t>
                  </w:r>
                </w:p>
              </w:tc>
              <w:tc>
                <w:tcPr>
                  <w:tcW w:w="2275" w:type="pct"/>
                  <w:tcBorders>
                    <w:tl2br w:val="nil"/>
                    <w:tr2bl w:val="nil"/>
                  </w:tcBorders>
                  <w:noWrap w:val="0"/>
                  <w:vAlign w:val="top"/>
                </w:tcPr>
                <w:p>
                  <w:pPr>
                    <w:pStyle w:val="77"/>
                    <w:spacing w:line="400" w:lineRule="exact"/>
                    <w:ind w:firstLine="0" w:firstLineChars="0"/>
                    <w:jc w:val="center"/>
                    <w:rPr>
                      <w:color w:val="auto"/>
                      <w:sz w:val="21"/>
                      <w:szCs w:val="21"/>
                      <w:lang w:val="en-US" w:eastAsia="zh-CN"/>
                    </w:rPr>
                  </w:pPr>
                  <w:r>
                    <w:rPr>
                      <w:rFonts w:hint="eastAsia"/>
                      <w:color w:val="auto"/>
                      <w:sz w:val="21"/>
                      <w:szCs w:val="21"/>
                      <w:lang w:val="en-US" w:eastAsia="zh-CN"/>
                    </w:rPr>
                    <w:t>厂界</w:t>
                  </w:r>
                </w:p>
              </w:tc>
              <w:tc>
                <w:tcPr>
                  <w:tcW w:w="1674" w:type="pct"/>
                  <w:tcBorders>
                    <w:tl2br w:val="nil"/>
                    <w:tr2bl w:val="nil"/>
                  </w:tcBorders>
                  <w:noWrap w:val="0"/>
                  <w:vAlign w:val="top"/>
                </w:tcPr>
                <w:p>
                  <w:pPr>
                    <w:pStyle w:val="62"/>
                    <w:spacing w:line="400" w:lineRule="exact"/>
                    <w:jc w:val="center"/>
                    <w:rPr>
                      <w:rFonts w:ascii="Times New Roman" w:hAnsi="Times New Roman"/>
                      <w:color w:val="auto"/>
                      <w:sz w:val="21"/>
                    </w:rPr>
                  </w:pPr>
                  <w:r>
                    <w:rPr>
                      <w:rFonts w:hint="eastAsia" w:ascii="Times New Roman" w:hAnsi="Times New Roman"/>
                      <w:color w:val="auto"/>
                      <w:sz w:val="21"/>
                    </w:rPr>
                    <w:t>20（无量纲）</w:t>
                  </w:r>
                </w:p>
              </w:tc>
            </w:tr>
          </w:tbl>
          <w:p>
            <w:pPr>
              <w:keepNext w:val="0"/>
              <w:keepLines w:val="0"/>
              <w:pageBreakBefore w:val="0"/>
              <w:widowControl w:val="0"/>
              <w:numPr>
                <w:ilvl w:val="0"/>
                <w:numId w:val="6"/>
              </w:numPr>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水污染物排放标准</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本项目施工期生活污水利用现有居民住房化粪池处理达《污水综合排放标准》（GB8978-1996）表4中三级标准后用于周边农田</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旱地施肥，</w:t>
            </w:r>
            <w:r>
              <w:rPr>
                <w:rFonts w:hint="eastAsia" w:ascii="Times New Roman" w:hAnsi="Times New Roman" w:eastAsia="宋体" w:cs="Times New Roman"/>
                <w:color w:val="auto"/>
                <w:sz w:val="24"/>
                <w:szCs w:val="24"/>
              </w:rPr>
              <w:t>施工</w:t>
            </w:r>
            <w:r>
              <w:rPr>
                <w:rFonts w:hint="default" w:ascii="Times New Roman" w:hAnsi="Times New Roman" w:eastAsia="宋体" w:cs="Times New Roman"/>
                <w:color w:val="auto"/>
                <w:sz w:val="24"/>
                <w:szCs w:val="24"/>
              </w:rPr>
              <w:t>废水经预处理后回用</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不外排。</w:t>
            </w:r>
          </w:p>
          <w:p>
            <w:pPr>
              <w:keepNext w:val="0"/>
              <w:keepLines w:val="0"/>
              <w:pageBreakBefore w:val="0"/>
              <w:widowControl w:val="0"/>
              <w:numPr>
                <w:ilvl w:val="0"/>
                <w:numId w:val="6"/>
              </w:numPr>
              <w:kinsoku/>
              <w:wordWrap/>
              <w:overflowPunct/>
              <w:topLinePunct w:val="0"/>
              <w:bidi w:val="0"/>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噪声排放标准</w:t>
            </w:r>
            <w:bookmarkStart w:id="75" w:name="_Hlk5791459"/>
          </w:p>
          <w:p>
            <w:pPr>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施工期场界环境噪声执行《建筑施工场界环境噪声排放标准》（GB12523-2011）限值要求。</w:t>
            </w:r>
            <w:bookmarkEnd w:id="75"/>
          </w:p>
          <w:p>
            <w:pPr>
              <w:jc w:val="center"/>
              <w:rPr>
                <w:rFonts w:ascii="Times New Roman" w:hAnsi="Times New Roman"/>
                <w:color w:val="auto"/>
                <w:szCs w:val="21"/>
              </w:rPr>
            </w:pPr>
            <w:r>
              <w:rPr>
                <w:rFonts w:ascii="Times New Roman" w:hAnsi="Times New Roman"/>
                <w:b/>
                <w:color w:val="auto"/>
                <w:szCs w:val="21"/>
              </w:rPr>
              <w:t>表</w:t>
            </w:r>
            <w:r>
              <w:rPr>
                <w:rFonts w:hint="eastAsia" w:ascii="Times New Roman" w:hAnsi="Times New Roman"/>
                <w:b/>
                <w:color w:val="auto"/>
                <w:szCs w:val="21"/>
                <w:lang w:val="en-US" w:eastAsia="zh-CN"/>
              </w:rPr>
              <w:t xml:space="preserve">3-15  </w:t>
            </w:r>
            <w:r>
              <w:rPr>
                <w:rFonts w:ascii="Times New Roman" w:hAnsi="Times New Roman"/>
                <w:b/>
                <w:color w:val="auto"/>
                <w:szCs w:val="21"/>
              </w:rPr>
              <w:t>环境噪声排放限值</w:t>
            </w:r>
            <w:r>
              <w:rPr>
                <w:rFonts w:ascii="Times New Roman" w:hAnsi="Times New Roman"/>
                <w:color w:val="auto"/>
                <w:szCs w:val="21"/>
              </w:rPr>
              <w:t>单位：dB（A）</w:t>
            </w:r>
          </w:p>
          <w:tbl>
            <w:tblPr>
              <w:tblStyle w:val="25"/>
              <w:tblW w:w="785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2397"/>
              <w:gridCol w:w="23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059" w:type="dxa"/>
                  <w:vMerge w:val="restar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评价阶段</w:t>
                  </w:r>
                </w:p>
              </w:tc>
              <w:tc>
                <w:tcPr>
                  <w:tcW w:w="4795" w:type="dxa"/>
                  <w:gridSpan w:val="2"/>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059" w:type="dxa"/>
                  <w:vMerge w:val="continue"/>
                  <w:tcBorders>
                    <w:tl2br w:val="nil"/>
                    <w:tr2bl w:val="nil"/>
                  </w:tcBorders>
                  <w:vAlign w:val="center"/>
                </w:tcPr>
                <w:p>
                  <w:pPr>
                    <w:widowControl/>
                    <w:jc w:val="left"/>
                    <w:rPr>
                      <w:rFonts w:ascii="Times New Roman" w:hAnsi="Times New Roman"/>
                      <w:color w:val="auto"/>
                      <w:szCs w:val="21"/>
                    </w:rPr>
                  </w:pPr>
                </w:p>
              </w:tc>
              <w:tc>
                <w:tcPr>
                  <w:tcW w:w="2397" w:type="dxa"/>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昼间</w:t>
                  </w:r>
                </w:p>
              </w:tc>
              <w:tc>
                <w:tcPr>
                  <w:tcW w:w="2398" w:type="dxa"/>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059" w:type="dxa"/>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施工期</w:t>
                  </w:r>
                </w:p>
              </w:tc>
              <w:tc>
                <w:tcPr>
                  <w:tcW w:w="2397" w:type="dxa"/>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70</w:t>
                  </w:r>
                </w:p>
              </w:tc>
              <w:tc>
                <w:tcPr>
                  <w:tcW w:w="2398" w:type="dxa"/>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55</w:t>
                  </w:r>
                </w:p>
              </w:tc>
            </w:tr>
          </w:tbl>
          <w:p>
            <w:pPr>
              <w:numPr>
                <w:ilvl w:val="0"/>
                <w:numId w:val="0"/>
              </w:numPr>
              <w:spacing w:line="360" w:lineRule="auto"/>
              <w:ind w:firstLine="480" w:firstLineChars="200"/>
              <w:rPr>
                <w:rFonts w:ascii="Times New Roman" w:hAnsi="Times New Roman"/>
                <w:color w:val="auto"/>
                <w:szCs w:val="21"/>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固体废物污染控制标准</w:t>
            </w:r>
          </w:p>
          <w:p>
            <w:pPr>
              <w:numPr>
                <w:ilvl w:val="0"/>
                <w:numId w:val="0"/>
              </w:numPr>
              <w:spacing w:line="360" w:lineRule="auto"/>
              <w:ind w:firstLine="480" w:firstLineChars="200"/>
              <w:rPr>
                <w:rFonts w:ascii="Times New Roman" w:hAnsi="Times New Roman"/>
                <w:color w:val="auto"/>
                <w:szCs w:val="21"/>
              </w:rPr>
            </w:pPr>
            <w:r>
              <w:rPr>
                <w:rFonts w:hint="default" w:ascii="Times New Roman" w:hAnsi="Times New Roman" w:eastAsia="宋体" w:cs="Times New Roman"/>
                <w:color w:val="auto"/>
                <w:sz w:val="24"/>
                <w:szCs w:val="24"/>
              </w:rPr>
              <w:t>淤泥执行《农用污泥污染物控制标准》（GB 4284-2018）中的标准要求，其他一般工业固体废物执行《一般工业固体废物贮存和填埋污染控制标准》（GB18599-2020）中相关规定</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危险废物执行《危险废物贮存污染控制标准》（GB18597-20</w:t>
            </w: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67" w:type="pct"/>
            <w:vAlign w:val="center"/>
          </w:tcPr>
          <w:p>
            <w:pPr>
              <w:adjustRightInd w:val="0"/>
              <w:snapToGrid w:val="0"/>
              <w:jc w:val="center"/>
              <w:rPr>
                <w:rFonts w:ascii="Times New Roman" w:hAnsi="Times New Roman"/>
                <w:color w:val="auto"/>
                <w:kern w:val="0"/>
                <w:sz w:val="24"/>
                <w:szCs w:val="24"/>
              </w:rPr>
            </w:pPr>
            <w:r>
              <w:rPr>
                <w:rFonts w:ascii="Times New Roman" w:hAnsi="Times New Roman"/>
                <w:color w:val="auto"/>
                <w:kern w:val="0"/>
                <w:sz w:val="24"/>
                <w:szCs w:val="24"/>
              </w:rPr>
              <w:t>其他</w:t>
            </w:r>
          </w:p>
        </w:tc>
        <w:tc>
          <w:tcPr>
            <w:tcW w:w="4732" w:type="pct"/>
            <w:vAlign w:val="center"/>
          </w:tcPr>
          <w:p>
            <w:pPr>
              <w:adjustRightInd w:val="0"/>
              <w:snapToGrid w:val="0"/>
              <w:spacing w:line="360" w:lineRule="auto"/>
              <w:ind w:firstLine="480" w:firstLineChars="200"/>
              <w:jc w:val="left"/>
              <w:rPr>
                <w:rFonts w:ascii="Times New Roman" w:hAnsi="Times New Roman"/>
                <w:color w:val="auto"/>
                <w:kern w:val="0"/>
                <w:sz w:val="24"/>
                <w:szCs w:val="24"/>
              </w:rPr>
            </w:pPr>
            <w:r>
              <w:rPr>
                <w:rFonts w:ascii="Times New Roman" w:hAnsi="Times New Roman"/>
                <w:color w:val="auto"/>
                <w:kern w:val="0"/>
                <w:sz w:val="24"/>
                <w:szCs w:val="24"/>
              </w:rPr>
              <w:t>根据本项目排污特征和评价区实际情况，本项目为生态影响型项目，营运期无废水、废气产生，不涉及总量污染物排放，本项目建议不设总量控制因子。</w:t>
            </w: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pStyle w:val="24"/>
              <w:rPr>
                <w:color w:val="auto"/>
                <w:sz w:val="24"/>
                <w:szCs w:val="24"/>
              </w:rPr>
            </w:pPr>
          </w:p>
          <w:p>
            <w:pPr>
              <w:adjustRightInd w:val="0"/>
              <w:snapToGrid w:val="0"/>
              <w:spacing w:line="360" w:lineRule="auto"/>
              <w:ind w:firstLine="480" w:firstLineChars="200"/>
              <w:jc w:val="left"/>
              <w:rPr>
                <w:rFonts w:ascii="Times New Roman" w:hAnsi="Times New Roman"/>
                <w:color w:val="auto"/>
                <w:kern w:val="0"/>
                <w:sz w:val="24"/>
                <w:szCs w:val="24"/>
              </w:rPr>
            </w:pPr>
          </w:p>
          <w:p>
            <w:pPr>
              <w:adjustRightInd w:val="0"/>
              <w:snapToGrid w:val="0"/>
              <w:spacing w:line="360" w:lineRule="auto"/>
              <w:jc w:val="left"/>
              <w:rPr>
                <w:rFonts w:hint="eastAsia" w:ascii="Times New Roman" w:hAnsi="Times New Roman"/>
                <w:color w:val="auto"/>
                <w:kern w:val="0"/>
                <w:sz w:val="24"/>
                <w:szCs w:val="24"/>
                <w:lang w:val="en-US" w:eastAsia="zh-CN"/>
              </w:rPr>
            </w:pPr>
          </w:p>
          <w:p>
            <w:pPr>
              <w:adjustRightInd w:val="0"/>
              <w:snapToGrid w:val="0"/>
              <w:spacing w:line="360" w:lineRule="auto"/>
              <w:jc w:val="left"/>
              <w:rPr>
                <w:rFonts w:hint="eastAsia" w:ascii="Times New Roman" w:hAnsi="Times New Roman" w:eastAsia="宋体"/>
                <w:color w:val="auto"/>
                <w:kern w:val="0"/>
                <w:sz w:val="24"/>
                <w:szCs w:val="24"/>
                <w:lang w:val="en-US" w:eastAsia="zh-CN"/>
              </w:rPr>
            </w:pPr>
          </w:p>
        </w:tc>
      </w:tr>
    </w:tbl>
    <w:p>
      <w:pPr>
        <w:pStyle w:val="22"/>
        <w:jc w:val="center"/>
        <w:outlineLvl w:val="0"/>
        <w:rPr>
          <w:rFonts w:ascii="Times New Roman" w:hAnsi="Times New Roman" w:eastAsia="黑体"/>
          <w:snapToGrid w:val="0"/>
          <w:color w:val="auto"/>
          <w:sz w:val="30"/>
          <w:szCs w:val="30"/>
        </w:rPr>
      </w:pPr>
      <w:bookmarkStart w:id="76" w:name="_Toc22769"/>
      <w:r>
        <w:rPr>
          <w:rFonts w:ascii="Times New Roman" w:hAnsi="Times New Roman" w:eastAsia="黑体"/>
          <w:snapToGrid w:val="0"/>
          <w:color w:val="auto"/>
          <w:sz w:val="30"/>
          <w:szCs w:val="30"/>
        </w:rPr>
        <w:t>四、生态环境影响分析</w:t>
      </w:r>
      <w:bookmarkEnd w:id="76"/>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79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76" w:type="pct"/>
            <w:tcMar>
              <w:left w:w="28" w:type="dxa"/>
              <w:right w:w="28" w:type="dxa"/>
            </w:tcMar>
            <w:vAlign w:val="center"/>
          </w:tcPr>
          <w:p>
            <w:pPr>
              <w:pStyle w:val="22"/>
              <w:adjustRightInd w:val="0"/>
              <w:snapToGrid w:val="0"/>
              <w:spacing w:before="0" w:beforeAutospacing="0" w:after="0" w:afterAutospacing="0"/>
              <w:jc w:val="center"/>
              <w:rPr>
                <w:rFonts w:ascii="Times New Roman" w:hAnsi="Times New Roman"/>
                <w:bCs/>
                <w:color w:val="auto"/>
                <w:kern w:val="2"/>
                <w:sz w:val="21"/>
                <w:szCs w:val="21"/>
              </w:rPr>
            </w:pPr>
            <w:bookmarkStart w:id="77" w:name="_Hlk49796138"/>
            <w:r>
              <w:rPr>
                <w:rFonts w:ascii="Times New Roman" w:hAnsi="Times New Roman"/>
                <w:bCs/>
                <w:color w:val="auto"/>
                <w:spacing w:val="10"/>
                <w:kern w:val="2"/>
                <w:sz w:val="24"/>
                <w:szCs w:val="24"/>
              </w:rPr>
              <w:t>施工期生态环境影响分析</w:t>
            </w:r>
            <w:bookmarkEnd w:id="77"/>
          </w:p>
        </w:tc>
        <w:tc>
          <w:tcPr>
            <w:tcW w:w="4524" w:type="pct"/>
          </w:tcPr>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val="en-US" w:eastAsia="zh-CN"/>
              </w:rPr>
              <w:t>1、</w:t>
            </w:r>
            <w:r>
              <w:rPr>
                <w:rFonts w:hint="default" w:ascii="Times New Roman" w:hAnsi="Times New Roman" w:eastAsia="宋体" w:cs="Times New Roman"/>
                <w:b/>
                <w:bCs/>
                <w:color w:val="auto"/>
                <w:sz w:val="24"/>
                <w:szCs w:val="24"/>
              </w:rPr>
              <w:t>施工期生态影响分析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val="en-US" w:eastAsia="zh-CN"/>
              </w:rPr>
              <w:t>1.1、</w:t>
            </w:r>
            <w:r>
              <w:rPr>
                <w:rFonts w:hint="default" w:ascii="Times New Roman" w:hAnsi="Times New Roman" w:eastAsia="宋体" w:cs="Times New Roman"/>
                <w:b/>
                <w:bCs/>
                <w:color w:val="auto"/>
                <w:sz w:val="24"/>
                <w:szCs w:val="24"/>
              </w:rPr>
              <w:t>对陆域生态的影响分析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1.1.1、</w:t>
            </w:r>
            <w:r>
              <w:rPr>
                <w:rFonts w:hint="default" w:ascii="Times New Roman" w:hAnsi="Times New Roman" w:eastAsia="宋体" w:cs="Times New Roman"/>
                <w:b/>
                <w:bCs/>
                <w:color w:val="auto"/>
                <w:sz w:val="24"/>
                <w:szCs w:val="24"/>
              </w:rPr>
              <w:t>临时占地的影响</w:t>
            </w:r>
            <w:r>
              <w:rPr>
                <w:rFonts w:hint="eastAsia" w:ascii="Times New Roman" w:hAnsi="Times New Roman" w:cs="Times New Roman"/>
                <w:b/>
                <w:bCs/>
                <w:color w:val="auto"/>
                <w:sz w:val="24"/>
                <w:szCs w:val="24"/>
                <w:lang w:val="en-US" w:eastAsia="zh-CN"/>
              </w:rPr>
              <w:t>分析</w:t>
            </w:r>
          </w:p>
          <w:p>
            <w:pPr>
              <w:adjustRightInd w:val="0"/>
              <w:spacing w:line="360" w:lineRule="auto"/>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本工程施工临时占地主要为施工临时道路、施工临建设施、临时堆料场</w:t>
            </w:r>
            <w:r>
              <w:rPr>
                <w:rFonts w:hint="eastAsia" w:ascii="Times New Roman" w:hAnsi="Times New Roman"/>
                <w:bCs/>
                <w:color w:val="auto"/>
                <w:sz w:val="24"/>
                <w:szCs w:val="24"/>
                <w:lang w:val="en-US" w:eastAsia="zh-CN"/>
              </w:rPr>
              <w:t>等</w:t>
            </w:r>
            <w:r>
              <w:rPr>
                <w:rFonts w:hint="eastAsia" w:ascii="Times New Roman" w:hAnsi="Times New Roman"/>
                <w:bCs/>
                <w:color w:val="auto"/>
                <w:sz w:val="24"/>
                <w:szCs w:val="24"/>
              </w:rPr>
              <w:t>，合计施工临时占地</w:t>
            </w:r>
            <w:r>
              <w:rPr>
                <w:rFonts w:hint="eastAsia" w:ascii="Times New Roman" w:hAnsi="Times New Roman"/>
                <w:bCs/>
                <w:color w:val="auto"/>
                <w:sz w:val="24"/>
                <w:szCs w:val="24"/>
                <w:lang w:val="en-US" w:eastAsia="zh-CN"/>
              </w:rPr>
              <w:t>97400</w:t>
            </w:r>
            <w:r>
              <w:rPr>
                <w:rFonts w:hint="eastAsia" w:ascii="Times New Roman" w:hAnsi="Times New Roman"/>
                <w:bCs/>
                <w:color w:val="auto"/>
                <w:sz w:val="24"/>
                <w:szCs w:val="24"/>
              </w:rPr>
              <w:t>m</w:t>
            </w:r>
            <w:r>
              <w:rPr>
                <w:rFonts w:hint="eastAsia" w:ascii="Times New Roman" w:hAnsi="Times New Roman"/>
                <w:bCs/>
                <w:color w:val="auto"/>
                <w:sz w:val="24"/>
                <w:szCs w:val="24"/>
                <w:vertAlign w:val="superscript"/>
              </w:rPr>
              <w:t>2</w:t>
            </w:r>
            <w:r>
              <w:rPr>
                <w:rFonts w:hint="eastAsia" w:ascii="Times New Roman" w:hAnsi="Times New Roman"/>
                <w:bCs/>
                <w:color w:val="auto"/>
                <w:sz w:val="24"/>
                <w:szCs w:val="24"/>
              </w:rPr>
              <w:t>（约</w:t>
            </w:r>
            <w:r>
              <w:rPr>
                <w:rFonts w:hint="eastAsia" w:ascii="Times New Roman" w:hAnsi="Times New Roman"/>
                <w:bCs/>
                <w:color w:val="auto"/>
                <w:sz w:val="24"/>
                <w:szCs w:val="24"/>
                <w:lang w:val="en-US" w:eastAsia="zh-CN"/>
              </w:rPr>
              <w:t>146.03</w:t>
            </w:r>
            <w:r>
              <w:rPr>
                <w:rFonts w:hint="eastAsia" w:ascii="Times New Roman" w:hAnsi="Times New Roman"/>
                <w:bCs/>
                <w:color w:val="auto"/>
                <w:sz w:val="24"/>
                <w:szCs w:val="24"/>
              </w:rPr>
              <w:t>亩）。临时占地尽量利用各施工区内的闲置土地。</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临时用地在施工结束后将</w:t>
            </w:r>
            <w:r>
              <w:rPr>
                <w:rFonts w:hint="eastAsia" w:ascii="Times New Roman" w:hAnsi="Times New Roman" w:cs="Times New Roman"/>
                <w:color w:val="auto"/>
                <w:sz w:val="24"/>
                <w:szCs w:val="24"/>
                <w:lang w:val="en-US" w:eastAsia="zh-CN"/>
              </w:rPr>
              <w:t>拆除</w:t>
            </w:r>
            <w:r>
              <w:rPr>
                <w:rFonts w:hint="eastAsia" w:ascii="Times New Roman" w:hAnsi="Times New Roman" w:eastAsia="宋体" w:cs="Times New Roman"/>
                <w:color w:val="auto"/>
                <w:sz w:val="24"/>
                <w:szCs w:val="24"/>
              </w:rPr>
              <w:t>恢复</w:t>
            </w:r>
            <w:r>
              <w:rPr>
                <w:rFonts w:hint="default" w:ascii="Times New Roman" w:hAnsi="Times New Roman" w:eastAsia="宋体" w:cs="Times New Roman"/>
                <w:color w:val="auto"/>
                <w:sz w:val="24"/>
                <w:szCs w:val="24"/>
              </w:rPr>
              <w:t>原状。建设单位和施工单位应重视临时施工用地在工程结束前的清理和植被恢复工作，减少临时占地对生态的影响</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减少土方的二次搬运和防止临时堆土洒落在地表水体中。</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施工结束后，临时用地上废弃砂石、预制废件等施工垃圾和生活垃圾需清运至相关部门指定地点。</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1.1.2、</w:t>
            </w:r>
            <w:r>
              <w:rPr>
                <w:rFonts w:hint="default" w:ascii="Times New Roman" w:hAnsi="Times New Roman" w:cs="Times New Roman"/>
                <w:b/>
                <w:bCs/>
                <w:color w:val="auto"/>
                <w:sz w:val="24"/>
                <w:szCs w:val="24"/>
                <w:lang w:val="en-US" w:eastAsia="zh-CN"/>
              </w:rPr>
              <w:t>对区域生态系统生产力的影响分析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项目</w:t>
            </w:r>
            <w:r>
              <w:rPr>
                <w:rFonts w:hint="default" w:ascii="Times New Roman" w:hAnsi="Times New Roman" w:eastAsia="宋体" w:cs="Times New Roman"/>
                <w:color w:val="auto"/>
                <w:sz w:val="24"/>
                <w:szCs w:val="24"/>
              </w:rPr>
              <w:t>主要土地类型为湖泊及河滩地，生态系统主要为湿地生态系统，以水生为主，</w:t>
            </w:r>
            <w:r>
              <w:rPr>
                <w:rFonts w:hint="eastAsia" w:ascii="Times New Roman" w:hAnsi="Times New Roman" w:cs="Times New Roman"/>
                <w:color w:val="auto"/>
                <w:sz w:val="24"/>
                <w:szCs w:val="24"/>
                <w:lang w:val="en-US" w:eastAsia="zh-CN"/>
              </w:rPr>
              <w:t>施工期</w:t>
            </w:r>
            <w:r>
              <w:rPr>
                <w:rFonts w:hint="default" w:ascii="Times New Roman" w:hAnsi="Times New Roman" w:eastAsia="宋体" w:cs="Times New Roman"/>
                <w:color w:val="auto"/>
                <w:sz w:val="24"/>
                <w:szCs w:val="24"/>
              </w:rPr>
              <w:t>将导致区域生物量减少，从而导致区域生态系统生产力下降。从植被生产力来看，受影响的植被主要是河滩和岸边草本群落为主，多为局部小片分布，植被覆盖率较低，生物量较小；根据现场调查和访问，浮游动物、浮游植物和底栖动物资源量较少，鱼类资源量也较少，生产力处于较低水平；从自然生态条件来看，光照和水分充足，温度适中，自然生产力较高，但人为干扰明显，自然生产力实际上不高。因此，现有生态系统的生产力不高，</w:t>
            </w:r>
            <w:r>
              <w:rPr>
                <w:rFonts w:hint="eastAsia" w:ascii="Times New Roman" w:hAnsi="Times New Roman" w:cs="Times New Roman"/>
                <w:color w:val="auto"/>
                <w:sz w:val="24"/>
                <w:szCs w:val="24"/>
                <w:lang w:val="en-US" w:eastAsia="zh-CN"/>
              </w:rPr>
              <w:t>本项目</w:t>
            </w:r>
            <w:r>
              <w:rPr>
                <w:rFonts w:hint="default" w:ascii="Times New Roman" w:hAnsi="Times New Roman" w:eastAsia="宋体" w:cs="Times New Roman"/>
                <w:color w:val="auto"/>
                <w:sz w:val="24"/>
                <w:szCs w:val="24"/>
              </w:rPr>
              <w:t>的实施将会降低区域生态系统生产力，但降低程度相对而言不高，</w:t>
            </w:r>
            <w:r>
              <w:rPr>
                <w:rFonts w:hint="eastAsia" w:ascii="Times New Roman" w:hAnsi="Times New Roman" w:cs="Times New Roman"/>
                <w:color w:val="auto"/>
                <w:sz w:val="24"/>
                <w:szCs w:val="24"/>
                <w:lang w:val="en-US" w:eastAsia="zh-CN"/>
              </w:rPr>
              <w:t>项目</w:t>
            </w:r>
            <w:r>
              <w:rPr>
                <w:rFonts w:hint="default" w:ascii="Times New Roman" w:hAnsi="Times New Roman" w:eastAsia="宋体" w:cs="Times New Roman"/>
                <w:color w:val="auto"/>
                <w:sz w:val="24"/>
                <w:szCs w:val="24"/>
              </w:rPr>
              <w:t>实施对自然体系生产能力的影响是评价区内自然体系可以承受的。在</w:t>
            </w:r>
            <w:r>
              <w:rPr>
                <w:rFonts w:hint="eastAsia" w:ascii="Times New Roman" w:hAnsi="Times New Roman" w:cs="Times New Roman"/>
                <w:color w:val="auto"/>
                <w:sz w:val="24"/>
                <w:szCs w:val="24"/>
                <w:lang w:val="en-US" w:eastAsia="zh-CN"/>
              </w:rPr>
              <w:t>施工期</w:t>
            </w:r>
            <w:r>
              <w:rPr>
                <w:rFonts w:hint="default" w:ascii="Times New Roman" w:hAnsi="Times New Roman" w:eastAsia="宋体" w:cs="Times New Roman"/>
                <w:color w:val="auto"/>
                <w:sz w:val="24"/>
                <w:szCs w:val="24"/>
              </w:rPr>
              <w:t>结束后，采取生态恢复措施对地表植被的恢复，恢复河道的生境，可以逐步恢复区域生态系统生产力。总的来看，</w:t>
            </w:r>
            <w:r>
              <w:rPr>
                <w:rFonts w:hint="eastAsia" w:ascii="Times New Roman" w:hAnsi="Times New Roman" w:cs="Times New Roman"/>
                <w:color w:val="auto"/>
                <w:sz w:val="24"/>
                <w:szCs w:val="24"/>
                <w:lang w:val="en-US" w:eastAsia="zh-CN"/>
              </w:rPr>
              <w:t>项目</w:t>
            </w:r>
            <w:r>
              <w:rPr>
                <w:rFonts w:hint="default" w:ascii="Times New Roman" w:hAnsi="Times New Roman" w:eastAsia="宋体" w:cs="Times New Roman"/>
                <w:color w:val="auto"/>
                <w:sz w:val="24"/>
                <w:szCs w:val="24"/>
              </w:rPr>
              <w:t>的实施对区域生态系统生产力的影响不明显。</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1.1.3、</w:t>
            </w:r>
            <w:r>
              <w:rPr>
                <w:rFonts w:hint="default" w:ascii="Times New Roman" w:hAnsi="Times New Roman" w:cs="Times New Roman"/>
                <w:b/>
                <w:bCs/>
                <w:color w:val="auto"/>
                <w:sz w:val="24"/>
                <w:szCs w:val="24"/>
                <w:lang w:val="en-US" w:eastAsia="zh-CN"/>
              </w:rPr>
              <w:t>对陆地植物的影响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对陆地植物物种多样性的分析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本项目</w:t>
            </w:r>
            <w:r>
              <w:rPr>
                <w:rFonts w:hint="default" w:ascii="Times New Roman" w:hAnsi="Times New Roman" w:eastAsia="宋体" w:cs="Times New Roman"/>
                <w:color w:val="auto"/>
                <w:sz w:val="24"/>
                <w:szCs w:val="24"/>
                <w:u w:val="single"/>
              </w:rPr>
              <w:t>主要土地类型为河滩地和湖泊水域，</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对湖泊和河滩地会产生扰动，造成植物生境破坏。本项目涉及</w:t>
            </w:r>
            <w:r>
              <w:rPr>
                <w:rFonts w:hint="eastAsia" w:ascii="Times New Roman" w:hAnsi="Times New Roman" w:cs="Times New Roman"/>
                <w:color w:val="auto"/>
                <w:sz w:val="24"/>
                <w:szCs w:val="24"/>
                <w:u w:val="single"/>
                <w:lang w:val="en-US" w:eastAsia="zh-CN"/>
              </w:rPr>
              <w:t>3</w:t>
            </w:r>
            <w:r>
              <w:rPr>
                <w:rFonts w:hint="default" w:ascii="Times New Roman" w:hAnsi="Times New Roman" w:eastAsia="宋体" w:cs="Times New Roman"/>
                <w:color w:val="auto"/>
                <w:sz w:val="24"/>
                <w:szCs w:val="24"/>
                <w:u w:val="single"/>
              </w:rPr>
              <w:t>个内湖，</w:t>
            </w:r>
            <w:r>
              <w:rPr>
                <w:rFonts w:hint="eastAsia" w:ascii="Times New Roman" w:hAnsi="Times New Roman" w:cs="Times New Roman"/>
                <w:color w:val="auto"/>
                <w:sz w:val="24"/>
                <w:szCs w:val="24"/>
                <w:u w:val="single"/>
                <w:lang w:val="en-US" w:eastAsia="zh-CN"/>
              </w:rPr>
              <w:t>项目的</w:t>
            </w:r>
            <w:r>
              <w:rPr>
                <w:rFonts w:hint="default" w:ascii="Times New Roman" w:hAnsi="Times New Roman" w:eastAsia="宋体" w:cs="Times New Roman"/>
                <w:color w:val="auto"/>
                <w:sz w:val="24"/>
                <w:szCs w:val="24"/>
                <w:u w:val="single"/>
              </w:rPr>
              <w:t>实施会造成区域内植被生物量损失。从植物资源</w:t>
            </w:r>
            <w:r>
              <w:rPr>
                <w:rFonts w:hint="eastAsia" w:ascii="Times New Roman" w:hAnsi="Times New Roman" w:cs="Times New Roman"/>
                <w:color w:val="auto"/>
                <w:sz w:val="24"/>
                <w:szCs w:val="24"/>
                <w:u w:val="single"/>
                <w:lang w:val="en-US" w:eastAsia="zh-CN"/>
              </w:rPr>
              <w:t>现状</w:t>
            </w:r>
            <w:r>
              <w:rPr>
                <w:rFonts w:hint="default" w:ascii="Times New Roman" w:hAnsi="Times New Roman" w:eastAsia="宋体" w:cs="Times New Roman"/>
                <w:color w:val="auto"/>
                <w:sz w:val="24"/>
                <w:szCs w:val="24"/>
                <w:u w:val="single"/>
              </w:rPr>
              <w:t>来看，湖泊水域区藻类或其他水生植物资源量很少，河滩主要为蓼科植物、菊科植物和斑茅等一些耐水或耐湿的草本植物，以及枫杨小树，均为局部少量植被，群落结构和植物组成简单。河滩及岸边的植物为评价区常见种类，分布广，群落数量较多，不会因</w:t>
            </w:r>
            <w:r>
              <w:rPr>
                <w:rFonts w:hint="eastAsia" w:ascii="Times New Roman" w:hAnsi="Times New Roman" w:cs="Times New Roman"/>
                <w:color w:val="auto"/>
                <w:sz w:val="24"/>
                <w:szCs w:val="24"/>
                <w:u w:val="single"/>
                <w:lang w:val="en-US" w:eastAsia="zh-CN"/>
              </w:rPr>
              <w:t>项目的实施</w:t>
            </w:r>
            <w:r>
              <w:rPr>
                <w:rFonts w:hint="default" w:ascii="Times New Roman" w:hAnsi="Times New Roman" w:eastAsia="宋体" w:cs="Times New Roman"/>
                <w:color w:val="auto"/>
                <w:sz w:val="24"/>
                <w:szCs w:val="24"/>
                <w:u w:val="single"/>
              </w:rPr>
              <w:t>导致评价区及所在</w:t>
            </w:r>
            <w:r>
              <w:rPr>
                <w:rFonts w:hint="eastAsia" w:ascii="Times New Roman" w:hAnsi="Times New Roman" w:cs="Times New Roman"/>
                <w:color w:val="auto"/>
                <w:sz w:val="24"/>
                <w:szCs w:val="24"/>
                <w:u w:val="single"/>
                <w:lang w:val="en-US" w:eastAsia="zh-CN"/>
              </w:rPr>
              <w:t>内湖</w:t>
            </w:r>
            <w:r>
              <w:rPr>
                <w:rFonts w:hint="default" w:ascii="Times New Roman" w:hAnsi="Times New Roman" w:eastAsia="宋体" w:cs="Times New Roman"/>
                <w:color w:val="auto"/>
                <w:sz w:val="24"/>
                <w:szCs w:val="24"/>
                <w:u w:val="single"/>
              </w:rPr>
              <w:t>的植物种类减少和群落消失。由于挖泥船在河道内作业，对河流两岸的陆生植物基本不会产生影响，但车辆运输、机械设备运行及人员走动将会对植被造成碾压、干扰等，受到影响的植物为评价区常见的、分布广的植物。因此，</w:t>
            </w: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的实施对评价区植物多样性影响小。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2</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对地表植被的破坏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临时用地</w:t>
            </w:r>
            <w:r>
              <w:rPr>
                <w:rFonts w:hint="default" w:ascii="Times New Roman" w:hAnsi="Times New Roman" w:eastAsia="宋体" w:cs="Times New Roman"/>
                <w:color w:val="auto"/>
                <w:sz w:val="24"/>
                <w:szCs w:val="24"/>
                <w:u w:val="single"/>
              </w:rPr>
              <w:t>区域内部分区域地表植被遭到破坏</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主要体现在</w:t>
            </w:r>
            <w:r>
              <w:rPr>
                <w:rFonts w:hint="eastAsia" w:ascii="Times New Roman" w:hAnsi="Times New Roman" w:cs="Times New Roman"/>
                <w:color w:val="auto"/>
                <w:sz w:val="24"/>
                <w:szCs w:val="24"/>
                <w:u w:val="single"/>
                <w:lang w:val="en-US" w:eastAsia="zh-CN"/>
              </w:rPr>
              <w:t>施工过程中</w:t>
            </w:r>
            <w:r>
              <w:rPr>
                <w:rFonts w:hint="default" w:ascii="Times New Roman" w:hAnsi="Times New Roman" w:eastAsia="宋体" w:cs="Times New Roman"/>
                <w:color w:val="auto"/>
                <w:sz w:val="24"/>
                <w:szCs w:val="24"/>
                <w:u w:val="single"/>
              </w:rPr>
              <w:t>剥离</w:t>
            </w:r>
            <w:r>
              <w:rPr>
                <w:rFonts w:hint="eastAsia" w:ascii="Times New Roman" w:hAnsi="Times New Roman" w:cs="Times New Roman"/>
                <w:color w:val="auto"/>
                <w:sz w:val="24"/>
                <w:szCs w:val="24"/>
                <w:u w:val="single"/>
                <w:lang w:val="en-US" w:eastAsia="zh-CN"/>
              </w:rPr>
              <w:t>表土</w:t>
            </w:r>
            <w:r>
              <w:rPr>
                <w:rFonts w:hint="default" w:ascii="Times New Roman" w:hAnsi="Times New Roman" w:eastAsia="宋体" w:cs="Times New Roman"/>
                <w:color w:val="auto"/>
                <w:sz w:val="24"/>
                <w:szCs w:val="24"/>
                <w:u w:val="single"/>
              </w:rPr>
              <w:t>对土壤扰动、地表植被造成破坏，改变原有土地利用类型，降低土壤的抗侵蚀能力，加剧水土流失。剥离物的堆放占用土地，改变土地使用功能和生态景观。如生态破坏程度过大或得不到及时修复，可能导致区域生态环境衰退。</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因而在</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过程中要注意保护植被，应将</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范围控制在规划范围之内，严禁外扩范围，减少植被破坏面积；植被盖度较高的区域必须采取优先避让措施；同时应加强对滩面植被的保护，</w:t>
            </w:r>
            <w:r>
              <w:rPr>
                <w:rFonts w:hint="eastAsia" w:ascii="Times New Roman" w:hAnsi="Times New Roman" w:cs="Times New Roman"/>
                <w:color w:val="auto"/>
                <w:sz w:val="24"/>
                <w:szCs w:val="24"/>
                <w:u w:val="single"/>
                <w:lang w:val="en-US" w:eastAsia="zh-CN"/>
              </w:rPr>
              <w:t>清淤后</w:t>
            </w:r>
            <w:r>
              <w:rPr>
                <w:rFonts w:hint="default" w:ascii="Times New Roman" w:hAnsi="Times New Roman" w:eastAsia="宋体" w:cs="Times New Roman"/>
                <w:color w:val="auto"/>
                <w:sz w:val="24"/>
                <w:szCs w:val="24"/>
                <w:u w:val="single"/>
              </w:rPr>
              <w:t>要进行平整河床，对原覆盖植被进行恢复。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实施期间影响分析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项目施工区域主要</w:t>
            </w:r>
            <w:r>
              <w:rPr>
                <w:rFonts w:hint="default" w:ascii="Times New Roman" w:hAnsi="Times New Roman" w:eastAsia="宋体" w:cs="Times New Roman"/>
                <w:color w:val="auto"/>
                <w:sz w:val="24"/>
                <w:szCs w:val="24"/>
                <w:u w:val="single"/>
              </w:rPr>
              <w:t>为水域，扰动影响范围为白泥湖、范家坝、三汊港湖，规划</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区范围内，仅白泥湖有大型水生植被分布，</w:t>
            </w:r>
            <w:r>
              <w:rPr>
                <w:rFonts w:hint="eastAsia" w:ascii="Times New Roman" w:hAnsi="Times New Roman" w:cs="Times New Roman"/>
                <w:color w:val="auto"/>
                <w:sz w:val="24"/>
                <w:szCs w:val="24"/>
                <w:u w:val="single"/>
                <w:lang w:val="en-US" w:eastAsia="zh-CN"/>
              </w:rPr>
              <w:t>临时</w:t>
            </w:r>
            <w:r>
              <w:rPr>
                <w:rFonts w:hint="default" w:ascii="Times New Roman" w:hAnsi="Times New Roman" w:eastAsia="宋体" w:cs="Times New Roman"/>
                <w:color w:val="auto"/>
                <w:sz w:val="24"/>
                <w:szCs w:val="24"/>
                <w:u w:val="single"/>
              </w:rPr>
              <w:t>堆场范围内主要为沼泽植被、水生植被、阔叶林及灌草丛等分布，植被稀疏，生物多样性少，生态结构简单，生物量较少，规划河段未发现国家及地方珍稀濒危保护植物。</w:t>
            </w: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的实施不会造成整体生态环境的不可逆影响，对植物物种多样性的影响较小。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val="en-US" w:eastAsia="zh-CN"/>
              </w:rPr>
              <w:t>1.1.4、</w:t>
            </w:r>
            <w:r>
              <w:rPr>
                <w:rFonts w:hint="default" w:ascii="Times New Roman" w:hAnsi="Times New Roman" w:eastAsia="宋体" w:cs="Times New Roman"/>
                <w:b/>
                <w:bCs/>
                <w:color w:val="auto"/>
                <w:sz w:val="24"/>
                <w:szCs w:val="24"/>
              </w:rPr>
              <w:t>对陆生动物环境影响分析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栖息地和觅食场所被破坏甚至消失，水生生物资源损失</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项目清淤</w:t>
            </w:r>
            <w:r>
              <w:rPr>
                <w:rFonts w:hint="default" w:ascii="Times New Roman" w:hAnsi="Times New Roman" w:eastAsia="宋体" w:cs="Times New Roman"/>
                <w:color w:val="auto"/>
                <w:sz w:val="24"/>
                <w:szCs w:val="24"/>
                <w:u w:val="single"/>
              </w:rPr>
              <w:t>区域内的生境将被占用，范家坝湖和三叉港南湖主要是渔业养殖水体，其中栖息的鸟类种类和数量较白泥湖少，而白泥湖种植的主要是芡实、莲，是水鸟尤其是水雉、灰翅浮鸥喜欢的栖息繁殖地，因此受影响最大的是白泥湖。根据现场调查及访问、资料等综合分析，白泥湖区的水鸟夏季主要有灰翅浮鸥、白鹭、池鹭、水雉等；冬季主要有鸿雁、豆雁、斑嘴鸭、绿头鸭等雁鸭类以及反嘴鹬、青脚鹬、白腰草鹬等鸻鹬类；</w:t>
            </w:r>
            <w:r>
              <w:rPr>
                <w:rFonts w:hint="eastAsia" w:ascii="Times New Roman" w:hAnsi="Times New Roman" w:cs="Times New Roman"/>
                <w:color w:val="auto"/>
                <w:sz w:val="24"/>
                <w:szCs w:val="24"/>
                <w:u w:val="single"/>
                <w:lang w:val="en-US" w:eastAsia="zh-CN"/>
              </w:rPr>
              <w:t>项目施工期</w:t>
            </w:r>
            <w:r>
              <w:rPr>
                <w:rFonts w:hint="default" w:ascii="Times New Roman" w:hAnsi="Times New Roman" w:eastAsia="宋体" w:cs="Times New Roman"/>
                <w:color w:val="auto"/>
                <w:sz w:val="24"/>
                <w:szCs w:val="24"/>
                <w:u w:val="single"/>
              </w:rPr>
              <w:t>会占用这些水鸟的栖息环境，压缩其生存空间，迫使它们向规划区之外的地方逃逸，加大种群之间的竞争；同时由于受惊吓，可能导致部分水鸟放弃在此栖息繁殖、或是越冬。此外，根据调查，在湖周分布有一些两栖爬行和小型兽类，规划实施也将占用其栖息活动场地，对活动能力较弱的两栖爬行及小型兽类影响较为明显，规划实施前，湖周植被清理可能直接造成个体伤亡。</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2</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机械噪声和震动对动物的驱赶影响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动物一般对人类活动比较敏感，挖泥船</w:t>
            </w:r>
            <w:r>
              <w:rPr>
                <w:rFonts w:hint="eastAsia" w:ascii="Times New Roman" w:hAnsi="Times New Roman" w:cs="Times New Roman"/>
                <w:color w:val="auto"/>
                <w:sz w:val="24"/>
                <w:szCs w:val="24"/>
                <w:u w:val="single"/>
                <w:lang w:val="en-US" w:eastAsia="zh-CN"/>
              </w:rPr>
              <w:t>等机械设备</w:t>
            </w:r>
            <w:r>
              <w:rPr>
                <w:rFonts w:hint="default" w:ascii="Times New Roman" w:hAnsi="Times New Roman" w:eastAsia="宋体" w:cs="Times New Roman"/>
                <w:color w:val="auto"/>
                <w:sz w:val="24"/>
                <w:szCs w:val="24"/>
                <w:u w:val="single"/>
              </w:rPr>
              <w:t>运行产生施工噪声、交通噪声和振动会直接干扰它们的正常活动，迫使它们避开</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区及运输线路两侧的噪声影响区域，导致规划区域动物的种类和数量急剧减少。此外，噪声也可能造成利用声呐的动物方向分布错误、捕获食物以及同类的交流障碍，对它们产生致命的危机。</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悬浮物、污水、废水及固体废弃物的影响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实施期间，挖泥船搅动底质，破坏河床，导致附近水域水体悬浮物 (SS) 急剧增加，</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环节产生的废水，含有大量的悬浮物。悬浮物扩散将导致水体浑浊、透明度下降，再加上施工船只以及施工人员产生的生活污水不慎排放对水质产生污染，将对</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区域的动物栖息觅食及繁殖产生不利影响，尤其是繁殖期依赖静水环境的两栖类，如中华蟾蜍、黑斑侧褶蛙等，水栖型及半水栖型的爬行类如中华鳖和红纹滞卵蛇等以及鸟类 中的游禽和涉禽 (雁鸭类、鸻鹬类等)。此外泥沙中吸附的重金属或其他有害物质，在</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过程释放以及挖泥船</w:t>
            </w:r>
            <w:r>
              <w:rPr>
                <w:rFonts w:hint="eastAsia" w:ascii="Times New Roman" w:hAnsi="Times New Roman" w:cs="Times New Roman"/>
                <w:color w:val="auto"/>
                <w:sz w:val="24"/>
                <w:szCs w:val="24"/>
                <w:u w:val="single"/>
                <w:lang w:val="en-US" w:eastAsia="zh-CN"/>
              </w:rPr>
              <w:t>等</w:t>
            </w:r>
            <w:r>
              <w:rPr>
                <w:rFonts w:hint="default" w:ascii="Times New Roman" w:hAnsi="Times New Roman" w:eastAsia="宋体" w:cs="Times New Roman"/>
                <w:color w:val="auto"/>
                <w:sz w:val="24"/>
                <w:szCs w:val="24"/>
                <w:u w:val="single"/>
              </w:rPr>
              <w:t>含油废水的排放，都会对水环境造成不利影响，直接影响依托水体生活的动物生境。</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4</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风险事故的影响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实施期间挖泥船搅动底质，悬浮物增加，对动物栖息生境产生的不利影响，以及船只出现漏油或者其他交通事故对动物生境的影响等。</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1.2、</w:t>
            </w:r>
            <w:r>
              <w:rPr>
                <w:rFonts w:hint="default" w:ascii="Times New Roman" w:hAnsi="Times New Roman" w:cs="Times New Roman"/>
                <w:b/>
                <w:bCs/>
                <w:color w:val="auto"/>
                <w:sz w:val="24"/>
                <w:szCs w:val="24"/>
                <w:lang w:val="en-US" w:eastAsia="zh-CN"/>
              </w:rPr>
              <w:t>水域生态环境的影响分析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1.2.1、清淤</w:t>
            </w:r>
            <w:r>
              <w:rPr>
                <w:rFonts w:hint="default" w:ascii="Times New Roman" w:hAnsi="Times New Roman" w:eastAsia="宋体" w:cs="Times New Roman"/>
                <w:b/>
                <w:bCs/>
                <w:color w:val="auto"/>
                <w:sz w:val="24"/>
                <w:szCs w:val="24"/>
                <w:u w:val="single"/>
              </w:rPr>
              <w:t>作业对鱼类资源的影响分析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对鱼类生长环境的影响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清淤过程</w:t>
            </w:r>
            <w:r>
              <w:rPr>
                <w:rFonts w:hint="default" w:ascii="Times New Roman" w:hAnsi="Times New Roman" w:eastAsia="宋体" w:cs="Times New Roman"/>
                <w:color w:val="auto"/>
                <w:sz w:val="24"/>
                <w:szCs w:val="24"/>
                <w:u w:val="single"/>
              </w:rPr>
              <w:t>使得河道水质变浑浊，部分鱼类由于水质变浑浊，细沙将会堵塞鳃耙和鳃丝，降低其生产速率，影响部分鱼类呼吸。</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过程中由于底栖藻类和水生植物生长受限，减少了部分鱼类食物来源；水质浑浊影响肉食性鱼类捕食过程，尤其是一些依靠视觉进行捕食的水生生物，捕食距离随着浊度上升而明显下降，捕食成功率下降，能量消耗增加，影响鱼类生存速率。</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2</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对鱼类资源的影响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施工区附近水体的悬浮物颗粒浓度增加，一定程度破坏了鱼类的生存环境。由于施工过程中会造成区域内浮游生物和底栖生物其生境和生物量的损失，以这类饵料生物为食物的鱼类其摄食受限，饵料竞争加剧；悬浮物颗粒的增加容易堵塞鱼类鳃部不利于呼吸；且部分鱼类所产卵黏附大量颗粒物影响其孵化率，等正常生命活动产生不利影响，资源造成不利影响。施工建设中相关人员、机械设施及往来船</w:t>
            </w:r>
            <w:r>
              <w:rPr>
                <w:rFonts w:hint="eastAsia" w:ascii="Times New Roman" w:hAnsi="Times New Roman" w:cs="Times New Roman"/>
                <w:color w:val="auto"/>
                <w:sz w:val="24"/>
                <w:szCs w:val="24"/>
                <w:u w:val="single"/>
                <w:lang w:val="en-US" w:eastAsia="zh-CN"/>
              </w:rPr>
              <w:t>只</w:t>
            </w:r>
            <w:r>
              <w:rPr>
                <w:rFonts w:hint="default" w:ascii="Times New Roman" w:hAnsi="Times New Roman" w:eastAsia="宋体" w:cs="Times New Roman"/>
                <w:color w:val="auto"/>
                <w:sz w:val="24"/>
                <w:szCs w:val="24"/>
                <w:u w:val="single"/>
              </w:rPr>
              <w:t>产生的大量噪音，都在一定程度上使鱼类生存空间受到干扰和缩小，种群数量会减少。</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结束后，施工船舶驶离</w:t>
            </w:r>
            <w:r>
              <w:rPr>
                <w:rFonts w:hint="eastAsia" w:ascii="Times New Roman" w:hAnsi="Times New Roman" w:cs="Times New Roman"/>
                <w:color w:val="auto"/>
                <w:sz w:val="24"/>
                <w:szCs w:val="24"/>
                <w:u w:val="single"/>
                <w:lang w:val="en-US" w:eastAsia="zh-CN"/>
              </w:rPr>
              <w:t>水体</w:t>
            </w:r>
            <w:r>
              <w:rPr>
                <w:rFonts w:hint="default" w:ascii="Times New Roman" w:hAnsi="Times New Roman" w:eastAsia="宋体" w:cs="Times New Roman"/>
                <w:color w:val="auto"/>
                <w:sz w:val="24"/>
                <w:szCs w:val="24"/>
                <w:u w:val="single"/>
              </w:rPr>
              <w:t>，悬浮物污染、噪声污染等污染源将随之消失，</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过程中，一定程度破坏了鱼类的生存环境。</w:t>
            </w:r>
            <w:r>
              <w:rPr>
                <w:rFonts w:hint="eastAsia" w:ascii="Times New Roman" w:hAnsi="Times New Roman" w:cs="Times New Roman"/>
                <w:color w:val="auto"/>
                <w:sz w:val="24"/>
                <w:szCs w:val="24"/>
                <w:u w:val="single"/>
                <w:lang w:val="en-US" w:eastAsia="zh-CN"/>
              </w:rPr>
              <w:t>施工期</w:t>
            </w:r>
            <w:r>
              <w:rPr>
                <w:rFonts w:hint="default" w:ascii="Times New Roman" w:hAnsi="Times New Roman" w:eastAsia="宋体" w:cs="Times New Roman"/>
                <w:color w:val="auto"/>
                <w:sz w:val="24"/>
                <w:szCs w:val="24"/>
                <w:u w:val="single"/>
              </w:rPr>
              <w:t>结束后，鱼类生存空间增大，种群会逐渐恢复，群落结构与施工前差异较小。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对渔业生产的影响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由于</w:t>
            </w:r>
            <w:r>
              <w:rPr>
                <w:rFonts w:hint="eastAsia" w:ascii="Times New Roman" w:hAnsi="Times New Roman" w:cs="Times New Roman"/>
                <w:color w:val="auto"/>
                <w:sz w:val="24"/>
                <w:szCs w:val="24"/>
                <w:u w:val="single"/>
                <w:lang w:val="en-US" w:eastAsia="zh-CN"/>
              </w:rPr>
              <w:t>项目施工期</w:t>
            </w:r>
            <w:r>
              <w:rPr>
                <w:rFonts w:hint="default" w:ascii="Times New Roman" w:hAnsi="Times New Roman" w:eastAsia="宋体" w:cs="Times New Roman"/>
                <w:color w:val="auto"/>
                <w:sz w:val="24"/>
                <w:szCs w:val="24"/>
                <w:u w:val="single"/>
              </w:rPr>
              <w:t>将对附近区域水体初级生产力造成一定的影响，对</w:t>
            </w:r>
            <w:r>
              <w:rPr>
                <w:rFonts w:hint="eastAsia" w:ascii="Times New Roman" w:hAnsi="Times New Roman" w:cs="Times New Roman"/>
                <w:color w:val="auto"/>
                <w:sz w:val="24"/>
                <w:szCs w:val="24"/>
                <w:u w:val="single"/>
                <w:lang w:val="en-US" w:eastAsia="zh-CN"/>
              </w:rPr>
              <w:t>区域</w:t>
            </w:r>
            <w:r>
              <w:rPr>
                <w:rFonts w:hint="default" w:ascii="Times New Roman" w:hAnsi="Times New Roman" w:eastAsia="宋体" w:cs="Times New Roman"/>
                <w:color w:val="auto"/>
                <w:sz w:val="24"/>
                <w:szCs w:val="24"/>
                <w:u w:val="single"/>
              </w:rPr>
              <w:t>的渔产力有一定的影响，造成局部水域渔产力降低，局部鱼群结构发生变化；同时，</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作业会导致河床高程降低，水深增大，鱼类的活动空间增大，侧面也有利于鱼类的生长栖息。</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环评要求在规定的禁渔期和禁渔区内，禁止一切捕捞行为，严禁扎巢取卵，严禁收购、销售在禁渔期和禁渔区内捕捞的渔获物。因养殖生产或科研调查等特殊需要采捕水生资源的，须经省级以上渔业行政主管部门批准。</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4</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对鱼类等水生生物区系组成的影响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由于规划对采区水文、水质等非生物因子影响较小，仅</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期内悬浮物扩散造成了附近水域水体悬浮物增加、透明度降低，对附近水域初级生产力造成一定影响的影响。但工程不改变水域整体营养状况，对整体水文、水质影响较小。因此，</w:t>
            </w:r>
            <w:r>
              <w:rPr>
                <w:rFonts w:hint="eastAsia" w:ascii="Times New Roman" w:hAnsi="Times New Roman" w:cs="Times New Roman"/>
                <w:color w:val="auto"/>
                <w:sz w:val="24"/>
                <w:szCs w:val="24"/>
                <w:u w:val="single"/>
                <w:lang w:val="en-US" w:eastAsia="zh-CN"/>
              </w:rPr>
              <w:t>项目施工</w:t>
            </w:r>
            <w:r>
              <w:rPr>
                <w:rFonts w:hint="default" w:ascii="Times New Roman" w:hAnsi="Times New Roman" w:eastAsia="宋体" w:cs="Times New Roman"/>
                <w:color w:val="auto"/>
                <w:sz w:val="24"/>
                <w:szCs w:val="24"/>
                <w:u w:val="single"/>
              </w:rPr>
              <w:t>对鱼类等水生生物区系组成的影响较小。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5</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对鱼类等水生生物种群结构的影响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项目施工</w:t>
            </w:r>
            <w:r>
              <w:rPr>
                <w:rFonts w:hint="default" w:ascii="Times New Roman" w:hAnsi="Times New Roman" w:eastAsia="宋体" w:cs="Times New Roman"/>
                <w:color w:val="auto"/>
                <w:sz w:val="24"/>
                <w:szCs w:val="24"/>
                <w:u w:val="single"/>
              </w:rPr>
              <w:t>将对局部水域水质、渔业资源产生短期的影响。由于工程对河流水文、水质及鱼类等水生生物区系组成的影响较小，其对鱼类等水生生物种群结构的影响也较小。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b/>
                <w:bCs/>
                <w:color w:val="auto"/>
                <w:sz w:val="24"/>
                <w:szCs w:val="24"/>
                <w:u w:val="single"/>
                <w:lang w:val="en-US" w:eastAsia="zh-CN"/>
              </w:rPr>
            </w:pPr>
            <w:r>
              <w:rPr>
                <w:rFonts w:hint="eastAsia" w:ascii="Times New Roman" w:hAnsi="Times New Roman" w:cs="Times New Roman"/>
                <w:b/>
                <w:bCs/>
                <w:color w:val="auto"/>
                <w:sz w:val="24"/>
                <w:szCs w:val="24"/>
                <w:u w:val="single"/>
                <w:lang w:val="en-US" w:eastAsia="zh-CN"/>
              </w:rPr>
              <w:t>1.2.2、</w:t>
            </w:r>
            <w:r>
              <w:rPr>
                <w:rFonts w:hint="default" w:ascii="Times New Roman" w:hAnsi="Times New Roman" w:cs="Times New Roman"/>
                <w:b/>
                <w:bCs/>
                <w:color w:val="auto"/>
                <w:sz w:val="24"/>
                <w:szCs w:val="24"/>
                <w:u w:val="single"/>
                <w:lang w:val="en-US" w:eastAsia="zh-CN"/>
              </w:rPr>
              <w:t>河流底质变化的影响分析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对河流底质的影响是显著的，</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不仅扰动了河流底质的形貌、分布，而且破坏了底质的结果与物理特性，河床上表层底泥砂料被</w:t>
            </w:r>
            <w:r>
              <w:rPr>
                <w:rFonts w:hint="eastAsia" w:ascii="Times New Roman" w:hAnsi="Times New Roman" w:cs="Times New Roman"/>
                <w:color w:val="auto"/>
                <w:sz w:val="24"/>
                <w:szCs w:val="24"/>
                <w:u w:val="single"/>
                <w:lang w:val="en-US" w:eastAsia="zh-CN"/>
              </w:rPr>
              <w:t>清除</w:t>
            </w:r>
            <w:r>
              <w:rPr>
                <w:rFonts w:hint="default" w:ascii="Times New Roman" w:hAnsi="Times New Roman" w:eastAsia="宋体" w:cs="Times New Roman"/>
                <w:color w:val="auto"/>
                <w:sz w:val="24"/>
                <w:szCs w:val="24"/>
                <w:u w:val="single"/>
              </w:rPr>
              <w:t>后，翻露出河床下层的底泥砂料，导致饵料、食性及生境的改变，从而使得鱼虾类、小蟹类动物逃离。</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b/>
                <w:bCs/>
                <w:color w:val="auto"/>
                <w:sz w:val="24"/>
                <w:szCs w:val="24"/>
                <w:u w:val="single"/>
                <w:lang w:val="en-US" w:eastAsia="zh-CN"/>
              </w:rPr>
            </w:pPr>
            <w:r>
              <w:rPr>
                <w:rFonts w:hint="eastAsia" w:ascii="Times New Roman" w:hAnsi="Times New Roman" w:cs="Times New Roman"/>
                <w:b/>
                <w:bCs/>
                <w:color w:val="auto"/>
                <w:sz w:val="24"/>
                <w:szCs w:val="24"/>
                <w:u w:val="single"/>
                <w:lang w:val="en-US" w:eastAsia="zh-CN"/>
              </w:rPr>
              <w:t>1.2.3、</w:t>
            </w:r>
            <w:r>
              <w:rPr>
                <w:rFonts w:hint="default" w:ascii="Times New Roman" w:hAnsi="Times New Roman" w:cs="Times New Roman"/>
                <w:b/>
                <w:bCs/>
                <w:color w:val="auto"/>
                <w:sz w:val="24"/>
                <w:szCs w:val="24"/>
                <w:u w:val="single"/>
                <w:lang w:val="en-US" w:eastAsia="zh-CN"/>
              </w:rPr>
              <w:t>对浮游生物、底栖生物的影响分析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对浮游生物的影响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实施期间对环境的不利影响主要集中在</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期，</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会直接扰动工程所在的湖底部与其边坡土地，导致水域水体悬浮物颗粒大量增加，水体透明度下降，水下光照强度降低。施工过程中悬浮物浓度的增加对浮游植物的生长、繁殖及生物量有不同程度的影响，悬浮颗粒的增加，造成水质的浑浊，水体透明度下降，对浮游植物的光合作用产生不利的影响，进而抑制浮游植物的细胞分裂和生长，降低浮游植物的生物量和库区的初级生产力，水体溶解氧进一步降低。悬浮物含量增多同时对浮游动物尤其是滤食性的浮游动物带来不利影响，枝角类、桡足类等浮游动物存活和繁殖受到明显的 抑制作用。过量悬浮物使其食物过滤系统和消化器官堵塞，大量的悬浮颗粒黏附在动物的体表，干扰其正常呼吸等生理功能，再加上悬浮物抑制浮游植物的生长导致初级饵料的减少不利于滤食性浮游动物的摄食，工程的开展会</w:t>
            </w:r>
            <w:r>
              <w:rPr>
                <w:rFonts w:hint="eastAsia" w:ascii="Times New Roman" w:hAnsi="Times New Roman" w:cs="Times New Roman"/>
                <w:color w:val="auto"/>
                <w:sz w:val="24"/>
                <w:szCs w:val="24"/>
                <w:u w:val="single"/>
                <w:lang w:val="en-US" w:eastAsia="zh-CN"/>
              </w:rPr>
              <w:t>造成</w:t>
            </w:r>
            <w:r>
              <w:rPr>
                <w:rFonts w:hint="default" w:ascii="Times New Roman" w:hAnsi="Times New Roman" w:eastAsia="宋体" w:cs="Times New Roman"/>
                <w:color w:val="auto"/>
                <w:sz w:val="24"/>
                <w:szCs w:val="24"/>
                <w:u w:val="single"/>
              </w:rPr>
              <w:t>评价区内浮游动物生物量明显降低。</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实施后，因</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区水深加深等水文情势的改变，浮游植物群落也会发生相应的更替，随着时间的推移，群落结构会趋于稳定。</w:t>
            </w:r>
            <w:r>
              <w:rPr>
                <w:rFonts w:hint="eastAsia" w:ascii="Times New Roman" w:hAnsi="Times New Roman" w:cs="Times New Roman"/>
                <w:color w:val="auto"/>
                <w:sz w:val="24"/>
                <w:szCs w:val="24"/>
                <w:u w:val="single"/>
                <w:lang w:val="en-US" w:eastAsia="zh-CN"/>
              </w:rPr>
              <w:t>施工期</w:t>
            </w:r>
            <w:r>
              <w:rPr>
                <w:rFonts w:hint="default" w:ascii="Times New Roman" w:hAnsi="Times New Roman" w:eastAsia="宋体" w:cs="Times New Roman"/>
                <w:color w:val="auto"/>
                <w:sz w:val="24"/>
                <w:szCs w:val="24"/>
                <w:u w:val="single"/>
              </w:rPr>
              <w:t>结束后，施工船舶驶离，悬浮物污染、噪声污染等污染源将随之消失。</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结束后，浮游生物会逐渐恢复，群落结构与施工前差异较小，此后仍以湖库类群为主。</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2</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对底栖动物的影响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cs="Times New Roman"/>
                <w:color w:val="auto"/>
                <w:sz w:val="24"/>
                <w:szCs w:val="24"/>
                <w:u w:val="single"/>
                <w:lang w:eastAsia="zh-CN"/>
              </w:rPr>
            </w:pP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实施期间，施工活动将会直接扰动湖泊底部，底栖动物迁移能力相对较弱，部分种类终生活动范围较固定，施工将直接改变其栖息环境，施工所产生的悬浮物会影响 到附近水域底栖动物的呼吸、摄食等生命活动。因此在施工期，施工区域的底栖动物大部分将会死亡，从而对该湖底底栖动物的种类和数量产生不利影响</w:t>
            </w:r>
            <w:r>
              <w:rPr>
                <w:rFonts w:hint="eastAsia" w:ascii="Times New Roman" w:hAnsi="Times New Roman" w:cs="Times New Roman"/>
                <w:color w:val="auto"/>
                <w:sz w:val="24"/>
                <w:szCs w:val="24"/>
                <w:u w:val="single"/>
                <w:lang w:eastAsia="zh-CN"/>
              </w:rPr>
              <w:t>。</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eastAsia" w:ascii="Times New Roman" w:hAnsi="Times New Roman" w:cs="Times New Roman"/>
                <w:b/>
                <w:bCs/>
                <w:color w:val="auto"/>
                <w:sz w:val="24"/>
                <w:szCs w:val="24"/>
                <w:u w:val="single"/>
                <w:lang w:eastAsia="zh-CN"/>
              </w:rPr>
            </w:pPr>
            <w:r>
              <w:rPr>
                <w:rFonts w:hint="eastAsia" w:ascii="Times New Roman" w:hAnsi="Times New Roman" w:cs="Times New Roman"/>
                <w:b/>
                <w:bCs/>
                <w:color w:val="auto"/>
                <w:sz w:val="24"/>
                <w:szCs w:val="24"/>
                <w:u w:val="single"/>
                <w:lang w:val="en-US" w:eastAsia="zh-CN"/>
              </w:rPr>
              <w:t>1.2.4、</w:t>
            </w:r>
            <w:r>
              <w:rPr>
                <w:rFonts w:hint="eastAsia" w:ascii="Times New Roman" w:hAnsi="Times New Roman" w:cs="Times New Roman"/>
                <w:b/>
                <w:bCs/>
                <w:color w:val="auto"/>
                <w:sz w:val="24"/>
                <w:szCs w:val="24"/>
                <w:u w:val="single"/>
                <w:lang w:eastAsia="zh-CN"/>
              </w:rPr>
              <w:t>对鱼类“三场”及洄游通道的影响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根据与湘阴县水利局等单位调查了解到，项目区域不涉及鱼类“三场”及洄游通道。</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cs="Times New Roman"/>
                <w:b/>
                <w:bCs/>
                <w:color w:val="auto"/>
                <w:sz w:val="24"/>
                <w:szCs w:val="24"/>
                <w:u w:val="single"/>
                <w:lang w:val="en-US" w:eastAsia="zh-CN"/>
              </w:rPr>
            </w:pPr>
            <w:r>
              <w:rPr>
                <w:rFonts w:hint="eastAsia" w:ascii="Times New Roman" w:hAnsi="Times New Roman" w:cs="Times New Roman"/>
                <w:b/>
                <w:bCs/>
                <w:color w:val="auto"/>
                <w:sz w:val="24"/>
                <w:szCs w:val="24"/>
                <w:u w:val="single"/>
                <w:lang w:val="en-US" w:eastAsia="zh-CN"/>
              </w:rPr>
              <w:t>1.2.5、</w:t>
            </w:r>
            <w:r>
              <w:rPr>
                <w:rFonts w:hint="default" w:ascii="Times New Roman" w:hAnsi="Times New Roman" w:cs="Times New Roman"/>
                <w:b/>
                <w:bCs/>
                <w:color w:val="auto"/>
                <w:sz w:val="24"/>
                <w:szCs w:val="24"/>
                <w:u w:val="single"/>
                <w:lang w:val="en-US" w:eastAsia="zh-CN"/>
              </w:rPr>
              <w:t>对水生维管束植物的影响</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项目</w:t>
            </w:r>
            <w:r>
              <w:rPr>
                <w:rFonts w:hint="default" w:ascii="Times New Roman" w:hAnsi="Times New Roman" w:eastAsia="宋体" w:cs="Times New Roman"/>
                <w:color w:val="auto"/>
                <w:sz w:val="24"/>
                <w:szCs w:val="24"/>
                <w:u w:val="single"/>
              </w:rPr>
              <w:t>实施期间，范家坝、三汊港南湖岸边多为泥沙，水生植物无论种类、数量都比较少，仅分布在少部分的岸边存在少量水生维管束植物，</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对其的影响有限。由于工程建设对湖泊底质的扰动，使得一定范围内的湖泊水体透明度降低，湖泊部分底质裸露，使白泥湖原本水生植物种类和数量减少。</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结束后影响会逐渐消失，随着时间的推移，水生维管束群落结构会趋于稳定。</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cs="Times New Roman"/>
                <w:b/>
                <w:bCs/>
                <w:color w:val="auto"/>
                <w:sz w:val="24"/>
                <w:szCs w:val="24"/>
                <w:lang w:val="en-US" w:eastAsia="zh-CN"/>
              </w:rPr>
              <w:t>1.3、</w:t>
            </w:r>
            <w:r>
              <w:rPr>
                <w:rFonts w:hint="default" w:ascii="Times New Roman" w:hAnsi="Times New Roman" w:eastAsia="宋体" w:cs="Times New Roman"/>
                <w:b/>
                <w:bCs/>
                <w:color w:val="auto"/>
                <w:sz w:val="24"/>
                <w:szCs w:val="24"/>
              </w:rPr>
              <w:t>水土流失的影响分析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1.3.1、水土流失防治责任范围</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根据“谁开发谁保护， 谁造成水土流失谁负责治理和补偿 ”的原则和《生产建设项目水土保持技术标准》（GB50433-2018）的要求，生产建设项目水土流失防治责任范围应包括项目永久征地、临时占地（含租赁土地） 以及其他使用与管辖区域。因此，确定本工程水土流失防治责任范围为8.28hm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。统统计情况详见表4-1。</w:t>
            </w:r>
          </w:p>
          <w:p>
            <w:pPr>
              <w:jc w:val="center"/>
              <w:rPr>
                <w:rFonts w:hint="eastAsia" w:ascii="Times New Roman" w:hAnsi="Times New Roman" w:eastAsia="宋体" w:cs="Times New Roman"/>
                <w:b/>
                <w:color w:val="auto"/>
                <w:szCs w:val="21"/>
                <w:lang w:val="en-US" w:eastAsia="zh-CN"/>
              </w:rPr>
            </w:pPr>
          </w:p>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lang w:val="en-US" w:eastAsia="zh-CN"/>
              </w:rPr>
              <w:t xml:space="preserve">表4-1  </w:t>
            </w:r>
            <w:r>
              <w:rPr>
                <w:rFonts w:ascii="Times New Roman" w:hAnsi="Times New Roman" w:eastAsia="宋体" w:cs="Times New Roman"/>
                <w:b/>
                <w:color w:val="auto"/>
                <w:szCs w:val="21"/>
              </w:rPr>
              <w:t>防治责任范围表单位： (hm</w:t>
            </w:r>
            <w:r>
              <w:rPr>
                <w:rFonts w:ascii="Times New Roman" w:hAnsi="Times New Roman" w:eastAsia="宋体" w:cs="Times New Roman"/>
                <w:b/>
                <w:color w:val="auto"/>
                <w:szCs w:val="21"/>
                <w:vertAlign w:val="superscript"/>
              </w:rPr>
              <w:t>2</w:t>
            </w:r>
            <w:r>
              <w:rPr>
                <w:rFonts w:ascii="Times New Roman" w:hAnsi="Times New Roman" w:eastAsia="宋体" w:cs="Times New Roman"/>
                <w:b/>
                <w:color w:val="auto"/>
                <w:szCs w:val="21"/>
              </w:rPr>
              <w:t xml:space="preserve">) </w:t>
            </w:r>
          </w:p>
          <w:p>
            <w:pPr>
              <w:spacing w:line="125" w:lineRule="auto"/>
              <w:rPr>
                <w:rFonts w:ascii="Arial"/>
                <w:color w:val="auto"/>
                <w:sz w:val="2"/>
              </w:rPr>
            </w:pPr>
          </w:p>
          <w:tbl>
            <w:tblPr>
              <w:tblStyle w:val="75"/>
              <w:tblW w:w="4998" w:type="pct"/>
              <w:tblInd w:w="1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079"/>
              <w:gridCol w:w="2947"/>
              <w:gridCol w:w="1368"/>
              <w:gridCol w:w="137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338" w:type="pct"/>
                  <w:vMerge w:val="restar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分区</w:t>
                  </w:r>
                </w:p>
              </w:tc>
              <w:tc>
                <w:tcPr>
                  <w:tcW w:w="1896" w:type="pct"/>
                  <w:vMerge w:val="restar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防治责任范围面积（hm</w:t>
                  </w:r>
                  <w:r>
                    <w:rPr>
                      <w:rFonts w:hint="default" w:ascii="Times New Roman" w:hAnsi="Times New Roman" w:eastAsia="宋体" w:cs="Times New Roman"/>
                      <w:b w:val="0"/>
                      <w:bCs w:val="0"/>
                      <w:color w:val="auto"/>
                      <w:spacing w:val="3"/>
                      <w:sz w:val="21"/>
                      <w:szCs w:val="21"/>
                      <w:vertAlign w:val="superscript"/>
                    </w:rPr>
                    <w:t>2</w:t>
                  </w:r>
                  <w:r>
                    <w:rPr>
                      <w:rFonts w:hint="default" w:ascii="Times New Roman" w:hAnsi="Times New Roman" w:eastAsia="宋体" w:cs="Times New Roman"/>
                      <w:b w:val="0"/>
                      <w:bCs w:val="0"/>
                      <w:color w:val="auto"/>
                      <w:spacing w:val="3"/>
                      <w:sz w:val="21"/>
                      <w:szCs w:val="21"/>
                    </w:rPr>
                    <w:t>）</w:t>
                  </w:r>
                </w:p>
              </w:tc>
              <w:tc>
                <w:tcPr>
                  <w:tcW w:w="1765" w:type="pct"/>
                  <w:gridSpan w:val="2"/>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占地性质（hm</w:t>
                  </w:r>
                  <w:r>
                    <w:rPr>
                      <w:rFonts w:hint="default" w:ascii="Times New Roman" w:hAnsi="Times New Roman" w:eastAsia="宋体" w:cs="Times New Roman"/>
                      <w:b w:val="0"/>
                      <w:bCs w:val="0"/>
                      <w:color w:val="auto"/>
                      <w:spacing w:val="3"/>
                      <w:sz w:val="21"/>
                      <w:szCs w:val="21"/>
                      <w:vertAlign w:val="superscript"/>
                    </w:rPr>
                    <w:t>2</w:t>
                  </w:r>
                  <w:r>
                    <w:rPr>
                      <w:rFonts w:hint="default" w:ascii="Times New Roman" w:hAnsi="Times New Roman" w:eastAsia="宋体" w:cs="Times New Roman"/>
                      <w:b w:val="0"/>
                      <w:bCs w:val="0"/>
                      <w:color w:val="auto"/>
                      <w:spacing w:val="3"/>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38" w:type="pct"/>
                  <w:vMerge w:val="continue"/>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p>
              </w:tc>
              <w:tc>
                <w:tcPr>
                  <w:tcW w:w="1896" w:type="pct"/>
                  <w:vMerge w:val="continue"/>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p>
              </w:tc>
              <w:tc>
                <w:tcPr>
                  <w:tcW w:w="880"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永久占地</w:t>
                  </w:r>
                </w:p>
              </w:tc>
              <w:tc>
                <w:tcPr>
                  <w:tcW w:w="885"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临时占地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38"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主体工程区</w:t>
                  </w:r>
                </w:p>
              </w:tc>
              <w:tc>
                <w:tcPr>
                  <w:tcW w:w="1896"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5.02</w:t>
                  </w:r>
                </w:p>
              </w:tc>
              <w:tc>
                <w:tcPr>
                  <w:tcW w:w="880"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5.02</w:t>
                  </w:r>
                </w:p>
              </w:tc>
              <w:tc>
                <w:tcPr>
                  <w:tcW w:w="885"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338"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施工道路区</w:t>
                  </w:r>
                </w:p>
              </w:tc>
              <w:tc>
                <w:tcPr>
                  <w:tcW w:w="1896"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0.28</w:t>
                  </w:r>
                </w:p>
              </w:tc>
              <w:tc>
                <w:tcPr>
                  <w:tcW w:w="880"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p>
              </w:tc>
              <w:tc>
                <w:tcPr>
                  <w:tcW w:w="885"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0.28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338"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施工生产区</w:t>
                  </w:r>
                </w:p>
              </w:tc>
              <w:tc>
                <w:tcPr>
                  <w:tcW w:w="1896"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0.48</w:t>
                  </w:r>
                </w:p>
              </w:tc>
              <w:tc>
                <w:tcPr>
                  <w:tcW w:w="880"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p>
              </w:tc>
              <w:tc>
                <w:tcPr>
                  <w:tcW w:w="885"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0.48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338"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临时堆土区</w:t>
                  </w:r>
                </w:p>
              </w:tc>
              <w:tc>
                <w:tcPr>
                  <w:tcW w:w="1896"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2.50</w:t>
                  </w:r>
                </w:p>
              </w:tc>
              <w:tc>
                <w:tcPr>
                  <w:tcW w:w="880"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p>
              </w:tc>
              <w:tc>
                <w:tcPr>
                  <w:tcW w:w="885"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2.50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338"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合计</w:t>
                  </w:r>
                </w:p>
              </w:tc>
              <w:tc>
                <w:tcPr>
                  <w:tcW w:w="1896"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8.28</w:t>
                  </w:r>
                </w:p>
              </w:tc>
              <w:tc>
                <w:tcPr>
                  <w:tcW w:w="880"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5.02</w:t>
                  </w:r>
                </w:p>
              </w:tc>
              <w:tc>
                <w:tcPr>
                  <w:tcW w:w="885" w:type="pct"/>
                  <w:tcBorders>
                    <w:tl2br w:val="nil"/>
                    <w:tr2bl w:val="nil"/>
                  </w:tcBorders>
                  <w:vAlign w:val="center"/>
                </w:tcPr>
                <w:p>
                  <w:pPr>
                    <w:spacing w:before="63" w:line="219" w:lineRule="auto"/>
                    <w:ind w:left="130"/>
                    <w:jc w:val="center"/>
                    <w:rPr>
                      <w:rFonts w:hint="default" w:ascii="Times New Roman" w:hAnsi="Times New Roman" w:eastAsia="宋体" w:cs="Times New Roman"/>
                      <w:b w:val="0"/>
                      <w:bCs w:val="0"/>
                      <w:color w:val="auto"/>
                      <w:spacing w:val="3"/>
                      <w:sz w:val="21"/>
                      <w:szCs w:val="21"/>
                    </w:rPr>
                  </w:pPr>
                  <w:r>
                    <w:rPr>
                      <w:rFonts w:hint="default" w:ascii="Times New Roman" w:hAnsi="Times New Roman" w:eastAsia="宋体" w:cs="Times New Roman"/>
                      <w:b w:val="0"/>
                      <w:bCs w:val="0"/>
                      <w:color w:val="auto"/>
                      <w:spacing w:val="3"/>
                      <w:sz w:val="21"/>
                      <w:szCs w:val="21"/>
                    </w:rPr>
                    <w:t>3.26</w:t>
                  </w:r>
                </w:p>
              </w:tc>
            </w:tr>
          </w:tbl>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1.3.2、水土流失防治分区</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根据工程的布局、功能、施工工艺及其建设特点等，同时进行实地调查勘测与资料收集分析，将工程划分主体工程区、施工道路区、施工生产区及临时堆土场区等 4 个一级防治分区。</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1.3.3、</w:t>
            </w:r>
            <w:r>
              <w:rPr>
                <w:rFonts w:hint="default" w:ascii="Times New Roman" w:hAnsi="Times New Roman" w:eastAsia="宋体" w:cs="Times New Roman"/>
                <w:b/>
                <w:bCs/>
                <w:color w:val="auto"/>
                <w:sz w:val="24"/>
                <w:szCs w:val="24"/>
                <w:lang w:val="en-US" w:eastAsia="zh-CN"/>
              </w:rPr>
              <w:t>水土流失预测</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预测时段</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水土流失预测分为工程建设期和自然恢复期两个预测时段。根据主体工程设计，本工程施工总工期（不包括筹建期）24 个月。因此工程建设期水土流失预测时段确定为 2.7 年。施工结束后，植被恢复措施逐渐发挥作用，表层土体结构逐渐稳定，水土流失亦逐渐减少，经过一段时间恢复可达到新的稳定状态。通过实地勘察以及结合当地自然因素分析确定，施工结束二年后项目区的植被能够逐渐恢复至原来状态。因此，自然恢复期水土流失预测时段为 2 年。</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扰动原地貌和破坏植被面积</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工程施工活动在整个项目区进行，均存在不同程度的地表扰动，因此扰动原地貌面积为项目建设区面积，为8.28hm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损坏水土保持面积</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工程扰动原地貌范围均需进行水土保持设施补偿，因此本项目计算水土保持设施补偿费共计面积为8.28hm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，同时经调查确认没有损坏相关的水土保持监测、科研设施。</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可能造成的水土流失量</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可能造成水土流失量的预测以资料调查法和经验公式法进行分析预测为主。经验公式法所采用的参数通过与本工程地形地貌、气候条件、工程性质相似的工程项目类比分析中取得</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通过经验公式预测，工程建设在无任何水土保持防护措施下可能产生的水土流失总量为1774.73t，新增水土流失总量为1700.92t。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大气影响分析</w:t>
            </w:r>
          </w:p>
          <w:p>
            <w:pPr>
              <w:keepNext w:val="0"/>
              <w:keepLines w:val="0"/>
              <w:pageBreakBefore w:val="0"/>
              <w:tabs>
                <w:tab w:val="left" w:pos="3930"/>
              </w:tabs>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燃料废气</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项目施工车辆船舶设备主要包括疏浚船舶（绞吸式挖泥船、钻探吸砂船、运泥船等）、运输车辆、施工机械等</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本项目疏浚船和施工车辆</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施工机械等在</w:t>
            </w:r>
            <w:r>
              <w:rPr>
                <w:rFonts w:hint="default" w:ascii="Times New Roman" w:hAnsi="Times New Roman" w:eastAsia="宋体" w:cs="Times New Roman"/>
                <w:color w:val="auto"/>
                <w:sz w:val="24"/>
                <w:szCs w:val="24"/>
              </w:rPr>
              <w:t>施工过程将产生燃料废气，施工机械采用柴油作为燃料，这些设备运行时将排放出废气，主要污染因子是THC、CO、NOx等，但产生量不大，影响范围有限。</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于施工机械为间断作业，因此所排废气污染物仅对施工点的空气质量产生间断的较小的不利影响，但仍应对施工机械加强管理，严禁施工机械的超负荷运行。燃油烟气及汽车尾气排放后，经空气迅速稀释扩散，基本不会对敏感点处的环境空气质量造成太大影响。在施工期间通过加强施工机械和车辆的管理，执行定期检查维护制度，提前规划好运输线路，尽量避开周边居民住宅等环境敏感目标的等措施；施工机械使用无铅汽油等优质燃料、严禁使用劣质油品，杜绝冒黑烟现象；使施工期间车辆尾气对环境的污染减少到最低程度。另外，机械燃油废气将随着施工结束后影响消除。</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（2）施工粉尘</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粉尘</w:t>
            </w:r>
            <w:r>
              <w:rPr>
                <w:rFonts w:hint="default" w:ascii="Times New Roman" w:hAnsi="Times New Roman" w:eastAsia="宋体" w:cs="Times New Roman"/>
                <w:color w:val="auto"/>
                <w:sz w:val="24"/>
                <w:szCs w:val="24"/>
              </w:rPr>
              <w:t>主要来土方开挖、建筑材料的现场搬运及堆放、施工垃圾的清理及堆放、运输车辆产生的道路扬尘。由于施工尘土的含水量比较低，颗粒较小，属于易飞扬的物料，影响范围随风速的加大会扩大影响范围。扬尘量与施工现场条件、管理水平、机械化程度及施工季节有关，是一个难以定量的问题。</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对建筑施工期扬尘，采用类比南方建筑施工工地扬尘实测资料进行综合分析，施工场地扬尘情况见下表。</w:t>
            </w:r>
          </w:p>
          <w:p>
            <w:pPr>
              <w:jc w:val="center"/>
              <w:rPr>
                <w:rFonts w:ascii="Times New Roman" w:hAnsi="Times New Roman"/>
                <w:b/>
                <w:color w:val="auto"/>
                <w:szCs w:val="21"/>
              </w:rPr>
            </w:pPr>
          </w:p>
          <w:p>
            <w:pPr>
              <w:jc w:val="center"/>
              <w:rPr>
                <w:rFonts w:ascii="Times New Roman" w:hAnsi="Times New Roman"/>
                <w:b/>
                <w:color w:val="auto"/>
                <w:szCs w:val="21"/>
              </w:rPr>
            </w:pPr>
          </w:p>
          <w:p>
            <w:pPr>
              <w:jc w:val="center"/>
              <w:rPr>
                <w:rFonts w:ascii="Times New Roman" w:hAnsi="Times New Roman"/>
                <w:b/>
                <w:color w:val="auto"/>
                <w:szCs w:val="21"/>
              </w:rPr>
            </w:pPr>
          </w:p>
          <w:p>
            <w:pPr>
              <w:jc w:val="center"/>
              <w:rPr>
                <w:rFonts w:ascii="Times New Roman" w:hAnsi="Times New Roman"/>
                <w:b/>
                <w:color w:val="auto"/>
                <w:szCs w:val="21"/>
              </w:rPr>
            </w:pPr>
          </w:p>
          <w:p>
            <w:pPr>
              <w:jc w:val="center"/>
              <w:rPr>
                <w:rFonts w:ascii="Times New Roman" w:hAnsi="Times New Roman"/>
                <w:b/>
                <w:color w:val="auto"/>
                <w:szCs w:val="21"/>
              </w:rPr>
            </w:pPr>
            <w:r>
              <w:rPr>
                <w:rFonts w:ascii="Times New Roman" w:hAnsi="Times New Roman"/>
                <w:b/>
                <w:color w:val="auto"/>
                <w:szCs w:val="21"/>
              </w:rPr>
              <w:t>表</w:t>
            </w:r>
            <w:r>
              <w:rPr>
                <w:rFonts w:hint="eastAsia" w:ascii="Times New Roman" w:hAnsi="Times New Roman"/>
                <w:b/>
                <w:color w:val="auto"/>
                <w:szCs w:val="21"/>
                <w:lang w:val="en-US" w:eastAsia="zh-CN"/>
              </w:rPr>
              <w:t xml:space="preserve">4-2  </w:t>
            </w:r>
            <w:r>
              <w:rPr>
                <w:rFonts w:ascii="Times New Roman" w:hAnsi="Times New Roman"/>
                <w:b/>
                <w:color w:val="auto"/>
                <w:szCs w:val="21"/>
              </w:rPr>
              <w:t>建筑施工工地扬尘污染情况</w:t>
            </w:r>
          </w:p>
          <w:p>
            <w:pPr>
              <w:spacing w:line="360" w:lineRule="auto"/>
              <w:rPr>
                <w:rFonts w:ascii="Times New Roman" w:hAnsi="Times New Roman"/>
                <w:color w:val="auto"/>
                <w:szCs w:val="21"/>
              </w:rPr>
            </w:pPr>
            <w:r>
              <w:rPr>
                <w:rFonts w:ascii="Times New Roman" w:hAnsi="Times New Roman"/>
                <w:color w:val="auto"/>
              </w:rPr>
              <w:drawing>
                <wp:inline distT="0" distB="0" distL="0" distR="0">
                  <wp:extent cx="4944110" cy="797560"/>
                  <wp:effectExtent l="19050" t="0" r="8890" b="0"/>
                  <wp:docPr id="15"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63"/>
                          <pic:cNvPicPr>
                            <a:picLocks noChangeAspect="1" noChangeArrowheads="1"/>
                          </pic:cNvPicPr>
                        </pic:nvPicPr>
                        <pic:blipFill>
                          <a:blip r:embed="rId9" cstate="print"/>
                          <a:srcRect/>
                          <a:stretch>
                            <a:fillRect/>
                          </a:stretch>
                        </pic:blipFill>
                        <pic:spPr>
                          <a:xfrm>
                            <a:off x="0" y="0"/>
                            <a:ext cx="4944110" cy="797560"/>
                          </a:xfrm>
                          <a:prstGeom prst="rect">
                            <a:avLst/>
                          </a:prstGeom>
                          <a:noFill/>
                          <a:ln w="9525">
                            <a:noFill/>
                            <a:miter lim="800000"/>
                            <a:headEnd/>
                            <a:tailEnd/>
                          </a:ln>
                        </pic:spPr>
                      </pic:pic>
                    </a:graphicData>
                  </a:graphic>
                </wp:inline>
              </w:drawing>
            </w:r>
          </w:p>
          <w:p>
            <w:pPr>
              <w:jc w:val="center"/>
              <w:rPr>
                <w:rFonts w:ascii="Times New Roman" w:hAnsi="Times New Roman"/>
                <w:b/>
                <w:color w:val="auto"/>
                <w:szCs w:val="21"/>
              </w:rPr>
            </w:pPr>
            <w:r>
              <w:rPr>
                <w:rFonts w:ascii="Times New Roman" w:hAnsi="Times New Roman"/>
                <w:b/>
                <w:color w:val="auto"/>
                <w:szCs w:val="21"/>
              </w:rPr>
              <w:t>表</w:t>
            </w:r>
            <w:r>
              <w:rPr>
                <w:rFonts w:hint="eastAsia" w:ascii="Times New Roman" w:hAnsi="Times New Roman"/>
                <w:b/>
                <w:color w:val="auto"/>
                <w:szCs w:val="21"/>
                <w:lang w:val="en-US" w:eastAsia="zh-CN"/>
              </w:rPr>
              <w:t xml:space="preserve">4-3  </w:t>
            </w:r>
            <w:r>
              <w:rPr>
                <w:rFonts w:ascii="Times New Roman" w:hAnsi="Times New Roman"/>
                <w:b/>
                <w:color w:val="auto"/>
                <w:szCs w:val="21"/>
              </w:rPr>
              <w:t>施工现场大气TSP浓度变化表</w:t>
            </w:r>
          </w:p>
          <w:p>
            <w:pPr>
              <w:spacing w:line="360" w:lineRule="auto"/>
              <w:rPr>
                <w:rFonts w:ascii="Times New Roman" w:hAnsi="Times New Roman"/>
                <w:color w:val="auto"/>
                <w:szCs w:val="21"/>
              </w:rPr>
            </w:pPr>
            <w:r>
              <w:rPr>
                <w:rFonts w:ascii="Times New Roman" w:hAnsi="Times New Roman"/>
                <w:color w:val="auto"/>
                <w:sz w:val="24"/>
              </w:rPr>
              <w:drawing>
                <wp:inline distT="0" distB="0" distL="0" distR="0">
                  <wp:extent cx="4944110" cy="563245"/>
                  <wp:effectExtent l="19050" t="0" r="889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0" cstate="print"/>
                          <a:srcRect/>
                          <a:stretch>
                            <a:fillRect/>
                          </a:stretch>
                        </pic:blipFill>
                        <pic:spPr>
                          <a:xfrm>
                            <a:off x="0" y="0"/>
                            <a:ext cx="4944110" cy="563245"/>
                          </a:xfrm>
                          <a:prstGeom prst="rect">
                            <a:avLst/>
                          </a:prstGeom>
                          <a:noFill/>
                          <a:ln w="9525">
                            <a:noFill/>
                            <a:miter lim="800000"/>
                            <a:headEnd/>
                            <a:tailEnd/>
                          </a:ln>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扬尘主要来自土方开挖、建筑材料的现场搬运及堆放、运输车辆产生的道路扬尘。由于施工尘土的含水量比较低，颗粒较小，属于易飞扬的物料，影响范围随风速的加大会扩大影响范围。</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在路面清洁情况下，车速越大，扬尘量越大；而在同样车速情况下，路面清洁度越差，则扬尘量越大，根据类比调查，一般情况下，施工场地、施工道路在自然风作用下产生的扬尘所影响的范围在100m以内。</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砼拌合站粉尘</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本项目施工期设置10台移动式砂浆拌合机，砂浆拌合机产生的粉尘经移动的布袋收尘器收集后回用于砂浆拌合，对周边环境影响较小。</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清淤恶臭对环境的影响</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白泥湖采用500m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 绞吸式挖泥船开挖，绞吸式挖泥船直接抽取上部淤泥用于白泥湖南堤填塘固基。范家坝湖和三汊港湖采用钻探式抽沙船进行施工，上部粘土层自然下沉，下层砾砂通过钻探式抽沙船可吸取，运至临时堆存场。</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恶臭主要产生于清淤过程。湖泊中含有有机物腐质的淤泥底泥，在受到扰动时，其中含有的恶臭物质将呈无组织状态释放，从而对周围环境产生较为不利的影响。另外，范家坝湖和三汊港湖</w:t>
            </w:r>
            <w:r>
              <w:rPr>
                <w:rFonts w:hint="eastAsia" w:ascii="Times New Roman" w:hAnsi="Times New Roman" w:eastAsia="宋体" w:cs="Times New Roman"/>
                <w:color w:val="auto"/>
                <w:sz w:val="24"/>
                <w:szCs w:val="24"/>
                <w:lang w:val="en-US" w:eastAsia="zh-CN"/>
              </w:rPr>
              <w:t>抽取的泥沙</w:t>
            </w:r>
            <w:r>
              <w:rPr>
                <w:rFonts w:hint="default" w:ascii="Times New Roman" w:hAnsi="Times New Roman" w:eastAsia="宋体" w:cs="Times New Roman"/>
                <w:color w:val="auto"/>
                <w:sz w:val="24"/>
                <w:szCs w:val="24"/>
              </w:rPr>
              <w:t>运输也将产生恶臭影响。</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1)恶臭强度等级</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恶臭强度是以臭味的嗅觉阈值为基准划分等级的，本报告恶臭评价参考日本恶臭强度分级进行评价，见表4-</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。限值标准一般相当于恶臭强度2.5~3.5级，超出该强度范围，即认为发生恶臭污染，需要采取防护措施。</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center"/>
              <w:textAlignment w:val="auto"/>
              <w:rPr>
                <w:rFonts w:hint="default" w:ascii="Times New Roman" w:hAnsi="Times New Roman" w:eastAsia="宋体" w:cs="Times New Roman"/>
                <w:color w:val="auto"/>
                <w:sz w:val="24"/>
                <w:szCs w:val="24"/>
              </w:rPr>
            </w:pPr>
          </w:p>
          <w:p>
            <w:pPr>
              <w:keepNext w:val="0"/>
              <w:keepLines w:val="0"/>
              <w:pageBreakBefore w:val="0"/>
              <w:kinsoku/>
              <w:wordWrap/>
              <w:overflowPunct/>
              <w:topLinePunct w:val="0"/>
              <w:autoSpaceDE/>
              <w:autoSpaceDN/>
              <w:bidi w:val="0"/>
              <w:adjustRightInd/>
              <w:snapToGrid/>
              <w:spacing w:line="360" w:lineRule="auto"/>
              <w:ind w:right="0" w:rightChars="0" w:firstLine="422" w:firstLineChars="200"/>
              <w:jc w:val="center"/>
              <w:textAlignment w:val="auto"/>
              <w:rPr>
                <w:rFonts w:hint="default" w:ascii="Times New Roman" w:hAnsi="Times New Roman" w:eastAsia="宋体" w:cs="Times New Roman"/>
                <w:color w:val="auto"/>
                <w:sz w:val="24"/>
                <w:szCs w:val="24"/>
              </w:rPr>
            </w:pPr>
            <w:r>
              <w:rPr>
                <w:rFonts w:ascii="Times New Roman" w:hAnsi="Times New Roman" w:cs="Times New Roman"/>
                <w:b/>
                <w:color w:val="auto"/>
                <w:szCs w:val="21"/>
              </w:rPr>
              <w:t>表4-</w:t>
            </w:r>
            <w:r>
              <w:rPr>
                <w:rFonts w:hint="eastAsia" w:ascii="Times New Roman" w:hAnsi="Times New Roman" w:cs="Times New Roman"/>
                <w:b/>
                <w:color w:val="auto"/>
                <w:szCs w:val="21"/>
                <w:lang w:val="en-US" w:eastAsia="zh-CN"/>
              </w:rPr>
              <w:t xml:space="preserve">4  </w:t>
            </w:r>
            <w:r>
              <w:rPr>
                <w:rFonts w:ascii="Times New Roman" w:hAnsi="Times New Roman" w:cs="Times New Roman"/>
                <w:b/>
                <w:color w:val="auto"/>
                <w:szCs w:val="21"/>
              </w:rPr>
              <w:t>恶臭强度分级一览表(日本环卫厅)</w:t>
            </w:r>
          </w:p>
          <w:tbl>
            <w:tblPr>
              <w:tblStyle w:val="75"/>
              <w:tblW w:w="4998"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256"/>
              <w:gridCol w:w="3082"/>
              <w:gridCol w:w="1203"/>
              <w:gridCol w:w="222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08" w:type="pct"/>
                  <w:tcBorders>
                    <w:tl2br w:val="nil"/>
                    <w:tr2bl w:val="nil"/>
                  </w:tcBorders>
                  <w:vAlign w:val="top"/>
                </w:tcPr>
                <w:p>
                  <w:pPr>
                    <w:spacing w:before="63" w:line="219" w:lineRule="auto"/>
                    <w:ind w:left="13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rPr>
                    <w:t>臭气强度</w:t>
                  </w:r>
                </w:p>
              </w:tc>
              <w:tc>
                <w:tcPr>
                  <w:tcW w:w="1983" w:type="pct"/>
                  <w:tcBorders>
                    <w:tl2br w:val="nil"/>
                    <w:tr2bl w:val="nil"/>
                  </w:tcBorders>
                  <w:vAlign w:val="top"/>
                </w:tcPr>
                <w:p>
                  <w:pPr>
                    <w:spacing w:before="64" w:line="220" w:lineRule="auto"/>
                    <w:ind w:left="822"/>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感觉强度描述</w:t>
                  </w:r>
                </w:p>
              </w:tc>
              <w:tc>
                <w:tcPr>
                  <w:tcW w:w="774" w:type="pct"/>
                  <w:tcBorders>
                    <w:tl2br w:val="nil"/>
                    <w:tr2bl w:val="nil"/>
                  </w:tcBorders>
                  <w:vAlign w:val="top"/>
                </w:tcPr>
                <w:p>
                  <w:pPr>
                    <w:spacing w:before="60" w:line="219" w:lineRule="auto"/>
                    <w:ind w:left="11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5"/>
                      <w:sz w:val="21"/>
                      <w:szCs w:val="21"/>
                    </w:rPr>
                    <w:t>臭气强度</w:t>
                  </w:r>
                </w:p>
              </w:tc>
              <w:tc>
                <w:tcPr>
                  <w:tcW w:w="1433" w:type="pct"/>
                  <w:tcBorders>
                    <w:tl2br w:val="nil"/>
                    <w:tr2bl w:val="nil"/>
                  </w:tcBorders>
                  <w:vAlign w:val="top"/>
                </w:tcPr>
                <w:p>
                  <w:pPr>
                    <w:spacing w:before="64" w:line="220" w:lineRule="auto"/>
                    <w:ind w:left="366"/>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感觉强度描述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08" w:type="pct"/>
                  <w:tcBorders>
                    <w:tl2br w:val="nil"/>
                    <w:tr2bl w:val="nil"/>
                  </w:tcBorders>
                  <w:vAlign w:val="top"/>
                </w:tcPr>
                <w:p>
                  <w:pPr>
                    <w:spacing w:before="113" w:line="173" w:lineRule="auto"/>
                    <w:ind w:left="53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0</w:t>
                  </w:r>
                </w:p>
              </w:tc>
              <w:tc>
                <w:tcPr>
                  <w:tcW w:w="1983" w:type="pct"/>
                  <w:tcBorders>
                    <w:tl2br w:val="nil"/>
                    <w:tr2bl w:val="nil"/>
                  </w:tcBorders>
                  <w:vAlign w:val="top"/>
                </w:tcPr>
                <w:p>
                  <w:pPr>
                    <w:spacing w:before="54" w:line="219" w:lineRule="auto"/>
                    <w:ind w:left="124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rPr>
                    <w:t>无臭</w:t>
                  </w:r>
                </w:p>
              </w:tc>
              <w:tc>
                <w:tcPr>
                  <w:tcW w:w="774" w:type="pct"/>
                  <w:tcBorders>
                    <w:tl2br w:val="nil"/>
                    <w:tr2bl w:val="nil"/>
                  </w:tcBorders>
                  <w:vAlign w:val="top"/>
                </w:tcPr>
                <w:p>
                  <w:pPr>
                    <w:spacing w:before="113" w:line="173" w:lineRule="auto"/>
                    <w:ind w:left="516"/>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w:t>
                  </w:r>
                </w:p>
              </w:tc>
              <w:tc>
                <w:tcPr>
                  <w:tcW w:w="1433" w:type="pct"/>
                  <w:tcBorders>
                    <w:tl2br w:val="nil"/>
                    <w:tr2bl w:val="nil"/>
                  </w:tcBorders>
                  <w:vAlign w:val="top"/>
                </w:tcPr>
                <w:p>
                  <w:pPr>
                    <w:spacing w:before="54" w:line="219" w:lineRule="auto"/>
                    <w:ind w:left="257"/>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2"/>
                      <w:sz w:val="21"/>
                      <w:szCs w:val="21"/>
                    </w:rPr>
                    <w:t>感觉到明显臭味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08" w:type="pct"/>
                  <w:tcBorders>
                    <w:tl2br w:val="nil"/>
                    <w:tr2bl w:val="nil"/>
                  </w:tcBorders>
                  <w:vAlign w:val="top"/>
                </w:tcPr>
                <w:p>
                  <w:pPr>
                    <w:spacing w:before="133" w:line="182" w:lineRule="auto"/>
                    <w:ind w:left="53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w:t>
                  </w:r>
                </w:p>
              </w:tc>
              <w:tc>
                <w:tcPr>
                  <w:tcW w:w="1983" w:type="pct"/>
                  <w:tcBorders>
                    <w:tl2br w:val="nil"/>
                    <w:tr2bl w:val="nil"/>
                  </w:tcBorders>
                  <w:vAlign w:val="top"/>
                </w:tcPr>
                <w:p>
                  <w:pPr>
                    <w:spacing w:before="75" w:line="219" w:lineRule="auto"/>
                    <w:ind w:left="10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rPr>
                    <w:t>稍微感觉到臭味(感知阈值)</w:t>
                  </w:r>
                </w:p>
              </w:tc>
              <w:tc>
                <w:tcPr>
                  <w:tcW w:w="774" w:type="pct"/>
                  <w:tcBorders>
                    <w:tl2br w:val="nil"/>
                    <w:tr2bl w:val="nil"/>
                  </w:tcBorders>
                  <w:vAlign w:val="top"/>
                </w:tcPr>
                <w:p>
                  <w:pPr>
                    <w:spacing w:before="134" w:line="181" w:lineRule="auto"/>
                    <w:ind w:left="516"/>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4</w:t>
                  </w:r>
                </w:p>
              </w:tc>
              <w:tc>
                <w:tcPr>
                  <w:tcW w:w="1433" w:type="pct"/>
                  <w:tcBorders>
                    <w:tl2br w:val="nil"/>
                    <w:tr2bl w:val="nil"/>
                  </w:tcBorders>
                  <w:vAlign w:val="top"/>
                </w:tcPr>
                <w:p>
                  <w:pPr>
                    <w:spacing w:before="75" w:line="219" w:lineRule="auto"/>
                    <w:ind w:left="826"/>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3"/>
                      <w:sz w:val="21"/>
                      <w:szCs w:val="21"/>
                    </w:rPr>
                    <w:t>恶臭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08" w:type="pct"/>
                  <w:tcBorders>
                    <w:tl2br w:val="nil"/>
                    <w:tr2bl w:val="nil"/>
                  </w:tcBorders>
                  <w:vAlign w:val="top"/>
                </w:tcPr>
                <w:p>
                  <w:pPr>
                    <w:spacing w:before="114" w:line="165" w:lineRule="auto"/>
                    <w:ind w:left="53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2</w:t>
                  </w:r>
                </w:p>
              </w:tc>
              <w:tc>
                <w:tcPr>
                  <w:tcW w:w="1983" w:type="pct"/>
                  <w:tcBorders>
                    <w:tl2br w:val="nil"/>
                    <w:tr2bl w:val="nil"/>
                  </w:tcBorders>
                  <w:vAlign w:val="top"/>
                </w:tcPr>
                <w:p>
                  <w:pPr>
                    <w:spacing w:before="44" w:line="228" w:lineRule="auto"/>
                    <w:ind w:left="101"/>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1"/>
                      <w:sz w:val="21"/>
                      <w:szCs w:val="21"/>
                    </w:rPr>
                    <w:t>能辨认是何种臭味(认知阈值)</w:t>
                  </w:r>
                </w:p>
              </w:tc>
              <w:tc>
                <w:tcPr>
                  <w:tcW w:w="774" w:type="pct"/>
                  <w:tcBorders>
                    <w:tl2br w:val="nil"/>
                    <w:tr2bl w:val="nil"/>
                  </w:tcBorders>
                  <w:vAlign w:val="top"/>
                </w:tcPr>
                <w:p>
                  <w:pPr>
                    <w:spacing w:before="116" w:line="163" w:lineRule="auto"/>
                    <w:ind w:left="516"/>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5</w:t>
                  </w:r>
                </w:p>
              </w:tc>
              <w:tc>
                <w:tcPr>
                  <w:tcW w:w="1433" w:type="pct"/>
                  <w:tcBorders>
                    <w:tl2br w:val="nil"/>
                    <w:tr2bl w:val="nil"/>
                  </w:tcBorders>
                  <w:vAlign w:val="top"/>
                </w:tcPr>
                <w:p>
                  <w:pPr>
                    <w:spacing w:before="54" w:line="213" w:lineRule="auto"/>
                    <w:ind w:left="486"/>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1"/>
                      <w:sz w:val="21"/>
                      <w:szCs w:val="21"/>
                    </w:rPr>
                    <w:t>强烈的恶臭</w:t>
                  </w:r>
                </w:p>
              </w:tc>
            </w:tr>
          </w:tbl>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2)恶臭影响分析</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白泥湖</w:t>
            </w:r>
            <w:r>
              <w:rPr>
                <w:rFonts w:hint="default" w:ascii="Times New Roman" w:hAnsi="Times New Roman" w:eastAsia="宋体" w:cs="Times New Roman"/>
                <w:color w:val="auto"/>
                <w:sz w:val="24"/>
                <w:szCs w:val="24"/>
              </w:rPr>
              <w:t>清淤主要采用绞吸式挖泥船进行清淤，主要选择在枯水期施工。淤泥通过密闭管道</w:t>
            </w:r>
            <w:r>
              <w:rPr>
                <w:rFonts w:hint="eastAsia" w:ascii="Times New Roman" w:hAnsi="Times New Roman" w:cs="Times New Roman"/>
                <w:color w:val="auto"/>
                <w:sz w:val="24"/>
                <w:szCs w:val="24"/>
                <w:lang w:val="en-US" w:eastAsia="zh-CN"/>
              </w:rPr>
              <w:t>直接</w:t>
            </w:r>
            <w:r>
              <w:rPr>
                <w:rFonts w:hint="default" w:ascii="Times New Roman" w:hAnsi="Times New Roman" w:eastAsia="宋体" w:cs="Times New Roman"/>
                <w:color w:val="auto"/>
                <w:sz w:val="24"/>
                <w:szCs w:val="24"/>
              </w:rPr>
              <w:t>用于白泥湖南堤填塘固基。由于清理淤泥的过程中会翻起沉积较久、含有有机腐殖物的污染底泥，在受到扰动或堆置到地面时，会以无组织的形式释放恶臭物质(主要是氨、硫化氢、挥发氢、挥发性醇以及醛)</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从而影响周围环境空气质量，砂石分离场、淤泥干化场也会散发淤泥恶臭。</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eastAsia" w:ascii="Times New Roman" w:hAnsi="Times New Roman" w:eastAsia="宋体" w:cs="Times New Roman"/>
                <w:color w:val="auto"/>
                <w:sz w:val="24"/>
                <w:szCs w:val="24"/>
                <w:lang w:val="en-US" w:eastAsia="zh-CN"/>
              </w:rPr>
              <w:t>白泥湖</w:t>
            </w:r>
            <w:r>
              <w:rPr>
                <w:rFonts w:hint="default" w:ascii="Times New Roman" w:hAnsi="Times New Roman" w:eastAsia="宋体" w:cs="Times New Roman"/>
                <w:color w:val="auto"/>
                <w:sz w:val="24"/>
                <w:szCs w:val="24"/>
              </w:rPr>
              <w:t>采用环保绞吸挖泥船进行清淤，可最大限度地降低清淤过程对底泥的扰动，从而降低对周围居民的影响。淤泥产生的恶臭浓度跟底泥含有的有机物质有很大关系，项目清淤主要成分是砂石，有机质较少，恶臭产生量相对较少。项目淤泥主要是砂石分离出来的，污泥产生的恶臭相对较小。且清淤均位于开阔地带，大气自然稀释效果好。项目清淤工程施工周期较短，且选择在10月~次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月，避开了高温天气，因而这种影响是暂时的，随着施工期的结束影响也随之消失。</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另外，范家坝湖和三汊港湖</w:t>
            </w:r>
            <w:r>
              <w:rPr>
                <w:rFonts w:hint="eastAsia" w:ascii="Times New Roman" w:hAnsi="Times New Roman" w:eastAsia="宋体" w:cs="Times New Roman"/>
                <w:color w:val="auto"/>
                <w:sz w:val="24"/>
                <w:szCs w:val="24"/>
                <w:lang w:val="en-US" w:eastAsia="zh-CN"/>
              </w:rPr>
              <w:t>抽取的泥沙</w:t>
            </w:r>
            <w:r>
              <w:rPr>
                <w:rFonts w:hint="default" w:ascii="Times New Roman" w:hAnsi="Times New Roman" w:eastAsia="宋体" w:cs="Times New Roman"/>
                <w:color w:val="auto"/>
                <w:sz w:val="24"/>
                <w:szCs w:val="24"/>
              </w:rPr>
              <w:t>运输过程中也会散发臭味，应合理安排运输时间，避开午休时间、夜间，尽量减小臭气对运输线路附近大气环境的影响。</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地表水环境影响分析</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（1）施工人员生活污水</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本项目施工劳动定员人数为40人/d，根据《湖南省地方标准-用水定额（DB43/T388-2020）》，施工人员用水量按145L/人·d计，排水系数按0.8计，则施工人员生活污水产生量为4.6t/d，主要污染物为COD、BOD</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、SS、氨氮，产生浓度分别为350mg/L、200mg/L、150mg/L、30mg/L，产生量分别为1.6kg/d、0.9kg/d、0.7kg/d、0.14kg/d，经租赁民房现有化粪池处理后用于周边农田旱地施肥，不外排。</w:t>
            </w:r>
          </w:p>
          <w:p>
            <w:pPr>
              <w:pStyle w:val="10"/>
              <w:pageBreakBefore w:val="0"/>
              <w:numPr>
                <w:ilvl w:val="5"/>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临时堆场</w:t>
            </w:r>
            <w:r>
              <w:rPr>
                <w:rFonts w:hint="default" w:ascii="Times New Roman" w:hAnsi="Times New Roman" w:eastAsia="宋体" w:cs="Times New Roman"/>
                <w:b w:val="0"/>
                <w:bCs w:val="0"/>
                <w:color w:val="auto"/>
                <w:sz w:val="24"/>
                <w:szCs w:val="24"/>
              </w:rPr>
              <w:t>余水</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rPr>
              <w:t>范家坝湖和三汊港湖</w:t>
            </w:r>
            <w:r>
              <w:rPr>
                <w:rFonts w:hint="eastAsia" w:ascii="Times New Roman" w:hAnsi="Times New Roman" w:eastAsia="宋体" w:cs="Times New Roman"/>
                <w:color w:val="auto"/>
                <w:sz w:val="24"/>
                <w:szCs w:val="24"/>
                <w:lang w:val="en-US" w:eastAsia="zh-CN"/>
              </w:rPr>
              <w:t>抽取的泥沙将转运至临时堆场，弃料在堆放过程中约80%水分会渗透至产生弃料余水，经多级沉淀池处理后满足《污水综合排放标准》(GB8978-1996）一级标准后，分别回补范家坝湖和三汊港湖</w:t>
            </w:r>
            <w:r>
              <w:rPr>
                <w:rFonts w:hint="default" w:ascii="Times New Roman" w:hAnsi="Times New Roman" w:eastAsia="宋体" w:cs="Times New Roman"/>
                <w:b w:val="0"/>
                <w:bCs w:val="0"/>
                <w:color w:val="auto"/>
                <w:sz w:val="24"/>
                <w:szCs w:val="24"/>
              </w:rPr>
              <w:t>。</w:t>
            </w:r>
          </w:p>
          <w:p>
            <w:pPr>
              <w:pStyle w:val="10"/>
              <w:pageBreakBefore w:val="0"/>
              <w:numPr>
                <w:ilvl w:val="5"/>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施工船舶污水</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水上作业的各类</w:t>
            </w:r>
            <w:r>
              <w:rPr>
                <w:rFonts w:hint="eastAsia" w:ascii="Times New Roman" w:hAnsi="Times New Roman" w:cs="Times New Roman"/>
                <w:b w:val="0"/>
                <w:bCs w:val="0"/>
                <w:color w:val="auto"/>
                <w:sz w:val="24"/>
                <w:szCs w:val="24"/>
                <w:lang w:val="en-US" w:eastAsia="zh-CN"/>
              </w:rPr>
              <w:t>船舶</w:t>
            </w:r>
            <w:r>
              <w:rPr>
                <w:rFonts w:hint="default" w:ascii="Times New Roman" w:hAnsi="Times New Roman" w:eastAsia="宋体" w:cs="Times New Roman"/>
                <w:b w:val="0"/>
                <w:bCs w:val="0"/>
                <w:color w:val="auto"/>
                <w:sz w:val="24"/>
                <w:szCs w:val="24"/>
              </w:rPr>
              <w:t>的船边沿应镶有一定高度的防护铁板沿边，防止船体甲板面的油污水溢流泄露漫流入河水中；</w:t>
            </w:r>
            <w:r>
              <w:rPr>
                <w:rFonts w:hint="eastAsia" w:ascii="Times New Roman" w:hAnsi="Times New Roman" w:cs="Times New Roman"/>
                <w:b w:val="0"/>
                <w:bCs w:val="0"/>
                <w:color w:val="auto"/>
                <w:sz w:val="24"/>
                <w:szCs w:val="24"/>
                <w:lang w:val="en-US" w:eastAsia="zh-CN"/>
              </w:rPr>
              <w:t>清淤</w:t>
            </w:r>
            <w:r>
              <w:rPr>
                <w:rFonts w:hint="default" w:ascii="Times New Roman" w:hAnsi="Times New Roman" w:eastAsia="宋体" w:cs="Times New Roman"/>
                <w:b w:val="0"/>
                <w:bCs w:val="0"/>
                <w:color w:val="auto"/>
                <w:sz w:val="24"/>
                <w:szCs w:val="24"/>
              </w:rPr>
              <w:t>作业拟采用</w:t>
            </w:r>
            <w:r>
              <w:rPr>
                <w:rFonts w:hint="eastAsia" w:ascii="Times New Roman" w:hAnsi="Times New Roman" w:cs="Times New Roman"/>
                <w:b w:val="0"/>
                <w:bCs w:val="0"/>
                <w:color w:val="auto"/>
                <w:sz w:val="24"/>
                <w:szCs w:val="24"/>
                <w:lang w:val="en-US" w:eastAsia="zh-CN"/>
              </w:rPr>
              <w:t>船只</w:t>
            </w:r>
            <w:r>
              <w:rPr>
                <w:rFonts w:hint="default" w:ascii="Times New Roman" w:hAnsi="Times New Roman" w:eastAsia="宋体" w:cs="Times New Roman"/>
                <w:b w:val="0"/>
                <w:bCs w:val="0"/>
                <w:color w:val="auto"/>
                <w:sz w:val="24"/>
                <w:szCs w:val="24"/>
              </w:rPr>
              <w:t>均应自带油水分离器，白泥湖、范家坝湖、三汊港湖含油污水经油水分离器处理后的浮油渣暂存于船舶自备的容器中，送油污水接收船或岸上的油污水接收单位接收处理；水上各类作业机械维修时，应拖到陆地上的固定区域进行维修，并做好油水、废水与其它固体废物的收集，并妥善处理，防止污染水体。</w:t>
            </w:r>
          </w:p>
          <w:p>
            <w:pPr>
              <w:pStyle w:val="10"/>
              <w:pageBreakBefore w:val="0"/>
              <w:numPr>
                <w:ilvl w:val="5"/>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rPr>
              <w:t>车辆冲洗废水</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rPr>
              <w:t>范家坝湖和三汊港湖</w:t>
            </w:r>
            <w:r>
              <w:rPr>
                <w:rFonts w:hint="eastAsia" w:ascii="Times New Roman" w:hAnsi="Times New Roman" w:eastAsia="宋体" w:cs="Times New Roman"/>
                <w:color w:val="auto"/>
                <w:sz w:val="24"/>
                <w:szCs w:val="24"/>
                <w:lang w:val="en-US" w:eastAsia="zh-CN"/>
              </w:rPr>
              <w:t>抽取的泥沙运至岸边后将由汽车转运至临时堆场，</w:t>
            </w:r>
            <w:r>
              <w:rPr>
                <w:rFonts w:hint="default" w:ascii="Times New Roman" w:hAnsi="Times New Roman" w:eastAsia="宋体" w:cs="Times New Roman"/>
                <w:b w:val="0"/>
                <w:bCs w:val="0"/>
                <w:color w:val="auto"/>
                <w:sz w:val="24"/>
                <w:szCs w:val="24"/>
              </w:rPr>
              <w:t>弃料外运均依托社会车队，其车辆维修保养利用当地机修厂的已有设施，均不在厂区进行。施工现场出入口需配备车辆冲洗设施，车辆冲洗废水主要污染物为SS。</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车辆冲洗废水经油水分离器处理后可循环使用于施工机械维护清洗，不外排。</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）施工机械冲洗废水</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eastAsia="宋体" w:cs="Times New Roman"/>
                <w:color w:val="auto"/>
                <w:sz w:val="24"/>
                <w:szCs w:val="24"/>
              </w:rPr>
              <w:t>本项目施工机械冲洗废水主要含SS，pH呈弱碱性，并带有少量油污。该部分废水pH值呈弱碱性，并带有少量油污，如任意排放将对区域水环境将造成一定影响；环评要求工地必须建有废水隔油沉淀池，施工机械冲洗废水经隔油池沉淀处理后回用洒水除尘。禁止将施工机械冲洗废水排入区域地表水域</w:t>
            </w:r>
            <w:r>
              <w:rPr>
                <w:rFonts w:hint="eastAsia" w:ascii="Times New Roman" w:hAnsi="Times New Roman" w:cs="Times New Roman"/>
                <w:color w:val="auto"/>
                <w:sz w:val="24"/>
                <w:szCs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6</w:t>
            </w: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对</w:t>
            </w:r>
            <w:r>
              <w:rPr>
                <w:rFonts w:hint="default" w:ascii="Times New Roman" w:hAnsi="Times New Roman" w:eastAsia="宋体" w:cs="Times New Roman"/>
                <w:b w:val="0"/>
                <w:bCs w:val="0"/>
                <w:color w:val="auto"/>
                <w:sz w:val="24"/>
                <w:szCs w:val="24"/>
                <w:u w:val="single"/>
                <w:lang w:eastAsia="zh-CN"/>
              </w:rPr>
              <w:t>内湖</w:t>
            </w:r>
            <w:r>
              <w:rPr>
                <w:rFonts w:hint="default" w:ascii="Times New Roman" w:hAnsi="Times New Roman" w:eastAsia="宋体" w:cs="Times New Roman"/>
                <w:b w:val="0"/>
                <w:bCs w:val="0"/>
                <w:color w:val="auto"/>
                <w:sz w:val="24"/>
                <w:szCs w:val="24"/>
                <w:u w:val="single"/>
              </w:rPr>
              <w:t>水质的影响</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lang w:val="en-US" w:eastAsia="zh-CN"/>
              </w:rPr>
            </w:pPr>
            <w:r>
              <w:rPr>
                <w:rFonts w:hint="default" w:ascii="Times New Roman" w:hAnsi="Times New Roman" w:eastAsia="宋体" w:cs="Times New Roman"/>
                <w:b w:val="0"/>
                <w:bCs w:val="0"/>
                <w:color w:val="auto"/>
                <w:sz w:val="24"/>
                <w:szCs w:val="24"/>
                <w:u w:val="single"/>
              </w:rPr>
              <w:t>①</w:t>
            </w:r>
            <w:r>
              <w:rPr>
                <w:rFonts w:hint="default" w:ascii="Times New Roman" w:hAnsi="Times New Roman" w:eastAsia="宋体" w:cs="Times New Roman"/>
                <w:b w:val="0"/>
                <w:bCs w:val="0"/>
                <w:color w:val="auto"/>
                <w:sz w:val="24"/>
                <w:szCs w:val="24"/>
                <w:u w:val="single"/>
                <w:lang w:val="en-US" w:eastAsia="zh-CN"/>
              </w:rPr>
              <w:t>对SS的影响</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作业将引起局部水体的悬浮物浓度增加，影响水体的感观性状，</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废水主要来自</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过程中砂水混合物一同</w:t>
            </w:r>
            <w:r>
              <w:rPr>
                <w:rFonts w:hint="eastAsia" w:ascii="Times New Roman" w:hAnsi="Times New Roman" w:eastAsia="宋体" w:cs="Times New Roman"/>
                <w:b w:val="0"/>
                <w:bCs w:val="0"/>
                <w:color w:val="auto"/>
                <w:sz w:val="24"/>
                <w:szCs w:val="24"/>
                <w:u w:val="single"/>
                <w:lang w:val="en-US" w:eastAsia="zh-CN"/>
              </w:rPr>
              <w:t>抽取</w:t>
            </w:r>
            <w:r>
              <w:rPr>
                <w:rFonts w:hint="default" w:ascii="Times New Roman" w:hAnsi="Times New Roman" w:eastAsia="宋体" w:cs="Times New Roman"/>
                <w:b w:val="0"/>
                <w:bCs w:val="0"/>
                <w:color w:val="auto"/>
                <w:sz w:val="24"/>
                <w:szCs w:val="24"/>
                <w:u w:val="single"/>
              </w:rPr>
              <w:t>上来自然分离后形成的浑浊水，</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机械搅动底质，破坏河床，导致附近水域水体悬浮物（SS）急剧增加。悬浮物扩散将导致水体透明度下降、水体浑浊、水质恶化等不良后果。</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default" w:ascii="Times New Roman" w:hAnsi="Times New Roman" w:eastAsia="宋体" w:cs="Times New Roman"/>
                <w:b w:val="0"/>
                <w:bCs w:val="0"/>
                <w:color w:val="auto"/>
                <w:sz w:val="24"/>
                <w:szCs w:val="24"/>
                <w:u w:val="single"/>
              </w:rPr>
              <w:t>各内湖主要功能为防洪排涝，</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过程中对水质会产生一定的影响，</w:t>
            </w:r>
            <w:r>
              <w:rPr>
                <w:rFonts w:hint="default" w:ascii="Times New Roman" w:hAnsi="Times New Roman" w:eastAsia="宋体" w:cs="Times New Roman"/>
                <w:b w:val="0"/>
                <w:bCs w:val="0"/>
                <w:color w:val="auto"/>
                <w:sz w:val="24"/>
                <w:szCs w:val="24"/>
                <w:u w:val="single"/>
                <w:lang w:eastAsia="zh-CN"/>
              </w:rPr>
              <w:t>但</w:t>
            </w:r>
            <w:r>
              <w:rPr>
                <w:rFonts w:hint="default" w:ascii="Times New Roman" w:hAnsi="Times New Roman" w:eastAsia="宋体" w:cs="Times New Roman"/>
                <w:b w:val="0"/>
                <w:bCs w:val="0"/>
                <w:color w:val="auto"/>
                <w:sz w:val="24"/>
                <w:szCs w:val="24"/>
                <w:u w:val="single"/>
              </w:rPr>
              <w:t>水体流动性较小，SS的影响只集中在</w:t>
            </w:r>
            <w:r>
              <w:rPr>
                <w:rFonts w:hint="eastAsia" w:ascii="Times New Roman" w:hAnsi="Times New Roman" w:eastAsia="宋体" w:cs="Times New Roman"/>
                <w:b w:val="0"/>
                <w:bCs w:val="0"/>
                <w:color w:val="auto"/>
                <w:sz w:val="24"/>
                <w:szCs w:val="24"/>
                <w:u w:val="single"/>
                <w:lang w:val="en-US" w:eastAsia="zh-CN"/>
              </w:rPr>
              <w:t>施工</w:t>
            </w:r>
            <w:r>
              <w:rPr>
                <w:rFonts w:hint="default" w:ascii="Times New Roman" w:hAnsi="Times New Roman" w:eastAsia="宋体" w:cs="Times New Roman"/>
                <w:b w:val="0"/>
                <w:bCs w:val="0"/>
                <w:color w:val="auto"/>
                <w:sz w:val="24"/>
                <w:szCs w:val="24"/>
                <w:u w:val="single"/>
              </w:rPr>
              <w:t>区域，悬浮物沉降较快，</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作业停止2小时后，SS超标情况便可恢复到工作前的状态。</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eastAsia" w:ascii="Times New Roman" w:hAnsi="Times New Roman" w:eastAsia="宋体" w:cs="Times New Roman"/>
                <w:b w:val="0"/>
                <w:bCs w:val="0"/>
                <w:color w:val="auto"/>
                <w:sz w:val="24"/>
                <w:szCs w:val="24"/>
                <w:u w:val="single"/>
                <w:lang w:val="en-US" w:eastAsia="zh-CN"/>
              </w:rPr>
              <w:t>本项目清淤</w:t>
            </w:r>
            <w:r>
              <w:rPr>
                <w:rFonts w:hint="default" w:ascii="Times New Roman" w:hAnsi="Times New Roman" w:eastAsia="宋体" w:cs="Times New Roman"/>
                <w:b w:val="0"/>
                <w:bCs w:val="0"/>
                <w:color w:val="auto"/>
                <w:sz w:val="24"/>
                <w:szCs w:val="24"/>
                <w:u w:val="single"/>
              </w:rPr>
              <w:t>过程分片区进行，</w:t>
            </w:r>
            <w:r>
              <w:rPr>
                <w:rFonts w:hint="eastAsia" w:ascii="Times New Roman" w:hAnsi="Times New Roman" w:eastAsia="宋体" w:cs="Times New Roman"/>
                <w:b w:val="0"/>
                <w:bCs w:val="0"/>
                <w:color w:val="auto"/>
                <w:sz w:val="24"/>
                <w:szCs w:val="24"/>
                <w:u w:val="single"/>
                <w:lang w:val="en-US" w:eastAsia="zh-CN"/>
              </w:rPr>
              <w:t>可</w:t>
            </w:r>
            <w:r>
              <w:rPr>
                <w:rFonts w:hint="default" w:ascii="Times New Roman" w:hAnsi="Times New Roman" w:eastAsia="宋体" w:cs="Times New Roman"/>
                <w:b w:val="0"/>
                <w:bCs w:val="0"/>
                <w:color w:val="auto"/>
                <w:sz w:val="24"/>
                <w:szCs w:val="24"/>
                <w:u w:val="single"/>
              </w:rPr>
              <w:t>减少湖内短期内SS浓度大幅度增加。</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default" w:ascii="Times New Roman" w:hAnsi="Times New Roman" w:eastAsia="宋体" w:cs="Times New Roman"/>
                <w:b w:val="0"/>
                <w:bCs w:val="0"/>
                <w:color w:val="auto"/>
                <w:sz w:val="24"/>
                <w:szCs w:val="24"/>
                <w:u w:val="single"/>
              </w:rPr>
              <w:t>②对水体中重金属浓度变化的影响</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过程中底泥被搅动，使沉积在底泥中的有机污染物、重金属再悬浮于水相中有可能引起水质污染。根据规划区</w:t>
            </w:r>
            <w:r>
              <w:rPr>
                <w:rFonts w:hint="eastAsia" w:ascii="Times New Roman" w:hAnsi="Times New Roman" w:eastAsia="宋体" w:cs="Times New Roman"/>
                <w:b w:val="0"/>
                <w:bCs w:val="0"/>
                <w:color w:val="auto"/>
                <w:sz w:val="24"/>
                <w:szCs w:val="24"/>
                <w:u w:val="single"/>
                <w:lang w:eastAsia="zh-CN"/>
              </w:rPr>
              <w:t>内湖</w:t>
            </w:r>
            <w:r>
              <w:rPr>
                <w:rFonts w:hint="default" w:ascii="Times New Roman" w:hAnsi="Times New Roman" w:eastAsia="宋体" w:cs="Times New Roman"/>
                <w:b w:val="0"/>
                <w:bCs w:val="0"/>
                <w:color w:val="auto"/>
                <w:sz w:val="24"/>
                <w:szCs w:val="24"/>
                <w:u w:val="single"/>
              </w:rPr>
              <w:t>水质与底泥现状监测结果，规划区域</w:t>
            </w:r>
            <w:r>
              <w:rPr>
                <w:rFonts w:hint="default" w:ascii="Times New Roman" w:hAnsi="Times New Roman" w:eastAsia="宋体" w:cs="Times New Roman"/>
                <w:b w:val="0"/>
                <w:bCs w:val="0"/>
                <w:color w:val="auto"/>
                <w:sz w:val="24"/>
                <w:szCs w:val="24"/>
                <w:u w:val="single"/>
                <w:lang w:eastAsia="zh-CN"/>
              </w:rPr>
              <w:t>白泥湖、范家坝、三汊港南湖</w:t>
            </w:r>
            <w:r>
              <w:rPr>
                <w:rFonts w:hint="default" w:ascii="Times New Roman" w:hAnsi="Times New Roman" w:eastAsia="宋体" w:cs="Times New Roman"/>
                <w:b w:val="0"/>
                <w:bCs w:val="0"/>
                <w:color w:val="auto"/>
                <w:sz w:val="24"/>
                <w:szCs w:val="24"/>
                <w:u w:val="single"/>
              </w:rPr>
              <w:t>水体中重金属监测值</w:t>
            </w:r>
            <w:r>
              <w:rPr>
                <w:rFonts w:hint="eastAsia" w:ascii="Times New Roman" w:hAnsi="Times New Roman" w:eastAsia="宋体" w:cs="Times New Roman"/>
                <w:b w:val="0"/>
                <w:bCs w:val="0"/>
                <w:color w:val="auto"/>
                <w:sz w:val="24"/>
                <w:szCs w:val="24"/>
                <w:u w:val="single"/>
                <w:lang w:eastAsia="zh-CN"/>
              </w:rPr>
              <w:t>均</w:t>
            </w:r>
            <w:r>
              <w:rPr>
                <w:rFonts w:hint="default" w:ascii="Times New Roman" w:hAnsi="Times New Roman" w:eastAsia="宋体" w:cs="Times New Roman"/>
                <w:b w:val="0"/>
                <w:bCs w:val="0"/>
                <w:color w:val="auto"/>
                <w:sz w:val="24"/>
                <w:szCs w:val="24"/>
                <w:u w:val="single"/>
                <w:lang w:eastAsia="zh-CN"/>
              </w:rPr>
              <w:t>能</w:t>
            </w:r>
            <w:r>
              <w:rPr>
                <w:rFonts w:hint="default" w:ascii="Times New Roman" w:hAnsi="Times New Roman" w:eastAsia="宋体" w:cs="Times New Roman"/>
                <w:b w:val="0"/>
                <w:bCs w:val="0"/>
                <w:color w:val="auto"/>
                <w:sz w:val="24"/>
                <w:szCs w:val="24"/>
                <w:u w:val="single"/>
              </w:rPr>
              <w:t>满足相应标准要求。</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single"/>
              </w:rPr>
            </w:pPr>
            <w:r>
              <w:rPr>
                <w:rFonts w:hint="default" w:ascii="Times New Roman" w:hAnsi="Times New Roman" w:eastAsia="宋体" w:cs="Times New Roman"/>
                <w:b w:val="0"/>
                <w:bCs w:val="0"/>
                <w:color w:val="auto"/>
                <w:sz w:val="24"/>
                <w:szCs w:val="24"/>
                <w:u w:val="single"/>
              </w:rPr>
              <w:t>本</w:t>
            </w:r>
            <w:r>
              <w:rPr>
                <w:rFonts w:hint="eastAsia" w:ascii="Times New Roman" w:hAnsi="Times New Roman" w:eastAsia="宋体" w:cs="Times New Roman"/>
                <w:b w:val="0"/>
                <w:bCs w:val="0"/>
                <w:color w:val="auto"/>
                <w:sz w:val="24"/>
                <w:szCs w:val="24"/>
                <w:u w:val="single"/>
                <w:lang w:val="en-US" w:eastAsia="zh-CN"/>
              </w:rPr>
              <w:t>项目</w:t>
            </w:r>
            <w:r>
              <w:rPr>
                <w:rFonts w:hint="default" w:ascii="Times New Roman" w:hAnsi="Times New Roman" w:eastAsia="宋体" w:cs="Times New Roman"/>
                <w:b w:val="0"/>
                <w:bCs w:val="0"/>
                <w:color w:val="auto"/>
                <w:sz w:val="24"/>
                <w:szCs w:val="24"/>
                <w:u w:val="single"/>
              </w:rPr>
              <w:t>利用</w:t>
            </w:r>
            <w:r>
              <w:rPr>
                <w:rFonts w:hint="eastAsia" w:ascii="Times New Roman" w:hAnsi="Times New Roman" w:eastAsia="宋体" w:cs="Times New Roman"/>
                <w:b w:val="0"/>
                <w:bCs w:val="0"/>
                <w:color w:val="auto"/>
                <w:sz w:val="24"/>
                <w:szCs w:val="24"/>
                <w:u w:val="single"/>
                <w:lang w:val="en-US" w:eastAsia="zh-CN"/>
              </w:rPr>
              <w:t>抽泥</w:t>
            </w:r>
            <w:r>
              <w:rPr>
                <w:rFonts w:hint="default" w:ascii="Times New Roman" w:hAnsi="Times New Roman" w:eastAsia="宋体" w:cs="Times New Roman"/>
                <w:b w:val="0"/>
                <w:bCs w:val="0"/>
                <w:color w:val="auto"/>
                <w:sz w:val="24"/>
                <w:szCs w:val="24"/>
                <w:u w:val="single"/>
                <w:lang w:eastAsia="zh-CN"/>
              </w:rPr>
              <w:t>船</w:t>
            </w:r>
            <w:r>
              <w:rPr>
                <w:rFonts w:hint="default" w:ascii="Times New Roman" w:hAnsi="Times New Roman" w:eastAsia="宋体" w:cs="Times New Roman"/>
                <w:b w:val="0"/>
                <w:bCs w:val="0"/>
                <w:color w:val="auto"/>
                <w:sz w:val="24"/>
                <w:szCs w:val="24"/>
                <w:u w:val="single"/>
              </w:rPr>
              <w:t>在</w:t>
            </w:r>
            <w:r>
              <w:rPr>
                <w:rFonts w:hint="default" w:ascii="Times New Roman" w:hAnsi="Times New Roman" w:eastAsia="宋体" w:cs="Times New Roman"/>
                <w:b w:val="0"/>
                <w:bCs w:val="0"/>
                <w:color w:val="auto"/>
                <w:sz w:val="24"/>
                <w:szCs w:val="24"/>
                <w:u w:val="single"/>
                <w:lang w:eastAsia="zh-CN"/>
              </w:rPr>
              <w:t>内湖</w:t>
            </w:r>
            <w:r>
              <w:rPr>
                <w:rFonts w:hint="default" w:ascii="Times New Roman" w:hAnsi="Times New Roman" w:eastAsia="宋体" w:cs="Times New Roman"/>
                <w:b w:val="0"/>
                <w:bCs w:val="0"/>
                <w:color w:val="auto"/>
                <w:sz w:val="24"/>
                <w:szCs w:val="24"/>
                <w:u w:val="single"/>
              </w:rPr>
              <w:t>底部挖掘底泥，挖掘和抽</w:t>
            </w:r>
            <w:r>
              <w:rPr>
                <w:rFonts w:hint="eastAsia" w:ascii="Times New Roman" w:hAnsi="Times New Roman" w:eastAsia="宋体" w:cs="Times New Roman"/>
                <w:b w:val="0"/>
                <w:bCs w:val="0"/>
                <w:color w:val="auto"/>
                <w:sz w:val="24"/>
                <w:szCs w:val="24"/>
                <w:u w:val="single"/>
                <w:lang w:eastAsia="zh-CN"/>
              </w:rPr>
              <w:t>吸</w:t>
            </w:r>
            <w:r>
              <w:rPr>
                <w:rFonts w:hint="default" w:ascii="Times New Roman" w:hAnsi="Times New Roman" w:eastAsia="宋体" w:cs="Times New Roman"/>
                <w:b w:val="0"/>
                <w:bCs w:val="0"/>
                <w:color w:val="auto"/>
                <w:sz w:val="24"/>
                <w:szCs w:val="24"/>
                <w:u w:val="single"/>
              </w:rPr>
              <w:t>过程中会搅动</w:t>
            </w:r>
            <w:r>
              <w:rPr>
                <w:rFonts w:hint="eastAsia" w:ascii="Times New Roman" w:hAnsi="Times New Roman" w:eastAsia="宋体" w:cs="Times New Roman"/>
                <w:b w:val="0"/>
                <w:bCs w:val="0"/>
                <w:color w:val="auto"/>
                <w:sz w:val="24"/>
                <w:szCs w:val="24"/>
                <w:u w:val="single"/>
                <w:lang w:eastAsia="zh-CN"/>
              </w:rPr>
              <w:t>内湖</w:t>
            </w:r>
            <w:r>
              <w:rPr>
                <w:rFonts w:hint="default" w:ascii="Times New Roman" w:hAnsi="Times New Roman" w:eastAsia="宋体" w:cs="Times New Roman"/>
                <w:b w:val="0"/>
                <w:bCs w:val="0"/>
                <w:color w:val="auto"/>
                <w:sz w:val="24"/>
                <w:szCs w:val="24"/>
                <w:u w:val="single"/>
              </w:rPr>
              <w:t>中的部分底泥，使其中的污染物散发，对水质产生影响。根据底泥重金属形态及迁移转化的相关研究成果，水体中重金属污染物经絮凝沉降作用，随泥沙一起沉积在河床中，底泥重金属形态一般以硫化物结合态为主，含量最高，约占75%，腐殖质结合态和硝酸盐结合态的含量约为8~10%，盐酸盐物质结合态约占10%，水溶性物质为可给态，含量约为5%。结合态要转化为毒性最大的离子态需要一定的条件，这些条件就是水体的pH、温度、重金属的原始浓度等。区域多年平均温度为23.8℃，pH为6~7，这些条件有利于悬浮物絮凝、聚合、络合等物理化学过程的进行，使重金属进入底泥。同时，根据污染源调查，本规划</w:t>
            </w:r>
            <w:r>
              <w:rPr>
                <w:rFonts w:hint="eastAsia" w:ascii="Times New Roman" w:hAnsi="Times New Roman" w:eastAsia="宋体" w:cs="Times New Roman"/>
                <w:b w:val="0"/>
                <w:bCs w:val="0"/>
                <w:color w:val="auto"/>
                <w:sz w:val="24"/>
                <w:szCs w:val="24"/>
                <w:u w:val="single"/>
                <w:lang w:val="en-US" w:eastAsia="zh-CN"/>
              </w:rPr>
              <w:t>范围内</w:t>
            </w:r>
            <w:r>
              <w:rPr>
                <w:rFonts w:hint="default" w:ascii="Times New Roman" w:hAnsi="Times New Roman" w:eastAsia="宋体" w:cs="Times New Roman"/>
                <w:b w:val="0"/>
                <w:bCs w:val="0"/>
                <w:color w:val="auto"/>
                <w:sz w:val="24"/>
                <w:szCs w:val="24"/>
                <w:u w:val="single"/>
              </w:rPr>
              <w:t>均无排酸性废水的重大污染源，</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作业也不产生酸性废水，作业搅动底泥，产生底泥再悬浮于水体中的现象，由于作业不产生酸性废水，同时水体中pH值正常，再悬浮于水体中的重金属形态不会发生新的改变。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 w:val="0"/>
                <w:bCs w:val="0"/>
                <w:color w:val="auto"/>
                <w:sz w:val="24"/>
                <w:szCs w:val="24"/>
                <w:u w:val="single"/>
              </w:rPr>
              <w:t>因此，</w:t>
            </w:r>
            <w:r>
              <w:rPr>
                <w:rFonts w:hint="eastAsia" w:ascii="Times New Roman" w:hAnsi="Times New Roman" w:eastAsia="宋体" w:cs="Times New Roman"/>
                <w:b w:val="0"/>
                <w:bCs w:val="0"/>
                <w:color w:val="auto"/>
                <w:sz w:val="24"/>
                <w:szCs w:val="24"/>
                <w:u w:val="single"/>
                <w:lang w:val="en-US" w:eastAsia="zh-CN"/>
              </w:rPr>
              <w:t>清淤</w:t>
            </w:r>
            <w:r>
              <w:rPr>
                <w:rFonts w:hint="default" w:ascii="Times New Roman" w:hAnsi="Times New Roman" w:eastAsia="宋体" w:cs="Times New Roman"/>
                <w:b w:val="0"/>
                <w:bCs w:val="0"/>
                <w:color w:val="auto"/>
                <w:sz w:val="24"/>
                <w:szCs w:val="24"/>
                <w:u w:val="single"/>
              </w:rPr>
              <w:t>作业除增加作业区局部水域水体中悬浮物浓度外，也可能造成重金属的二次污染</w:t>
            </w:r>
            <w:r>
              <w:rPr>
                <w:rFonts w:hint="default" w:ascii="Times New Roman" w:hAnsi="Times New Roman" w:eastAsia="宋体" w:cs="Times New Roman"/>
                <w:b w:val="0"/>
                <w:bCs w:val="0"/>
                <w:color w:val="auto"/>
                <w:sz w:val="24"/>
                <w:szCs w:val="24"/>
                <w:u w:val="single"/>
                <w:lang w:eastAsia="zh-CN"/>
              </w:rPr>
              <w:t>，随着开采的结束，对内湖的影响也越来越小</w:t>
            </w:r>
            <w:r>
              <w:rPr>
                <w:rFonts w:hint="default" w:ascii="Times New Roman" w:hAnsi="Times New Roman" w:eastAsia="宋体" w:cs="Times New Roman"/>
                <w:b w:val="0"/>
                <w:bCs w:val="0"/>
                <w:color w:val="auto"/>
                <w:sz w:val="24"/>
                <w:szCs w:val="24"/>
                <w:u w:val="single"/>
              </w:rPr>
              <w:t>。</w:t>
            </w:r>
          </w:p>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声环境影响分析</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本项目施工期噪声主要为各施工机械设备产生的机械噪声，车辆运输过程产生的交通噪声，各施工阶段的主要噪声源及其声级见表</w:t>
            </w:r>
            <w:r>
              <w:rPr>
                <w:rFonts w:hint="eastAsia" w:ascii="Times New Roman" w:hAnsi="Times New Roman" w:eastAsia="宋体" w:cs="Times New Roman"/>
                <w:color w:val="auto"/>
                <w:sz w:val="24"/>
                <w:szCs w:val="24"/>
                <w:lang w:val="en-US" w:eastAsia="zh-CN"/>
              </w:rPr>
              <w:t>4-</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rPr>
              <w:t>。</w:t>
            </w:r>
          </w:p>
          <w:p>
            <w:pPr>
              <w:keepNext w:val="0"/>
              <w:keepLines w:val="0"/>
              <w:pageBreakBefore w:val="0"/>
              <w:kinsoku/>
              <w:wordWrap/>
              <w:overflowPunct/>
              <w:topLinePunct w:val="0"/>
              <w:autoSpaceDE/>
              <w:autoSpaceDN/>
              <w:bidi w:val="0"/>
              <w:adjustRightInd/>
              <w:snapToGrid/>
              <w:spacing w:line="360" w:lineRule="auto"/>
              <w:ind w:right="0" w:rightChars="0" w:firstLine="422" w:firstLineChars="200"/>
              <w:jc w:val="center"/>
              <w:textAlignment w:val="auto"/>
              <w:rPr>
                <w:rFonts w:ascii="Times New Roman" w:hAnsi="Times New Roman" w:cs="Times New Roman"/>
                <w:b/>
                <w:color w:val="auto"/>
                <w:szCs w:val="21"/>
              </w:rPr>
            </w:pPr>
            <w:r>
              <w:rPr>
                <w:rFonts w:ascii="Times New Roman" w:hAnsi="Times New Roman" w:cs="Times New Roman"/>
                <w:b/>
                <w:color w:val="auto"/>
                <w:szCs w:val="21"/>
              </w:rPr>
              <w:t>表</w:t>
            </w:r>
            <w:r>
              <w:rPr>
                <w:rFonts w:hint="eastAsia" w:ascii="Times New Roman" w:hAnsi="Times New Roman" w:cs="Times New Roman"/>
                <w:b/>
                <w:color w:val="auto"/>
                <w:szCs w:val="21"/>
                <w:lang w:val="en-US" w:eastAsia="zh-CN"/>
              </w:rPr>
              <w:t xml:space="preserve">4-5  </w:t>
            </w:r>
            <w:r>
              <w:rPr>
                <w:rFonts w:ascii="Times New Roman" w:hAnsi="Times New Roman" w:cs="Times New Roman"/>
                <w:b/>
                <w:color w:val="auto"/>
                <w:szCs w:val="21"/>
              </w:rPr>
              <w:t>各施工阶段主要噪声源</w:t>
            </w:r>
          </w:p>
          <w:tbl>
            <w:tblPr>
              <w:tblStyle w:val="25"/>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86"/>
              <w:gridCol w:w="38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主要噪声源</w:t>
                  </w:r>
                </w:p>
              </w:tc>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噪声级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推土机</w:t>
                  </w:r>
                </w:p>
              </w:tc>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75-85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挖掘机</w:t>
                  </w:r>
                </w:p>
              </w:tc>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75-85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装载机</w:t>
                  </w:r>
                </w:p>
              </w:tc>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75-80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卡车</w:t>
                  </w:r>
                </w:p>
              </w:tc>
              <w:tc>
                <w:tcPr>
                  <w:tcW w:w="2500" w:type="pct"/>
                  <w:tcBorders>
                    <w:tl2br w:val="nil"/>
                    <w:tr2bl w:val="nil"/>
                  </w:tcBorders>
                  <w:vAlign w:val="center"/>
                </w:tcPr>
                <w:p>
                  <w:pPr>
                    <w:jc w:val="center"/>
                    <w:rPr>
                      <w:rFonts w:ascii="Times New Roman" w:hAnsi="Times New Roman"/>
                      <w:color w:val="auto"/>
                      <w:szCs w:val="21"/>
                    </w:rPr>
                  </w:pPr>
                  <w:r>
                    <w:rPr>
                      <w:rFonts w:ascii="Times New Roman" w:hAnsi="Times New Roman"/>
                      <w:color w:val="auto"/>
                      <w:szCs w:val="21"/>
                    </w:rPr>
                    <w:t>65-70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500" w:type="pct"/>
                  <w:tcBorders>
                    <w:tl2br w:val="nil"/>
                    <w:tr2bl w:val="nil"/>
                  </w:tcBorders>
                  <w:vAlign w:val="center"/>
                </w:tcPr>
                <w:p>
                  <w:pPr>
                    <w:jc w:val="center"/>
                    <w:rPr>
                      <w:rFonts w:ascii="Times New Roman" w:hAnsi="Times New Roman"/>
                      <w:color w:val="auto"/>
                      <w:szCs w:val="21"/>
                    </w:rPr>
                  </w:pPr>
                  <w:r>
                    <w:rPr>
                      <w:rFonts w:hint="eastAsia" w:ascii="Times New Roman" w:hAnsi="Times New Roman"/>
                      <w:color w:val="auto"/>
                      <w:szCs w:val="21"/>
                      <w:lang w:val="en-US" w:eastAsia="zh-CN"/>
                    </w:rPr>
                    <w:t>挖泥</w:t>
                  </w:r>
                  <w:r>
                    <w:rPr>
                      <w:rFonts w:ascii="Times New Roman" w:hAnsi="Times New Roman"/>
                      <w:color w:val="auto"/>
                      <w:szCs w:val="21"/>
                    </w:rPr>
                    <w:t>船</w:t>
                  </w:r>
                </w:p>
              </w:tc>
              <w:tc>
                <w:tcPr>
                  <w:tcW w:w="2500" w:type="pct"/>
                  <w:tcBorders>
                    <w:tl2br w:val="nil"/>
                    <w:tr2bl w:val="nil"/>
                  </w:tcBorders>
                  <w:vAlign w:val="center"/>
                </w:tcPr>
                <w:p>
                  <w:pPr>
                    <w:jc w:val="center"/>
                    <w:rPr>
                      <w:rFonts w:hint="default" w:ascii="Times New Roman" w:hAnsi="Times New Roman" w:eastAsia="宋体"/>
                      <w:color w:val="auto"/>
                      <w:szCs w:val="21"/>
                      <w:lang w:val="en-US" w:eastAsia="zh-CN"/>
                    </w:rPr>
                  </w:pPr>
                  <w:r>
                    <w:rPr>
                      <w:rFonts w:ascii="Times New Roman" w:hAnsi="Times New Roman"/>
                      <w:color w:val="auto"/>
                      <w:szCs w:val="21"/>
                    </w:rPr>
                    <w:t>75-</w:t>
                  </w:r>
                  <w:r>
                    <w:rPr>
                      <w:rFonts w:hint="eastAsia" w:ascii="Times New Roman" w:hAnsi="Times New Roman"/>
                      <w:color w:val="auto"/>
                      <w:szCs w:val="21"/>
                      <w:lang w:val="en-US" w:eastAsia="zh-CN"/>
                    </w:rPr>
                    <w:t>85</w:t>
                  </w:r>
                </w:p>
              </w:tc>
            </w:tr>
          </w:tbl>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间的噪声主要来自施工机械和运输车辆的噪声，施工期噪声具有阶段性、临时性和不固定性的特征。施工期噪声的影响随着工程不同施工阶段，以及使用不同的施工机械而有所不同。施工期间最大噪声主要来源于土石方阶段阶段的推土机、挖掘机、卡车等。在多台机械设施同时施工时，叠加后增加值一般不超过5dB（A）。</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根据施工机械的声源强度以及点源模式，可以计算出噪声声级随距离变化的衰减值，计算公式如下：</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0" distR="0">
                  <wp:extent cx="2158365" cy="266065"/>
                  <wp:effectExtent l="19050" t="0" r="0" b="0"/>
                  <wp:docPr id="17"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64"/>
                          <pic:cNvPicPr>
                            <a:picLocks noChangeAspect="1" noChangeArrowheads="1"/>
                          </pic:cNvPicPr>
                        </pic:nvPicPr>
                        <pic:blipFill>
                          <a:blip r:embed="rId11" cstate="print"/>
                          <a:srcRect/>
                          <a:stretch>
                            <a:fillRect/>
                          </a:stretch>
                        </pic:blipFill>
                        <pic:spPr>
                          <a:xfrm>
                            <a:off x="0" y="0"/>
                            <a:ext cx="2158365" cy="26606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式中：Lp(r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)——受声点声压级，dB（A）；</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L(r0)——参考点r0处声压级，dB（A）；</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r0——受声点至声源距离，m；</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r——参考点至声源距离，m</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采用上述模式，通过计算可得不同施工阶段不同类型施工机械在不同距离处的噪声预测值，昼间施工设备产生的噪声主要对施工工地50m范围内声环境敏感目标</w:t>
            </w:r>
            <w:r>
              <w:rPr>
                <w:rFonts w:hint="eastAsia" w:ascii="Times New Roman" w:hAnsi="Times New Roman" w:eastAsia="宋体" w:cs="Times New Roman"/>
                <w:color w:val="auto"/>
                <w:sz w:val="24"/>
                <w:szCs w:val="24"/>
                <w:lang w:val="en-US" w:eastAsia="zh-CN"/>
              </w:rPr>
              <w:t>有影响</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固废影响分析</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1</w:t>
            </w:r>
            <w:r>
              <w:rPr>
                <w:rFonts w:hint="eastAsia"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施工人员生活垃圾</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本项目施工期施工人员为40人，</w:t>
            </w:r>
            <w:r>
              <w:rPr>
                <w:rFonts w:hint="eastAsia" w:ascii="Times New Roman" w:hAnsi="Times New Roman" w:cs="Times New Roman"/>
                <w:color w:val="auto"/>
                <w:sz w:val="24"/>
                <w:szCs w:val="24"/>
                <w:u w:val="single"/>
                <w:lang w:val="en-US" w:eastAsia="zh-CN"/>
              </w:rPr>
              <w:t>按照0.5kg/人·d计，施工期生活垃圾共计14.4t。</w:t>
            </w:r>
            <w:r>
              <w:rPr>
                <w:rFonts w:hint="default" w:ascii="Times New Roman" w:hAnsi="Times New Roman" w:eastAsia="宋体" w:cs="Times New Roman"/>
                <w:color w:val="auto"/>
                <w:sz w:val="24"/>
                <w:szCs w:val="24"/>
                <w:u w:val="single"/>
              </w:rPr>
              <w:t>施工人员生活垃圾经收集后交环卫部门清运。</w:t>
            </w:r>
          </w:p>
          <w:p>
            <w:pPr>
              <w:keepNext w:val="0"/>
              <w:keepLines w:val="0"/>
              <w:pageBreakBefore w:val="0"/>
              <w:widowControl w:val="0"/>
              <w:numPr>
                <w:ilvl w:val="0"/>
                <w:numId w:val="7"/>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疏浚废弃物</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0" w:firstLine="480" w:firstLineChars="200"/>
              <w:textAlignment w:val="auto"/>
              <w:rPr>
                <w:rFonts w:hint="eastAsia" w:ascii="Times New Roman" w:hAnsi="Times New Roman" w:cs="Times New Roman" w:eastAsiaTheme="minorEastAsia"/>
                <w:color w:val="auto"/>
                <w:sz w:val="24"/>
                <w:szCs w:val="24"/>
                <w:u w:val="single"/>
                <w:lang w:eastAsia="zh-CN"/>
              </w:rPr>
            </w:pPr>
            <w:r>
              <w:rPr>
                <w:rFonts w:hint="default" w:ascii="Times New Roman" w:hAnsi="Times New Roman" w:cs="Times New Roman" w:eastAsiaTheme="minorEastAsia"/>
                <w:color w:val="auto"/>
                <w:sz w:val="24"/>
                <w:szCs w:val="24"/>
                <w:u w:val="single"/>
              </w:rPr>
              <w:t>本工程土石方开挖共计7</w:t>
            </w:r>
            <w:r>
              <w:rPr>
                <w:rFonts w:hint="eastAsia" w:ascii="Times New Roman" w:hAnsi="Times New Roman" w:cs="Times New Roman" w:eastAsiaTheme="minorEastAsia"/>
                <w:color w:val="auto"/>
                <w:sz w:val="24"/>
                <w:szCs w:val="24"/>
                <w:u w:val="single"/>
                <w:lang w:val="en-US" w:eastAsia="zh-CN"/>
              </w:rPr>
              <w:t>47.09</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default" w:ascii="Times New Roman" w:hAnsi="Times New Roman" w:cs="Times New Roman" w:eastAsiaTheme="minorEastAsia"/>
                <w:color w:val="auto"/>
                <w:sz w:val="24"/>
                <w:szCs w:val="24"/>
                <w:u w:val="single"/>
              </w:rPr>
              <w:t>，土方填筑共计</w:t>
            </w:r>
            <w:r>
              <w:rPr>
                <w:rFonts w:hint="eastAsia" w:ascii="Times New Roman" w:hAnsi="Times New Roman" w:cs="Times New Roman" w:eastAsiaTheme="minorEastAsia"/>
                <w:color w:val="auto"/>
                <w:sz w:val="24"/>
                <w:szCs w:val="24"/>
                <w:u w:val="single"/>
                <w:lang w:val="en-US" w:eastAsia="zh-CN"/>
              </w:rPr>
              <w:t>5.06</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default" w:ascii="Times New Roman" w:hAnsi="Times New Roman" w:cs="Times New Roman" w:eastAsiaTheme="minorEastAsia"/>
                <w:color w:val="auto"/>
                <w:sz w:val="24"/>
                <w:szCs w:val="24"/>
                <w:u w:val="single"/>
              </w:rPr>
              <w:t>。其中土石方开挖料部分用于自身回填。经土石方平衡规划，共计利用土石方开挖料为</w:t>
            </w:r>
            <w:r>
              <w:rPr>
                <w:rFonts w:hint="eastAsia" w:ascii="Times New Roman" w:hAnsi="Times New Roman" w:cs="Times New Roman" w:eastAsiaTheme="minorEastAsia"/>
                <w:color w:val="auto"/>
                <w:sz w:val="24"/>
                <w:szCs w:val="24"/>
                <w:u w:val="single"/>
                <w:lang w:val="en-US" w:eastAsia="zh-CN"/>
              </w:rPr>
              <w:t>3.54</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default" w:ascii="Times New Roman" w:hAnsi="Times New Roman" w:cs="Times New Roman" w:eastAsiaTheme="minorEastAsia"/>
                <w:color w:val="auto"/>
                <w:sz w:val="24"/>
                <w:szCs w:val="24"/>
                <w:u w:val="single"/>
              </w:rPr>
              <w:t>，总</w:t>
            </w:r>
            <w:r>
              <w:rPr>
                <w:rFonts w:hint="eastAsia" w:ascii="Times New Roman" w:hAnsi="Times New Roman" w:cs="Times New Roman" w:eastAsiaTheme="minorEastAsia"/>
                <w:color w:val="auto"/>
                <w:sz w:val="24"/>
                <w:szCs w:val="24"/>
                <w:u w:val="single"/>
                <w:lang w:val="en-US" w:eastAsia="zh-CN"/>
              </w:rPr>
              <w:t>剩余疏浚废弃物684.26</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eastAsia" w:ascii="Times New Roman" w:hAnsi="Times New Roman" w:cs="Times New Roman" w:eastAsiaTheme="minorEastAsia"/>
                <w:color w:val="auto"/>
                <w:sz w:val="24"/>
                <w:szCs w:val="24"/>
                <w:u w:val="single"/>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白泥湖采用500m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/h 绞吸式挖泥船开挖，绞吸式挖泥船直接抽取上部淤泥用于白泥湖南堤填塘固基。范家坝湖和三汊港湖采用钻探式抽沙船进行施工，上部粘土层自然下沉，下层砾砂通过钻探式抽沙船可吸取，运至临时堆存场。</w:t>
            </w:r>
            <w:r>
              <w:rPr>
                <w:rFonts w:hint="default" w:ascii="Times New Roman" w:hAnsi="Times New Roman" w:cs="Times New Roman" w:eastAsiaTheme="minorEastAsia"/>
                <w:color w:val="auto"/>
                <w:sz w:val="24"/>
                <w:szCs w:val="24"/>
                <w:u w:val="single"/>
              </w:rPr>
              <w:t>本次工程设置有</w:t>
            </w:r>
            <w:r>
              <w:rPr>
                <w:rFonts w:hint="eastAsia" w:ascii="Times New Roman" w:hAnsi="Times New Roman" w:cs="Times New Roman" w:eastAsiaTheme="minorEastAsia"/>
                <w:color w:val="auto"/>
                <w:sz w:val="24"/>
                <w:szCs w:val="24"/>
                <w:u w:val="single"/>
                <w:lang w:val="en-US" w:eastAsia="zh-CN"/>
              </w:rPr>
              <w:t>5</w:t>
            </w:r>
            <w:r>
              <w:rPr>
                <w:rFonts w:hint="default" w:ascii="Times New Roman" w:hAnsi="Times New Roman" w:cs="Times New Roman" w:eastAsiaTheme="minorEastAsia"/>
                <w:color w:val="auto"/>
                <w:sz w:val="24"/>
                <w:szCs w:val="24"/>
                <w:u w:val="single"/>
              </w:rPr>
              <w:t>处清淤料中转临时堆场，其中范家坝湖3处，三汊港湖</w:t>
            </w:r>
            <w:r>
              <w:rPr>
                <w:rFonts w:hint="eastAsia" w:ascii="Times New Roman" w:hAnsi="Times New Roman" w:cs="Times New Roman" w:eastAsiaTheme="minorEastAsia"/>
                <w:color w:val="auto"/>
                <w:sz w:val="24"/>
                <w:szCs w:val="24"/>
                <w:u w:val="single"/>
                <w:lang w:val="en-US" w:eastAsia="zh-CN"/>
              </w:rPr>
              <w:t>2</w:t>
            </w:r>
            <w:r>
              <w:rPr>
                <w:rFonts w:hint="default" w:ascii="Times New Roman" w:hAnsi="Times New Roman" w:cs="Times New Roman" w:eastAsiaTheme="minorEastAsia"/>
                <w:color w:val="auto"/>
                <w:sz w:val="24"/>
                <w:szCs w:val="24"/>
                <w:u w:val="single"/>
              </w:rPr>
              <w:t>处。范家坝湖共设置3处清淤料中转临时堆场，临时堆场面积为</w:t>
            </w:r>
            <w:r>
              <w:rPr>
                <w:rFonts w:hint="eastAsia" w:ascii="Times New Roman" w:hAnsi="Times New Roman" w:cs="Times New Roman" w:eastAsiaTheme="minorEastAsia"/>
                <w:color w:val="auto"/>
                <w:sz w:val="24"/>
                <w:szCs w:val="24"/>
                <w:u w:val="single"/>
                <w:lang w:val="en-US" w:eastAsia="zh-CN"/>
              </w:rPr>
              <w:t>40</w:t>
            </w:r>
            <w:r>
              <w:rPr>
                <w:rFonts w:hint="default" w:ascii="Times New Roman" w:hAnsi="Times New Roman" w:cs="Times New Roman" w:eastAsiaTheme="minorEastAsia"/>
                <w:color w:val="auto"/>
                <w:sz w:val="24"/>
                <w:szCs w:val="24"/>
                <w:u w:val="single"/>
              </w:rPr>
              <w:t>000m</w:t>
            </w:r>
            <w:r>
              <w:rPr>
                <w:rFonts w:hint="default" w:ascii="Times New Roman" w:hAnsi="Times New Roman" w:cs="Times New Roman" w:eastAsiaTheme="minorEastAsia"/>
                <w:color w:val="auto"/>
                <w:sz w:val="24"/>
                <w:szCs w:val="24"/>
                <w:u w:val="single"/>
                <w:vertAlign w:val="superscript"/>
              </w:rPr>
              <w:t>2</w:t>
            </w:r>
            <w:r>
              <w:rPr>
                <w:rFonts w:hint="default" w:ascii="Times New Roman" w:hAnsi="Times New Roman" w:cs="Times New Roman" w:eastAsiaTheme="minorEastAsia"/>
                <w:color w:val="auto"/>
                <w:sz w:val="24"/>
                <w:szCs w:val="24"/>
                <w:u w:val="single"/>
              </w:rPr>
              <w:t>；三汊港湖共设置</w:t>
            </w:r>
            <w:r>
              <w:rPr>
                <w:rFonts w:hint="eastAsia" w:ascii="Times New Roman" w:hAnsi="Times New Roman" w:cs="Times New Roman" w:eastAsiaTheme="minorEastAsia"/>
                <w:color w:val="auto"/>
                <w:sz w:val="24"/>
                <w:szCs w:val="24"/>
                <w:u w:val="single"/>
                <w:lang w:val="en-US" w:eastAsia="zh-CN"/>
              </w:rPr>
              <w:t>2</w:t>
            </w:r>
            <w:r>
              <w:rPr>
                <w:rFonts w:hint="default" w:ascii="Times New Roman" w:hAnsi="Times New Roman" w:cs="Times New Roman" w:eastAsiaTheme="minorEastAsia"/>
                <w:color w:val="auto"/>
                <w:sz w:val="24"/>
                <w:szCs w:val="24"/>
                <w:u w:val="single"/>
              </w:rPr>
              <w:t>处清淤料中转临时堆场，位于南堤附近的堤岸上，面积为</w:t>
            </w:r>
            <w:r>
              <w:rPr>
                <w:rFonts w:hint="eastAsia" w:ascii="Times New Roman" w:hAnsi="Times New Roman" w:cs="Times New Roman" w:eastAsiaTheme="minorEastAsia"/>
                <w:color w:val="auto"/>
                <w:sz w:val="24"/>
                <w:szCs w:val="24"/>
                <w:u w:val="single"/>
                <w:lang w:val="en-US" w:eastAsia="zh-CN"/>
              </w:rPr>
              <w:t>36</w:t>
            </w:r>
            <w:r>
              <w:rPr>
                <w:rFonts w:hint="default" w:ascii="Times New Roman" w:hAnsi="Times New Roman" w:cs="Times New Roman" w:eastAsiaTheme="minorEastAsia"/>
                <w:color w:val="auto"/>
                <w:sz w:val="24"/>
                <w:szCs w:val="24"/>
                <w:u w:val="single"/>
              </w:rPr>
              <w:t>000 m</w:t>
            </w:r>
            <w:r>
              <w:rPr>
                <w:rFonts w:hint="default" w:ascii="Times New Roman" w:hAnsi="Times New Roman" w:cs="Times New Roman" w:eastAsiaTheme="minorEastAsia"/>
                <w:color w:val="auto"/>
                <w:sz w:val="24"/>
                <w:szCs w:val="24"/>
                <w:u w:val="single"/>
                <w:vertAlign w:val="superscript"/>
              </w:rPr>
              <w:t>2</w:t>
            </w:r>
            <w:r>
              <w:rPr>
                <w:rFonts w:hint="default" w:ascii="Times New Roman" w:hAnsi="Times New Roman" w:cs="Times New Roman" w:eastAsiaTheme="minorEastAsia"/>
                <w:color w:val="auto"/>
                <w:sz w:val="24"/>
                <w:szCs w:val="24"/>
                <w:u w:val="singl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eastAsiaTheme="minorEastAsia"/>
                <w:color w:val="auto"/>
                <w:sz w:val="24"/>
                <w:szCs w:val="24"/>
                <w:u w:val="single"/>
                <w:lang w:val="en-US" w:eastAsia="zh-CN"/>
              </w:rPr>
              <w:t>根据规划，</w:t>
            </w:r>
            <w:r>
              <w:rPr>
                <w:rFonts w:hint="default" w:ascii="Times New Roman" w:hAnsi="Times New Roman" w:eastAsia="宋体" w:cs="Times New Roman"/>
                <w:color w:val="auto"/>
                <w:sz w:val="24"/>
                <w:szCs w:val="24"/>
                <w:u w:val="single"/>
              </w:rPr>
              <w:t>弃渣由县级以上人民政府统一组织经营管理。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施工期产生的危险废物为油水分离器产生的少量废油、施工车辆擦拭零件的含油抹布。</w:t>
            </w:r>
            <w:r>
              <w:rPr>
                <w:rFonts w:hint="eastAsia" w:ascii="Times New Roman" w:hAnsi="Times New Roman" w:cs="Times New Roman"/>
                <w:color w:val="auto"/>
                <w:sz w:val="24"/>
                <w:szCs w:val="24"/>
                <w:u w:val="single"/>
                <w:lang w:val="en-US" w:eastAsia="zh-CN"/>
              </w:rPr>
              <w:t>在</w:t>
            </w:r>
            <w:r>
              <w:rPr>
                <w:rFonts w:hint="default" w:ascii="Times New Roman" w:hAnsi="Times New Roman" w:eastAsia="宋体" w:cs="Times New Roman"/>
                <w:color w:val="auto"/>
                <w:sz w:val="24"/>
                <w:szCs w:val="24"/>
                <w:u w:val="single"/>
              </w:rPr>
              <w:t>工区设置危废间，危废均采用贮存桶贮存，并委托有危废资质单位处理。</w:t>
            </w:r>
          </w:p>
          <w:p>
            <w:pPr>
              <w:keepNext w:val="0"/>
              <w:keepLines w:val="0"/>
              <w:pageBreakBefore w:val="0"/>
              <w:kinsoku/>
              <w:wordWrap/>
              <w:overflowPunct/>
              <w:topLinePunct w:val="0"/>
              <w:autoSpaceDE/>
              <w:autoSpaceDN/>
              <w:bidi w:val="0"/>
              <w:adjustRightInd/>
              <w:snapToGrid/>
              <w:spacing w:line="360" w:lineRule="auto"/>
              <w:ind w:right="0" w:rightChars="0" w:firstLine="422" w:firstLineChars="200"/>
              <w:jc w:val="center"/>
              <w:textAlignment w:val="auto"/>
              <w:rPr>
                <w:rFonts w:hint="default" w:ascii="Times New Roman" w:hAnsi="Times New Roman" w:eastAsia="宋体" w:cs="Times New Roman"/>
                <w:b/>
                <w:color w:val="auto"/>
                <w:szCs w:val="21"/>
                <w:u w:val="single"/>
              </w:rPr>
            </w:pPr>
            <w:r>
              <w:rPr>
                <w:rFonts w:hint="default" w:ascii="Times New Roman" w:hAnsi="Times New Roman" w:eastAsia="宋体" w:cs="Times New Roman"/>
                <w:b/>
                <w:color w:val="auto"/>
                <w:szCs w:val="21"/>
                <w:u w:val="single"/>
              </w:rPr>
              <w:t>表</w:t>
            </w:r>
            <w:r>
              <w:rPr>
                <w:rFonts w:hint="eastAsia" w:ascii="Times New Roman" w:hAnsi="Times New Roman" w:eastAsia="宋体" w:cs="Times New Roman"/>
                <w:b/>
                <w:color w:val="auto"/>
                <w:szCs w:val="21"/>
                <w:u w:val="single"/>
                <w:lang w:val="en-US" w:eastAsia="zh-CN"/>
              </w:rPr>
              <w:t xml:space="preserve">4-6  </w:t>
            </w:r>
            <w:r>
              <w:rPr>
                <w:rFonts w:hint="default" w:ascii="Times New Roman" w:hAnsi="Times New Roman" w:eastAsia="宋体" w:cs="Times New Roman"/>
                <w:b/>
                <w:color w:val="auto"/>
                <w:szCs w:val="21"/>
                <w:u w:val="single"/>
              </w:rPr>
              <w:t>项目产生危废特性</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279"/>
              <w:gridCol w:w="969"/>
              <w:gridCol w:w="481"/>
              <w:gridCol w:w="1307"/>
              <w:gridCol w:w="1210"/>
              <w:gridCol w:w="2863"/>
              <w:gridCol w:w="6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0"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序号</w:t>
                  </w:r>
                </w:p>
              </w:tc>
              <w:tc>
                <w:tcPr>
                  <w:tcW w:w="623"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固废名称</w:t>
                  </w:r>
                </w:p>
              </w:tc>
              <w:tc>
                <w:tcPr>
                  <w:tcW w:w="309"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产生工序</w:t>
                  </w:r>
                </w:p>
              </w:tc>
              <w:tc>
                <w:tcPr>
                  <w:tcW w:w="840"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废物类别</w:t>
                  </w:r>
                </w:p>
              </w:tc>
              <w:tc>
                <w:tcPr>
                  <w:tcW w:w="778"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废物</w:t>
                  </w:r>
                </w:p>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代码</w:t>
                  </w:r>
                </w:p>
              </w:tc>
              <w:tc>
                <w:tcPr>
                  <w:tcW w:w="1841"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危险废物</w:t>
                  </w:r>
                </w:p>
              </w:tc>
              <w:tc>
                <w:tcPr>
                  <w:tcW w:w="426"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危险特性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0"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1</w:t>
                  </w:r>
                </w:p>
              </w:tc>
              <w:tc>
                <w:tcPr>
                  <w:tcW w:w="623"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废油</w:t>
                  </w:r>
                </w:p>
              </w:tc>
              <w:tc>
                <w:tcPr>
                  <w:tcW w:w="309"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油水分离器</w:t>
                  </w:r>
                </w:p>
              </w:tc>
              <w:tc>
                <w:tcPr>
                  <w:tcW w:w="840"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HW08 废矿物油与含矿物油废物</w:t>
                  </w:r>
                </w:p>
              </w:tc>
              <w:tc>
                <w:tcPr>
                  <w:tcW w:w="778"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900-210-08</w:t>
                  </w:r>
                </w:p>
              </w:tc>
              <w:tc>
                <w:tcPr>
                  <w:tcW w:w="1841"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含油废水处理中隔油处理过程中产生的浮油、浮渣和污泥（不包括废水生化处理污泥）</w:t>
                  </w:r>
                </w:p>
              </w:tc>
              <w:tc>
                <w:tcPr>
                  <w:tcW w:w="426"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0"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3</w:t>
                  </w:r>
                </w:p>
              </w:tc>
              <w:tc>
                <w:tcPr>
                  <w:tcW w:w="623"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废弃的含油抹布、劳保用品</w:t>
                  </w:r>
                </w:p>
              </w:tc>
              <w:tc>
                <w:tcPr>
                  <w:tcW w:w="309"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车辆维修</w:t>
                  </w:r>
                </w:p>
              </w:tc>
              <w:tc>
                <w:tcPr>
                  <w:tcW w:w="840"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HW49 其他废物</w:t>
                  </w:r>
                </w:p>
              </w:tc>
              <w:tc>
                <w:tcPr>
                  <w:tcW w:w="778"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900-041-49</w:t>
                  </w:r>
                </w:p>
              </w:tc>
              <w:tc>
                <w:tcPr>
                  <w:tcW w:w="1841"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含有或沾染毒性、感染性危险废物的废弃包装物、容器、过滤吸附介质</w:t>
                  </w:r>
                </w:p>
              </w:tc>
              <w:tc>
                <w:tcPr>
                  <w:tcW w:w="426" w:type="pct"/>
                  <w:tcBorders>
                    <w:tl2br w:val="nil"/>
                    <w:tr2bl w:val="nil"/>
                  </w:tcBorders>
                  <w:vAlign w:val="center"/>
                </w:tcPr>
                <w:p>
                  <w:pPr>
                    <w:jc w:val="center"/>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采取上述治理措施后，本项目固废对周围环境产生影响较小。</w:t>
            </w:r>
          </w:p>
          <w:p>
            <w:pPr>
              <w:pStyle w:val="62"/>
              <w:keepNext w:val="0"/>
              <w:keepLines w:val="0"/>
              <w:pageBreakBefore w:val="0"/>
              <w:numPr>
                <w:ilvl w:val="0"/>
                <w:numId w:val="0"/>
              </w:numPr>
              <w:tabs>
                <w:tab w:val="left" w:pos="952"/>
              </w:tabs>
              <w:kinsoku/>
              <w:wordWrap/>
              <w:overflowPunct/>
              <w:topLinePunct w:val="0"/>
              <w:autoSpaceDE/>
              <w:autoSpaceDN/>
              <w:bidi w:val="0"/>
              <w:adjustRightInd/>
              <w:snapToGrid/>
              <w:spacing w:line="360" w:lineRule="auto"/>
              <w:textAlignment w:val="auto"/>
              <w:rPr>
                <w:rFonts w:ascii="Times New Roman" w:hAnsi="Times New Roman"/>
                <w:b/>
                <w:color w:val="auto"/>
                <w:sz w:val="24"/>
              </w:rPr>
            </w:pPr>
            <w:r>
              <w:rPr>
                <w:rFonts w:hint="eastAsia" w:ascii="Times New Roman" w:hAnsi="Times New Roman"/>
                <w:b/>
                <w:color w:val="auto"/>
                <w:sz w:val="24"/>
                <w:lang w:val="en-US" w:eastAsia="zh-CN"/>
              </w:rPr>
              <w:t>6、</w:t>
            </w:r>
            <w:r>
              <w:rPr>
                <w:rFonts w:ascii="Times New Roman" w:hAnsi="Times New Roman"/>
                <w:b/>
                <w:color w:val="auto"/>
                <w:sz w:val="24"/>
              </w:rPr>
              <w:t>环境风险影响分析</w:t>
            </w:r>
          </w:p>
          <w:p>
            <w:pPr>
              <w:pStyle w:val="62"/>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项目</w:t>
            </w:r>
            <w:r>
              <w:rPr>
                <w:rFonts w:hint="eastAsia" w:ascii="Times New Roman" w:hAnsi="Times New Roman"/>
                <w:color w:val="auto"/>
                <w:sz w:val="24"/>
                <w:u w:val="single"/>
                <w:lang w:val="en-US" w:eastAsia="zh-CN"/>
              </w:rPr>
              <w:t>主要</w:t>
            </w:r>
            <w:r>
              <w:rPr>
                <w:rFonts w:ascii="Times New Roman" w:hAnsi="Times New Roman"/>
                <w:color w:val="auto"/>
                <w:sz w:val="24"/>
                <w:u w:val="single"/>
              </w:rPr>
              <w:t>为河道清淤工程，施工期间</w:t>
            </w:r>
            <w:r>
              <w:rPr>
                <w:rFonts w:hint="eastAsia" w:ascii="Times New Roman" w:hAnsi="Times New Roman"/>
                <w:color w:val="auto"/>
                <w:sz w:val="24"/>
                <w:u w:val="single"/>
                <w:lang w:val="en-US" w:eastAsia="zh-CN"/>
              </w:rPr>
              <w:t>车辆船舶、施工机械</w:t>
            </w:r>
            <w:r>
              <w:rPr>
                <w:rFonts w:ascii="Times New Roman" w:hAnsi="Times New Roman"/>
                <w:color w:val="auto"/>
                <w:sz w:val="24"/>
                <w:u w:val="single"/>
              </w:rPr>
              <w:t>等需要用柴油，施工过程中挖掘机剧烈碰撞等会导致油品泄漏事故，事故一旦发生，会对河道水域及邻近岸线造成不利影响。因此，工程中涉及的危险物质为柴油。</w:t>
            </w:r>
          </w:p>
          <w:p>
            <w:pPr>
              <w:pStyle w:val="6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color w:val="auto"/>
                <w:sz w:val="24"/>
                <w:u w:val="single"/>
              </w:rPr>
            </w:pPr>
            <w:r>
              <w:rPr>
                <w:rFonts w:hint="eastAsia" w:ascii="Times New Roman" w:hAnsi="Times New Roman"/>
                <w:color w:val="auto"/>
                <w:sz w:val="24"/>
                <w:u w:val="single"/>
                <w:lang w:eastAsia="zh-CN"/>
              </w:rPr>
              <w:t>（</w:t>
            </w:r>
            <w:r>
              <w:rPr>
                <w:rFonts w:hint="eastAsia" w:ascii="Times New Roman" w:hAnsi="Times New Roman"/>
                <w:color w:val="auto"/>
                <w:sz w:val="24"/>
                <w:u w:val="single"/>
                <w:lang w:val="en-US" w:eastAsia="zh-CN"/>
              </w:rPr>
              <w:t>1</w:t>
            </w:r>
            <w:r>
              <w:rPr>
                <w:rFonts w:hint="eastAsia" w:ascii="Times New Roman" w:hAnsi="Times New Roman"/>
                <w:color w:val="auto"/>
                <w:sz w:val="24"/>
                <w:u w:val="single"/>
                <w:lang w:eastAsia="zh-CN"/>
              </w:rPr>
              <w:t>）</w:t>
            </w:r>
            <w:r>
              <w:rPr>
                <w:rFonts w:ascii="Times New Roman" w:hAnsi="Times New Roman"/>
                <w:color w:val="auto"/>
                <w:sz w:val="24"/>
                <w:u w:val="single"/>
              </w:rPr>
              <w:t>物质危险性识别</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项目施工期无有毒、有害物质，也无可燃、易燃原辅材料。事故风险主要来源为突发性事故溢油引起水质污染。</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燃料油为馏分型燃料，属于易燃性物质，同时又有易蒸发的特点，挥发后与空气形成可燃性混合物，当混合物浓度达到一定比例时，遇到火种就可能燃</w:t>
            </w:r>
            <w:r>
              <w:rPr>
                <w:rFonts w:ascii="Times New Roman" w:hAnsi="Times New Roman"/>
                <w:color w:val="auto"/>
                <w:spacing w:val="-7"/>
                <w:sz w:val="24"/>
                <w:u w:val="single"/>
              </w:rPr>
              <w:t>烧和爆炸。通常采用闪点作为易燃液体的标准，凡闪点</w:t>
            </w:r>
            <w:r>
              <w:rPr>
                <w:rFonts w:ascii="Times New Roman" w:hAnsi="Times New Roman"/>
                <w:color w:val="auto"/>
                <w:sz w:val="24"/>
                <w:u w:val="single"/>
              </w:rPr>
              <w:t>≤61℃</w:t>
            </w:r>
            <w:r>
              <w:rPr>
                <w:rFonts w:ascii="Times New Roman" w:hAnsi="Times New Roman"/>
                <w:color w:val="auto"/>
                <w:spacing w:val="-3"/>
                <w:sz w:val="24"/>
                <w:u w:val="single"/>
              </w:rPr>
              <w:t>的液体均为易燃液</w:t>
            </w:r>
            <w:r>
              <w:rPr>
                <w:rFonts w:ascii="Times New Roman" w:hAnsi="Times New Roman"/>
                <w:color w:val="auto"/>
                <w:spacing w:val="-8"/>
                <w:sz w:val="24"/>
                <w:u w:val="single"/>
              </w:rPr>
              <w:t>体。根据《车用柴油》</w:t>
            </w:r>
            <w:r>
              <w:rPr>
                <w:rFonts w:ascii="Times New Roman" w:hAnsi="Times New Roman"/>
                <w:color w:val="auto"/>
                <w:sz w:val="24"/>
                <w:u w:val="single"/>
              </w:rPr>
              <w:t xml:space="preserve">（GB </w:t>
            </w:r>
            <w:r>
              <w:rPr>
                <w:rFonts w:ascii="Times New Roman" w:hAnsi="Times New Roman"/>
                <w:color w:val="auto"/>
                <w:spacing w:val="-3"/>
                <w:sz w:val="24"/>
                <w:u w:val="single"/>
              </w:rPr>
              <w:t>19147-2016）</w:t>
            </w:r>
            <w:r>
              <w:rPr>
                <w:rFonts w:ascii="Times New Roman" w:hAnsi="Times New Roman"/>
                <w:color w:val="auto"/>
                <w:spacing w:val="-7"/>
                <w:sz w:val="24"/>
                <w:u w:val="single"/>
              </w:rPr>
              <w:t xml:space="preserve">，车用柴油的闪点一般 </w:t>
            </w:r>
            <w:r>
              <w:rPr>
                <w:rFonts w:ascii="Times New Roman" w:hAnsi="Times New Roman"/>
                <w:color w:val="auto"/>
                <w:spacing w:val="-4"/>
                <w:sz w:val="24"/>
                <w:u w:val="single"/>
              </w:rPr>
              <w:t>60℃</w:t>
            </w:r>
            <w:r>
              <w:rPr>
                <w:rFonts w:ascii="Times New Roman" w:hAnsi="Times New Roman"/>
                <w:color w:val="auto"/>
                <w:spacing w:val="-6"/>
                <w:sz w:val="24"/>
                <w:u w:val="single"/>
              </w:rPr>
              <w:t>，属于易</w:t>
            </w:r>
            <w:r>
              <w:rPr>
                <w:rFonts w:ascii="Times New Roman" w:hAnsi="Times New Roman"/>
                <w:color w:val="auto"/>
                <w:sz w:val="24"/>
                <w:u w:val="single"/>
              </w:rPr>
              <w:t>燃液体。</w:t>
            </w:r>
          </w:p>
          <w:p>
            <w:pPr>
              <w:pStyle w:val="62"/>
              <w:keepNext w:val="0"/>
              <w:keepLines w:val="0"/>
              <w:pageBreakBefore w:val="0"/>
              <w:numPr>
                <w:ilvl w:val="0"/>
                <w:numId w:val="0"/>
              </w:numPr>
              <w:tabs>
                <w:tab w:val="left" w:pos="773"/>
              </w:tabs>
              <w:kinsoku/>
              <w:wordWrap/>
              <w:overflowPunct/>
              <w:topLinePunct w:val="0"/>
              <w:bidi w:val="0"/>
              <w:spacing w:line="360" w:lineRule="auto"/>
              <w:ind w:leftChars="200" w:right="0" w:rightChars="0"/>
              <w:textAlignment w:val="auto"/>
              <w:rPr>
                <w:rFonts w:ascii="Times New Roman" w:hAnsi="Times New Roman"/>
                <w:color w:val="auto"/>
                <w:sz w:val="24"/>
                <w:u w:val="single"/>
              </w:rPr>
            </w:pPr>
            <w:r>
              <w:rPr>
                <w:rFonts w:hint="eastAsia" w:ascii="Times New Roman" w:hAnsi="Times New Roman"/>
                <w:color w:val="auto"/>
                <w:sz w:val="24"/>
                <w:u w:val="single"/>
                <w:lang w:eastAsia="zh-CN"/>
              </w:rPr>
              <w:t>（</w:t>
            </w:r>
            <w:r>
              <w:rPr>
                <w:rFonts w:hint="eastAsia" w:ascii="Times New Roman" w:hAnsi="Times New Roman"/>
                <w:color w:val="auto"/>
                <w:sz w:val="24"/>
                <w:u w:val="single"/>
                <w:lang w:val="en-US" w:eastAsia="zh-CN"/>
              </w:rPr>
              <w:t>2</w:t>
            </w:r>
            <w:r>
              <w:rPr>
                <w:rFonts w:hint="eastAsia" w:ascii="Times New Roman" w:hAnsi="Times New Roman"/>
                <w:color w:val="auto"/>
                <w:sz w:val="24"/>
                <w:u w:val="single"/>
                <w:lang w:eastAsia="zh-CN"/>
              </w:rPr>
              <w:t>）</w:t>
            </w:r>
            <w:r>
              <w:rPr>
                <w:rFonts w:ascii="Times New Roman" w:hAnsi="Times New Roman"/>
                <w:color w:val="auto"/>
                <w:sz w:val="24"/>
                <w:u w:val="single"/>
              </w:rPr>
              <w:t>生产设施风险识别</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主要为清淤阶段车辆</w:t>
            </w:r>
            <w:r>
              <w:rPr>
                <w:rFonts w:hint="eastAsia" w:ascii="Times New Roman" w:hAnsi="Times New Roman"/>
                <w:color w:val="auto"/>
                <w:sz w:val="24"/>
                <w:u w:val="single"/>
                <w:lang w:val="en-US" w:eastAsia="zh-CN"/>
              </w:rPr>
              <w:t>船舶</w:t>
            </w:r>
            <w:r>
              <w:rPr>
                <w:rFonts w:ascii="Times New Roman" w:hAnsi="Times New Roman"/>
                <w:color w:val="auto"/>
                <w:sz w:val="24"/>
                <w:u w:val="single"/>
              </w:rPr>
              <w:t>碰撞、侧翻等事故造成柴油泄漏，造成水域油污染。</w:t>
            </w:r>
          </w:p>
          <w:p>
            <w:pPr>
              <w:pStyle w:val="62"/>
              <w:keepNext w:val="0"/>
              <w:keepLines w:val="0"/>
              <w:pageBreakBefore w:val="0"/>
              <w:numPr>
                <w:ilvl w:val="0"/>
                <w:numId w:val="0"/>
              </w:numPr>
              <w:tabs>
                <w:tab w:val="left" w:pos="773"/>
              </w:tabs>
              <w:kinsoku/>
              <w:wordWrap/>
              <w:overflowPunct/>
              <w:topLinePunct w:val="0"/>
              <w:bidi w:val="0"/>
              <w:spacing w:line="360" w:lineRule="auto"/>
              <w:ind w:leftChars="200" w:right="0" w:rightChars="0"/>
              <w:textAlignment w:val="auto"/>
              <w:rPr>
                <w:rFonts w:ascii="Times New Roman" w:hAnsi="Times New Roman"/>
                <w:color w:val="auto"/>
                <w:sz w:val="24"/>
                <w:u w:val="single"/>
              </w:rPr>
            </w:pPr>
            <w:r>
              <w:rPr>
                <w:rFonts w:hint="eastAsia" w:ascii="Times New Roman" w:hAnsi="Times New Roman"/>
                <w:color w:val="auto"/>
                <w:sz w:val="24"/>
                <w:u w:val="single"/>
                <w:lang w:eastAsia="zh-CN"/>
              </w:rPr>
              <w:t>（</w:t>
            </w:r>
            <w:r>
              <w:rPr>
                <w:rFonts w:hint="eastAsia" w:ascii="Times New Roman" w:hAnsi="Times New Roman"/>
                <w:color w:val="auto"/>
                <w:sz w:val="24"/>
                <w:u w:val="single"/>
                <w:lang w:val="en-US" w:eastAsia="zh-CN"/>
              </w:rPr>
              <w:t>3</w:t>
            </w:r>
            <w:r>
              <w:rPr>
                <w:rFonts w:hint="eastAsia" w:ascii="Times New Roman" w:hAnsi="Times New Roman"/>
                <w:color w:val="auto"/>
                <w:sz w:val="24"/>
                <w:u w:val="single"/>
                <w:lang w:eastAsia="zh-CN"/>
              </w:rPr>
              <w:t>）</w:t>
            </w:r>
            <w:r>
              <w:rPr>
                <w:rFonts w:ascii="Times New Roman" w:hAnsi="Times New Roman"/>
                <w:color w:val="auto"/>
                <w:sz w:val="24"/>
                <w:u w:val="single"/>
              </w:rPr>
              <w:t>溢油事故环境风险分析</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施工期间发生事故溢油后溶解分散于水体的油污的含量起初取决于溶解、分散、吸附和凝聚作用，然后受控于沉积、光氧化、生物化学作用。分散态油</w:t>
            </w:r>
            <w:r>
              <w:rPr>
                <w:rFonts w:ascii="Times New Roman" w:hAnsi="Times New Roman"/>
                <w:color w:val="auto"/>
                <w:spacing w:val="7"/>
                <w:sz w:val="24"/>
                <w:u w:val="single"/>
              </w:rPr>
              <w:t>污是对水生生物产生直接危害的形式</w:t>
            </w:r>
            <w:r>
              <w:rPr>
                <w:rFonts w:hint="eastAsia" w:ascii="Times New Roman" w:hAnsi="Times New Roman"/>
                <w:color w:val="auto"/>
                <w:spacing w:val="7"/>
                <w:sz w:val="24"/>
                <w:u w:val="single"/>
                <w:lang w:eastAsia="zh-CN"/>
              </w:rPr>
              <w:t>，</w:t>
            </w:r>
            <w:r>
              <w:rPr>
                <w:rFonts w:ascii="Times New Roman" w:hAnsi="Times New Roman"/>
                <w:color w:val="auto"/>
                <w:spacing w:val="6"/>
                <w:sz w:val="24"/>
                <w:u w:val="single"/>
              </w:rPr>
              <w:t>它的毒性与组份的性质及其分散程度有</w:t>
            </w:r>
            <w:r>
              <w:rPr>
                <w:rFonts w:ascii="Times New Roman" w:hAnsi="Times New Roman"/>
                <w:color w:val="auto"/>
                <w:spacing w:val="-5"/>
                <w:sz w:val="24"/>
                <w:u w:val="single"/>
              </w:rPr>
              <w:t>关，芳香类化合物的毒性较大，且芳环的数目越多，毒性越大。有关研究表明，油污对水环境及水生生态环境的危害主要体现在以下几方面：</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hint="eastAsia"/>
                <w:color w:val="auto"/>
                <w:sz w:val="24"/>
                <w:u w:val="single"/>
              </w:rPr>
              <w:t>①</w:t>
            </w:r>
            <w:r>
              <w:rPr>
                <w:rFonts w:ascii="Times New Roman" w:hAnsi="Times New Roman"/>
                <w:color w:val="auto"/>
                <w:sz w:val="24"/>
                <w:u w:val="single"/>
              </w:rPr>
              <w:t>对浮游生物的影响</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泄漏燃料油会破坏植物细胞，损坏叶绿素及干扰气体交换，从而妨碍植物光合作用。这种破坏作用的程度取决于石油的类型、浓度及浮游植物的种类。国内外许多毒性试验结果表明，浮游植物作为鱼虾类饵料的基础，其对各类油</w:t>
            </w:r>
            <w:r>
              <w:rPr>
                <w:rFonts w:ascii="Times New Roman" w:hAnsi="Times New Roman"/>
                <w:color w:val="auto"/>
                <w:spacing w:val="-1"/>
                <w:sz w:val="24"/>
                <w:u w:val="single"/>
              </w:rPr>
              <w:t>类的耐受能力均很低，浮游植物石油急性中毒致死浓度为</w:t>
            </w:r>
            <w:r>
              <w:rPr>
                <w:rFonts w:ascii="Times New Roman" w:hAnsi="Times New Roman"/>
                <w:color w:val="auto"/>
                <w:sz w:val="24"/>
                <w:u w:val="single"/>
              </w:rPr>
              <w:t>0.1-10mg/L，一般为1mg/L</w:t>
            </w:r>
            <w:r>
              <w:rPr>
                <w:rFonts w:ascii="Times New Roman" w:hAnsi="Times New Roman"/>
                <w:color w:val="auto"/>
                <w:spacing w:val="-7"/>
                <w:sz w:val="24"/>
                <w:u w:val="single"/>
              </w:rPr>
              <w:t>。对于更敏感的生物种类</w:t>
            </w:r>
            <w:r>
              <w:rPr>
                <w:rFonts w:ascii="Times New Roman" w:hAnsi="Times New Roman"/>
                <w:color w:val="auto"/>
                <w:spacing w:val="-1"/>
                <w:sz w:val="24"/>
                <w:u w:val="single"/>
              </w:rPr>
              <w:t>，</w:t>
            </w:r>
            <w:r>
              <w:rPr>
                <w:rFonts w:ascii="Times New Roman" w:hAnsi="Times New Roman"/>
                <w:color w:val="auto"/>
                <w:spacing w:val="-8"/>
                <w:sz w:val="24"/>
                <w:u w:val="single"/>
              </w:rPr>
              <w:t>即使有浓度低于</w:t>
            </w:r>
            <w:r>
              <w:rPr>
                <w:rFonts w:ascii="Times New Roman" w:hAnsi="Times New Roman"/>
                <w:color w:val="auto"/>
                <w:sz w:val="24"/>
                <w:u w:val="single"/>
              </w:rPr>
              <w:t>0.1mg/L</w:t>
            </w:r>
            <w:r>
              <w:rPr>
                <w:rFonts w:ascii="Times New Roman" w:hAnsi="Times New Roman"/>
                <w:color w:val="auto"/>
                <w:spacing w:val="-2"/>
                <w:sz w:val="24"/>
                <w:u w:val="single"/>
              </w:rPr>
              <w:t>也会妨碍其细胞的分</w:t>
            </w:r>
            <w:r>
              <w:rPr>
                <w:rFonts w:ascii="Times New Roman" w:hAnsi="Times New Roman"/>
                <w:color w:val="auto"/>
                <w:sz w:val="24"/>
                <w:u w:val="single"/>
              </w:rPr>
              <w:t>裂和生长的速率。</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②对底栖生物的影响</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不同种类底栖生物对石油浓度的适应性具有差异，多数底栖生物石油急性中毒致死浓度范围在2.0-15mg/L，其幼体的致死浓度范围更小些。</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③对鱼类的影响</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石油通常是通过鱼鳃呼吸、代谢、体表渗透和生物链传输逐渐富集于生物体内，而导致对鱼类的毒性和中毒作用，其症状主要表现为致死性、神经性、对造血功能的损伤和酶活性的抑制；慢性中毒影响，即在小剂量、低浓度之下，仍表现代谢毒性、生活毒性以及“致癌、致畸、致突变”的三致毒理效应。国内外许多研究均表明，高浓度的石油会使鱼卵和仔幼鱼短时间内中毒死亡，而低浓度石油所引起的长期亚急性毒性可干扰鱼类摄食和繁殖，其毒性随石油组份的不同而有差异。此外，水体中一旦发生油污染，扩散的油分子会迅速随风及水的流动而扩散，鱼类等水产资源一旦与其接触，即会在短时间内发生油臭从而影响其使用价值。</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④对水质的影响</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溢油进入水体后在水体表面输移过程中还伴随着分化过程（蒸发、溶解、乳化），溢油的组份进入水体中，使水体中的石油类、挥发酚等特征污染因子浓度升高，危害水环境。</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hint="eastAsia" w:ascii="Times New Roman" w:hAnsi="Times New Roman"/>
                <w:color w:val="auto"/>
                <w:sz w:val="24"/>
                <w:u w:val="single"/>
                <w:lang w:eastAsia="zh-CN"/>
              </w:rPr>
              <w:t>（</w:t>
            </w:r>
            <w:r>
              <w:rPr>
                <w:rFonts w:hint="eastAsia" w:ascii="Times New Roman" w:hAnsi="Times New Roman"/>
                <w:color w:val="auto"/>
                <w:sz w:val="24"/>
                <w:u w:val="single"/>
                <w:lang w:val="en-US" w:eastAsia="zh-CN"/>
              </w:rPr>
              <w:t>4</w:t>
            </w:r>
            <w:r>
              <w:rPr>
                <w:rFonts w:hint="eastAsia" w:ascii="Times New Roman" w:hAnsi="Times New Roman"/>
                <w:color w:val="auto"/>
                <w:sz w:val="24"/>
                <w:u w:val="single"/>
                <w:lang w:eastAsia="zh-CN"/>
              </w:rPr>
              <w:t>）</w:t>
            </w:r>
            <w:r>
              <w:rPr>
                <w:rFonts w:ascii="Times New Roman" w:hAnsi="Times New Roman"/>
                <w:color w:val="auto"/>
                <w:sz w:val="24"/>
                <w:u w:val="single"/>
              </w:rPr>
              <w:t>风险防范措施</w:t>
            </w:r>
          </w:p>
          <w:p>
            <w:pPr>
              <w:pStyle w:val="62"/>
              <w:keepNext w:val="0"/>
              <w:keepLines w:val="0"/>
              <w:pageBreakBefore w:val="0"/>
              <w:kinsoku/>
              <w:wordWrap/>
              <w:overflowPunct/>
              <w:topLinePunct w:val="0"/>
              <w:bidi w:val="0"/>
              <w:spacing w:line="360" w:lineRule="auto"/>
              <w:ind w:left="0" w:right="0" w:firstLine="468" w:firstLineChars="200"/>
              <w:textAlignment w:val="auto"/>
              <w:rPr>
                <w:rFonts w:ascii="Times New Roman" w:hAnsi="Times New Roman"/>
                <w:color w:val="auto"/>
                <w:sz w:val="24"/>
                <w:u w:val="single"/>
              </w:rPr>
            </w:pPr>
            <w:r>
              <w:rPr>
                <w:rFonts w:ascii="Times New Roman" w:hAnsi="Times New Roman"/>
                <w:color w:val="auto"/>
                <w:spacing w:val="-3"/>
                <w:sz w:val="24"/>
                <w:u w:val="single"/>
              </w:rPr>
              <w:t>泄漏事故可采取的清污措施包括：采用围油栏围住溢油，尽量防止其扩散，</w:t>
            </w:r>
            <w:r>
              <w:rPr>
                <w:rFonts w:ascii="Times New Roman" w:hAnsi="Times New Roman"/>
                <w:color w:val="auto"/>
                <w:spacing w:val="-2"/>
                <w:sz w:val="24"/>
                <w:u w:val="single"/>
              </w:rPr>
              <w:t>并将溢油汇集为较厚的油层，以便使用油泵和撇油器将溢油回收；围油栏拦截的油应迅速回收，预防溢油漏出而污染其他区域；回收作业可以使用撇油器、泵、吸油材料和非专用机械设备和真空罐车，也可人工捞油。</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事故处理完毕后，责任单位应对事故原因、污染清除处理过程、污染范围和影响程度报告生态环境部门。</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①降低风险概率的对策</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A、建立健全安全防污机制</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避免事故发生与制订各项健全的操作规程和规章制度是密不可分的，企业必须认真贯彻“安全第一，预防为主”的方针。建议建设单位应该制定好包括船舶污染应急预案在内的各类应急预案，并进行定期演练。</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B、加强对加燃料油过程的监管</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hint="eastAsia" w:ascii="Times New Roman" w:hAnsi="Times New Roman"/>
                <w:color w:val="auto"/>
                <w:sz w:val="24"/>
                <w:u w:val="single"/>
              </w:rPr>
              <w:t>项目</w:t>
            </w:r>
            <w:r>
              <w:rPr>
                <w:rFonts w:ascii="Times New Roman" w:hAnsi="Times New Roman"/>
                <w:color w:val="auto"/>
                <w:sz w:val="24"/>
                <w:u w:val="single"/>
              </w:rPr>
              <w:t>柴油由各租赁挖车自行向当地加油站采购。本报告建议柴油由建设单位统一采购、统一配给，实行统一管理方式，严格落实柴油等燃料油的管理制度。具体管理方式建议如下：</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督促施工方与挖机方做好防治溢油事故的工作。作业前双方必须认真检查有关管路、设备，严格按照各项安全检查要求落实各项安全与防污染措施；作业过程中，强化现场值班检查，严格执行操作规程，防止跑油、漏油；作业结束，必须关好有关阀门，收解输油软管时，应用盲板将软管封妥，防止软管存油倒流入河；确保作业安全，防止水域污染。</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②应急防备的建设需求</w:t>
            </w:r>
          </w:p>
          <w:p>
            <w:pPr>
              <w:pStyle w:val="62"/>
              <w:keepNext w:val="0"/>
              <w:keepLines w:val="0"/>
              <w:pageBreakBefore w:val="0"/>
              <w:kinsoku/>
              <w:wordWrap/>
              <w:overflowPunct/>
              <w:topLinePunct w:val="0"/>
              <w:bidi w:val="0"/>
              <w:spacing w:line="360" w:lineRule="auto"/>
              <w:ind w:left="0" w:right="0" w:firstLine="480" w:firstLineChars="200"/>
              <w:textAlignment w:val="auto"/>
              <w:rPr>
                <w:rFonts w:ascii="Times New Roman" w:hAnsi="Times New Roman"/>
                <w:color w:val="auto"/>
                <w:sz w:val="24"/>
                <w:u w:val="single"/>
              </w:rPr>
            </w:pPr>
            <w:r>
              <w:rPr>
                <w:rFonts w:ascii="Times New Roman" w:hAnsi="Times New Roman"/>
                <w:color w:val="auto"/>
                <w:sz w:val="24"/>
                <w:u w:val="single"/>
              </w:rPr>
              <w:t>A、设备维护保养</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sz w:val="24"/>
                <w:u w:val="single"/>
              </w:rPr>
            </w:pPr>
            <w:r>
              <w:rPr>
                <w:rFonts w:ascii="Times New Roman" w:hAnsi="Times New Roman"/>
                <w:color w:val="auto"/>
                <w:sz w:val="24"/>
                <w:u w:val="single"/>
              </w:rPr>
              <w:t>B、建立设备维护保养制度</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eastAsia" w:ascii="Times New Roman" w:hAnsi="Times New Roman"/>
                <w:color w:val="auto"/>
                <w:sz w:val="24"/>
                <w:u w:val="single"/>
              </w:rPr>
            </w:pPr>
            <w:r>
              <w:rPr>
                <w:rFonts w:ascii="Times New Roman" w:hAnsi="Times New Roman"/>
                <w:color w:val="auto"/>
                <w:sz w:val="24"/>
                <w:u w:val="single"/>
              </w:rPr>
              <w:t>建设单位应建立完善的设备维护保养制度，应有专门人员对各挖机、铲车</w:t>
            </w:r>
            <w:r>
              <w:rPr>
                <w:rFonts w:hint="eastAsia" w:ascii="Times New Roman" w:hAnsi="Times New Roman"/>
                <w:color w:val="auto"/>
                <w:sz w:val="24"/>
                <w:u w:val="single"/>
              </w:rPr>
              <w:t>等</w:t>
            </w:r>
            <w:r>
              <w:rPr>
                <w:rFonts w:ascii="Times New Roman" w:hAnsi="Times New Roman"/>
                <w:color w:val="auto"/>
                <w:sz w:val="24"/>
                <w:u w:val="single"/>
              </w:rPr>
              <w:t>设备进行管理，定期对设备进行维护保养，应设有专业的应急人员，熟悉</w:t>
            </w:r>
            <w:r>
              <w:rPr>
                <w:rFonts w:hint="eastAsia" w:ascii="Times New Roman" w:hAnsi="Times New Roman"/>
                <w:color w:val="auto"/>
                <w:sz w:val="24"/>
                <w:u w:val="single"/>
              </w:rPr>
              <w:t>设备的操作使用方法，确保设备在紧急情况发生时能够发挥作用。</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eastAsia" w:ascii="Times New Roman" w:hAnsi="Times New Roman"/>
                <w:color w:val="auto"/>
                <w:sz w:val="24"/>
                <w:u w:val="single"/>
              </w:rPr>
            </w:pPr>
            <w:r>
              <w:rPr>
                <w:rFonts w:hint="eastAsia" w:ascii="Times New Roman" w:hAnsi="Times New Roman"/>
                <w:color w:val="auto"/>
                <w:sz w:val="24"/>
                <w:u w:val="single"/>
              </w:rPr>
              <w:t>严格管理施工现场。施工区域设置临时雨水收集沟及沉淀池，暴雨时雨水收集至沉淀池循环回用于洒水降尘或搅拌站等工序，避免废水入河；设置</w:t>
            </w:r>
            <w:r>
              <w:rPr>
                <w:rFonts w:hint="eastAsia" w:ascii="Times New Roman" w:hAnsi="Times New Roman"/>
                <w:color w:val="auto"/>
                <w:sz w:val="24"/>
                <w:u w:val="single"/>
                <w:lang w:val="en-US"/>
              </w:rPr>
              <w:t>临时</w:t>
            </w:r>
            <w:r>
              <w:rPr>
                <w:rFonts w:hint="eastAsia" w:ascii="Times New Roman" w:hAnsi="Times New Roman"/>
                <w:color w:val="auto"/>
                <w:sz w:val="24"/>
                <w:u w:val="single"/>
              </w:rPr>
              <w:t>危废暂存间暂存设备维修时产生的废机油及含油棉纱，并采取防风防雨防渗漏措施、设置10cm墙裙</w:t>
            </w:r>
            <w:r>
              <w:rPr>
                <w:rFonts w:hint="eastAsia" w:ascii="Times New Roman" w:hAnsi="Times New Roman"/>
                <w:color w:val="auto"/>
                <w:sz w:val="24"/>
                <w:u w:val="single"/>
                <w:lang w:val="en-US"/>
              </w:rPr>
              <w:t>或泄漏液收集池（有效容积不小于1m</w:t>
            </w:r>
            <w:r>
              <w:rPr>
                <w:rFonts w:hint="eastAsia" w:ascii="Times New Roman" w:hAnsi="Times New Roman"/>
                <w:color w:val="auto"/>
                <w:sz w:val="24"/>
                <w:u w:val="single"/>
                <w:vertAlign w:val="superscript"/>
                <w:lang w:val="en-US"/>
              </w:rPr>
              <w:t>3</w:t>
            </w:r>
            <w:r>
              <w:rPr>
                <w:rFonts w:hint="eastAsia" w:ascii="Times New Roman" w:hAnsi="Times New Roman"/>
                <w:color w:val="auto"/>
                <w:sz w:val="24"/>
                <w:u w:val="single"/>
                <w:lang w:val="en-US"/>
              </w:rPr>
              <w:t>），容积满足事故状态下施工机械泄漏油品收集。</w:t>
            </w:r>
            <w:r>
              <w:rPr>
                <w:rFonts w:hint="eastAsia" w:ascii="Times New Roman" w:hAnsi="Times New Roman"/>
                <w:color w:val="auto"/>
                <w:sz w:val="24"/>
                <w:u w:val="single"/>
              </w:rPr>
              <w:t>危废定期交由资质单位进行处置，且危废暂存间远离地表水体、事故状态时废油收集不会进入水体。</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eastAsia" w:ascii="Times New Roman" w:hAnsi="Times New Roman"/>
                <w:color w:val="auto"/>
                <w:sz w:val="24"/>
                <w:u w:val="single"/>
              </w:rPr>
            </w:pPr>
            <w:r>
              <w:rPr>
                <w:rFonts w:hint="eastAsia" w:ascii="Times New Roman" w:hAnsi="Times New Roman"/>
                <w:color w:val="auto"/>
                <w:sz w:val="24"/>
                <w:u w:val="single"/>
              </w:rPr>
              <w:t>C、应急作业条件</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eastAsia" w:ascii="Times New Roman" w:hAnsi="Times New Roman"/>
                <w:color w:val="auto"/>
                <w:sz w:val="24"/>
                <w:u w:val="single"/>
              </w:rPr>
            </w:pPr>
            <w:r>
              <w:rPr>
                <w:rFonts w:hint="eastAsia" w:ascii="Times New Roman" w:hAnsi="Times New Roman"/>
                <w:color w:val="auto"/>
                <w:sz w:val="24"/>
                <w:u w:val="single"/>
              </w:rPr>
              <w:t>为使应急设备能够在发生溢油事故时快速抵达现场，应有运输车辆、吊装设备。应急流程为：总平台→现场。</w:t>
            </w:r>
          </w:p>
          <w:p>
            <w:pPr>
              <w:keepNext w:val="0"/>
              <w:keepLines w:val="0"/>
              <w:pageBreakBefore w:val="0"/>
              <w:widowControl w:val="0"/>
              <w:tabs>
                <w:tab w:val="left" w:pos="8550"/>
              </w:tabs>
              <w:kinsoku/>
              <w:wordWrap/>
              <w:overflowPunct/>
              <w:topLinePunct w:val="0"/>
              <w:autoSpaceDE w:val="0"/>
              <w:autoSpaceDN w:val="0"/>
              <w:bidi w:val="0"/>
              <w:adjustRightInd w:val="0"/>
              <w:snapToGrid w:val="0"/>
              <w:spacing w:line="360" w:lineRule="auto"/>
              <w:ind w:left="0" w:right="0" w:firstLine="480" w:firstLineChars="200"/>
              <w:textAlignment w:val="auto"/>
              <w:rPr>
                <w:rFonts w:ascii="Times New Roman" w:hAnsi="Times New Roman"/>
                <w:color w:val="auto"/>
                <w:szCs w:val="21"/>
              </w:rPr>
            </w:pPr>
            <w:r>
              <w:rPr>
                <w:rFonts w:hint="eastAsia" w:ascii="Times New Roman" w:hAnsi="Times New Roman"/>
                <w:color w:val="auto"/>
                <w:sz w:val="24"/>
                <w:u w:val="single"/>
              </w:rPr>
              <w:t>根据风险识别和风险分析，本项目潜在的环境风险为溢油事故。综合上述分析可知，在严格落实本报告提出的各项风险的预防和应急措施，并不断完善风险事故应急预案的前提下，本项目施工期的环境风险在可接受范围之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476" w:type="pct"/>
            <w:tcMar>
              <w:left w:w="28" w:type="dxa"/>
              <w:right w:w="28" w:type="dxa"/>
            </w:tcMar>
            <w:vAlign w:val="center"/>
          </w:tcPr>
          <w:p>
            <w:pPr>
              <w:pStyle w:val="22"/>
              <w:adjustRightInd w:val="0"/>
              <w:snapToGrid w:val="0"/>
              <w:spacing w:before="0" w:beforeAutospacing="0" w:after="0" w:afterAutospacing="0"/>
              <w:jc w:val="center"/>
              <w:rPr>
                <w:rFonts w:ascii="Times New Roman" w:hAnsi="Times New Roman"/>
                <w:bCs/>
                <w:color w:val="auto"/>
                <w:kern w:val="2"/>
                <w:sz w:val="21"/>
                <w:szCs w:val="21"/>
              </w:rPr>
            </w:pPr>
            <w:r>
              <w:rPr>
                <w:rFonts w:ascii="Times New Roman" w:hAnsi="Times New Roman"/>
                <w:bCs/>
                <w:color w:val="auto"/>
                <w:spacing w:val="10"/>
                <w:kern w:val="2"/>
                <w:sz w:val="21"/>
                <w:szCs w:val="21"/>
              </w:rPr>
              <w:t>运营期生态环境影响分析</w:t>
            </w:r>
          </w:p>
        </w:tc>
        <w:tc>
          <w:tcPr>
            <w:tcW w:w="4524" w:type="pct"/>
          </w:tcPr>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default" w:ascii="Times New Roman" w:hAnsi="Times New Roman"/>
                <w:color w:val="auto"/>
                <w:sz w:val="24"/>
                <w:u w:val="none"/>
              </w:rPr>
            </w:pPr>
            <w:r>
              <w:rPr>
                <w:rFonts w:hint="default" w:ascii="Times New Roman" w:hAnsi="Times New Roman"/>
                <w:color w:val="auto"/>
                <w:sz w:val="24"/>
                <w:u w:val="none"/>
              </w:rPr>
              <w:t>本项目属于生态影响型项目，项目本身无营运期，项目建成后将有利于改善范家坝湖、白泥湖</w:t>
            </w:r>
            <w:r>
              <w:rPr>
                <w:rFonts w:hint="default" w:ascii="Times New Roman" w:hAnsi="Times New Roman"/>
                <w:color w:val="auto"/>
                <w:sz w:val="24"/>
                <w:u w:val="none"/>
                <w:lang w:eastAsia="zh-CN"/>
              </w:rPr>
              <w:t>、</w:t>
            </w:r>
            <w:r>
              <w:rPr>
                <w:rFonts w:hint="default" w:ascii="Times New Roman" w:hAnsi="Times New Roman"/>
                <w:color w:val="auto"/>
                <w:sz w:val="24"/>
                <w:u w:val="none"/>
                <w:lang w:val="en-US" w:eastAsia="zh-CN"/>
              </w:rPr>
              <w:t>三汊港湖</w:t>
            </w:r>
            <w:r>
              <w:rPr>
                <w:rFonts w:hint="default" w:ascii="Times New Roman" w:hAnsi="Times New Roman"/>
                <w:color w:val="auto"/>
                <w:sz w:val="24"/>
                <w:u w:val="none"/>
              </w:rPr>
              <w:t>区域水环境质量，对其影响为正面影响。</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default" w:ascii="Times New Roman" w:hAnsi="Times New Roman"/>
                <w:color w:val="auto"/>
                <w:sz w:val="24"/>
                <w:u w:val="none"/>
              </w:rPr>
            </w:pPr>
            <w:r>
              <w:rPr>
                <w:rFonts w:hint="default" w:ascii="Times New Roman" w:hAnsi="Times New Roman"/>
                <w:color w:val="auto"/>
                <w:sz w:val="24"/>
                <w:u w:val="none"/>
              </w:rPr>
              <w:t>①对水环境的改善作用</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default" w:ascii="Times New Roman" w:hAnsi="Times New Roman"/>
                <w:color w:val="auto"/>
                <w:sz w:val="24"/>
                <w:u w:val="none"/>
              </w:rPr>
            </w:pPr>
            <w:r>
              <w:rPr>
                <w:rFonts w:hint="default" w:ascii="Times New Roman" w:hAnsi="Times New Roman"/>
                <w:color w:val="auto"/>
                <w:sz w:val="24"/>
                <w:u w:val="none"/>
              </w:rPr>
              <w:t>本工程实施后，提升了水体水质，增加了水体自净能力，将使项目所在区域自然环境得到改观，并有利于上下游水系的综合治理。项目实施还一定程度上改善了区域生态小气候，改善了人文、自然景观及生态环境，减少了水土流失和对下游河道的水质污染。河道的各项整治措施实施后，可以逐步恢复河道的水生态系统，从而增加区域的生物多样性，增加了群落物种多样性和生态系统的稳定性。因此，无论是从水土流失、水环境、水生态等角度，其产生的环境效益都是十分明显的。</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hint="default" w:ascii="Times New Roman" w:hAnsi="Times New Roman"/>
                <w:color w:val="auto"/>
                <w:sz w:val="24"/>
                <w:u w:val="none"/>
              </w:rPr>
            </w:pPr>
            <w:r>
              <w:rPr>
                <w:rFonts w:hint="default" w:ascii="Times New Roman" w:hAnsi="Times New Roman"/>
                <w:color w:val="auto"/>
                <w:sz w:val="24"/>
                <w:u w:val="none"/>
              </w:rPr>
              <w:t>②对水文情势的改善</w:t>
            </w:r>
          </w:p>
          <w:p>
            <w:pPr>
              <w:pStyle w:val="62"/>
              <w:keepNext w:val="0"/>
              <w:keepLines w:val="0"/>
              <w:pageBreakBefore w:val="0"/>
              <w:kinsoku/>
              <w:wordWrap/>
              <w:overflowPunct/>
              <w:topLinePunct w:val="0"/>
              <w:bidi w:val="0"/>
              <w:spacing w:line="360" w:lineRule="auto"/>
              <w:ind w:left="0" w:right="0" w:firstLine="480" w:firstLineChars="200"/>
              <w:jc w:val="both"/>
              <w:textAlignment w:val="auto"/>
              <w:rPr>
                <w:rFonts w:ascii="Times New Roman" w:hAnsi="Times New Roman"/>
                <w:color w:val="auto"/>
              </w:rPr>
            </w:pPr>
            <w:r>
              <w:rPr>
                <w:rFonts w:hint="default" w:ascii="Times New Roman" w:hAnsi="Times New Roman"/>
                <w:color w:val="auto"/>
                <w:sz w:val="24"/>
                <w:u w:val="none"/>
              </w:rPr>
              <w:t>本项目经过疏浚清淤后，流速增加，行洪能力明显加大，提高了河流的抗洪排涝能力。因此本工程对水文情势的影响是正面的。项目整治好，有利于改善水生生态环境。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476" w:type="pct"/>
            <w:vAlign w:val="center"/>
          </w:tcPr>
          <w:p>
            <w:pPr>
              <w:pStyle w:val="22"/>
              <w:adjustRightInd w:val="0"/>
              <w:snapToGrid w:val="0"/>
              <w:spacing w:before="0" w:beforeAutospacing="0" w:after="0" w:afterAutospacing="0"/>
              <w:jc w:val="center"/>
              <w:rPr>
                <w:rFonts w:ascii="Times New Roman" w:hAnsi="Times New Roman"/>
                <w:bCs/>
                <w:color w:val="auto"/>
                <w:kern w:val="2"/>
                <w:sz w:val="24"/>
                <w:szCs w:val="24"/>
              </w:rPr>
            </w:pPr>
            <w:r>
              <w:rPr>
                <w:rFonts w:ascii="Times New Roman" w:hAnsi="Times New Roman"/>
                <w:bCs/>
                <w:color w:val="auto"/>
                <w:kern w:val="2"/>
                <w:sz w:val="24"/>
                <w:szCs w:val="24"/>
              </w:rPr>
              <w:t>选址选线环境合理性分析</w:t>
            </w:r>
          </w:p>
        </w:tc>
        <w:tc>
          <w:tcPr>
            <w:tcW w:w="4524" w:type="pct"/>
          </w:tcPr>
          <w:p>
            <w:pPr>
              <w:adjustRightInd w:val="0"/>
              <w:snapToGrid w:val="0"/>
              <w:spacing w:line="360" w:lineRule="auto"/>
              <w:ind w:firstLine="480" w:firstLineChars="200"/>
              <w:rPr>
                <w:rFonts w:ascii="Times New Roman" w:hAnsi="Times New Roman"/>
                <w:bCs/>
                <w:color w:val="auto"/>
                <w:sz w:val="24"/>
                <w:szCs w:val="24"/>
              </w:rPr>
            </w:pPr>
            <w:r>
              <w:rPr>
                <w:rFonts w:ascii="Times New Roman" w:hAnsi="Times New Roman"/>
                <w:bCs/>
                <w:color w:val="auto"/>
                <w:sz w:val="24"/>
                <w:szCs w:val="24"/>
              </w:rPr>
              <w:t>本项目不涉及生态红线，不涉及环境敏感区，属于生态影响型项目，营运期工程本身不产生污染物，本项目建设后将有利于改善</w:t>
            </w:r>
            <w:r>
              <w:rPr>
                <w:rFonts w:hint="eastAsia" w:ascii="Times New Roman" w:hAnsi="Times New Roman"/>
                <w:bCs/>
                <w:color w:val="auto"/>
                <w:sz w:val="24"/>
                <w:szCs w:val="24"/>
              </w:rPr>
              <w:t>范家坝湖、</w:t>
            </w:r>
            <w:r>
              <w:rPr>
                <w:rFonts w:ascii="Times New Roman" w:hAnsi="Times New Roman"/>
                <w:bCs/>
                <w:color w:val="auto"/>
                <w:sz w:val="24"/>
                <w:szCs w:val="24"/>
              </w:rPr>
              <w:t>白泥湖</w:t>
            </w: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三汊港湖</w:t>
            </w:r>
            <w:r>
              <w:rPr>
                <w:rFonts w:ascii="Times New Roman" w:hAnsi="Times New Roman"/>
                <w:bCs/>
                <w:color w:val="auto"/>
                <w:sz w:val="24"/>
                <w:szCs w:val="24"/>
              </w:rPr>
              <w:t>水环境质量，改善人居环境和促进河道生态健康发展。</w:t>
            </w:r>
          </w:p>
          <w:p>
            <w:pPr>
              <w:adjustRightInd w:val="0"/>
              <w:snapToGrid w:val="0"/>
              <w:spacing w:line="360" w:lineRule="auto"/>
              <w:ind w:firstLine="480" w:firstLineChars="200"/>
              <w:rPr>
                <w:rFonts w:ascii="Times New Roman" w:hAnsi="Times New Roman"/>
                <w:bCs/>
                <w:color w:val="auto"/>
                <w:sz w:val="24"/>
                <w:szCs w:val="24"/>
              </w:rPr>
            </w:pPr>
            <w:r>
              <w:rPr>
                <w:rFonts w:hint="eastAsia" w:ascii="Times New Roman" w:hAnsi="Times New Roman"/>
                <w:bCs/>
                <w:color w:val="auto"/>
                <w:sz w:val="24"/>
                <w:szCs w:val="24"/>
              </w:rPr>
              <w:t>本工程通过清淤河道底泥，扩大了河流蓄水能力，增强河道的引、排、灌、蓄功能，提高了灌溉供水保障率，是维持河势稳定、保护堤防等水利设施，确保防洪安全的需要需要。因此，河道整治选址合理。</w:t>
            </w:r>
          </w:p>
          <w:p>
            <w:pPr>
              <w:adjustRightInd w:val="0"/>
              <w:snapToGrid w:val="0"/>
              <w:spacing w:line="360" w:lineRule="auto"/>
              <w:ind w:firstLine="480" w:firstLineChars="200"/>
              <w:rPr>
                <w:rFonts w:ascii="Times New Roman" w:hAnsi="Times New Roman"/>
                <w:bCs/>
                <w:color w:val="auto"/>
                <w:sz w:val="24"/>
                <w:szCs w:val="24"/>
              </w:rPr>
            </w:pPr>
          </w:p>
          <w:p>
            <w:pPr>
              <w:adjustRightInd w:val="0"/>
              <w:snapToGrid w:val="0"/>
              <w:spacing w:line="360" w:lineRule="auto"/>
              <w:ind w:firstLine="480" w:firstLineChars="200"/>
              <w:rPr>
                <w:rFonts w:ascii="Times New Roman" w:hAnsi="Times New Roman"/>
                <w:bCs/>
                <w:color w:val="auto"/>
                <w:sz w:val="24"/>
                <w:szCs w:val="24"/>
              </w:rPr>
            </w:pPr>
          </w:p>
          <w:p>
            <w:pPr>
              <w:adjustRightInd w:val="0"/>
              <w:snapToGrid w:val="0"/>
              <w:spacing w:line="360" w:lineRule="auto"/>
              <w:ind w:firstLine="480" w:firstLineChars="200"/>
              <w:rPr>
                <w:rFonts w:ascii="Times New Roman" w:hAnsi="Times New Roman"/>
                <w:bCs/>
                <w:color w:val="auto"/>
                <w:sz w:val="24"/>
                <w:szCs w:val="24"/>
              </w:rPr>
            </w:pPr>
          </w:p>
          <w:p>
            <w:pPr>
              <w:adjustRightInd w:val="0"/>
              <w:snapToGrid w:val="0"/>
              <w:spacing w:line="360" w:lineRule="auto"/>
              <w:ind w:firstLine="480" w:firstLineChars="200"/>
              <w:rPr>
                <w:rFonts w:ascii="Times New Roman" w:hAnsi="Times New Roman"/>
                <w:bCs/>
                <w:color w:val="auto"/>
                <w:sz w:val="24"/>
                <w:szCs w:val="24"/>
              </w:rPr>
            </w:pPr>
          </w:p>
          <w:p>
            <w:pPr>
              <w:adjustRightInd w:val="0"/>
              <w:snapToGrid w:val="0"/>
              <w:spacing w:line="360" w:lineRule="auto"/>
              <w:ind w:firstLine="480" w:firstLineChars="200"/>
              <w:rPr>
                <w:rFonts w:ascii="Times New Roman" w:hAnsi="Times New Roman"/>
                <w:bCs/>
                <w:color w:val="auto"/>
                <w:sz w:val="24"/>
                <w:szCs w:val="24"/>
              </w:rPr>
            </w:pPr>
          </w:p>
          <w:p>
            <w:pPr>
              <w:adjustRightInd w:val="0"/>
              <w:snapToGrid w:val="0"/>
              <w:spacing w:line="360" w:lineRule="auto"/>
              <w:rPr>
                <w:rFonts w:ascii="Times New Roman" w:hAnsi="Times New Roman"/>
                <w:bCs/>
                <w:color w:val="auto"/>
                <w:sz w:val="24"/>
                <w:szCs w:val="24"/>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eastAsia" w:ascii="Times New Roman" w:hAnsi="Times New Roman"/>
                <w:bCs/>
                <w:color w:val="auto"/>
                <w:sz w:val="24"/>
                <w:szCs w:val="24"/>
                <w:lang w:val="en-US" w:eastAsia="zh-CN"/>
              </w:rPr>
            </w:pPr>
          </w:p>
          <w:p>
            <w:pPr>
              <w:adjustRightInd w:val="0"/>
              <w:snapToGrid w:val="0"/>
              <w:spacing w:line="360" w:lineRule="auto"/>
              <w:rPr>
                <w:rFonts w:hint="default" w:ascii="Times New Roman" w:hAnsi="Times New Roman" w:eastAsia="宋体"/>
                <w:bCs/>
                <w:color w:val="auto"/>
                <w:sz w:val="24"/>
                <w:szCs w:val="24"/>
                <w:lang w:val="en-US" w:eastAsia="zh-CN"/>
              </w:rPr>
            </w:pPr>
          </w:p>
        </w:tc>
      </w:tr>
    </w:tbl>
    <w:p>
      <w:pPr>
        <w:pStyle w:val="22"/>
        <w:jc w:val="center"/>
        <w:rPr>
          <w:rFonts w:ascii="Times New Roman" w:hAnsi="Times New Roman" w:eastAsia="黑体"/>
          <w:snapToGrid w:val="0"/>
          <w:color w:val="auto"/>
          <w:sz w:val="36"/>
          <w:szCs w:val="36"/>
        </w:rPr>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2"/>
        <w:adjustRightInd w:val="0"/>
        <w:snapToGrid w:val="0"/>
        <w:spacing w:before="0" w:beforeAutospacing="0" w:after="0" w:afterAutospacing="0" w:line="14" w:lineRule="auto"/>
        <w:jc w:val="center"/>
        <w:outlineLvl w:val="9"/>
        <w:rPr>
          <w:rFonts w:ascii="Times New Roman" w:hAnsi="Times New Roman" w:eastAsia="黑体"/>
          <w:snapToGrid w:val="0"/>
          <w:color w:val="auto"/>
          <w:sz w:val="30"/>
          <w:szCs w:val="30"/>
        </w:rPr>
      </w:pPr>
    </w:p>
    <w:p>
      <w:pPr>
        <w:pStyle w:val="22"/>
        <w:jc w:val="center"/>
        <w:outlineLvl w:val="0"/>
        <w:rPr>
          <w:rFonts w:ascii="Times New Roman" w:hAnsi="Times New Roman" w:eastAsia="黑体"/>
          <w:snapToGrid w:val="0"/>
          <w:color w:val="auto"/>
          <w:sz w:val="30"/>
          <w:szCs w:val="30"/>
        </w:rPr>
      </w:pPr>
      <w:bookmarkStart w:id="78" w:name="_Toc24819"/>
      <w:r>
        <w:rPr>
          <w:rFonts w:ascii="Times New Roman" w:hAnsi="Times New Roman" w:eastAsia="黑体"/>
          <w:snapToGrid w:val="0"/>
          <w:color w:val="auto"/>
          <w:sz w:val="30"/>
          <w:szCs w:val="30"/>
        </w:rPr>
        <w:t>五、主要生态环境保护措施</w:t>
      </w:r>
      <w:bookmarkEnd w:id="78"/>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7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409" w:type="pct"/>
            <w:tcMar>
              <w:left w:w="28" w:type="dxa"/>
              <w:right w:w="28" w:type="dxa"/>
            </w:tcMar>
            <w:vAlign w:val="center"/>
          </w:tcPr>
          <w:p>
            <w:pPr>
              <w:adjustRightInd w:val="0"/>
              <w:snapToGrid w:val="0"/>
              <w:jc w:val="center"/>
              <w:rPr>
                <w:rFonts w:ascii="Times New Roman" w:hAnsi="Times New Roman"/>
                <w:bCs/>
                <w:color w:val="auto"/>
                <w:szCs w:val="21"/>
              </w:rPr>
            </w:pPr>
            <w:r>
              <w:rPr>
                <w:rFonts w:ascii="Times New Roman" w:hAnsi="Times New Roman"/>
                <w:bCs/>
                <w:color w:val="auto"/>
                <w:spacing w:val="10"/>
                <w:szCs w:val="21"/>
              </w:rPr>
              <w:t>施工期生态环境保护措施</w:t>
            </w:r>
          </w:p>
        </w:tc>
        <w:tc>
          <w:tcPr>
            <w:tcW w:w="4591" w:type="pct"/>
            <w:vAlign w:val="center"/>
          </w:tcPr>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u w:val="none"/>
              </w:rPr>
            </w:pPr>
            <w:r>
              <w:rPr>
                <w:rFonts w:hint="eastAsia" w:ascii="Times New Roman" w:hAnsi="Times New Roman" w:eastAsia="宋体" w:cs="Times New Roman"/>
                <w:b/>
                <w:bCs/>
                <w:color w:val="auto"/>
                <w:sz w:val="24"/>
                <w:szCs w:val="24"/>
                <w:u w:val="none"/>
                <w:lang w:val="en-US" w:eastAsia="zh-CN"/>
              </w:rPr>
              <w:t>1、</w:t>
            </w:r>
            <w:r>
              <w:rPr>
                <w:rFonts w:hint="default" w:ascii="Times New Roman" w:hAnsi="Times New Roman" w:eastAsia="宋体" w:cs="Times New Roman"/>
                <w:b/>
                <w:bCs/>
                <w:color w:val="auto"/>
                <w:sz w:val="24"/>
                <w:szCs w:val="24"/>
                <w:u w:val="none"/>
              </w:rPr>
              <w:t>生态环境保护措施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1.1、</w:t>
            </w:r>
            <w:r>
              <w:rPr>
                <w:rFonts w:hint="default" w:ascii="Times New Roman" w:hAnsi="Times New Roman" w:eastAsia="宋体" w:cs="Times New Roman"/>
                <w:b/>
                <w:bCs/>
                <w:color w:val="auto"/>
                <w:sz w:val="24"/>
                <w:szCs w:val="24"/>
                <w:u w:val="single"/>
              </w:rPr>
              <w:t>对生态系统保护措施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1.1.1、</w:t>
            </w:r>
            <w:r>
              <w:rPr>
                <w:rFonts w:hint="default" w:ascii="Times New Roman" w:hAnsi="Times New Roman" w:eastAsia="宋体" w:cs="Times New Roman"/>
                <w:b/>
                <w:bCs/>
                <w:color w:val="auto"/>
                <w:sz w:val="24"/>
                <w:szCs w:val="24"/>
                <w:u w:val="single"/>
              </w:rPr>
              <w:t>减免和避让保护措施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严格划定施工范围，避免破坏占地区外生态系统，适时开展生态恢复及水土保持工作。</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2</w:t>
            </w: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作业应根据不同的开挖深度进行分段分层控制推进，最大限度地控制水下施工作业对底泥的搅动范围和强度。</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施工船只</w:t>
            </w:r>
            <w:r>
              <w:rPr>
                <w:rFonts w:hint="default" w:ascii="Times New Roman" w:hAnsi="Times New Roman" w:eastAsia="宋体" w:cs="Times New Roman"/>
                <w:color w:val="auto"/>
                <w:sz w:val="24"/>
                <w:szCs w:val="24"/>
                <w:u w:val="single"/>
              </w:rPr>
              <w:t>应按规定将废油、含油污水、生活垃圾、船舶废弃物进行回收处理，禁止排入白泥湖、范家坝、三汊港南湖水体。</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4</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运输过程中产生的粉尘会污染大气环境，应采取除尘措施，执行湿式作业，道路定期洒水，以保护大气环境。</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5</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城镇或人员居住集中的临湖段附近，夜间 19 : 00 至凌晨 7 : 00 禁止从事</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活动，防止噪声污染。</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cs="Times New Roman"/>
                <w:b/>
                <w:bCs/>
                <w:color w:val="auto"/>
                <w:sz w:val="24"/>
                <w:szCs w:val="24"/>
                <w:u w:val="single"/>
                <w:lang w:val="en-US" w:eastAsia="zh-CN"/>
              </w:rPr>
              <w:t>1.1.2、</w:t>
            </w:r>
            <w:r>
              <w:rPr>
                <w:rFonts w:hint="default" w:ascii="Times New Roman" w:hAnsi="Times New Roman" w:eastAsia="宋体" w:cs="Times New Roman"/>
                <w:b/>
                <w:bCs/>
                <w:color w:val="auto"/>
                <w:sz w:val="24"/>
                <w:szCs w:val="24"/>
                <w:u w:val="single"/>
              </w:rPr>
              <w:t>恢复与补偿措施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1</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施工后，在新增裸露河滩地上种植莲、芦苇、芡实、荻等当地常见湿地植被，搭配以蓼科、莎草科的喜湿植物对裸露河滩地进行植被修护。在临时堆砂场撒播狗牙根草籽，及时占领生境，后种植楝、樟、构树等乡土树种进行植被恢复。</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2</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加强入侵植物的防范意识，重点关注生态系统较为脆弱地带及时发现及时清理。</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default" w:ascii="Times New Roman" w:hAnsi="Times New Roman" w:eastAsia="宋体" w:cs="Times New Roman"/>
                <w:color w:val="auto"/>
                <w:sz w:val="24"/>
                <w:szCs w:val="24"/>
                <w:u w:val="single"/>
              </w:rPr>
              <w:t>规划实施期、规划实施后都应进行生态影响的监测或调查。在规划实施期，主要对临时占地、施工区等与施工有关的区域进行监测。</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b/>
                <w:bCs/>
                <w:color w:val="auto"/>
                <w:sz w:val="24"/>
                <w:szCs w:val="24"/>
                <w:u w:val="single"/>
                <w:lang w:val="en-US" w:eastAsia="zh-CN"/>
              </w:rPr>
              <w:t>1.2、</w:t>
            </w:r>
            <w:r>
              <w:rPr>
                <w:rFonts w:hint="default" w:ascii="Times New Roman" w:hAnsi="Times New Roman" w:eastAsia="宋体" w:cs="Times New Roman"/>
                <w:b/>
                <w:bCs/>
                <w:color w:val="auto"/>
                <w:sz w:val="24"/>
                <w:szCs w:val="24"/>
                <w:u w:val="single"/>
              </w:rPr>
              <w:t>对陆域生态环境保护措施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auto"/>
                <w:sz w:val="24"/>
                <w:szCs w:val="24"/>
                <w:u w:val="single"/>
                <w:lang w:eastAsia="zh-CN"/>
              </w:rPr>
            </w:pPr>
            <w:r>
              <w:rPr>
                <w:rFonts w:hint="eastAsia" w:ascii="Times New Roman" w:hAnsi="Times New Roman" w:eastAsia="宋体" w:cs="Times New Roman"/>
                <w:b/>
                <w:bCs/>
                <w:color w:val="auto"/>
                <w:sz w:val="24"/>
                <w:szCs w:val="24"/>
                <w:u w:val="single"/>
                <w:lang w:val="en-US" w:eastAsia="zh-CN"/>
              </w:rPr>
              <w:t>1.2.1</w:t>
            </w:r>
            <w:r>
              <w:rPr>
                <w:rFonts w:hint="default" w:ascii="Times New Roman" w:hAnsi="Times New Roman" w:eastAsia="宋体" w:cs="Times New Roman"/>
                <w:b/>
                <w:bCs/>
                <w:color w:val="auto"/>
                <w:sz w:val="24"/>
                <w:szCs w:val="24"/>
                <w:u w:val="single"/>
                <w:lang w:eastAsia="zh-CN"/>
              </w:rPr>
              <w:t>、对陆生植物保护措施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val="en-US" w:eastAsia="zh-CN"/>
              </w:rPr>
              <w:t>1.2.1.</w:t>
            </w:r>
            <w:r>
              <w:rPr>
                <w:rFonts w:hint="default" w:ascii="Times New Roman" w:hAnsi="Times New Roman" w:eastAsia="宋体" w:cs="Times New Roman"/>
                <w:color w:val="auto"/>
                <w:sz w:val="24"/>
                <w:szCs w:val="24"/>
                <w:u w:val="single"/>
                <w:lang w:val="en-US" w:eastAsia="zh-CN"/>
              </w:rPr>
              <w:t>1</w:t>
            </w:r>
            <w:r>
              <w:rPr>
                <w:rFonts w:hint="default" w:ascii="Times New Roman" w:hAnsi="Times New Roman" w:eastAsia="宋体" w:cs="Times New Roman"/>
                <w:color w:val="auto"/>
                <w:sz w:val="24"/>
                <w:szCs w:val="24"/>
                <w:u w:val="single"/>
                <w:lang w:eastAsia="zh-CN"/>
              </w:rPr>
              <w:t>、避免与</w:t>
            </w:r>
            <w:r>
              <w:rPr>
                <w:rFonts w:hint="eastAsia" w:ascii="Times New Roman" w:hAnsi="Times New Roman" w:eastAsia="宋体" w:cs="Times New Roman"/>
                <w:color w:val="auto"/>
                <w:sz w:val="24"/>
                <w:szCs w:val="24"/>
                <w:u w:val="single"/>
                <w:lang w:eastAsia="zh-CN"/>
              </w:rPr>
              <w:t>减缓</w:t>
            </w:r>
            <w:r>
              <w:rPr>
                <w:rFonts w:hint="default" w:ascii="Times New Roman" w:hAnsi="Times New Roman" w:eastAsia="宋体" w:cs="Times New Roman"/>
                <w:color w:val="auto"/>
                <w:sz w:val="24"/>
                <w:szCs w:val="24"/>
                <w:u w:val="single"/>
                <w:lang w:eastAsia="zh-CN"/>
              </w:rPr>
              <w:t>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lang w:eastAsia="zh-CN"/>
              </w:rPr>
              <w:t>为切实保护</w:t>
            </w:r>
            <w:r>
              <w:rPr>
                <w:rFonts w:hint="eastAsia" w:ascii="Times New Roman" w:hAnsi="Times New Roman" w:eastAsia="宋体" w:cs="Times New Roman"/>
                <w:color w:val="auto"/>
                <w:sz w:val="24"/>
                <w:szCs w:val="24"/>
                <w:u w:val="single"/>
                <w:lang w:val="en-US" w:eastAsia="zh-CN"/>
              </w:rPr>
              <w:t>评价范围</w:t>
            </w:r>
            <w:r>
              <w:rPr>
                <w:rFonts w:hint="default" w:ascii="Times New Roman" w:hAnsi="Times New Roman" w:eastAsia="宋体" w:cs="Times New Roman"/>
                <w:color w:val="auto"/>
                <w:sz w:val="24"/>
                <w:szCs w:val="24"/>
                <w:u w:val="single"/>
                <w:lang w:eastAsia="zh-CN"/>
              </w:rPr>
              <w:t>内植被，要求在</w:t>
            </w:r>
            <w:r>
              <w:rPr>
                <w:rFonts w:hint="eastAsia" w:ascii="Times New Roman" w:hAnsi="Times New Roman" w:eastAsia="宋体" w:cs="Times New Roman"/>
                <w:color w:val="auto"/>
                <w:sz w:val="24"/>
                <w:szCs w:val="24"/>
                <w:u w:val="single"/>
                <w:lang w:val="en-US" w:eastAsia="zh-CN"/>
              </w:rPr>
              <w:t>施工时</w:t>
            </w:r>
            <w:r>
              <w:rPr>
                <w:rFonts w:hint="default" w:ascii="Times New Roman" w:hAnsi="Times New Roman" w:eastAsia="宋体" w:cs="Times New Roman"/>
                <w:color w:val="auto"/>
                <w:sz w:val="24"/>
                <w:szCs w:val="24"/>
                <w:u w:val="single"/>
                <w:lang w:eastAsia="zh-CN"/>
              </w:rPr>
              <w:t>严格按照规划设定的</w:t>
            </w:r>
            <w:r>
              <w:rPr>
                <w:rFonts w:hint="eastAsia" w:ascii="Times New Roman" w:hAnsi="Times New Roman" w:eastAsia="宋体"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lang w:eastAsia="zh-CN"/>
              </w:rPr>
              <w:t>规模、范围进行</w:t>
            </w:r>
            <w:r>
              <w:rPr>
                <w:rFonts w:hint="eastAsia" w:ascii="Times New Roman" w:hAnsi="Times New Roman" w:eastAsia="宋体"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lang w:eastAsia="zh-CN"/>
              </w:rPr>
              <w:t>，严格规范工作人员活动范围；制定严格的管理制度并严格遵守。</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1.2.1.2、恢复与补偿措施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（1）常见水生植物种类</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莲、菰、芡实、芦苇、荻、酸模叶蓼等植被是白泥湖、范家坝湖、三汊港湖常见植物物种，是常见植被的建群种和优势种。种苗要选择健康、优良的种苗。</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（2）整地</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为保持水土，整地时不破坏原生植被，按品字形沿等高线布点挖穴。直接采用穴垦整地方式，穴规格为80×80×60 cm。挖穴时，将心土层翻出，表土置入穴底部。挖穴后，应就地取材每穴埋有机肥1-2 kg，然后回填表土20 cm，用心土覆盖、整成龟背形。水生植物种植整地采用翻耕整细、耙平，深度10 cm以上。</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（3）种植密度</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在岸边根据植被恢复区附近植被种类，近自然混交。种植莲、菰、芦苇、荻、酸模叶蓼，种植密度为8丛/m2，在湖心种植芡实，种植密度0.2株/m2</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（4）栽植</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栽植时间选择在</w:t>
            </w:r>
            <w:r>
              <w:rPr>
                <w:rFonts w:hint="eastAsia" w:ascii="Times New Roman" w:hAnsi="Times New Roman" w:eastAsia="宋体" w:cs="Times New Roman"/>
                <w:color w:val="auto"/>
                <w:sz w:val="24"/>
                <w:szCs w:val="24"/>
                <w:u w:val="single"/>
                <w:lang w:val="en-US" w:eastAsia="zh-CN"/>
              </w:rPr>
              <w:t>每</w:t>
            </w:r>
            <w:r>
              <w:rPr>
                <w:rFonts w:hint="eastAsia" w:ascii="Times New Roman" w:hAnsi="Times New Roman" w:eastAsia="宋体" w:cs="Times New Roman"/>
                <w:color w:val="auto"/>
                <w:sz w:val="24"/>
                <w:szCs w:val="24"/>
                <w:u w:val="single"/>
                <w:lang w:eastAsia="zh-CN"/>
              </w:rPr>
              <w:t>年3月至4月，选择雨后或阴天进行。种苗做到随取随栽，减少运苗时间，种植前植物根部用黄泥浆或用生根粉等处理，以利于种苗保持水分；适当深栽，以减少水分蒸腾；若主根过长则应截根栽植；压实，使根系和土壤密接。为保证成活率，应由专业队伍进行施工。</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eastAsia="zh-CN"/>
              </w:rPr>
              <w:t>对于临时占用陆生植被的植被恢复，及时撒播葛种子，优先占领生境，后期根据自然演替方向自然恢复，植被恢复期间期间定期清理入侵植物。葛种子繁殖宜在气温稳定在15℃(3月中旬)时进行育苗，薄膜育苗可适当提早。3月下旬开始移植，移植时按单行定植，株距90～100 cm，定植时宜浅植(3～4 cm)并带土移栽，植后灌定根水，亩植500～600株。</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auto"/>
                <w:sz w:val="24"/>
                <w:szCs w:val="24"/>
                <w:u w:val="single"/>
                <w:lang w:eastAsia="zh-CN"/>
              </w:rPr>
            </w:pPr>
            <w:r>
              <w:rPr>
                <w:rFonts w:hint="eastAsia" w:ascii="Times New Roman" w:hAnsi="Times New Roman" w:eastAsia="宋体" w:cs="Times New Roman"/>
                <w:b/>
                <w:bCs/>
                <w:color w:val="auto"/>
                <w:sz w:val="24"/>
                <w:szCs w:val="24"/>
                <w:u w:val="single"/>
                <w:lang w:val="en-US" w:eastAsia="zh-CN"/>
              </w:rPr>
              <w:t>1.2.2</w:t>
            </w:r>
            <w:r>
              <w:rPr>
                <w:rFonts w:hint="default" w:ascii="Times New Roman" w:hAnsi="Times New Roman" w:eastAsia="宋体" w:cs="Times New Roman"/>
                <w:b/>
                <w:bCs/>
                <w:color w:val="auto"/>
                <w:sz w:val="24"/>
                <w:szCs w:val="24"/>
                <w:u w:val="single"/>
                <w:lang w:eastAsia="zh-CN"/>
              </w:rPr>
              <w:t>、对陆生动物保护措施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val="en-US" w:eastAsia="zh-CN"/>
              </w:rPr>
              <w:t>1.2.2.</w:t>
            </w:r>
            <w:r>
              <w:rPr>
                <w:rFonts w:hint="default" w:ascii="Times New Roman" w:hAnsi="Times New Roman" w:eastAsia="宋体" w:cs="Times New Roman"/>
                <w:color w:val="auto"/>
                <w:sz w:val="24"/>
                <w:szCs w:val="24"/>
                <w:u w:val="single"/>
                <w:lang w:val="en-US" w:eastAsia="zh-CN"/>
              </w:rPr>
              <w:t>1</w:t>
            </w:r>
            <w:r>
              <w:rPr>
                <w:rFonts w:hint="default" w:ascii="Times New Roman" w:hAnsi="Times New Roman" w:eastAsia="宋体" w:cs="Times New Roman"/>
                <w:color w:val="auto"/>
                <w:sz w:val="24"/>
                <w:szCs w:val="24"/>
                <w:u w:val="single"/>
                <w:lang w:eastAsia="zh-CN"/>
              </w:rPr>
              <w:t>、避</w:t>
            </w:r>
            <w:r>
              <w:rPr>
                <w:rFonts w:hint="eastAsia" w:ascii="Times New Roman" w:hAnsi="Times New Roman" w:eastAsia="宋体" w:cs="Times New Roman"/>
                <w:color w:val="auto"/>
                <w:sz w:val="24"/>
                <w:szCs w:val="24"/>
                <w:u w:val="single"/>
                <w:lang w:eastAsia="zh-CN"/>
              </w:rPr>
              <w:t>让</w:t>
            </w:r>
            <w:r>
              <w:rPr>
                <w:rFonts w:hint="default" w:ascii="Times New Roman" w:hAnsi="Times New Roman" w:eastAsia="宋体" w:cs="Times New Roman"/>
                <w:color w:val="auto"/>
                <w:sz w:val="24"/>
                <w:szCs w:val="24"/>
                <w:u w:val="single"/>
                <w:lang w:eastAsia="zh-CN"/>
              </w:rPr>
              <w:t>与消减措施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lang w:eastAsia="zh-CN"/>
              </w:rPr>
              <w:t>严格限制作业时间，减少</w:t>
            </w:r>
            <w:r>
              <w:rPr>
                <w:rFonts w:hint="eastAsia" w:ascii="Times New Roman" w:hAnsi="Times New Roman" w:eastAsia="宋体"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lang w:eastAsia="zh-CN"/>
              </w:rPr>
              <w:t>作业噪声对动物的驱赶与惊扰，不得超时超量超区作业，并且夜间停止施工作业。</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lang w:eastAsia="zh-CN"/>
              </w:rPr>
              <w:t>规划实施期间，作业船舶严格管理，必须配备油水分离器、垃圾储存器等环保设施，严禁船舶上的油污水、垃圾、粪便等排入湖内，减少对动物生境的破坏。</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1.2.2.2、恢复与补偿</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lang w:val="en-US" w:eastAsia="zh-CN"/>
              </w:rPr>
              <w:t>结束后开展生态修复，比如湖底平整、种植水生植物莲、芡实等。</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lang w:eastAsia="zh-CN"/>
              </w:rPr>
            </w:pPr>
            <w:r>
              <w:rPr>
                <w:rFonts w:hint="eastAsia" w:ascii="Times New Roman" w:hAnsi="Times New Roman" w:eastAsia="宋体" w:cs="Times New Roman"/>
                <w:color w:val="auto"/>
                <w:sz w:val="24"/>
                <w:szCs w:val="24"/>
                <w:u w:val="single"/>
                <w:lang w:val="en-US" w:eastAsia="zh-CN"/>
              </w:rPr>
              <w:t>1.2.2.3</w:t>
            </w:r>
            <w:r>
              <w:rPr>
                <w:rFonts w:hint="default"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eastAsia="zh-CN"/>
              </w:rPr>
              <w:t>其他</w:t>
            </w:r>
            <w:r>
              <w:rPr>
                <w:rFonts w:hint="default" w:ascii="Times New Roman" w:hAnsi="Times New Roman" w:eastAsia="宋体" w:cs="Times New Roman"/>
                <w:color w:val="auto"/>
                <w:sz w:val="24"/>
                <w:szCs w:val="24"/>
                <w:u w:val="single"/>
                <w:lang w:eastAsia="zh-CN"/>
              </w:rPr>
              <w:t>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lang w:val="en-US" w:eastAsia="zh-CN"/>
              </w:rPr>
              <w:t>1</w:t>
            </w:r>
            <w:r>
              <w:rPr>
                <w:rFonts w:hint="default" w:ascii="Times New Roman" w:hAnsi="Times New Roman" w:eastAsia="宋体" w:cs="Times New Roman"/>
                <w:color w:val="auto"/>
                <w:sz w:val="24"/>
                <w:szCs w:val="24"/>
                <w:u w:val="single"/>
                <w:lang w:eastAsia="zh-CN"/>
              </w:rPr>
              <w:t>）提高施工人员的保护意识，增强对保护动物的保护意识。通过开展讲座或发宣传册等形式，提高施工人员和当地群众对保护动物的保护意识，遵守《中华人民共和国野生动物保护法》，严禁工作人员猎捕。</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lang w:val="en-US" w:eastAsia="zh-CN"/>
              </w:rPr>
              <w:t>2</w:t>
            </w:r>
            <w:r>
              <w:rPr>
                <w:rFonts w:hint="default" w:ascii="Times New Roman" w:hAnsi="Times New Roman" w:eastAsia="宋体" w:cs="Times New Roman"/>
                <w:color w:val="auto"/>
                <w:sz w:val="24"/>
                <w:szCs w:val="24"/>
                <w:u w:val="single"/>
                <w:lang w:eastAsia="zh-CN"/>
              </w:rPr>
              <w:t>）加强船舶废水和生活污水的的管理，船舶收集的废污水禁止未经处理直接排入采区</w:t>
            </w:r>
            <w:r>
              <w:rPr>
                <w:rFonts w:hint="eastAsia" w:ascii="Times New Roman" w:hAnsi="Times New Roman" w:eastAsia="宋体" w:cs="Times New Roman"/>
                <w:color w:val="auto"/>
                <w:sz w:val="24"/>
                <w:szCs w:val="24"/>
                <w:u w:val="single"/>
                <w:lang w:eastAsia="zh-CN"/>
              </w:rPr>
              <w:t>范围</w:t>
            </w:r>
            <w:r>
              <w:rPr>
                <w:rFonts w:hint="default" w:ascii="Times New Roman" w:hAnsi="Times New Roman" w:eastAsia="宋体" w:cs="Times New Roman"/>
                <w:color w:val="auto"/>
                <w:sz w:val="24"/>
                <w:szCs w:val="24"/>
                <w:u w:val="single"/>
                <w:lang w:eastAsia="zh-CN"/>
              </w:rPr>
              <w:t>内。</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lang w:val="en-US" w:eastAsia="zh-CN"/>
              </w:rPr>
              <w:t>3</w:t>
            </w:r>
            <w:r>
              <w:rPr>
                <w:rFonts w:hint="default"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作业</w:t>
            </w:r>
            <w:r>
              <w:rPr>
                <w:rFonts w:hint="default" w:ascii="Times New Roman" w:hAnsi="Times New Roman" w:eastAsia="宋体" w:cs="Times New Roman"/>
                <w:color w:val="auto"/>
                <w:sz w:val="24"/>
                <w:szCs w:val="24"/>
                <w:u w:val="single"/>
                <w:lang w:eastAsia="zh-CN"/>
              </w:rPr>
              <w:t>时一旦发现病伤的野生动物或者被遗弃的幼体、鸟卵等，不得私自处理，要及时通知林业野生动物管理部门，派专业技术人员进行救护。</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lang w:val="en-US" w:eastAsia="zh-CN"/>
              </w:rPr>
              <w:t>1.</w:t>
            </w:r>
            <w:r>
              <w:rPr>
                <w:rFonts w:hint="eastAsia" w:ascii="Times New Roman" w:hAnsi="Times New Roman" w:cs="Times New Roman"/>
                <w:b/>
                <w:bCs/>
                <w:color w:val="auto"/>
                <w:sz w:val="24"/>
                <w:szCs w:val="24"/>
                <w:u w:val="single"/>
                <w:lang w:val="en-US" w:eastAsia="zh-CN"/>
              </w:rPr>
              <w:t>3</w:t>
            </w:r>
            <w:r>
              <w:rPr>
                <w:rFonts w:hint="eastAsia" w:ascii="Times New Roman" w:hAnsi="Times New Roman" w:eastAsia="宋体" w:cs="Times New Roman"/>
                <w:b/>
                <w:bCs/>
                <w:color w:val="auto"/>
                <w:sz w:val="24"/>
                <w:szCs w:val="24"/>
                <w:u w:val="single"/>
                <w:lang w:val="en-US" w:eastAsia="zh-CN"/>
              </w:rPr>
              <w:t>、</w:t>
            </w:r>
            <w:r>
              <w:rPr>
                <w:rFonts w:hint="default" w:ascii="Times New Roman" w:hAnsi="Times New Roman" w:eastAsia="宋体" w:cs="Times New Roman"/>
                <w:b/>
                <w:bCs/>
                <w:color w:val="auto"/>
                <w:sz w:val="24"/>
                <w:szCs w:val="24"/>
                <w:u w:val="single"/>
              </w:rPr>
              <w:t>对水域生态环境保护措施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1.3.</w:t>
            </w:r>
            <w:r>
              <w:rPr>
                <w:rFonts w:hint="default" w:ascii="Times New Roman" w:hAnsi="Times New Roman" w:eastAsia="宋体" w:cs="Times New Roman"/>
                <w:color w:val="auto"/>
                <w:sz w:val="24"/>
                <w:szCs w:val="24"/>
                <w:u w:val="single"/>
              </w:rPr>
              <w:t>1、避免与消减措施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（1）施工船</w:t>
            </w:r>
            <w:r>
              <w:rPr>
                <w:rFonts w:hint="eastAsia" w:ascii="Times New Roman" w:hAnsi="Times New Roman" w:cs="Times New Roman"/>
                <w:color w:val="auto"/>
                <w:sz w:val="24"/>
                <w:szCs w:val="24"/>
                <w:u w:val="single"/>
                <w:lang w:val="en-US" w:eastAsia="zh-CN"/>
              </w:rPr>
              <w:t>只</w:t>
            </w:r>
            <w:r>
              <w:rPr>
                <w:rFonts w:hint="default" w:ascii="Times New Roman" w:hAnsi="Times New Roman" w:eastAsia="宋体" w:cs="Times New Roman"/>
                <w:color w:val="auto"/>
                <w:sz w:val="24"/>
                <w:szCs w:val="24"/>
                <w:u w:val="single"/>
              </w:rPr>
              <w:t>选用低噪、高配置船只，对施工船只进行严格登记管理，避免其他非</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船只的涉水影响；</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w:t>
            </w:r>
            <w:r>
              <w:rPr>
                <w:rFonts w:hint="eastAsia" w:ascii="Times New Roman" w:hAnsi="Times New Roman" w:cs="Times New Roman"/>
                <w:color w:val="auto"/>
                <w:sz w:val="24"/>
                <w:szCs w:val="24"/>
                <w:u w:val="single"/>
                <w:lang w:val="en-US" w:eastAsia="zh-CN"/>
              </w:rPr>
              <w:t>2</w:t>
            </w:r>
            <w:r>
              <w:rPr>
                <w:rFonts w:hint="default" w:ascii="Times New Roman" w:hAnsi="Times New Roman" w:eastAsia="宋体" w:cs="Times New Roman"/>
                <w:color w:val="auto"/>
                <w:sz w:val="24"/>
                <w:szCs w:val="24"/>
                <w:u w:val="single"/>
              </w:rPr>
              <w:t>）合理安排</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时间，尽可能避免产生持续噪声对鱼类等水生生物的影响。</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1.3.</w:t>
            </w:r>
            <w:r>
              <w:rPr>
                <w:rFonts w:hint="default" w:ascii="Times New Roman" w:hAnsi="Times New Roman" w:eastAsia="宋体" w:cs="Times New Roman"/>
                <w:color w:val="auto"/>
                <w:sz w:val="24"/>
                <w:szCs w:val="24"/>
                <w:u w:val="single"/>
              </w:rPr>
              <w:t>2、恢复与补偿措施</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水生态修复是通过一系列措施，将已经退化或损坏的水生态系统恢复、修复，使其基本达到原有水平或超过原有水平，并保持其长久稳定。一般而言，水生态修复措施分为人工修复和自然修复，对于损失或破坏较为严重的区域，以人工修复为主辅以自然修复，对于轻微的生态损害则以保护和自然修复为主。考虑到本工程的作业性质和范围，其施工必然会对施工水域内的湖泊底质产生本质的损害，虽然施工时间较短。因此，弄清施工水域原有的湖泊底质类型、水生生物（尤其是鱼类和底栖生物）群落结构，掌握施工水域原有的水文情况，则是下一步人工修复的主要参考依据和基础。针对本工程施工可能对该水域带来的不利影响，工程施工完成后的生态修复以人工修复为主，可以将原有施工区域的水生态环境恢复到较好的水平，人工修复措施以湖泊底质修复和水生生物群落修复为主，具体修复内容如下。</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（1）湖泊底质修复</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根据施工前期的原位底质观测结果，弄清施工后施工水域湖泊底质现状，针对施工前后湖泊底质所发生的改变（湖泊底质硬度、充塞度、湖泊高程）提出针对性的修复措施，例如采用底质填埋、人工鱼巢建设等措施，可使施工水域内的湖泊底质恢复到一个较好的水平。</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（2）水生植被和底栖动物恢复</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对因</w:t>
            </w:r>
            <w:r>
              <w:rPr>
                <w:rFonts w:hint="eastAsia" w:ascii="Times New Roman" w:hAnsi="Times New Roman" w:cs="Times New Roman"/>
                <w:color w:val="auto"/>
                <w:sz w:val="24"/>
                <w:szCs w:val="24"/>
                <w:u w:val="single"/>
                <w:lang w:val="en-US" w:eastAsia="zh-CN"/>
              </w:rPr>
              <w:t>清淤</w:t>
            </w:r>
            <w:r>
              <w:rPr>
                <w:rFonts w:hint="default" w:ascii="Times New Roman" w:hAnsi="Times New Roman" w:eastAsia="宋体" w:cs="Times New Roman"/>
                <w:color w:val="auto"/>
                <w:sz w:val="24"/>
                <w:szCs w:val="24"/>
                <w:u w:val="single"/>
              </w:rPr>
              <w:t>工程施工导致底栖动物损失和底栖生态系统破坏的区域，拟采取底栖动物引种增殖。即收集工程区其它区域底栖动物分散投放至水下</w:t>
            </w:r>
            <w:r>
              <w:rPr>
                <w:rFonts w:hint="eastAsia" w:ascii="Times New Roman" w:hAnsi="Times New Roman"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区、采集周边区域水生维管束植物根茎、种子在采区进行引种种植，加速底栖生态系统和近岸水域水生维管束植物群落的修复。底栖动物收集、投放种类以评价区常见的种类为主（蚌类、螺类等）。水生植被恢复遵循陆生-湿生-沼生植物-挺水植物-浮水植物-沉水植物（由湖岸带至水域）的规律。种植优势种为芡实、莲、芦苇等（根据具体实施可以进行调整）。</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（3）增殖放流</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增殖放流工作应根据《中国水生生物资源养护行动纲要》、《水生生物增殖放流管理规定》。放流种苗供应单位应选择信誉良好、管理规范、具备相应的技术力量的国家级或省级水产原良种场和良种繁育场、渔业资源增殖站、野生水生生物驯养繁殖基地或救护中心以及其他具有相关资质的种苗生产单位，必要时可通过招标形式确定。放流的幼鱼必须是由野生亲本人工繁殖的子一代。放流种类必须是无伤残和病害、体格健壮，符合渔业行政主管部门制定放流苗种种质技术规范。放流前，种苗供应单位应提供放流种苗种质鉴定和疫病检验检疫报告，以保证用于增殖放流种苗的质量，避免对增殖放流水域生态造成不良影响。鱼类放流活动应与当地水利水产管理机构协调，并在该机构的监督与指导下进行。</w:t>
            </w:r>
          </w:p>
          <w:p>
            <w:pPr>
              <w:keepNext w:val="0"/>
              <w:keepLines w:val="0"/>
              <w:pageBreakBefore w:val="0"/>
              <w:tabs>
                <w:tab w:val="left" w:pos="8550"/>
              </w:tabs>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增殖放流对象主要包括翘嘴鲌、鳜等鱼类，以及鲢、鳙等净水鱼类。</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u w:val="none"/>
              </w:rPr>
            </w:pPr>
            <w:r>
              <w:rPr>
                <w:rFonts w:hint="eastAsia" w:ascii="Times New Roman" w:hAnsi="Times New Roman" w:eastAsia="宋体" w:cs="Times New Roman"/>
                <w:b/>
                <w:bCs/>
                <w:color w:val="auto"/>
                <w:sz w:val="24"/>
                <w:szCs w:val="24"/>
                <w:u w:val="none"/>
                <w:lang w:val="en-US" w:eastAsia="zh-CN"/>
              </w:rPr>
              <w:t>2、</w:t>
            </w:r>
            <w:r>
              <w:rPr>
                <w:rFonts w:hint="default" w:ascii="Times New Roman" w:hAnsi="Times New Roman" w:eastAsia="宋体" w:cs="Times New Roman"/>
                <w:b/>
                <w:bCs/>
                <w:color w:val="auto"/>
                <w:sz w:val="24"/>
                <w:szCs w:val="24"/>
                <w:u w:val="none"/>
              </w:rPr>
              <w:t>大气污染防治措施</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u w:val="none"/>
              </w:rPr>
            </w:pPr>
            <w:r>
              <w:rPr>
                <w:rFonts w:hint="eastAsia" w:ascii="Times New Roman" w:hAnsi="Times New Roman" w:eastAsia="宋体" w:cs="Times New Roman"/>
                <w:bCs/>
                <w:color w:val="auto"/>
                <w:sz w:val="24"/>
                <w:szCs w:val="24"/>
                <w:u w:val="none"/>
                <w:lang w:eastAsia="zh-CN"/>
              </w:rPr>
              <w:t>（</w:t>
            </w:r>
            <w:r>
              <w:rPr>
                <w:rFonts w:hint="eastAsia" w:ascii="Times New Roman" w:hAnsi="Times New Roman" w:eastAsia="宋体" w:cs="Times New Roman"/>
                <w:bCs/>
                <w:color w:val="auto"/>
                <w:sz w:val="24"/>
                <w:szCs w:val="24"/>
                <w:u w:val="none"/>
                <w:lang w:val="en-US" w:eastAsia="zh-CN"/>
              </w:rPr>
              <w:t>1</w:t>
            </w:r>
            <w:r>
              <w:rPr>
                <w:rFonts w:hint="eastAsia" w:ascii="Times New Roman" w:hAnsi="Times New Roman" w:eastAsia="宋体" w:cs="Times New Roman"/>
                <w:bCs/>
                <w:color w:val="auto"/>
                <w:sz w:val="24"/>
                <w:szCs w:val="24"/>
                <w:u w:val="none"/>
                <w:lang w:eastAsia="zh-CN"/>
              </w:rPr>
              <w:t>）</w:t>
            </w:r>
            <w:r>
              <w:rPr>
                <w:rFonts w:hint="default" w:ascii="Times New Roman" w:hAnsi="Times New Roman" w:eastAsia="宋体" w:cs="Times New Roman"/>
                <w:bCs/>
                <w:color w:val="auto"/>
                <w:sz w:val="24"/>
                <w:szCs w:val="24"/>
                <w:u w:val="none"/>
              </w:rPr>
              <w:t>燃油设备尾气</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u w:val="none"/>
              </w:rPr>
            </w:pPr>
            <w:r>
              <w:rPr>
                <w:rFonts w:hint="default" w:ascii="Times New Roman" w:hAnsi="Times New Roman" w:eastAsia="宋体" w:cs="Times New Roman"/>
                <w:bCs/>
                <w:color w:val="auto"/>
                <w:sz w:val="24"/>
                <w:szCs w:val="24"/>
                <w:u w:val="none"/>
              </w:rPr>
              <w:t>加强大型施工机械、车辆及船舶的管理。承包商所有燃油机械和车辆尾气排放均应达到《轻型汽车污染物排放限值及测量方法（中国第六阶段）》（GB 18352.6-2016）、《重型柴油车污染物排放限值及测量方法（中国第六阶段）》（GB 17691—2018）排放标准要求和《油品运输大气污染物排放标准》（GB 20951-2020）中的排放标准；施工机械、车辆及船舶使用优质燃料。严格执行《在用汽车报废标准》，推行强制更新报废制度。特别是对发动机耗油多、效率低、排放尾气严重超标的老旧车辆，应予更新。机械及运输车辆要定时保养，调整到最佳状态运行。</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bCs/>
                <w:color w:val="auto"/>
                <w:sz w:val="24"/>
                <w:szCs w:val="24"/>
                <w:u w:val="none"/>
              </w:rPr>
            </w:pPr>
            <w:r>
              <w:rPr>
                <w:rFonts w:hint="default" w:ascii="Times New Roman" w:hAnsi="Times New Roman" w:eastAsia="宋体" w:cs="Times New Roman"/>
                <w:bCs/>
                <w:color w:val="auto"/>
                <w:sz w:val="24"/>
                <w:szCs w:val="24"/>
                <w:u w:val="none"/>
              </w:rPr>
              <w:t>在施工期间通过加强施工机械和车辆的管理，执行定期检查维护制度，提前规划好运输线路，尽量避开周边居民住宅等环境敏感目标的等措施；施工机械使用无铅汽油等优质燃料、严禁使用劣质油品，杜绝冒黑烟现象；使施工期间车辆尾气对环境的污染减少到最低程度。另外，机械燃油废气将随着施工结束后影响消除。</w:t>
            </w:r>
          </w:p>
          <w:p>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rPr>
              <w:t>（2）施工</w:t>
            </w:r>
            <w:r>
              <w:rPr>
                <w:rFonts w:hint="eastAsia" w:ascii="Times New Roman" w:hAnsi="Times New Roman" w:cs="Times New Roman"/>
                <w:color w:val="auto"/>
                <w:sz w:val="24"/>
                <w:szCs w:val="24"/>
                <w:u w:val="none"/>
                <w:lang w:val="en-US" w:eastAsia="zh-CN"/>
              </w:rPr>
              <w:t>扬尘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为使施工过程中产生的粉尘、扬尘影响降低到最低程度，减少施工扬尘对周围环境敏感点的影响，保护大气环境，施工单位应严格按照《岳阳市扬尘污染防治条例》（2019年12月1日）要求，对扬尘控制采取如下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1）施工现场出入口应当公示扬尘污染防治措施、负责人，扬尘监督管理部门以及举报电话等信息；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2）城市主要路段、一般路段的施工工地应当分别设置高度不低于二点五米、一点八米的硬质封闭围挡或者围墙；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3）施工工地的出入口通道内侧安装车辆冲洗设施和污水沉淀池，并定期清扫周边道路，保证出场车辆和周边道路洁净；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4）对施工工地出入口、主要道路、加工区和物料堆放场地进行硬化并辅以喷淋洒水等措施，对其他场地进行覆盖或者临时绿化；</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5）对易产生扬尘污染的建筑材料密闭存放或者集中、分类堆放，采取覆盖、喷淋洒水等有效防尘措施，并使用专业车辆运输；</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6）对建筑垃圾、建筑土石方及其他废弃物应当在四十八小时内运到指定地点处置，不能及时清运的，应当采取防尘网或者防尘布等覆盖措施；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7）按照市人民政府的规定使用预拌混凝土、预拌砂浆；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8）采取分段作业、择时施工、洒水防尘等措施，降低扬尘污染。</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9）建设用地范围内的裸露泥地，应当进行绿化，不具备绿化条件的，应当实施硬化或者覆盖。</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hint="default" w:ascii="Times New Roman" w:hAnsi="Times New Roman" w:eastAsia="宋体" w:cs="Times New Roman"/>
                <w:color w:val="auto"/>
                <w:sz w:val="24"/>
                <w:u w:val="single"/>
                <w:lang w:val="en-US" w:eastAsia="zh-CN"/>
              </w:rPr>
            </w:pPr>
            <w:r>
              <w:rPr>
                <w:rFonts w:hint="eastAsia" w:ascii="Times New Roman" w:hAnsi="Times New Roman" w:cs="Times New Roman"/>
                <w:color w:val="auto"/>
                <w:sz w:val="24"/>
                <w:u w:val="single"/>
                <w:lang w:val="en-US" w:eastAsia="zh-CN"/>
              </w:rPr>
              <w:t>10）严格执行“6个100%”要求，持续提升各类施工工地扬尘污染防治精细化、规范化管理水平。</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经采取上述措施后，施工期扬尘能得到有效控制，可有效缓解对周围环境的影响，因此，扬尘污染控制措施可行。</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3</w:t>
            </w:r>
            <w:r>
              <w:rPr>
                <w:rFonts w:hint="eastAsia" w:ascii="Times New Roman" w:hAnsi="Times New Roman" w:cs="Times New Roman"/>
                <w:color w:val="auto"/>
                <w:sz w:val="24"/>
                <w:szCs w:val="24"/>
                <w:u w:val="none"/>
                <w:lang w:eastAsia="zh-CN"/>
              </w:rPr>
              <w:t>）</w:t>
            </w:r>
            <w:r>
              <w:rPr>
                <w:rFonts w:hint="default" w:ascii="Times New Roman" w:hAnsi="Times New Roman" w:eastAsia="宋体" w:cs="Times New Roman"/>
                <w:color w:val="auto"/>
                <w:sz w:val="24"/>
                <w:szCs w:val="24"/>
                <w:u w:val="none"/>
              </w:rPr>
              <w:t>车辆运输</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①加强“三车”管理，土方运输车、混凝土搅拌车、物料运输车辆上路前必须进行车身、轮胎冲洗，物料遮盖，确保无抛撒滴漏。</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②加强各类道路施工扬尘污染防治，全面落实围挡、洒水、冲洗、裸土覆盖、土方运输密闭等措施，切实减轻扬尘污染。将道路施工中吹灰等易导致扬尘的操作改为吸尘、冲洗等操作。</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③运输车辆过程中要用挡板和蓬布严格密闭运输，车辆不应装载过满，以免在运输途中震动洒落。并在无雨天气时对施工道路每日进行洒水4～6次，有风天气应适当增加洒水频次。</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4</w:t>
            </w:r>
            <w:r>
              <w:rPr>
                <w:rFonts w:hint="eastAsia" w:ascii="Times New Roman" w:hAnsi="Times New Roman" w:eastAsia="宋体"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清淤</w:t>
            </w:r>
            <w:r>
              <w:rPr>
                <w:rFonts w:hint="default" w:ascii="Times New Roman" w:hAnsi="Times New Roman" w:eastAsia="宋体" w:cs="Times New Roman"/>
                <w:color w:val="auto"/>
                <w:sz w:val="24"/>
                <w:szCs w:val="24"/>
                <w:u w:val="none"/>
              </w:rPr>
              <w:t>恶臭</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eastAsia" w:ascii="Times New Roman" w:hAnsi="Times New Roman" w:cs="Times New Roman"/>
                <w:color w:val="auto"/>
                <w:sz w:val="24"/>
                <w:szCs w:val="24"/>
                <w:u w:val="none"/>
                <w:lang w:val="en-US" w:eastAsia="zh-CN"/>
              </w:rPr>
              <w:t>清淤</w:t>
            </w:r>
            <w:r>
              <w:rPr>
                <w:rFonts w:hint="default" w:ascii="Times New Roman" w:hAnsi="Times New Roman" w:eastAsia="宋体" w:cs="Times New Roman"/>
                <w:color w:val="auto"/>
                <w:sz w:val="24"/>
                <w:szCs w:val="24"/>
                <w:u w:val="none"/>
              </w:rPr>
              <w:t>恶臭通过输送和堆置环节进行控制：</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①输送：输泥管采用全密闭压力管道输送；如遇高温等不利气象条件，可在管道中投加投加强氧化剂，在密闭管道系统中进行混合反应，将还原态臭味物质氧化去除，减少臭气排放。</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②堆放：对场界进行围挡，减少恶臭的扩散；施工结束后，及时复耕。</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u w:val="none"/>
              </w:rPr>
            </w:pPr>
            <w:r>
              <w:rPr>
                <w:rFonts w:hint="eastAsia" w:ascii="Times New Roman" w:hAnsi="Times New Roman" w:eastAsia="宋体" w:cs="Times New Roman"/>
                <w:b/>
                <w:bCs/>
                <w:color w:val="auto"/>
                <w:sz w:val="24"/>
                <w:szCs w:val="24"/>
                <w:u w:val="none"/>
                <w:lang w:val="en-US" w:eastAsia="zh-CN"/>
              </w:rPr>
              <w:t>3、</w:t>
            </w:r>
            <w:r>
              <w:rPr>
                <w:rFonts w:hint="default" w:ascii="Times New Roman" w:hAnsi="Times New Roman" w:eastAsia="宋体" w:cs="Times New Roman"/>
                <w:b/>
                <w:bCs/>
                <w:color w:val="auto"/>
                <w:sz w:val="24"/>
                <w:szCs w:val="24"/>
                <w:u w:val="none"/>
              </w:rPr>
              <w:t>水污染防治措施</w:t>
            </w:r>
          </w:p>
          <w:p>
            <w:pPr>
              <w:keepNext w:val="0"/>
              <w:keepLines w:val="0"/>
              <w:pageBreakBefore w:val="0"/>
              <w:kinsoku/>
              <w:wordWrap/>
              <w:overflowPunct/>
              <w:topLinePunct w:val="0"/>
              <w:autoSpaceDE w:val="0"/>
              <w:autoSpaceDN w:val="0"/>
              <w:bidi w:val="0"/>
              <w:spacing w:line="360" w:lineRule="auto"/>
              <w:ind w:firstLine="480" w:firstLineChars="200"/>
              <w:textAlignment w:val="auto"/>
              <w:rPr>
                <w:rFonts w:hint="eastAsia" w:ascii="Times New Roman" w:hAnsi="Times New Roman" w:cs="Times New Roman"/>
                <w:color w:val="auto"/>
                <w:kern w:val="0"/>
                <w:sz w:val="24"/>
                <w:szCs w:val="24"/>
                <w:u w:val="single"/>
                <w:lang w:val="en-US" w:eastAsia="zh-CN"/>
              </w:rPr>
            </w:pPr>
            <w:r>
              <w:rPr>
                <w:rFonts w:hint="eastAsia" w:ascii="Times New Roman" w:hAnsi="Times New Roman" w:cs="Times New Roman"/>
                <w:color w:val="auto"/>
                <w:kern w:val="0"/>
                <w:sz w:val="24"/>
                <w:szCs w:val="24"/>
                <w:u w:val="single"/>
                <w:lang w:eastAsia="zh-CN"/>
              </w:rPr>
              <w:t>（</w:t>
            </w:r>
            <w:r>
              <w:rPr>
                <w:rFonts w:hint="eastAsia" w:ascii="Times New Roman" w:hAnsi="Times New Roman" w:cs="Times New Roman"/>
                <w:color w:val="auto"/>
                <w:kern w:val="0"/>
                <w:sz w:val="24"/>
                <w:szCs w:val="24"/>
                <w:u w:val="single"/>
                <w:lang w:val="en-US" w:eastAsia="zh-CN"/>
              </w:rPr>
              <w:t>1</w:t>
            </w:r>
            <w:r>
              <w:rPr>
                <w:rFonts w:hint="eastAsia" w:ascii="Times New Roman" w:hAnsi="Times New Roman" w:cs="Times New Roman"/>
                <w:color w:val="auto"/>
                <w:kern w:val="0"/>
                <w:sz w:val="24"/>
                <w:szCs w:val="24"/>
                <w:u w:val="single"/>
                <w:lang w:eastAsia="zh-CN"/>
              </w:rPr>
              <w:t>）</w:t>
            </w:r>
            <w:r>
              <w:rPr>
                <w:rFonts w:hint="eastAsia" w:ascii="Times New Roman" w:hAnsi="Times New Roman" w:cs="Times New Roman"/>
                <w:color w:val="auto"/>
                <w:kern w:val="0"/>
                <w:sz w:val="24"/>
                <w:szCs w:val="24"/>
                <w:u w:val="single"/>
                <w:lang w:val="en-US" w:eastAsia="zh-CN"/>
              </w:rPr>
              <w:t>生活污水</w:t>
            </w:r>
          </w:p>
          <w:p>
            <w:pPr>
              <w:keepNext w:val="0"/>
              <w:keepLines w:val="0"/>
              <w:pageBreakBefore w:val="0"/>
              <w:kinsoku/>
              <w:wordWrap/>
              <w:overflowPunct/>
              <w:topLinePunct w:val="0"/>
              <w:autoSpaceDE w:val="0"/>
              <w:autoSpaceDN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kern w:val="0"/>
                <w:sz w:val="24"/>
                <w:szCs w:val="24"/>
                <w:u w:val="single"/>
              </w:rPr>
              <w:t>施工期生活污水排放量相对较少，且无特殊有毒物质，</w:t>
            </w:r>
            <w:r>
              <w:rPr>
                <w:rFonts w:hint="default" w:ascii="Times New Roman" w:hAnsi="Times New Roman" w:eastAsia="宋体" w:cs="Times New Roman"/>
                <w:color w:val="auto"/>
                <w:sz w:val="24"/>
                <w:szCs w:val="24"/>
                <w:u w:val="single"/>
              </w:rPr>
              <w:t>经化粪池处理后用于周边农田旱地施肥。</w:t>
            </w:r>
          </w:p>
          <w:p>
            <w:pPr>
              <w:pStyle w:val="9"/>
              <w:pageBreakBefore w:val="0"/>
              <w:widowControl w:val="0"/>
              <w:numPr>
                <w:ilvl w:val="3"/>
                <w:numId w:val="0"/>
              </w:numPr>
              <w:kinsoku/>
              <w:wordWrap/>
              <w:overflowPunct/>
              <w:topLinePunct w:val="0"/>
              <w:bidi w:val="0"/>
              <w:adjustRightInd/>
              <w:snapToGrid/>
              <w:spacing w:before="0" w:line="360" w:lineRule="auto"/>
              <w:ind w:leftChars="200"/>
              <w:textAlignment w:val="auto"/>
              <w:rPr>
                <w:rFonts w:hint="default" w:ascii="Times New Roman" w:hAnsi="Times New Roman" w:eastAsia="宋体" w:cs="Times New Roman"/>
                <w:b w:val="0"/>
                <w:bCs w:val="0"/>
                <w:color w:val="auto"/>
                <w:sz w:val="24"/>
                <w:szCs w:val="24"/>
                <w:u w:val="single"/>
              </w:rPr>
            </w:pPr>
            <w:r>
              <w:rPr>
                <w:rFonts w:hint="eastAsia" w:ascii="Times New Roman" w:hAnsi="Times New Roman" w:eastAsia="宋体" w:cs="Times New Roman"/>
                <w:b w:val="0"/>
                <w:bCs w:val="0"/>
                <w:color w:val="auto"/>
                <w:sz w:val="24"/>
                <w:szCs w:val="24"/>
                <w:u w:val="single"/>
                <w:lang w:eastAsia="zh-CN"/>
              </w:rPr>
              <w:t>（</w:t>
            </w:r>
            <w:r>
              <w:rPr>
                <w:rFonts w:hint="eastAsia" w:ascii="Times New Roman" w:hAnsi="Times New Roman" w:eastAsia="宋体" w:cs="Times New Roman"/>
                <w:b w:val="0"/>
                <w:bCs w:val="0"/>
                <w:color w:val="auto"/>
                <w:sz w:val="24"/>
                <w:szCs w:val="24"/>
                <w:u w:val="single"/>
                <w:lang w:val="en-US" w:eastAsia="zh-CN"/>
              </w:rPr>
              <w:t>2</w:t>
            </w:r>
            <w:r>
              <w:rPr>
                <w:rFonts w:hint="eastAsia" w:ascii="Times New Roman" w:hAnsi="Times New Roman" w:eastAsia="宋体" w:cs="Times New Roman"/>
                <w:b w:val="0"/>
                <w:bCs w:val="0"/>
                <w:color w:val="auto"/>
                <w:sz w:val="24"/>
                <w:szCs w:val="24"/>
                <w:u w:val="single"/>
                <w:lang w:eastAsia="zh-CN"/>
              </w:rPr>
              <w:t>）</w:t>
            </w:r>
            <w:r>
              <w:rPr>
                <w:rFonts w:hint="default" w:ascii="Times New Roman" w:hAnsi="Times New Roman" w:eastAsia="宋体" w:cs="Times New Roman"/>
                <w:b w:val="0"/>
                <w:bCs w:val="0"/>
                <w:color w:val="auto"/>
                <w:sz w:val="24"/>
                <w:szCs w:val="24"/>
                <w:u w:val="single"/>
              </w:rPr>
              <w:t>船舶污水</w:t>
            </w:r>
          </w:p>
          <w:p>
            <w:pPr>
              <w:pageBreakBefore w:val="0"/>
              <w:widowControl w:val="0"/>
              <w:kinsoku/>
              <w:wordWrap/>
              <w:overflowPunct/>
              <w:topLinePunct w:val="0"/>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水上作业的各类</w:t>
            </w:r>
            <w:r>
              <w:rPr>
                <w:rFonts w:hint="eastAsia" w:ascii="Times New Roman" w:hAnsi="Times New Roman" w:eastAsia="宋体" w:cs="Times New Roman"/>
                <w:color w:val="auto"/>
                <w:sz w:val="24"/>
                <w:szCs w:val="24"/>
                <w:u w:val="single"/>
                <w:lang w:val="en-US" w:eastAsia="zh-CN"/>
              </w:rPr>
              <w:t>船只</w:t>
            </w:r>
            <w:r>
              <w:rPr>
                <w:rFonts w:hint="default" w:ascii="Times New Roman" w:hAnsi="Times New Roman" w:eastAsia="宋体" w:cs="Times New Roman"/>
                <w:color w:val="auto"/>
                <w:sz w:val="24"/>
                <w:szCs w:val="24"/>
                <w:u w:val="single"/>
              </w:rPr>
              <w:t>的船边沿应镶有一定高度的防护铁板沿边，防止船体甲板面的油污水溢流泄露漫流入河水中；</w:t>
            </w:r>
            <w:r>
              <w:rPr>
                <w:rFonts w:hint="eastAsia" w:ascii="Times New Roman" w:hAnsi="Times New Roman" w:eastAsia="宋体" w:cs="Times New Roman"/>
                <w:color w:val="auto"/>
                <w:sz w:val="24"/>
                <w:szCs w:val="24"/>
                <w:u w:val="single"/>
                <w:lang w:val="en-US" w:eastAsia="zh-CN"/>
              </w:rPr>
              <w:t>施工</w:t>
            </w:r>
            <w:r>
              <w:rPr>
                <w:rFonts w:hint="default" w:ascii="Times New Roman" w:hAnsi="Times New Roman" w:eastAsia="宋体" w:cs="Times New Roman"/>
                <w:color w:val="auto"/>
                <w:sz w:val="24"/>
                <w:szCs w:val="24"/>
                <w:u w:val="single"/>
              </w:rPr>
              <w:t>作业拟采用</w:t>
            </w:r>
            <w:r>
              <w:rPr>
                <w:rFonts w:hint="eastAsia" w:ascii="Times New Roman" w:hAnsi="Times New Roman" w:eastAsia="宋体" w:cs="Times New Roman"/>
                <w:color w:val="auto"/>
                <w:sz w:val="24"/>
                <w:szCs w:val="24"/>
                <w:u w:val="single"/>
                <w:lang w:val="en-US" w:eastAsia="zh-CN"/>
              </w:rPr>
              <w:t>船只</w:t>
            </w:r>
            <w:r>
              <w:rPr>
                <w:rFonts w:hint="default" w:ascii="Times New Roman" w:hAnsi="Times New Roman" w:eastAsia="宋体" w:cs="Times New Roman"/>
                <w:color w:val="auto"/>
                <w:sz w:val="24"/>
                <w:szCs w:val="24"/>
                <w:u w:val="single"/>
              </w:rPr>
              <w:t>均应自带油水分离器，</w:t>
            </w:r>
            <w:r>
              <w:rPr>
                <w:rFonts w:hint="default" w:ascii="Times New Roman" w:hAnsi="Times New Roman" w:eastAsia="宋体" w:cs="Times New Roman"/>
                <w:color w:val="auto"/>
                <w:sz w:val="24"/>
                <w:szCs w:val="24"/>
                <w:u w:val="single"/>
                <w:lang w:eastAsia="zh-CN"/>
              </w:rPr>
              <w:t>白泥湖、范家坝湖、三汊港湖</w:t>
            </w:r>
            <w:r>
              <w:rPr>
                <w:rFonts w:hint="default" w:ascii="Times New Roman" w:hAnsi="Times New Roman" w:eastAsia="宋体" w:cs="Times New Roman"/>
                <w:color w:val="auto"/>
                <w:sz w:val="24"/>
                <w:szCs w:val="24"/>
                <w:u w:val="single"/>
              </w:rPr>
              <w:t>采区含油污水经油水分离器处理后的浮油渣暂存于船舶自备的容器中，送油污水接收船或岸上的油污水接收单位接收处理；水上各类作业机械维修时，应拖到陆地上的固定区域进行维修，并做好油水、废水与其它固体废物的收集，并妥善处理，防止污染水体。</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szCs w:val="24"/>
                <w:u w:val="single"/>
              </w:rPr>
            </w:pPr>
            <w:r>
              <w:rPr>
                <w:rFonts w:hint="eastAsia" w:ascii="Times New Roman" w:hAnsi="Times New Roman" w:eastAsia="宋体" w:cs="Times New Roman"/>
                <w:bCs/>
                <w:color w:val="auto"/>
                <w:sz w:val="24"/>
                <w:szCs w:val="24"/>
                <w:u w:val="single"/>
                <w:lang w:eastAsia="zh-CN"/>
              </w:rPr>
              <w:t>（</w:t>
            </w:r>
            <w:r>
              <w:rPr>
                <w:rFonts w:hint="eastAsia" w:ascii="Times New Roman" w:hAnsi="Times New Roman" w:eastAsia="宋体" w:cs="Times New Roman"/>
                <w:bCs/>
                <w:color w:val="auto"/>
                <w:sz w:val="24"/>
                <w:szCs w:val="24"/>
                <w:u w:val="single"/>
                <w:lang w:val="en-US" w:eastAsia="zh-CN"/>
              </w:rPr>
              <w:t>3</w:t>
            </w:r>
            <w:r>
              <w:rPr>
                <w:rFonts w:hint="eastAsia" w:ascii="Times New Roman" w:hAnsi="Times New Roman" w:eastAsia="宋体"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rPr>
              <w:t>车辆冲洗废水</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default" w:ascii="Times New Roman" w:hAnsi="Times New Roman" w:eastAsia="宋体" w:cs="Times New Roman"/>
                <w:bCs/>
                <w:color w:val="auto"/>
                <w:sz w:val="24"/>
                <w:szCs w:val="24"/>
                <w:u w:val="single"/>
              </w:rPr>
            </w:pPr>
            <w:r>
              <w:rPr>
                <w:rFonts w:hint="default" w:ascii="Times New Roman" w:hAnsi="Times New Roman" w:eastAsia="宋体" w:cs="Times New Roman"/>
                <w:bCs/>
                <w:color w:val="auto"/>
                <w:sz w:val="24"/>
                <w:szCs w:val="24"/>
                <w:u w:val="single"/>
              </w:rPr>
              <w:t>本工程车辆修理保养主要利用当地机修厂的已有设施，施工现场仅日常维修养护。底泥处理系统及弃料堆场出入口需配备车辆冲洗设施，车辆冲洗废水主要污染物为SS和石油类，排放方式为间歇性排放。</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Times New Roman" w:hAnsi="Times New Roman" w:eastAsia="宋体" w:cs="Times New Roman"/>
                <w:bCs/>
                <w:color w:val="auto"/>
                <w:sz w:val="24"/>
                <w:szCs w:val="24"/>
                <w:u w:val="single"/>
                <w:lang w:eastAsia="zh-CN"/>
              </w:rPr>
            </w:pPr>
            <w:r>
              <w:rPr>
                <w:rFonts w:hint="default" w:ascii="Times New Roman" w:hAnsi="Times New Roman" w:eastAsia="宋体" w:cs="Times New Roman"/>
                <w:bCs/>
                <w:color w:val="auto"/>
                <w:sz w:val="24"/>
                <w:szCs w:val="24"/>
                <w:u w:val="single"/>
              </w:rPr>
              <w:t>拟采用沉砂池处理车辆冲洗水，经沉淀处理后回用于车辆清洗，不外排</w:t>
            </w:r>
            <w:r>
              <w:rPr>
                <w:rFonts w:hint="eastAsia" w:ascii="Times New Roman" w:hAnsi="Times New Roman" w:cs="Times New Roman"/>
                <w:bCs/>
                <w:color w:val="auto"/>
                <w:sz w:val="24"/>
                <w:szCs w:val="24"/>
                <w:u w:val="single"/>
                <w:lang w:eastAsia="zh-CN"/>
              </w:rPr>
              <w:t>。</w:t>
            </w:r>
          </w:p>
          <w:p>
            <w:pPr>
              <w:pStyle w:val="10"/>
              <w:pageBreakBefore w:val="0"/>
              <w:numPr>
                <w:ilvl w:val="5"/>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b w:val="0"/>
                <w:bCs w:val="0"/>
                <w:color w:val="auto"/>
                <w:sz w:val="24"/>
                <w:szCs w:val="24"/>
                <w:u w:val="single"/>
              </w:rPr>
            </w:pPr>
            <w:r>
              <w:rPr>
                <w:rFonts w:hint="eastAsia" w:ascii="Times New Roman" w:hAnsi="Times New Roman" w:eastAsia="宋体" w:cs="Times New Roman"/>
                <w:b w:val="0"/>
                <w:bCs w:val="0"/>
                <w:color w:val="auto"/>
                <w:sz w:val="24"/>
                <w:szCs w:val="24"/>
                <w:u w:val="single"/>
                <w:lang w:eastAsia="zh-CN"/>
              </w:rPr>
              <w:t>（</w:t>
            </w:r>
            <w:r>
              <w:rPr>
                <w:rFonts w:hint="eastAsia" w:ascii="Times New Roman" w:hAnsi="Times New Roman" w:eastAsia="宋体" w:cs="Times New Roman"/>
                <w:b w:val="0"/>
                <w:bCs w:val="0"/>
                <w:color w:val="auto"/>
                <w:sz w:val="24"/>
                <w:szCs w:val="24"/>
                <w:u w:val="single"/>
                <w:lang w:val="en-US" w:eastAsia="zh-CN"/>
              </w:rPr>
              <w:t>4</w:t>
            </w:r>
            <w:r>
              <w:rPr>
                <w:rFonts w:hint="eastAsia" w:ascii="Times New Roman" w:hAnsi="Times New Roman" w:eastAsia="宋体" w:cs="Times New Roman"/>
                <w:b w:val="0"/>
                <w:bCs w:val="0"/>
                <w:color w:val="auto"/>
                <w:sz w:val="24"/>
                <w:szCs w:val="24"/>
                <w:u w:val="single"/>
                <w:lang w:eastAsia="zh-CN"/>
              </w:rPr>
              <w:t>）</w:t>
            </w:r>
            <w:r>
              <w:rPr>
                <w:rFonts w:hint="eastAsia" w:ascii="Times New Roman" w:hAnsi="Times New Roman" w:eastAsia="宋体" w:cs="Times New Roman"/>
                <w:b w:val="0"/>
                <w:bCs w:val="0"/>
                <w:color w:val="auto"/>
                <w:sz w:val="24"/>
                <w:szCs w:val="24"/>
                <w:u w:val="single"/>
                <w:lang w:val="en-US" w:eastAsia="zh-CN"/>
              </w:rPr>
              <w:t>临时堆场</w:t>
            </w:r>
            <w:r>
              <w:rPr>
                <w:rFonts w:hint="default" w:ascii="Times New Roman" w:hAnsi="Times New Roman" w:eastAsia="宋体" w:cs="Times New Roman"/>
                <w:b w:val="0"/>
                <w:bCs w:val="0"/>
                <w:color w:val="auto"/>
                <w:sz w:val="24"/>
                <w:szCs w:val="24"/>
                <w:u w:val="single"/>
              </w:rPr>
              <w:t>余水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szCs w:val="24"/>
                <w:u w:val="single"/>
                <w:lang w:val="en-US" w:eastAsia="zh-CN"/>
              </w:rPr>
            </w:pPr>
            <w:r>
              <w:rPr>
                <w:rFonts w:hint="default" w:ascii="Times New Roman" w:hAnsi="Times New Roman" w:eastAsia="宋体" w:cs="Times New Roman"/>
                <w:color w:val="auto"/>
                <w:sz w:val="24"/>
                <w:szCs w:val="24"/>
                <w:u w:val="single"/>
              </w:rPr>
              <w:t>范家坝湖和三汊港湖</w:t>
            </w:r>
            <w:r>
              <w:rPr>
                <w:rFonts w:hint="eastAsia" w:ascii="Times New Roman" w:hAnsi="Times New Roman" w:eastAsia="宋体" w:cs="Times New Roman"/>
                <w:color w:val="auto"/>
                <w:sz w:val="24"/>
                <w:szCs w:val="24"/>
                <w:u w:val="single"/>
                <w:lang w:val="en-US" w:eastAsia="zh-CN"/>
              </w:rPr>
              <w:t>抽取的泥沙将转运至临时堆场，弃料在堆放过程中约80%水分会渗透产生弃料余水，</w:t>
            </w:r>
            <w:r>
              <w:rPr>
                <w:rFonts w:hint="eastAsia" w:ascii="Times New Roman" w:hAnsi="Times New Roman" w:cs="Times New Roman"/>
                <w:color w:val="auto"/>
                <w:sz w:val="24"/>
                <w:szCs w:val="24"/>
                <w:u w:val="single"/>
                <w:lang w:eastAsia="zh-CN"/>
              </w:rPr>
              <w:t>临时堆场余水经多级沉淀池处理后满足《污水综合排放标准》(GB8978-1996）一级标准后，分别回补范家坝湖和三汊港湖。</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w:t>
            </w:r>
            <w:r>
              <w:rPr>
                <w:rFonts w:hint="eastAsia" w:ascii="Times New Roman" w:hAnsi="Times New Roman" w:eastAsia="宋体" w:cs="Times New Roman"/>
                <w:color w:val="auto"/>
                <w:sz w:val="24"/>
                <w:szCs w:val="24"/>
                <w:u w:val="single"/>
                <w:lang w:val="en-US" w:eastAsia="zh-CN"/>
              </w:rPr>
              <w:t>5</w:t>
            </w:r>
            <w:r>
              <w:rPr>
                <w:rFonts w:hint="default" w:ascii="Times New Roman" w:hAnsi="Times New Roman" w:eastAsia="宋体" w:cs="Times New Roman"/>
                <w:color w:val="auto"/>
                <w:sz w:val="24"/>
                <w:szCs w:val="24"/>
                <w:u w:val="single"/>
              </w:rPr>
              <w:t>）施工机械冲洗废水</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bCs/>
                <w:color w:val="FF0000"/>
                <w:sz w:val="24"/>
                <w:szCs w:val="24"/>
                <w:u w:val="none"/>
              </w:rPr>
            </w:pPr>
            <w:r>
              <w:rPr>
                <w:rFonts w:hint="default" w:ascii="Times New Roman" w:hAnsi="Times New Roman" w:eastAsia="宋体" w:cs="Times New Roman"/>
                <w:color w:val="auto"/>
                <w:sz w:val="24"/>
                <w:szCs w:val="24"/>
                <w:u w:val="single"/>
              </w:rPr>
              <w:t>本项目施工机械冲洗废水主要含SS，pH呈弱碱性，并带有少量油污。该部分废水pH值呈弱碱性，并带有少量油污，如任意排放将对区域水环境将造成一定影响；环评要求工地必须建有废水隔油沉淀池，施工机械冲洗废水经隔油池沉淀处理后回用洒水除尘。禁止将废水排入区域地表水域</w:t>
            </w:r>
            <w:r>
              <w:rPr>
                <w:rFonts w:hint="eastAsia" w:ascii="Times New Roman" w:hAnsi="Times New Roman" w:cs="Times New Roman"/>
                <w:color w:val="auto"/>
                <w:sz w:val="24"/>
                <w:szCs w:val="24"/>
                <w:u w:val="single"/>
                <w:lang w:eastAsia="zh-CN"/>
              </w:rPr>
              <w:t>。</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u w:val="none"/>
              </w:rPr>
            </w:pPr>
            <w:r>
              <w:rPr>
                <w:rFonts w:hint="eastAsia" w:ascii="Times New Roman" w:hAnsi="Times New Roman" w:eastAsia="宋体" w:cs="Times New Roman"/>
                <w:b/>
                <w:bCs/>
                <w:color w:val="auto"/>
                <w:sz w:val="24"/>
                <w:szCs w:val="24"/>
                <w:u w:val="none"/>
                <w:lang w:val="en-US" w:eastAsia="zh-CN"/>
              </w:rPr>
              <w:t>4、</w:t>
            </w:r>
            <w:r>
              <w:rPr>
                <w:rFonts w:hint="default" w:ascii="Times New Roman" w:hAnsi="Times New Roman" w:eastAsia="宋体" w:cs="Times New Roman"/>
                <w:b/>
                <w:bCs/>
                <w:color w:val="auto"/>
                <w:sz w:val="24"/>
                <w:szCs w:val="24"/>
                <w:u w:val="none"/>
              </w:rPr>
              <w:t>噪声污染防治措施</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bCs/>
                <w:color w:val="auto"/>
                <w:sz w:val="24"/>
                <w:szCs w:val="24"/>
                <w:u w:val="none"/>
              </w:rPr>
              <w:t>本项目施工期噪声主要为各施工机械设备产生的机械噪声，车辆运输过程产生的交通噪声，</w:t>
            </w:r>
            <w:r>
              <w:rPr>
                <w:rFonts w:hint="default" w:ascii="Times New Roman" w:hAnsi="Times New Roman" w:eastAsia="宋体" w:cs="Times New Roman"/>
                <w:color w:val="auto"/>
                <w:sz w:val="24"/>
                <w:szCs w:val="24"/>
                <w:u w:val="none"/>
              </w:rPr>
              <w:t>通过计算可得不同施工阶段不同类型施工机械在不同距离处的噪声预测值，昼间施工设备产生的噪声主要对</w:t>
            </w:r>
            <w:r>
              <w:rPr>
                <w:rFonts w:hint="eastAsia" w:ascii="Times New Roman" w:hAnsi="Times New Roman" w:eastAsia="宋体" w:cs="Times New Roman"/>
                <w:color w:val="auto"/>
                <w:sz w:val="24"/>
                <w:szCs w:val="24"/>
                <w:u w:val="none"/>
                <w:lang w:val="en-US" w:eastAsia="zh-CN"/>
              </w:rPr>
              <w:t>周边50m</w:t>
            </w:r>
            <w:r>
              <w:rPr>
                <w:rFonts w:hint="default" w:ascii="Times New Roman" w:hAnsi="Times New Roman" w:eastAsia="宋体" w:cs="Times New Roman"/>
                <w:color w:val="auto"/>
                <w:sz w:val="24"/>
                <w:szCs w:val="24"/>
                <w:u w:val="none"/>
              </w:rPr>
              <w:t>范围内敏感目标噪声干扰。对一些重点噪声设备和声源，提出一些治理措施：</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（1）选用低噪声设备及施工工艺</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采用低噪声施工机械设备和先进的施工技术是控制施工期噪声有效手段之一，其他施工机械进场应得到环保或有关部门的批准，对落后的施工设备进行淘汰。</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（2）采用局部吸声、隔声降噪技术</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对各施工环节中噪声较为突出且又难以对声源进行降噪可能的设备装置，应采取临时隔声屏障措施，隔声屏障最好敷以吸声材料，以此达到降噪效果。</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除此之外，施工期还应该注意以下几点：</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①合理安排施工时间：禁止夜间（晚二十二点到早晨六点之间）进行产生环境噪声污染的建筑施工作业。建筑施工单位生产工艺上要求或者特殊需要必须进行夜间连续作业的，应事先征得周边居民同意，并向环保主管部门进行申报；</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②合理布置噪声源设备：在不影响施工情况下将噪声设置尽量不集中安排，为保障居民区有一个良好的生活环境，强噪声设备至敏感点距离至少在50m以外。</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③在施工过程中，采用商品混凝士和成品窗；大型建筑构件，应在施工现场外预制，然后运到施工现场再行安装。</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④降低人为噪声：按规定操作机械设备，模板、支架装卸过程中，尽量减少碰撞声音。</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（3）严格执行施工申报制度。</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4）对于确需夜间施工的施工活动，施工单位必须事前报经城管部门批准，一同时执行建筑施工噪声申报登记制度，在工程开工15日前填写《建筑施工场地噪声管理审批表》，向当地环境保护主管部门申报。并于施工前两天公告附近启民。如有发出高分贝噪声的施工内容或必须进行夜间施工时，施工单位在施工前，应当主动地将发出高分贝噪声的施工及夜间施工的时间、内容、降噪措施以及应急情况处置等情况以“告示”形式张贴在施工现场周围，接受社会的监督。</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①控制或禁止运输车辆进出施工现场时鸣喇叭，减少交通噪声。</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②制定施工噪声控制备用应急方案，重视噪声源头的治理工作。当常规噪声控制措施不能满足要求，出现噪声扰民情况，应及时对产生噪声的设备和施工工艺停止施工，并检测噪声防治措施的可靠性。</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③合理安排施工场地内部的布局，使得噪声较大的施工工程远离周边敏感点。</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只要本项目建筑施工单位加强管理，严格执行以上有关的管理规定，本项目施工过程中产生噪声是可以得到有效的控制。尽管施工噪声和振动对外环境产生一定的不利影响，但是施工期影响是短暂的，一旦施工活动结束，施工噪声和振动也随之结束。</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u w:val="none"/>
              </w:rPr>
            </w:pPr>
            <w:r>
              <w:rPr>
                <w:rFonts w:hint="eastAsia" w:ascii="Times New Roman" w:hAnsi="Times New Roman" w:eastAsia="宋体" w:cs="Times New Roman"/>
                <w:b/>
                <w:bCs/>
                <w:color w:val="auto"/>
                <w:sz w:val="24"/>
                <w:szCs w:val="24"/>
                <w:u w:val="none"/>
                <w:lang w:val="en-US" w:eastAsia="zh-CN"/>
              </w:rPr>
              <w:t>5、</w:t>
            </w:r>
            <w:r>
              <w:rPr>
                <w:rFonts w:hint="default" w:ascii="Times New Roman" w:hAnsi="Times New Roman" w:eastAsia="宋体" w:cs="Times New Roman"/>
                <w:b/>
                <w:bCs/>
                <w:color w:val="auto"/>
                <w:sz w:val="24"/>
                <w:szCs w:val="24"/>
                <w:u w:val="none"/>
              </w:rPr>
              <w:t>固废污染防治措施</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1</w:t>
            </w:r>
            <w:r>
              <w:rPr>
                <w:rFonts w:hint="eastAsia"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施工人员生活垃圾</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本项目施工人员产生生活垃圾经收集后交环卫部门清运。</w:t>
            </w:r>
          </w:p>
          <w:p>
            <w:pPr>
              <w:keepNext w:val="0"/>
              <w:keepLines w:val="0"/>
              <w:pageBreakBefore w:val="0"/>
              <w:widowControl w:val="0"/>
              <w:numPr>
                <w:ilvl w:val="0"/>
                <w:numId w:val="0"/>
              </w:numPr>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2</w:t>
            </w:r>
            <w:r>
              <w:rPr>
                <w:rFonts w:hint="eastAsia" w:ascii="Times New Roman" w:hAnsi="Times New Roman" w:eastAsia="宋体" w:cs="Times New Roman"/>
                <w:color w:val="auto"/>
                <w:sz w:val="24"/>
                <w:szCs w:val="24"/>
                <w:u w:val="single"/>
                <w:lang w:eastAsia="zh-CN"/>
              </w:rPr>
              <w:t>）</w:t>
            </w:r>
            <w:r>
              <w:rPr>
                <w:rFonts w:hint="default" w:ascii="Times New Roman" w:hAnsi="Times New Roman" w:eastAsia="宋体" w:cs="Times New Roman"/>
                <w:color w:val="auto"/>
                <w:sz w:val="24"/>
                <w:szCs w:val="24"/>
                <w:u w:val="single"/>
              </w:rPr>
              <w:t>疏浚废弃物</w:t>
            </w:r>
          </w:p>
          <w:p>
            <w:pPr>
              <w:keepNext w:val="0"/>
              <w:keepLines w:val="0"/>
              <w:pageBreakBefore w:val="0"/>
              <w:widowControl w:val="0"/>
              <w:numPr>
                <w:ilvl w:val="0"/>
                <w:numId w:val="0"/>
              </w:numPr>
              <w:kinsoku/>
              <w:wordWrap/>
              <w:overflowPunct/>
              <w:topLinePunct w:val="0"/>
              <w:autoSpaceDE/>
              <w:autoSpaceDN/>
              <w:bidi w:val="0"/>
              <w:adjustRightInd/>
              <w:spacing w:line="360" w:lineRule="auto"/>
              <w:ind w:right="0" w:firstLine="480" w:firstLineChars="200"/>
              <w:textAlignment w:val="auto"/>
              <w:rPr>
                <w:rFonts w:hint="eastAsia" w:ascii="Times New Roman" w:hAnsi="Times New Roman" w:cs="Times New Roman" w:eastAsiaTheme="minorEastAsia"/>
                <w:color w:val="auto"/>
                <w:sz w:val="24"/>
                <w:szCs w:val="24"/>
                <w:u w:val="single"/>
                <w:lang w:eastAsia="zh-CN"/>
              </w:rPr>
            </w:pPr>
            <w:r>
              <w:rPr>
                <w:rFonts w:hint="default" w:ascii="Times New Roman" w:hAnsi="Times New Roman" w:cs="Times New Roman" w:eastAsiaTheme="minorEastAsia"/>
                <w:color w:val="auto"/>
                <w:sz w:val="24"/>
                <w:szCs w:val="24"/>
                <w:u w:val="single"/>
              </w:rPr>
              <w:t>本工程土石方开挖共计7</w:t>
            </w:r>
            <w:r>
              <w:rPr>
                <w:rFonts w:hint="eastAsia" w:ascii="Times New Roman" w:hAnsi="Times New Roman" w:cs="Times New Roman" w:eastAsiaTheme="minorEastAsia"/>
                <w:color w:val="auto"/>
                <w:sz w:val="24"/>
                <w:szCs w:val="24"/>
                <w:u w:val="single"/>
                <w:lang w:val="en-US" w:eastAsia="zh-CN"/>
              </w:rPr>
              <w:t>47.09</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default" w:ascii="Times New Roman" w:hAnsi="Times New Roman" w:cs="Times New Roman" w:eastAsiaTheme="minorEastAsia"/>
                <w:color w:val="auto"/>
                <w:sz w:val="24"/>
                <w:szCs w:val="24"/>
                <w:u w:val="single"/>
              </w:rPr>
              <w:t>，土方填筑共计</w:t>
            </w:r>
            <w:r>
              <w:rPr>
                <w:rFonts w:hint="eastAsia" w:ascii="Times New Roman" w:hAnsi="Times New Roman" w:cs="Times New Roman" w:eastAsiaTheme="minorEastAsia"/>
                <w:color w:val="auto"/>
                <w:sz w:val="24"/>
                <w:szCs w:val="24"/>
                <w:u w:val="single"/>
                <w:lang w:val="en-US" w:eastAsia="zh-CN"/>
              </w:rPr>
              <w:t>5.06</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default" w:ascii="Times New Roman" w:hAnsi="Times New Roman" w:cs="Times New Roman" w:eastAsiaTheme="minorEastAsia"/>
                <w:color w:val="auto"/>
                <w:sz w:val="24"/>
                <w:szCs w:val="24"/>
                <w:u w:val="single"/>
              </w:rPr>
              <w:t>。其中土石方开挖料部分用于自身回填。经土石方平衡规划，共计利用土石方开挖料为</w:t>
            </w:r>
            <w:r>
              <w:rPr>
                <w:rFonts w:hint="eastAsia" w:ascii="Times New Roman" w:hAnsi="Times New Roman" w:cs="Times New Roman" w:eastAsiaTheme="minorEastAsia"/>
                <w:color w:val="auto"/>
                <w:sz w:val="24"/>
                <w:szCs w:val="24"/>
                <w:u w:val="single"/>
                <w:lang w:val="en-US" w:eastAsia="zh-CN"/>
              </w:rPr>
              <w:t>3.54</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default" w:ascii="Times New Roman" w:hAnsi="Times New Roman" w:cs="Times New Roman" w:eastAsiaTheme="minorEastAsia"/>
                <w:color w:val="auto"/>
                <w:sz w:val="24"/>
                <w:szCs w:val="24"/>
                <w:u w:val="single"/>
              </w:rPr>
              <w:t>，总</w:t>
            </w:r>
            <w:r>
              <w:rPr>
                <w:rFonts w:hint="eastAsia" w:ascii="Times New Roman" w:hAnsi="Times New Roman" w:cs="Times New Roman" w:eastAsiaTheme="minorEastAsia"/>
                <w:color w:val="auto"/>
                <w:sz w:val="24"/>
                <w:szCs w:val="24"/>
                <w:u w:val="single"/>
                <w:lang w:val="en-US" w:eastAsia="zh-CN"/>
              </w:rPr>
              <w:t>剩余</w:t>
            </w:r>
            <w:r>
              <w:rPr>
                <w:rFonts w:hint="default" w:ascii="Times New Roman" w:hAnsi="Times New Roman" w:eastAsia="宋体" w:cs="Times New Roman"/>
                <w:color w:val="auto"/>
                <w:sz w:val="24"/>
                <w:szCs w:val="24"/>
                <w:u w:val="single"/>
              </w:rPr>
              <w:t>疏浚废弃物</w:t>
            </w:r>
            <w:r>
              <w:rPr>
                <w:rFonts w:hint="eastAsia" w:ascii="Times New Roman" w:hAnsi="Times New Roman" w:cs="Times New Roman" w:eastAsiaTheme="minorEastAsia"/>
                <w:color w:val="auto"/>
                <w:sz w:val="24"/>
                <w:szCs w:val="24"/>
                <w:u w:val="single"/>
                <w:lang w:val="en-US" w:eastAsia="zh-CN"/>
              </w:rPr>
              <w:t>684.26</w:t>
            </w:r>
            <w:r>
              <w:rPr>
                <w:rFonts w:hint="default" w:ascii="Times New Roman" w:hAnsi="Times New Roman" w:cs="Times New Roman" w:eastAsiaTheme="minorEastAsia"/>
                <w:color w:val="auto"/>
                <w:sz w:val="24"/>
                <w:szCs w:val="24"/>
                <w:u w:val="single"/>
              </w:rPr>
              <w:t>万m</w:t>
            </w:r>
            <w:r>
              <w:rPr>
                <w:rFonts w:hint="default" w:ascii="Times New Roman" w:hAnsi="Times New Roman" w:cs="Times New Roman" w:eastAsiaTheme="minorEastAsia"/>
                <w:color w:val="auto"/>
                <w:sz w:val="24"/>
                <w:szCs w:val="24"/>
                <w:u w:val="single"/>
                <w:vertAlign w:val="superscript"/>
              </w:rPr>
              <w:t>3</w:t>
            </w:r>
            <w:r>
              <w:rPr>
                <w:rFonts w:hint="eastAsia" w:ascii="Times New Roman" w:hAnsi="Times New Roman" w:cs="Times New Roman" w:eastAsiaTheme="minorEastAsia"/>
                <w:color w:val="auto"/>
                <w:sz w:val="24"/>
                <w:szCs w:val="24"/>
                <w:u w:val="single"/>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白泥湖采用500m</w:t>
            </w:r>
            <w:r>
              <w:rPr>
                <w:rFonts w:hint="default" w:ascii="Times New Roman" w:hAnsi="Times New Roman" w:eastAsia="宋体" w:cs="Times New Roman"/>
                <w:color w:val="auto"/>
                <w:sz w:val="24"/>
                <w:szCs w:val="24"/>
                <w:u w:val="single"/>
                <w:vertAlign w:val="superscript"/>
              </w:rPr>
              <w:t>3</w:t>
            </w:r>
            <w:r>
              <w:rPr>
                <w:rFonts w:hint="default" w:ascii="Times New Roman" w:hAnsi="Times New Roman" w:eastAsia="宋体" w:cs="Times New Roman"/>
                <w:color w:val="auto"/>
                <w:sz w:val="24"/>
                <w:szCs w:val="24"/>
                <w:u w:val="single"/>
              </w:rPr>
              <w:t>/h 绞吸式挖泥船开挖，绞吸式挖泥船直接抽取上部淤泥用于白泥湖南堤填塘固基。范家坝湖和三汊港湖采用钻探式抽沙船进行施工，上部粘土层自然下沉，下层砾砂通过钻探式抽沙船可吸取，运至临时堆存场。</w:t>
            </w:r>
            <w:r>
              <w:rPr>
                <w:rFonts w:hint="default" w:ascii="Times New Roman" w:hAnsi="Times New Roman" w:cs="Times New Roman" w:eastAsiaTheme="minorEastAsia"/>
                <w:color w:val="auto"/>
                <w:sz w:val="24"/>
                <w:szCs w:val="24"/>
                <w:u w:val="single"/>
              </w:rPr>
              <w:t>本次工程设置有</w:t>
            </w:r>
            <w:r>
              <w:rPr>
                <w:rFonts w:hint="eastAsia" w:ascii="Times New Roman" w:hAnsi="Times New Roman" w:cs="Times New Roman" w:eastAsiaTheme="minorEastAsia"/>
                <w:color w:val="auto"/>
                <w:sz w:val="24"/>
                <w:szCs w:val="24"/>
                <w:u w:val="single"/>
                <w:lang w:val="en-US" w:eastAsia="zh-CN"/>
              </w:rPr>
              <w:t>5</w:t>
            </w:r>
            <w:r>
              <w:rPr>
                <w:rFonts w:hint="default" w:ascii="Times New Roman" w:hAnsi="Times New Roman" w:cs="Times New Roman" w:eastAsiaTheme="minorEastAsia"/>
                <w:color w:val="auto"/>
                <w:sz w:val="24"/>
                <w:szCs w:val="24"/>
                <w:u w:val="single"/>
              </w:rPr>
              <w:t>处清淤料中转临时堆场，其中范家坝湖3处，三汊港湖</w:t>
            </w:r>
            <w:r>
              <w:rPr>
                <w:rFonts w:hint="eastAsia" w:ascii="Times New Roman" w:hAnsi="Times New Roman" w:cs="Times New Roman" w:eastAsiaTheme="minorEastAsia"/>
                <w:color w:val="auto"/>
                <w:sz w:val="24"/>
                <w:szCs w:val="24"/>
                <w:u w:val="single"/>
                <w:lang w:val="en-US" w:eastAsia="zh-CN"/>
              </w:rPr>
              <w:t>2</w:t>
            </w:r>
            <w:r>
              <w:rPr>
                <w:rFonts w:hint="default" w:ascii="Times New Roman" w:hAnsi="Times New Roman" w:cs="Times New Roman" w:eastAsiaTheme="minorEastAsia"/>
                <w:color w:val="auto"/>
                <w:sz w:val="24"/>
                <w:szCs w:val="24"/>
                <w:u w:val="single"/>
              </w:rPr>
              <w:t>处。范家坝湖共设置3处清淤料中转临时堆场时堆场面积为</w:t>
            </w:r>
            <w:r>
              <w:rPr>
                <w:rFonts w:hint="eastAsia" w:ascii="Times New Roman" w:hAnsi="Times New Roman" w:cs="Times New Roman" w:eastAsiaTheme="minorEastAsia"/>
                <w:color w:val="auto"/>
                <w:sz w:val="24"/>
                <w:szCs w:val="24"/>
                <w:u w:val="single"/>
                <w:lang w:val="en-US" w:eastAsia="zh-CN"/>
              </w:rPr>
              <w:t>40</w:t>
            </w:r>
            <w:r>
              <w:rPr>
                <w:rFonts w:hint="default" w:ascii="Times New Roman" w:hAnsi="Times New Roman" w:cs="Times New Roman" w:eastAsiaTheme="minorEastAsia"/>
                <w:color w:val="auto"/>
                <w:sz w:val="24"/>
                <w:szCs w:val="24"/>
                <w:u w:val="single"/>
              </w:rPr>
              <w:t>000 m</w:t>
            </w:r>
            <w:r>
              <w:rPr>
                <w:rFonts w:hint="default" w:ascii="Times New Roman" w:hAnsi="Times New Roman" w:cs="Times New Roman" w:eastAsiaTheme="minorEastAsia"/>
                <w:color w:val="auto"/>
                <w:sz w:val="24"/>
                <w:szCs w:val="24"/>
                <w:u w:val="single"/>
                <w:vertAlign w:val="superscript"/>
              </w:rPr>
              <w:t>2</w:t>
            </w:r>
            <w:r>
              <w:rPr>
                <w:rFonts w:hint="default" w:ascii="Times New Roman" w:hAnsi="Times New Roman" w:cs="Times New Roman" w:eastAsiaTheme="minorEastAsia"/>
                <w:color w:val="auto"/>
                <w:sz w:val="24"/>
                <w:szCs w:val="24"/>
                <w:u w:val="single"/>
              </w:rPr>
              <w:t>；三汊港湖共设置</w:t>
            </w:r>
            <w:r>
              <w:rPr>
                <w:rFonts w:hint="eastAsia" w:ascii="Times New Roman" w:hAnsi="Times New Roman" w:cs="Times New Roman" w:eastAsiaTheme="minorEastAsia"/>
                <w:color w:val="auto"/>
                <w:sz w:val="24"/>
                <w:szCs w:val="24"/>
                <w:u w:val="single"/>
                <w:lang w:val="en-US" w:eastAsia="zh-CN"/>
              </w:rPr>
              <w:t>2</w:t>
            </w:r>
            <w:r>
              <w:rPr>
                <w:rFonts w:hint="default" w:ascii="Times New Roman" w:hAnsi="Times New Roman" w:cs="Times New Roman" w:eastAsiaTheme="minorEastAsia"/>
                <w:color w:val="auto"/>
                <w:sz w:val="24"/>
                <w:szCs w:val="24"/>
                <w:u w:val="single"/>
              </w:rPr>
              <w:t>处清淤料中转临时堆场，位于南堤附近的堤岸上，面积为</w:t>
            </w:r>
            <w:r>
              <w:rPr>
                <w:rFonts w:hint="eastAsia" w:ascii="Times New Roman" w:hAnsi="Times New Roman" w:cs="Times New Roman" w:eastAsiaTheme="minorEastAsia"/>
                <w:color w:val="auto"/>
                <w:sz w:val="24"/>
                <w:szCs w:val="24"/>
                <w:u w:val="single"/>
                <w:lang w:val="en-US" w:eastAsia="zh-CN"/>
              </w:rPr>
              <w:t>36</w:t>
            </w:r>
            <w:r>
              <w:rPr>
                <w:rFonts w:hint="default" w:ascii="Times New Roman" w:hAnsi="Times New Roman" w:cs="Times New Roman" w:eastAsiaTheme="minorEastAsia"/>
                <w:color w:val="auto"/>
                <w:sz w:val="24"/>
                <w:szCs w:val="24"/>
                <w:u w:val="single"/>
              </w:rPr>
              <w:t>000 m</w:t>
            </w:r>
            <w:r>
              <w:rPr>
                <w:rFonts w:hint="default" w:ascii="Times New Roman" w:hAnsi="Times New Roman" w:cs="Times New Roman" w:eastAsiaTheme="minorEastAsia"/>
                <w:color w:val="auto"/>
                <w:sz w:val="24"/>
                <w:szCs w:val="24"/>
                <w:u w:val="single"/>
                <w:vertAlign w:val="superscript"/>
              </w:rPr>
              <w:t>2</w:t>
            </w:r>
            <w:r>
              <w:rPr>
                <w:rFonts w:hint="default" w:ascii="Times New Roman" w:hAnsi="Times New Roman" w:cs="Times New Roman" w:eastAsiaTheme="minorEastAsia"/>
                <w:color w:val="auto"/>
                <w:sz w:val="24"/>
                <w:szCs w:val="24"/>
                <w:u w:val="singl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u w:val="single"/>
                <w:lang w:val="en-US" w:eastAsia="zh-CN"/>
              </w:rPr>
            </w:pPr>
            <w:r>
              <w:rPr>
                <w:rFonts w:hint="eastAsia" w:ascii="Times New Roman" w:hAnsi="Times New Roman" w:cs="Times New Roman" w:eastAsiaTheme="minorEastAsia"/>
                <w:color w:val="auto"/>
                <w:sz w:val="24"/>
                <w:szCs w:val="24"/>
                <w:u w:val="single"/>
                <w:lang w:val="en-US" w:eastAsia="zh-CN"/>
              </w:rPr>
              <w:t>根据规划，</w:t>
            </w:r>
            <w:r>
              <w:rPr>
                <w:rFonts w:hint="default" w:ascii="Times New Roman" w:hAnsi="Times New Roman" w:cs="Times New Roman" w:eastAsiaTheme="minorEastAsia"/>
                <w:color w:val="auto"/>
                <w:sz w:val="24"/>
                <w:szCs w:val="24"/>
                <w:u w:val="single"/>
              </w:rPr>
              <w:t>临时堆场清淤料利用方案</w:t>
            </w:r>
            <w:r>
              <w:rPr>
                <w:rFonts w:hint="eastAsia" w:ascii="Times New Roman" w:hAnsi="Times New Roman" w:cs="Times New Roman" w:eastAsiaTheme="minorEastAsia"/>
                <w:color w:val="auto"/>
                <w:sz w:val="24"/>
                <w:szCs w:val="24"/>
                <w:u w:val="single"/>
                <w:lang w:val="en-US" w:eastAsia="zh-CN"/>
              </w:rPr>
              <w:t>另行设计，不在本项目评价范围内。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eastAsia" w:ascii="Times New Roman" w:hAnsi="Times New Roman" w:cs="Times New Roman"/>
                <w:color w:val="auto"/>
                <w:sz w:val="24"/>
                <w:szCs w:val="24"/>
                <w:u w:val="single"/>
                <w:lang w:val="en-US" w:eastAsia="zh-CN"/>
              </w:rPr>
              <w:t>综合利用</w:t>
            </w:r>
            <w:r>
              <w:rPr>
                <w:rFonts w:hint="default" w:ascii="Times New Roman" w:hAnsi="Times New Roman" w:eastAsia="宋体" w:cs="Times New Roman"/>
                <w:color w:val="auto"/>
                <w:sz w:val="24"/>
                <w:szCs w:val="24"/>
                <w:u w:val="single"/>
              </w:rPr>
              <w:t>结束后，对具备复耕条件的</w:t>
            </w:r>
            <w:r>
              <w:rPr>
                <w:rFonts w:hint="eastAsia" w:ascii="Times New Roman" w:hAnsi="Times New Roman" w:cs="Times New Roman"/>
                <w:color w:val="auto"/>
                <w:sz w:val="24"/>
                <w:szCs w:val="24"/>
                <w:u w:val="single"/>
                <w:lang w:val="en-US" w:eastAsia="zh-CN"/>
              </w:rPr>
              <w:t>临时堆场</w:t>
            </w:r>
            <w:r>
              <w:rPr>
                <w:rFonts w:hint="default" w:ascii="Times New Roman" w:hAnsi="Times New Roman" w:eastAsia="宋体" w:cs="Times New Roman"/>
                <w:color w:val="auto"/>
                <w:sz w:val="24"/>
                <w:szCs w:val="24"/>
                <w:u w:val="single"/>
              </w:rPr>
              <w:t>尽量恢复耕种，对不具备复耕条件的营造水保林草，林草措施落实前，需对绿化场地实施土地平整措施。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3</w:t>
            </w:r>
            <w:r>
              <w:rPr>
                <w:rFonts w:hint="eastAsia" w:ascii="Times New Roman" w:hAnsi="Times New Roman" w:cs="Times New Roman"/>
                <w:color w:val="auto"/>
                <w:sz w:val="24"/>
                <w:szCs w:val="24"/>
                <w:u w:val="single"/>
                <w:lang w:eastAsia="zh-CN"/>
              </w:rPr>
              <w:t>）</w:t>
            </w:r>
            <w:r>
              <w:rPr>
                <w:rFonts w:hint="eastAsia" w:ascii="Times New Roman" w:hAnsi="Times New Roman" w:cs="Times New Roman"/>
                <w:color w:val="auto"/>
                <w:sz w:val="24"/>
                <w:szCs w:val="24"/>
                <w:u w:val="single"/>
                <w:lang w:val="en-US" w:eastAsia="zh-CN"/>
              </w:rPr>
              <w:t>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施工期产生的危险废物为油水分离器产生的少量废油、施工车辆擦拭零件的含油抹布。</w:t>
            </w:r>
            <w:r>
              <w:rPr>
                <w:rFonts w:hint="eastAsia" w:ascii="Times New Roman" w:hAnsi="Times New Roman" w:cs="Times New Roman"/>
                <w:color w:val="auto"/>
                <w:sz w:val="24"/>
                <w:szCs w:val="24"/>
                <w:u w:val="single"/>
                <w:lang w:val="en-US" w:eastAsia="zh-CN"/>
              </w:rPr>
              <w:t>在</w:t>
            </w:r>
            <w:r>
              <w:rPr>
                <w:rFonts w:hint="default" w:ascii="Times New Roman" w:hAnsi="Times New Roman" w:eastAsia="宋体" w:cs="Times New Roman"/>
                <w:color w:val="auto"/>
                <w:sz w:val="24"/>
                <w:szCs w:val="24"/>
                <w:u w:val="single"/>
              </w:rPr>
              <w:t>工区设置危废间，危废均采用贮存桶贮存，并委托有危废资质单位处理。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危废间应按照《危险废物收集、贮存、运输技术规范》（HJ2025- 2012）、《危险废物贮存污染控制标准》（GB 18597-20</w:t>
            </w:r>
            <w:r>
              <w:rPr>
                <w:rFonts w:hint="eastAsia" w:ascii="Times New Roman" w:hAnsi="Times New Roman" w:cs="Times New Roman"/>
                <w:color w:val="auto"/>
                <w:sz w:val="24"/>
                <w:szCs w:val="24"/>
                <w:u w:val="single"/>
                <w:lang w:val="en-US" w:eastAsia="zh-CN"/>
              </w:rPr>
              <w:t>23</w:t>
            </w:r>
            <w:r>
              <w:rPr>
                <w:rFonts w:hint="default" w:ascii="Times New Roman" w:hAnsi="Times New Roman" w:eastAsia="宋体" w:cs="Times New Roman"/>
                <w:color w:val="auto"/>
                <w:sz w:val="24"/>
                <w:szCs w:val="24"/>
                <w:u w:val="single"/>
              </w:rPr>
              <w:t>）以及相关国家及地方法律法规的要求进行建设，主要包括：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①建立危险废物单独贮存场所，且贮存容器应耐腐蚀、耐压、密封，禁止混放不相容固体废物，禁止危险废物混入非危险废物中储存。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②危险废物贮存场所要做到防风、防雨、防晒，并针对危险废物设置环境保护图形标志和警示标志。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③危险废物贮存场所内地面应做表面硬化和基础防渗处理，且表面无裂隙，同时建筑材料必须与危险废物兼容，不兼容的危险废物必须分开存放并设有隔离间隔离。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④ 贮存危险废物时按照危险废物的种类和特性进行分区贮存，每个贮存区域之间宜设置间隔，并设置防雨、防火、防雷、防扬尘装置。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⑤险废物贮存设施应配备通讯设备、照明设施和消防设施等。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⑥危险废物贮存单位应建立危险废物贮存台账制度，做好危险废物出入库交接记录。</w:t>
            </w:r>
          </w:p>
          <w:p>
            <w:pPr>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b/>
                <w:bCs/>
                <w:color w:val="auto"/>
                <w:sz w:val="24"/>
                <w:szCs w:val="24"/>
                <w:u w:val="none"/>
              </w:rPr>
            </w:pPr>
            <w:r>
              <w:rPr>
                <w:rFonts w:hint="eastAsia" w:ascii="Times New Roman" w:hAnsi="Times New Roman" w:eastAsia="宋体" w:cs="Times New Roman"/>
                <w:b/>
                <w:bCs/>
                <w:color w:val="auto"/>
                <w:sz w:val="24"/>
                <w:szCs w:val="24"/>
                <w:u w:val="none"/>
                <w:lang w:val="en-US" w:eastAsia="zh-CN"/>
              </w:rPr>
              <w:t>6、</w:t>
            </w:r>
            <w:r>
              <w:rPr>
                <w:rFonts w:hint="default" w:ascii="Times New Roman" w:hAnsi="Times New Roman" w:eastAsia="宋体" w:cs="Times New Roman"/>
                <w:b/>
                <w:bCs/>
                <w:color w:val="auto"/>
                <w:sz w:val="24"/>
                <w:szCs w:val="24"/>
                <w:u w:val="none"/>
              </w:rPr>
              <w:t>环境管理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（1）管理机构</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根据工程建设和今后的管理需要，成立项目部指挥中心，主要负责工程项目的建设、运行及管理。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同时为了工程的正常有序进行和工作的顺利开展，同时必须成立领导建设小组，主要负责工程建设期的领导、协调、监督、征地等矛盾协商。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（2）工程管理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1）工程项目严格按照基建程序办事，完善项目申报制度。</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2）建立健全工程质量保证体系。强化质量意识，实行工程质量终身负责制；质量第一贯彻始终，各工程项目实行质量一票否决制。</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3）切实实行“三制”：业主负责制、招标投标制、工程监理制。</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4）有效协调监理、设计、施工各方关系。</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5）有效抓好工程项目建设进度计划及目标管理，抓好工程各阶段验收及竣工验收的组织管理。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（3）技术管理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1）搞好业务培训。为适应工程建设的需要，提高管理人员素质和管理业务水平，使工程进展更加顺利，要有计划地分期分批对工程管理人员、工程技术人员和工作人员进行业务培训。</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2）坚持技术咨询制度。对设计工程项目的重大技术问题、工程建设计划和投资安排，以及生态环境影响重大问题，及时进行必要的技术咨询和充分论证，以确保工程的安全性和经济的合理性。</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3）建立技术和质量档案。工程建设过程中所有技术和质量文件、资料要建档案保存，以便备查和追索。</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（4）工程管理制度</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为确保流域治理工程的安全运行，充分发挥其作用，建立下列管理制度。</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1）明确工程管理范围和保护范围，设立明显标志，合法征用工程用地。</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2）禁止向水域（滩地）倾倒垃圾、废渣及其他杂物。</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（5）环境管理制度</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1）严格执行“三同时”制度，在项目筹备、设计和施工建设不同阶段，均应严格执行“三同时”制度，确保污染处理设施能够与生产工艺设施“同时设计、同时施工、同时投产使用”。</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2）严格执行各项生产及环境管理制度，保证环保设施的正常进行；</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3）设立环保设施档案，对环保设施定期进行检查、维护；</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4）按照监测计划定期组织污染源监测，对不达标的排放源立即寻找原因，及时处理；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5）对各项环保设施的运行状况进行记录，针对出现的问题提出完善的意见；</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6）不断加强技术培训，组织技术交流，提高操作水平，保持操作队伍的稳定；</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7）重视群众监督作用，提高全员环境意识，鼓励职工及外部人员对运行状况提意见，并通过积极吸收宝贵意见，提高环境管理水平；</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8）实施定期检测、及时修复，防止或减少跑、冒、滴、漏现象，加强管理。</w:t>
            </w:r>
          </w:p>
          <w:p>
            <w:pPr>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（6）环境监管计划</w:t>
            </w:r>
          </w:p>
          <w:p>
            <w:pPr>
              <w:pStyle w:val="69"/>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为了加强环境管理，贯彻实施污染物达标排放要求，地方环保部门和建设单位均须对项目周边环境质量和运行期的污染物排放情况进行监测。建设单位必要时也可委托第三方环境监测机构进行监测。</w:t>
            </w:r>
          </w:p>
          <w:p>
            <w:pPr>
              <w:pStyle w:val="69"/>
              <w:keepNext w:val="0"/>
              <w:keepLines w:val="0"/>
              <w:pageBreakBefore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本项目监测计划见表</w:t>
            </w:r>
            <w:r>
              <w:rPr>
                <w:rFonts w:hint="eastAsia" w:ascii="Times New Roman" w:hAnsi="Times New Roman" w:eastAsia="宋体" w:cs="Times New Roman"/>
                <w:color w:val="auto"/>
                <w:sz w:val="24"/>
                <w:szCs w:val="24"/>
                <w:u w:val="single"/>
              </w:rPr>
              <w:t>5-1</w:t>
            </w:r>
            <w:r>
              <w:rPr>
                <w:rFonts w:hint="default" w:ascii="Times New Roman" w:hAnsi="Times New Roman" w:eastAsia="宋体" w:cs="Times New Roman"/>
                <w:color w:val="auto"/>
                <w:sz w:val="24"/>
                <w:szCs w:val="24"/>
                <w:u w:val="single"/>
              </w:rPr>
              <w:t>。</w:t>
            </w:r>
          </w:p>
          <w:p>
            <w:pPr>
              <w:pStyle w:val="69"/>
              <w:keepNext w:val="0"/>
              <w:keepLines w:val="0"/>
              <w:pageBreakBefore w:val="0"/>
              <w:kinsoku/>
              <w:wordWrap/>
              <w:overflowPunct/>
              <w:topLinePunct w:val="0"/>
              <w:bidi w:val="0"/>
              <w:spacing w:line="360" w:lineRule="auto"/>
              <w:ind w:firstLine="422" w:firstLineChars="200"/>
              <w:jc w:val="center"/>
              <w:textAlignment w:val="auto"/>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b/>
                <w:bCs/>
                <w:color w:val="auto"/>
                <w:sz w:val="21"/>
                <w:szCs w:val="21"/>
                <w:u w:val="single"/>
                <w:lang w:val="en-US" w:eastAsia="zh-CN"/>
              </w:rPr>
              <w:t>表5-1  施工期监测计划</w:t>
            </w:r>
          </w:p>
          <w:tbl>
            <w:tblPr>
              <w:tblStyle w:val="25"/>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75"/>
              <w:gridCol w:w="1025"/>
              <w:gridCol w:w="1389"/>
              <w:gridCol w:w="1524"/>
              <w:gridCol w:w="21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3" w:type="pct"/>
                  <w:tcBorders>
                    <w:tl2br w:val="nil"/>
                    <w:tr2bl w:val="nil"/>
                  </w:tcBorders>
                  <w:noWrap w:val="0"/>
                  <w:vAlign w:val="center"/>
                </w:tcPr>
                <w:p>
                  <w:pPr>
                    <w:spacing w:line="260" w:lineRule="exact"/>
                    <w:ind w:firstLine="0" w:firstLineChars="0"/>
                    <w:jc w:val="center"/>
                    <w:rPr>
                      <w:rFonts w:ascii="Times New Roman" w:hAnsi="Times New Roman"/>
                      <w:bCs/>
                      <w:color w:val="auto"/>
                      <w:sz w:val="21"/>
                      <w:szCs w:val="21"/>
                      <w:u w:val="single"/>
                    </w:rPr>
                  </w:pPr>
                  <w:r>
                    <w:rPr>
                      <w:rFonts w:ascii="Times New Roman" w:hAnsi="Times New Roman"/>
                      <w:bCs/>
                      <w:color w:val="auto"/>
                      <w:sz w:val="21"/>
                      <w:szCs w:val="21"/>
                      <w:u w:val="single"/>
                    </w:rPr>
                    <w:t>实施</w:t>
                  </w:r>
                </w:p>
                <w:p>
                  <w:pPr>
                    <w:spacing w:line="260" w:lineRule="exact"/>
                    <w:ind w:firstLine="0" w:firstLineChars="0"/>
                    <w:jc w:val="center"/>
                    <w:rPr>
                      <w:rFonts w:ascii="Times New Roman" w:hAnsi="Times New Roman"/>
                      <w:bCs/>
                      <w:color w:val="auto"/>
                      <w:sz w:val="21"/>
                      <w:szCs w:val="21"/>
                      <w:u w:val="single"/>
                    </w:rPr>
                  </w:pPr>
                  <w:r>
                    <w:rPr>
                      <w:rFonts w:ascii="Times New Roman" w:hAnsi="Times New Roman"/>
                      <w:bCs/>
                      <w:color w:val="auto"/>
                      <w:sz w:val="21"/>
                      <w:szCs w:val="21"/>
                      <w:u w:val="single"/>
                    </w:rPr>
                    <w:t>阶段</w:t>
                  </w:r>
                </w:p>
              </w:tc>
              <w:tc>
                <w:tcPr>
                  <w:tcW w:w="514" w:type="pct"/>
                  <w:tcBorders>
                    <w:tl2br w:val="nil"/>
                    <w:tr2bl w:val="nil"/>
                  </w:tcBorders>
                  <w:noWrap w:val="0"/>
                  <w:vAlign w:val="center"/>
                </w:tcPr>
                <w:p>
                  <w:pPr>
                    <w:spacing w:line="260" w:lineRule="exact"/>
                    <w:ind w:firstLine="0" w:firstLineChars="0"/>
                    <w:jc w:val="center"/>
                    <w:rPr>
                      <w:rFonts w:ascii="Times New Roman" w:hAnsi="Times New Roman"/>
                      <w:bCs/>
                      <w:color w:val="auto"/>
                      <w:sz w:val="21"/>
                      <w:szCs w:val="21"/>
                      <w:u w:val="single"/>
                    </w:rPr>
                  </w:pPr>
                  <w:r>
                    <w:rPr>
                      <w:rFonts w:ascii="Times New Roman" w:hAnsi="Times New Roman"/>
                      <w:bCs/>
                      <w:color w:val="auto"/>
                      <w:sz w:val="21"/>
                      <w:szCs w:val="21"/>
                      <w:u w:val="single"/>
                    </w:rPr>
                    <w:t>监测</w:t>
                  </w:r>
                </w:p>
                <w:p>
                  <w:pPr>
                    <w:spacing w:line="260" w:lineRule="exact"/>
                    <w:ind w:firstLine="0" w:firstLineChars="0"/>
                    <w:jc w:val="center"/>
                    <w:rPr>
                      <w:rFonts w:ascii="Times New Roman" w:hAnsi="Times New Roman"/>
                      <w:bCs/>
                      <w:color w:val="auto"/>
                      <w:sz w:val="21"/>
                      <w:szCs w:val="21"/>
                      <w:u w:val="single"/>
                    </w:rPr>
                  </w:pPr>
                  <w:r>
                    <w:rPr>
                      <w:rFonts w:ascii="Times New Roman" w:hAnsi="Times New Roman"/>
                      <w:bCs/>
                      <w:color w:val="auto"/>
                      <w:sz w:val="21"/>
                      <w:szCs w:val="21"/>
                      <w:u w:val="single"/>
                    </w:rPr>
                    <w:t>内容</w:t>
                  </w:r>
                </w:p>
              </w:tc>
              <w:tc>
                <w:tcPr>
                  <w:tcW w:w="680" w:type="pct"/>
                  <w:tcBorders>
                    <w:tl2br w:val="nil"/>
                    <w:tr2bl w:val="nil"/>
                  </w:tcBorders>
                  <w:noWrap w:val="0"/>
                  <w:vAlign w:val="center"/>
                </w:tcPr>
                <w:p>
                  <w:pPr>
                    <w:spacing w:line="260" w:lineRule="exact"/>
                    <w:ind w:firstLine="0" w:firstLineChars="0"/>
                    <w:jc w:val="center"/>
                    <w:rPr>
                      <w:rFonts w:hint="eastAsia" w:ascii="Times New Roman" w:hAnsi="Times New Roman"/>
                      <w:bCs/>
                      <w:color w:val="auto"/>
                      <w:sz w:val="21"/>
                      <w:szCs w:val="21"/>
                      <w:u w:val="single"/>
                    </w:rPr>
                  </w:pPr>
                  <w:r>
                    <w:rPr>
                      <w:rFonts w:hint="eastAsia" w:ascii="Times New Roman" w:hAnsi="Times New Roman"/>
                      <w:bCs/>
                      <w:color w:val="auto"/>
                      <w:sz w:val="21"/>
                      <w:szCs w:val="21"/>
                      <w:u w:val="single"/>
                    </w:rPr>
                    <w:t>监测</w:t>
                  </w:r>
                </w:p>
                <w:p>
                  <w:pPr>
                    <w:spacing w:line="260" w:lineRule="exact"/>
                    <w:ind w:firstLine="0" w:firstLineChars="0"/>
                    <w:jc w:val="center"/>
                    <w:rPr>
                      <w:rFonts w:ascii="Times New Roman" w:hAnsi="Times New Roman"/>
                      <w:bCs/>
                      <w:color w:val="auto"/>
                      <w:sz w:val="21"/>
                      <w:szCs w:val="21"/>
                      <w:u w:val="single"/>
                    </w:rPr>
                  </w:pPr>
                  <w:r>
                    <w:rPr>
                      <w:rFonts w:hint="eastAsia" w:ascii="Times New Roman" w:hAnsi="Times New Roman"/>
                      <w:bCs/>
                      <w:color w:val="auto"/>
                      <w:sz w:val="21"/>
                      <w:szCs w:val="21"/>
                      <w:u w:val="single"/>
                    </w:rPr>
                    <w:t>因子</w:t>
                  </w:r>
                </w:p>
              </w:tc>
              <w:tc>
                <w:tcPr>
                  <w:tcW w:w="921" w:type="pct"/>
                  <w:tcBorders>
                    <w:tl2br w:val="nil"/>
                    <w:tr2bl w:val="nil"/>
                  </w:tcBorders>
                  <w:noWrap w:val="0"/>
                  <w:vAlign w:val="center"/>
                </w:tcPr>
                <w:p>
                  <w:pPr>
                    <w:spacing w:line="260" w:lineRule="exact"/>
                    <w:ind w:firstLine="0" w:firstLineChars="0"/>
                    <w:jc w:val="center"/>
                    <w:rPr>
                      <w:rFonts w:hint="eastAsia" w:ascii="Times New Roman" w:hAnsi="Times New Roman"/>
                      <w:bCs/>
                      <w:color w:val="auto"/>
                      <w:sz w:val="21"/>
                      <w:szCs w:val="21"/>
                      <w:u w:val="single"/>
                    </w:rPr>
                  </w:pPr>
                  <w:r>
                    <w:rPr>
                      <w:rFonts w:ascii="Times New Roman" w:hAnsi="Times New Roman"/>
                      <w:bCs/>
                      <w:color w:val="auto"/>
                      <w:sz w:val="21"/>
                      <w:szCs w:val="21"/>
                      <w:u w:val="single"/>
                    </w:rPr>
                    <w:t>监测</w:t>
                  </w:r>
                  <w:r>
                    <w:rPr>
                      <w:rFonts w:hint="eastAsia" w:ascii="Times New Roman" w:hAnsi="Times New Roman"/>
                      <w:bCs/>
                      <w:color w:val="auto"/>
                      <w:sz w:val="21"/>
                      <w:szCs w:val="21"/>
                      <w:u w:val="single"/>
                    </w:rPr>
                    <w:t>频次</w:t>
                  </w:r>
                </w:p>
              </w:tc>
              <w:tc>
                <w:tcPr>
                  <w:tcW w:w="1011" w:type="pct"/>
                  <w:tcBorders>
                    <w:tl2br w:val="nil"/>
                    <w:tr2bl w:val="nil"/>
                  </w:tcBorders>
                  <w:noWrap w:val="0"/>
                  <w:vAlign w:val="center"/>
                </w:tcPr>
                <w:p>
                  <w:pPr>
                    <w:spacing w:line="260" w:lineRule="exact"/>
                    <w:ind w:firstLine="0" w:firstLineChars="0"/>
                    <w:jc w:val="center"/>
                    <w:rPr>
                      <w:rFonts w:hint="eastAsia" w:ascii="Times New Roman" w:hAnsi="Times New Roman"/>
                      <w:bCs/>
                      <w:color w:val="auto"/>
                      <w:sz w:val="21"/>
                      <w:szCs w:val="21"/>
                      <w:u w:val="single"/>
                    </w:rPr>
                  </w:pPr>
                  <w:r>
                    <w:rPr>
                      <w:rFonts w:ascii="Times New Roman" w:hAnsi="Times New Roman"/>
                      <w:bCs/>
                      <w:color w:val="auto"/>
                      <w:sz w:val="21"/>
                      <w:szCs w:val="21"/>
                      <w:u w:val="single"/>
                    </w:rPr>
                    <w:t>监测</w:t>
                  </w:r>
                  <w:r>
                    <w:rPr>
                      <w:rFonts w:hint="eastAsia" w:ascii="Times New Roman" w:hAnsi="Times New Roman"/>
                      <w:bCs/>
                      <w:color w:val="auto"/>
                      <w:sz w:val="21"/>
                      <w:szCs w:val="21"/>
                      <w:u w:val="single"/>
                    </w:rPr>
                    <w:t>点位</w:t>
                  </w:r>
                </w:p>
              </w:tc>
              <w:tc>
                <w:tcPr>
                  <w:tcW w:w="1429" w:type="pct"/>
                  <w:tcBorders>
                    <w:tl2br w:val="nil"/>
                    <w:tr2bl w:val="nil"/>
                  </w:tcBorders>
                  <w:noWrap w:val="0"/>
                  <w:vAlign w:val="center"/>
                </w:tcPr>
                <w:p>
                  <w:pPr>
                    <w:spacing w:line="260" w:lineRule="exact"/>
                    <w:ind w:firstLine="420"/>
                    <w:jc w:val="center"/>
                    <w:rPr>
                      <w:rFonts w:hint="eastAsia" w:ascii="Times New Roman" w:hAnsi="Times New Roman"/>
                      <w:bCs/>
                      <w:color w:val="auto"/>
                      <w:sz w:val="21"/>
                      <w:szCs w:val="21"/>
                      <w:u w:val="single"/>
                    </w:rPr>
                  </w:pPr>
                  <w:r>
                    <w:rPr>
                      <w:rFonts w:ascii="Times New Roman" w:hAnsi="Times New Roman"/>
                      <w:bCs/>
                      <w:color w:val="auto"/>
                      <w:sz w:val="21"/>
                      <w:szCs w:val="21"/>
                      <w:u w:val="single"/>
                    </w:rPr>
                    <w:t>监测</w:t>
                  </w:r>
                  <w:r>
                    <w:rPr>
                      <w:rFonts w:hint="eastAsia" w:ascii="Times New Roman" w:hAnsi="Times New Roman"/>
                      <w:bCs/>
                      <w:color w:val="auto"/>
                      <w:sz w:val="21"/>
                      <w:szCs w:val="21"/>
                      <w:u w:val="single"/>
                    </w:rPr>
                    <w:t>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43" w:type="pct"/>
                  <w:vMerge w:val="restart"/>
                  <w:tcBorders>
                    <w:tl2br w:val="nil"/>
                    <w:tr2bl w:val="nil"/>
                  </w:tcBorders>
                  <w:noWrap w:val="0"/>
                  <w:vAlign w:val="center"/>
                </w:tcPr>
                <w:p>
                  <w:pPr>
                    <w:spacing w:line="260" w:lineRule="exact"/>
                    <w:ind w:firstLine="0" w:firstLineChars="0"/>
                    <w:jc w:val="center"/>
                    <w:rPr>
                      <w:rFonts w:hint="eastAsia" w:ascii="Times New Roman" w:hAnsi="Times New Roman" w:eastAsia="宋体"/>
                      <w:color w:val="auto"/>
                      <w:sz w:val="21"/>
                      <w:szCs w:val="21"/>
                      <w:u w:val="single"/>
                      <w:lang w:val="en-US" w:eastAsia="zh-CN"/>
                    </w:rPr>
                  </w:pPr>
                  <w:r>
                    <w:rPr>
                      <w:rFonts w:hint="eastAsia" w:ascii="Times New Roman" w:hAnsi="Times New Roman"/>
                      <w:color w:val="auto"/>
                      <w:sz w:val="21"/>
                      <w:szCs w:val="21"/>
                      <w:u w:val="single"/>
                      <w:lang w:val="en-US" w:eastAsia="zh-CN"/>
                    </w:rPr>
                    <w:t>施工期</w:t>
                  </w:r>
                </w:p>
              </w:tc>
              <w:tc>
                <w:tcPr>
                  <w:tcW w:w="514" w:type="pct"/>
                  <w:tcBorders>
                    <w:tl2br w:val="nil"/>
                    <w:tr2bl w:val="nil"/>
                  </w:tcBorders>
                  <w:noWrap w:val="0"/>
                  <w:vAlign w:val="center"/>
                </w:tcPr>
                <w:p>
                  <w:pPr>
                    <w:spacing w:line="260" w:lineRule="exact"/>
                    <w:ind w:firstLine="0" w:firstLineChars="0"/>
                    <w:jc w:val="center"/>
                    <w:rPr>
                      <w:rFonts w:ascii="Times New Roman" w:hAnsi="Times New Roman"/>
                      <w:bCs/>
                      <w:color w:val="auto"/>
                      <w:sz w:val="21"/>
                      <w:szCs w:val="21"/>
                      <w:u w:val="single"/>
                    </w:rPr>
                  </w:pPr>
                  <w:r>
                    <w:rPr>
                      <w:rFonts w:ascii="Times New Roman" w:hAnsi="Times New Roman" w:eastAsia="宋体" w:cs="Times New Roman"/>
                      <w:bCs/>
                      <w:color w:val="auto"/>
                      <w:sz w:val="21"/>
                      <w:szCs w:val="21"/>
                      <w:u w:val="single"/>
                    </w:rPr>
                    <w:t>疏浚作业污染监控</w:t>
                  </w:r>
                </w:p>
              </w:tc>
              <w:tc>
                <w:tcPr>
                  <w:tcW w:w="680" w:type="pct"/>
                  <w:tcBorders>
                    <w:tl2br w:val="nil"/>
                    <w:tr2bl w:val="nil"/>
                  </w:tcBorders>
                  <w:noWrap w:val="0"/>
                  <w:vAlign w:val="center"/>
                </w:tcPr>
                <w:p>
                  <w:pPr>
                    <w:spacing w:line="260" w:lineRule="exact"/>
                    <w:ind w:firstLine="0" w:firstLineChars="0"/>
                    <w:jc w:val="center"/>
                    <w:rPr>
                      <w:rFonts w:hint="eastAsia" w:ascii="Times New Roman" w:hAnsi="Times New Roman"/>
                      <w:bCs/>
                      <w:color w:val="auto"/>
                      <w:sz w:val="21"/>
                      <w:szCs w:val="21"/>
                      <w:u w:val="single"/>
                    </w:rPr>
                  </w:pPr>
                  <w:r>
                    <w:rPr>
                      <w:rFonts w:ascii="Times New Roman" w:hAnsi="Times New Roman" w:eastAsia="宋体" w:cs="Times New Roman"/>
                      <w:bCs/>
                      <w:color w:val="auto"/>
                      <w:sz w:val="21"/>
                      <w:szCs w:val="21"/>
                      <w:u w:val="single"/>
                    </w:rPr>
                    <w:t>悬浮物、高锰酸盐指数、总磷、总氮、氨氮</w:t>
                  </w:r>
                </w:p>
              </w:tc>
              <w:tc>
                <w:tcPr>
                  <w:tcW w:w="921" w:type="pct"/>
                  <w:tcBorders>
                    <w:tl2br w:val="nil"/>
                    <w:tr2bl w:val="nil"/>
                  </w:tcBorders>
                  <w:noWrap w:val="0"/>
                  <w:vAlign w:val="center"/>
                </w:tcPr>
                <w:p>
                  <w:pPr>
                    <w:spacing w:line="260" w:lineRule="exact"/>
                    <w:ind w:firstLine="0" w:firstLineChars="0"/>
                    <w:jc w:val="center"/>
                    <w:rPr>
                      <w:rFonts w:ascii="Times New Roman" w:hAnsi="Times New Roman"/>
                      <w:bCs/>
                      <w:color w:val="auto"/>
                      <w:sz w:val="21"/>
                      <w:szCs w:val="21"/>
                      <w:u w:val="single"/>
                    </w:rPr>
                  </w:pPr>
                  <w:r>
                    <w:rPr>
                      <w:rFonts w:ascii="Times New Roman" w:hAnsi="Times New Roman" w:eastAsia="宋体" w:cs="Times New Roman"/>
                      <w:bCs/>
                      <w:color w:val="auto"/>
                      <w:sz w:val="21"/>
                      <w:szCs w:val="21"/>
                      <w:u w:val="single"/>
                    </w:rPr>
                    <w:t>施工中</w:t>
                  </w:r>
                  <w:r>
                    <w:rPr>
                      <w:rFonts w:hint="eastAsia" w:ascii="Times New Roman" w:hAnsi="Times New Roman" w:eastAsia="宋体" w:cs="Times New Roman"/>
                      <w:bCs/>
                      <w:color w:val="auto"/>
                      <w:sz w:val="21"/>
                      <w:szCs w:val="21"/>
                      <w:u w:val="single"/>
                      <w:lang w:val="en-US" w:eastAsia="zh-CN"/>
                    </w:rPr>
                    <w:t>每年</w:t>
                  </w:r>
                  <w:r>
                    <w:rPr>
                      <w:rFonts w:ascii="Times New Roman" w:hAnsi="Times New Roman" w:eastAsia="宋体" w:cs="Times New Roman"/>
                      <w:bCs/>
                      <w:color w:val="auto"/>
                      <w:sz w:val="21"/>
                      <w:szCs w:val="21"/>
                      <w:u w:val="single"/>
                    </w:rPr>
                    <w:t>跟踪监测</w:t>
                  </w:r>
                  <w:r>
                    <w:rPr>
                      <w:rFonts w:hint="eastAsia" w:ascii="Times New Roman" w:hAnsi="Times New Roman" w:eastAsia="宋体" w:cs="Times New Roman"/>
                      <w:bCs/>
                      <w:color w:val="auto"/>
                      <w:sz w:val="21"/>
                      <w:szCs w:val="21"/>
                      <w:u w:val="single"/>
                      <w:lang w:val="en-US" w:eastAsia="zh-CN"/>
                    </w:rPr>
                    <w:t>1</w:t>
                  </w:r>
                  <w:r>
                    <w:rPr>
                      <w:rFonts w:ascii="Times New Roman" w:hAnsi="Times New Roman" w:eastAsia="宋体" w:cs="Times New Roman"/>
                      <w:bCs/>
                      <w:color w:val="auto"/>
                      <w:sz w:val="21"/>
                      <w:szCs w:val="21"/>
                      <w:u w:val="single"/>
                    </w:rPr>
                    <w:t>次</w:t>
                  </w:r>
                </w:p>
              </w:tc>
              <w:tc>
                <w:tcPr>
                  <w:tcW w:w="1011" w:type="pct"/>
                  <w:tcBorders>
                    <w:tl2br w:val="nil"/>
                    <w:tr2bl w:val="nil"/>
                  </w:tcBorders>
                  <w:noWrap w:val="0"/>
                  <w:vAlign w:val="center"/>
                </w:tcPr>
                <w:p>
                  <w:pPr>
                    <w:spacing w:line="260" w:lineRule="exact"/>
                    <w:ind w:firstLine="0" w:firstLineChars="0"/>
                    <w:jc w:val="center"/>
                    <w:rPr>
                      <w:rFonts w:ascii="Times New Roman" w:hAnsi="Times New Roman"/>
                      <w:bCs/>
                      <w:color w:val="auto"/>
                      <w:sz w:val="21"/>
                      <w:szCs w:val="21"/>
                      <w:u w:val="single"/>
                    </w:rPr>
                  </w:pPr>
                  <w:r>
                    <w:rPr>
                      <w:rFonts w:ascii="Times New Roman" w:hAnsi="Times New Roman" w:eastAsia="宋体" w:cs="Times New Roman"/>
                      <w:bCs/>
                      <w:color w:val="auto"/>
                      <w:sz w:val="21"/>
                      <w:szCs w:val="21"/>
                      <w:u w:val="single"/>
                    </w:rPr>
                    <w:t>以挖掘头为圆心，分别以5、10、30 m 为半径做同心圆，在东、南、西、北四个方位布设监测点</w:t>
                  </w:r>
                </w:p>
              </w:tc>
              <w:tc>
                <w:tcPr>
                  <w:tcW w:w="1429" w:type="pct"/>
                  <w:tcBorders>
                    <w:tl2br w:val="nil"/>
                    <w:tr2bl w:val="nil"/>
                  </w:tcBorders>
                  <w:noWrap w:val="0"/>
                  <w:vAlign w:val="center"/>
                </w:tcPr>
                <w:p>
                  <w:pPr>
                    <w:spacing w:line="260" w:lineRule="exact"/>
                    <w:ind w:firstLine="420"/>
                    <w:jc w:val="center"/>
                    <w:rPr>
                      <w:rFonts w:ascii="Times New Roman" w:hAnsi="Times New Roman"/>
                      <w:bCs/>
                      <w:color w:val="auto"/>
                      <w:sz w:val="21"/>
                      <w:szCs w:val="21"/>
                      <w:u w:val="single"/>
                    </w:rPr>
                  </w:pPr>
                  <w:r>
                    <w:rPr>
                      <w:rFonts w:hint="eastAsia" w:ascii="Times New Roman" w:hAnsi="Times New Roman"/>
                      <w:bCs/>
                      <w:color w:val="auto"/>
                      <w:sz w:val="21"/>
                      <w:szCs w:val="21"/>
                      <w:u w:val="single"/>
                    </w:rPr>
                    <w:t>《地表水环境质量标准》（GB3838-2002）III类标准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3" w:type="pct"/>
                  <w:vMerge w:val="continue"/>
                  <w:tcBorders>
                    <w:tl2br w:val="nil"/>
                    <w:tr2bl w:val="nil"/>
                  </w:tcBorders>
                  <w:noWrap w:val="0"/>
                  <w:vAlign w:val="center"/>
                </w:tcPr>
                <w:p>
                  <w:pPr>
                    <w:spacing w:line="260" w:lineRule="exact"/>
                    <w:ind w:firstLine="0" w:firstLineChars="0"/>
                    <w:jc w:val="center"/>
                    <w:rPr>
                      <w:rFonts w:hint="eastAsia" w:ascii="Times New Roman" w:hAnsi="Times New Roman"/>
                      <w:color w:val="auto"/>
                      <w:sz w:val="21"/>
                      <w:szCs w:val="21"/>
                      <w:u w:val="single"/>
                    </w:rPr>
                  </w:pPr>
                </w:p>
              </w:tc>
              <w:tc>
                <w:tcPr>
                  <w:tcW w:w="514" w:type="pct"/>
                  <w:tcBorders>
                    <w:tl2br w:val="nil"/>
                    <w:tr2bl w:val="nil"/>
                  </w:tcBorders>
                  <w:noWrap w:val="0"/>
                  <w:vAlign w:val="center"/>
                </w:tcPr>
                <w:p>
                  <w:pPr>
                    <w:spacing w:line="260" w:lineRule="exact"/>
                    <w:ind w:firstLine="0" w:firstLineChars="0"/>
                    <w:jc w:val="center"/>
                    <w:rPr>
                      <w:rFonts w:ascii="Times New Roman" w:hAnsi="Times New Roman"/>
                      <w:color w:val="auto"/>
                      <w:sz w:val="21"/>
                      <w:szCs w:val="21"/>
                      <w:u w:val="single"/>
                    </w:rPr>
                  </w:pPr>
                  <w:r>
                    <w:rPr>
                      <w:rFonts w:ascii="Times New Roman" w:hAnsi="Times New Roman"/>
                      <w:color w:val="auto"/>
                      <w:sz w:val="21"/>
                      <w:szCs w:val="21"/>
                      <w:u w:val="single"/>
                    </w:rPr>
                    <w:t>噪声</w:t>
                  </w:r>
                </w:p>
              </w:tc>
              <w:tc>
                <w:tcPr>
                  <w:tcW w:w="680" w:type="pct"/>
                  <w:tcBorders>
                    <w:tl2br w:val="nil"/>
                    <w:tr2bl w:val="nil"/>
                  </w:tcBorders>
                  <w:noWrap w:val="0"/>
                  <w:vAlign w:val="center"/>
                </w:tcPr>
                <w:p>
                  <w:pPr>
                    <w:spacing w:line="260" w:lineRule="exact"/>
                    <w:ind w:firstLine="0" w:firstLineChars="0"/>
                    <w:jc w:val="center"/>
                    <w:rPr>
                      <w:rFonts w:ascii="Times New Roman" w:hAnsi="Times New Roman"/>
                      <w:color w:val="auto"/>
                      <w:sz w:val="21"/>
                      <w:szCs w:val="21"/>
                      <w:u w:val="single"/>
                    </w:rPr>
                  </w:pPr>
                  <w:r>
                    <w:rPr>
                      <w:rFonts w:ascii="Times New Roman" w:hAnsi="Times New Roman"/>
                      <w:color w:val="auto"/>
                      <w:sz w:val="21"/>
                      <w:szCs w:val="21"/>
                      <w:u w:val="single"/>
                    </w:rPr>
                    <w:t>等效连续</w:t>
                  </w:r>
                  <w:r>
                    <w:rPr>
                      <w:rFonts w:hint="eastAsia" w:ascii="Times New Roman" w:hAnsi="Times New Roman"/>
                      <w:color w:val="auto"/>
                      <w:sz w:val="21"/>
                      <w:szCs w:val="21"/>
                      <w:u w:val="single"/>
                    </w:rPr>
                    <w:t>A</w:t>
                  </w:r>
                  <w:r>
                    <w:rPr>
                      <w:rFonts w:ascii="Times New Roman" w:hAnsi="Times New Roman"/>
                      <w:color w:val="auto"/>
                      <w:sz w:val="21"/>
                      <w:szCs w:val="21"/>
                      <w:u w:val="single"/>
                    </w:rPr>
                    <w:t>声级</w:t>
                  </w:r>
                </w:p>
              </w:tc>
              <w:tc>
                <w:tcPr>
                  <w:tcW w:w="921" w:type="pct"/>
                  <w:tcBorders>
                    <w:tl2br w:val="nil"/>
                    <w:tr2bl w:val="nil"/>
                  </w:tcBorders>
                  <w:noWrap w:val="0"/>
                  <w:vAlign w:val="center"/>
                </w:tcPr>
                <w:p>
                  <w:pPr>
                    <w:spacing w:line="260" w:lineRule="exact"/>
                    <w:ind w:firstLine="0" w:firstLineChars="0"/>
                    <w:jc w:val="center"/>
                    <w:rPr>
                      <w:rFonts w:hint="eastAsia" w:ascii="Times New Roman" w:hAnsi="Times New Roman"/>
                      <w:color w:val="auto"/>
                      <w:sz w:val="21"/>
                      <w:szCs w:val="21"/>
                      <w:u w:val="single"/>
                    </w:rPr>
                  </w:pPr>
                  <w:r>
                    <w:rPr>
                      <w:rFonts w:ascii="Times New Roman" w:hAnsi="Times New Roman"/>
                      <w:color w:val="auto"/>
                      <w:sz w:val="21"/>
                      <w:szCs w:val="21"/>
                      <w:u w:val="single"/>
                    </w:rPr>
                    <w:t>施工期</w:t>
                  </w:r>
                  <w:r>
                    <w:rPr>
                      <w:rFonts w:hint="eastAsia" w:ascii="Times New Roman" w:hAnsi="Times New Roman"/>
                      <w:color w:val="auto"/>
                      <w:sz w:val="21"/>
                      <w:szCs w:val="21"/>
                      <w:u w:val="single"/>
                      <w:lang w:val="en-US" w:eastAsia="zh-CN"/>
                    </w:rPr>
                    <w:t>每季度1次</w:t>
                  </w:r>
                  <w:r>
                    <w:rPr>
                      <w:rFonts w:ascii="Times New Roman" w:hAnsi="Times New Roman"/>
                      <w:color w:val="auto"/>
                      <w:sz w:val="21"/>
                      <w:szCs w:val="21"/>
                      <w:u w:val="single"/>
                    </w:rPr>
                    <w:t>，</w:t>
                  </w:r>
                  <w:r>
                    <w:rPr>
                      <w:rFonts w:hint="eastAsia" w:ascii="Times New Roman" w:hAnsi="Times New Roman"/>
                      <w:color w:val="auto"/>
                      <w:sz w:val="21"/>
                      <w:szCs w:val="21"/>
                      <w:u w:val="single"/>
                      <w:lang w:val="en-US" w:eastAsia="zh-CN"/>
                    </w:rPr>
                    <w:t>每次监测</w:t>
                  </w:r>
                  <w:r>
                    <w:rPr>
                      <w:rFonts w:hint="eastAsia" w:ascii="Times New Roman" w:hAnsi="Times New Roman"/>
                      <w:color w:val="auto"/>
                      <w:sz w:val="21"/>
                      <w:szCs w:val="21"/>
                      <w:u w:val="single"/>
                    </w:rPr>
                    <w:t>1天</w:t>
                  </w:r>
                </w:p>
              </w:tc>
              <w:tc>
                <w:tcPr>
                  <w:tcW w:w="1011" w:type="pct"/>
                  <w:tcBorders>
                    <w:tl2br w:val="nil"/>
                    <w:tr2bl w:val="nil"/>
                  </w:tcBorders>
                  <w:noWrap w:val="0"/>
                  <w:vAlign w:val="center"/>
                </w:tcPr>
                <w:p>
                  <w:pPr>
                    <w:spacing w:line="260" w:lineRule="exact"/>
                    <w:ind w:firstLine="0" w:firstLineChars="0"/>
                    <w:jc w:val="center"/>
                    <w:rPr>
                      <w:rFonts w:ascii="Times New Roman" w:hAnsi="Times New Roman"/>
                      <w:color w:val="auto"/>
                      <w:sz w:val="21"/>
                      <w:szCs w:val="21"/>
                      <w:u w:val="single"/>
                    </w:rPr>
                  </w:pPr>
                  <w:r>
                    <w:rPr>
                      <w:rFonts w:hint="eastAsia" w:ascii="Times New Roman" w:hAnsi="Times New Roman"/>
                      <w:color w:val="auto"/>
                      <w:sz w:val="21"/>
                      <w:szCs w:val="21"/>
                      <w:u w:val="single"/>
                      <w:lang w:val="en-US" w:eastAsia="zh-CN"/>
                    </w:rPr>
                    <w:t>临时堆场</w:t>
                  </w:r>
                  <w:r>
                    <w:rPr>
                      <w:rFonts w:hint="eastAsia" w:ascii="Times New Roman" w:hAnsi="Times New Roman"/>
                      <w:color w:val="auto"/>
                      <w:sz w:val="21"/>
                      <w:szCs w:val="21"/>
                      <w:u w:val="single"/>
                    </w:rPr>
                    <w:t>场界外1m</w:t>
                  </w:r>
                </w:p>
              </w:tc>
              <w:tc>
                <w:tcPr>
                  <w:tcW w:w="1429" w:type="pct"/>
                  <w:tcBorders>
                    <w:tl2br w:val="nil"/>
                    <w:tr2bl w:val="nil"/>
                  </w:tcBorders>
                  <w:noWrap w:val="0"/>
                  <w:vAlign w:val="center"/>
                </w:tcPr>
                <w:p>
                  <w:pPr>
                    <w:spacing w:line="260" w:lineRule="exact"/>
                    <w:ind w:firstLine="0" w:firstLineChars="0"/>
                    <w:jc w:val="center"/>
                    <w:rPr>
                      <w:rFonts w:ascii="Times New Roman" w:hAnsi="Times New Roman"/>
                      <w:color w:val="auto"/>
                      <w:sz w:val="21"/>
                      <w:szCs w:val="21"/>
                      <w:u w:val="single"/>
                    </w:rPr>
                  </w:pPr>
                  <w:r>
                    <w:rPr>
                      <w:rFonts w:hint="eastAsia" w:ascii="Times New Roman" w:hAnsi="Times New Roman"/>
                      <w:color w:val="auto"/>
                      <w:sz w:val="21"/>
                      <w:szCs w:val="21"/>
                      <w:u w:val="single"/>
                    </w:rPr>
                    <w:t>《建筑施工场界环境噪声排放标准》（GB12523- 2011）中的监测方法</w:t>
                  </w:r>
                </w:p>
              </w:tc>
            </w:tr>
          </w:tbl>
          <w:p>
            <w:pPr>
              <w:tabs>
                <w:tab w:val="left" w:pos="8550"/>
              </w:tabs>
              <w:autoSpaceDE w:val="0"/>
              <w:autoSpaceDN w:val="0"/>
              <w:adjustRightInd w:val="0"/>
              <w:snapToGrid w:val="0"/>
              <w:spacing w:line="360" w:lineRule="auto"/>
              <w:rPr>
                <w:rFonts w:hint="eastAsia" w:ascii="Times New Roman" w:hAnsi="Times New Roman" w:eastAsia="宋体"/>
                <w:color w:val="auto"/>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409" w:type="pct"/>
            <w:tcMar>
              <w:left w:w="28" w:type="dxa"/>
              <w:right w:w="28" w:type="dxa"/>
            </w:tcMar>
            <w:vAlign w:val="center"/>
          </w:tcPr>
          <w:p>
            <w:pPr>
              <w:adjustRightInd w:val="0"/>
              <w:snapToGrid w:val="0"/>
              <w:jc w:val="center"/>
              <w:rPr>
                <w:rFonts w:ascii="Times New Roman" w:hAnsi="Times New Roman"/>
                <w:bCs/>
                <w:color w:val="auto"/>
                <w:spacing w:val="10"/>
                <w:sz w:val="24"/>
                <w:szCs w:val="24"/>
              </w:rPr>
            </w:pPr>
            <w:r>
              <w:rPr>
                <w:rFonts w:ascii="Times New Roman" w:hAnsi="Times New Roman"/>
                <w:bCs/>
                <w:color w:val="auto"/>
                <w:spacing w:val="10"/>
                <w:sz w:val="24"/>
                <w:szCs w:val="24"/>
              </w:rPr>
              <w:t>运营期生态环境保护措施</w:t>
            </w:r>
          </w:p>
        </w:tc>
        <w:tc>
          <w:tcPr>
            <w:tcW w:w="4591" w:type="pct"/>
            <w:vAlign w:val="center"/>
          </w:tcPr>
          <w:p>
            <w:pPr>
              <w:adjustRightInd w:val="0"/>
              <w:snapToGrid w:val="0"/>
              <w:spacing w:line="360" w:lineRule="auto"/>
              <w:ind w:firstLine="520" w:firstLineChars="200"/>
              <w:rPr>
                <w:rFonts w:ascii="Times New Roman" w:hAnsi="Times New Roman"/>
                <w:bCs/>
                <w:color w:val="auto"/>
                <w:spacing w:val="10"/>
                <w:sz w:val="24"/>
                <w:szCs w:val="24"/>
              </w:rPr>
            </w:pPr>
            <w:r>
              <w:rPr>
                <w:rFonts w:ascii="Times New Roman" w:hAnsi="Times New Roman"/>
                <w:bCs/>
                <w:color w:val="auto"/>
                <w:spacing w:val="1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09" w:type="pct"/>
            <w:vAlign w:val="center"/>
          </w:tcPr>
          <w:p>
            <w:pPr>
              <w:adjustRightInd w:val="0"/>
              <w:snapToGrid w:val="0"/>
              <w:jc w:val="center"/>
              <w:rPr>
                <w:rFonts w:ascii="Times New Roman" w:hAnsi="Times New Roman"/>
                <w:bCs/>
                <w:color w:val="auto"/>
                <w:spacing w:val="10"/>
                <w:sz w:val="24"/>
                <w:szCs w:val="24"/>
              </w:rPr>
            </w:pPr>
            <w:r>
              <w:rPr>
                <w:rFonts w:ascii="Times New Roman" w:hAnsi="Times New Roman"/>
                <w:bCs/>
                <w:color w:val="auto"/>
                <w:sz w:val="24"/>
                <w:szCs w:val="24"/>
              </w:rPr>
              <w:t>其他</w:t>
            </w:r>
          </w:p>
        </w:tc>
        <w:tc>
          <w:tcPr>
            <w:tcW w:w="4591" w:type="pct"/>
            <w:vAlign w:val="center"/>
          </w:tcPr>
          <w:p>
            <w:pPr>
              <w:adjustRightInd w:val="0"/>
              <w:snapToGrid w:val="0"/>
              <w:spacing w:line="360" w:lineRule="auto"/>
              <w:ind w:firstLine="520" w:firstLineChars="200"/>
              <w:rPr>
                <w:rFonts w:ascii="Times New Roman" w:hAnsi="Times New Roman"/>
                <w:bCs/>
                <w:color w:val="auto"/>
                <w:spacing w:val="10"/>
                <w:sz w:val="24"/>
                <w:szCs w:val="24"/>
              </w:rPr>
            </w:pPr>
            <w:r>
              <w:rPr>
                <w:rFonts w:ascii="Times New Roman" w:hAnsi="Times New Roman"/>
                <w:bCs/>
                <w:color w:val="auto"/>
                <w:spacing w:val="1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409" w:type="pct"/>
            <w:vAlign w:val="center"/>
          </w:tcPr>
          <w:p>
            <w:pPr>
              <w:adjustRightInd w:val="0"/>
              <w:snapToGrid w:val="0"/>
              <w:jc w:val="center"/>
              <w:rPr>
                <w:rFonts w:ascii="Times New Roman" w:hAnsi="Times New Roman"/>
                <w:bCs/>
                <w:color w:val="auto"/>
                <w:spacing w:val="10"/>
                <w:szCs w:val="21"/>
              </w:rPr>
            </w:pPr>
            <w:r>
              <w:rPr>
                <w:rFonts w:ascii="Times New Roman" w:hAnsi="Times New Roman"/>
                <w:bCs/>
                <w:color w:val="auto"/>
                <w:sz w:val="24"/>
                <w:szCs w:val="24"/>
              </w:rPr>
              <w:t>环保投资</w:t>
            </w:r>
          </w:p>
        </w:tc>
        <w:tc>
          <w:tcPr>
            <w:tcW w:w="4591" w:type="pct"/>
          </w:tcPr>
          <w:p>
            <w:pPr>
              <w:keepNext w:val="0"/>
              <w:keepLines w:val="0"/>
              <w:pageBreakBefore w:val="0"/>
              <w:kinsoku/>
              <w:wordWrap/>
              <w:overflowPunct/>
              <w:topLinePunct w:val="0"/>
              <w:bidi w:val="0"/>
              <w:spacing w:line="360" w:lineRule="auto"/>
              <w:ind w:firstLine="480" w:firstLineChars="200"/>
              <w:textAlignment w:val="auto"/>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u w:val="single"/>
              </w:rPr>
              <w:t>本项目总投资为</w:t>
            </w:r>
            <w:r>
              <w:rPr>
                <w:rFonts w:hint="eastAsia" w:ascii="Times New Roman" w:hAnsi="Times New Roman" w:cs="Times New Roman"/>
                <w:color w:val="auto"/>
                <w:sz w:val="24"/>
                <w:szCs w:val="24"/>
                <w:u w:val="single"/>
                <w:lang w:val="en-US" w:eastAsia="zh-CN"/>
              </w:rPr>
              <w:t>32801.28</w:t>
            </w:r>
            <w:r>
              <w:rPr>
                <w:rFonts w:hint="eastAsia" w:ascii="Times New Roman" w:hAnsi="Times New Roman" w:eastAsia="宋体" w:cs="Times New Roman"/>
                <w:color w:val="auto"/>
                <w:sz w:val="24"/>
                <w:szCs w:val="24"/>
                <w:u w:val="single"/>
              </w:rPr>
              <w:t>万元，其中环保投资</w:t>
            </w:r>
            <w:r>
              <w:rPr>
                <w:rFonts w:hint="eastAsia" w:ascii="Times New Roman" w:hAnsi="Times New Roman" w:cs="Times New Roman"/>
                <w:color w:val="auto"/>
                <w:sz w:val="24"/>
                <w:szCs w:val="24"/>
                <w:u w:val="single"/>
                <w:lang w:val="en-US" w:eastAsia="zh-CN"/>
              </w:rPr>
              <w:t>236.75</w:t>
            </w:r>
            <w:r>
              <w:rPr>
                <w:rFonts w:hint="default" w:ascii="Times New Roman" w:hAnsi="Times New Roman" w:eastAsia="宋体" w:cs="Times New Roman"/>
                <w:color w:val="auto"/>
                <w:sz w:val="24"/>
                <w:szCs w:val="24"/>
                <w:u w:val="single"/>
              </w:rPr>
              <w:t>万元</w:t>
            </w:r>
            <w:r>
              <w:rPr>
                <w:rFonts w:hint="eastAsia" w:ascii="Times New Roman" w:hAnsi="Times New Roman" w:eastAsia="宋体" w:cs="Times New Roman"/>
                <w:color w:val="auto"/>
                <w:sz w:val="24"/>
                <w:szCs w:val="24"/>
                <w:u w:val="single"/>
              </w:rPr>
              <w:t>，占工程总投资的</w:t>
            </w:r>
            <w:r>
              <w:rPr>
                <w:rFonts w:hint="eastAsia" w:ascii="Times New Roman" w:hAnsi="Times New Roman" w:cs="Times New Roman"/>
                <w:color w:val="auto"/>
                <w:sz w:val="24"/>
                <w:szCs w:val="24"/>
                <w:u w:val="single"/>
                <w:lang w:val="en-US" w:eastAsia="zh-CN"/>
              </w:rPr>
              <w:t>0.72</w:t>
            </w:r>
            <w:r>
              <w:rPr>
                <w:rFonts w:hint="eastAsia" w:ascii="Times New Roman" w:hAnsi="Times New Roman" w:eastAsia="宋体" w:cs="Times New Roman"/>
                <w:color w:val="auto"/>
                <w:sz w:val="24"/>
                <w:szCs w:val="24"/>
                <w:u w:val="single"/>
              </w:rPr>
              <w:t>%，环保设施（措施）及投资一览表详见下表5-</w:t>
            </w:r>
            <w:r>
              <w:rPr>
                <w:rFonts w:hint="eastAsia" w:ascii="Times New Roman" w:hAnsi="Times New Roman" w:cs="Times New Roman"/>
                <w:color w:val="auto"/>
                <w:sz w:val="24"/>
                <w:szCs w:val="24"/>
                <w:u w:val="single"/>
                <w:lang w:val="en-US" w:eastAsia="zh-CN"/>
              </w:rPr>
              <w:t>2</w:t>
            </w:r>
            <w:r>
              <w:rPr>
                <w:rFonts w:hint="eastAsia" w:ascii="Times New Roman" w:hAnsi="Times New Roman" w:eastAsia="宋体" w:cs="Times New Roman"/>
                <w:color w:val="auto"/>
                <w:sz w:val="24"/>
                <w:szCs w:val="24"/>
                <w:u w:val="single"/>
              </w:rPr>
              <w:t>。</w:t>
            </w:r>
          </w:p>
          <w:p>
            <w:pPr>
              <w:ind w:firstLine="422"/>
              <w:jc w:val="center"/>
              <w:rPr>
                <w:rFonts w:ascii="Times New Roman" w:hAnsi="Times New Roman"/>
                <w:b/>
                <w:color w:val="auto"/>
                <w:sz w:val="21"/>
                <w:szCs w:val="21"/>
                <w:u w:val="single"/>
              </w:rPr>
            </w:pPr>
            <w:r>
              <w:rPr>
                <w:rFonts w:ascii="Times New Roman" w:hAnsi="Times New Roman"/>
                <w:b/>
                <w:color w:val="auto"/>
                <w:sz w:val="21"/>
                <w:szCs w:val="21"/>
                <w:u w:val="single"/>
              </w:rPr>
              <w:t>表5-</w:t>
            </w:r>
            <w:r>
              <w:rPr>
                <w:rFonts w:hint="eastAsia" w:ascii="Times New Roman" w:hAnsi="Times New Roman"/>
                <w:b/>
                <w:color w:val="auto"/>
                <w:sz w:val="21"/>
                <w:szCs w:val="21"/>
                <w:u w:val="single"/>
                <w:lang w:val="en-US" w:eastAsia="zh-CN"/>
              </w:rPr>
              <w:t>2</w:t>
            </w:r>
            <w:r>
              <w:rPr>
                <w:rFonts w:ascii="Times New Roman" w:hAnsi="Times New Roman"/>
                <w:b/>
                <w:color w:val="auto"/>
                <w:sz w:val="21"/>
                <w:szCs w:val="21"/>
                <w:u w:val="single"/>
              </w:rPr>
              <w:t xml:space="preserve">  本项目环保投资估算一览表</w:t>
            </w:r>
          </w:p>
          <w:tbl>
            <w:tblPr>
              <w:tblStyle w:val="25"/>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95"/>
              <w:gridCol w:w="3306"/>
              <w:gridCol w:w="1299"/>
              <w:gridCol w:w="9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color w:val="auto"/>
                      <w:sz w:val="21"/>
                      <w:szCs w:val="21"/>
                      <w:u w:val="single"/>
                    </w:rPr>
                  </w:pPr>
                  <w:r>
                    <w:rPr>
                      <w:rFonts w:ascii="Times New Roman" w:hAnsi="Times New Roman"/>
                      <w:color w:val="auto"/>
                      <w:sz w:val="21"/>
                      <w:szCs w:val="21"/>
                      <w:u w:val="single"/>
                    </w:rPr>
                    <w:t>类别</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color w:val="auto"/>
                      <w:sz w:val="21"/>
                      <w:szCs w:val="21"/>
                      <w:u w:val="single"/>
                    </w:rPr>
                  </w:pPr>
                  <w:r>
                    <w:rPr>
                      <w:rFonts w:ascii="Times New Roman" w:hAnsi="Times New Roman"/>
                      <w:color w:val="auto"/>
                      <w:sz w:val="21"/>
                      <w:szCs w:val="21"/>
                      <w:u w:val="single"/>
                    </w:rPr>
                    <w:t>项目</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color w:val="auto"/>
                      <w:sz w:val="21"/>
                      <w:szCs w:val="21"/>
                      <w:u w:val="single"/>
                    </w:rPr>
                  </w:pPr>
                  <w:r>
                    <w:rPr>
                      <w:rFonts w:ascii="Times New Roman" w:hAnsi="Times New Roman"/>
                      <w:color w:val="auto"/>
                      <w:sz w:val="21"/>
                      <w:szCs w:val="21"/>
                      <w:u w:val="single"/>
                    </w:rPr>
                    <w:t>保护措施</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color w:val="auto"/>
                      <w:sz w:val="21"/>
                      <w:szCs w:val="21"/>
                      <w:u w:val="single"/>
                    </w:rPr>
                  </w:pPr>
                  <w:r>
                    <w:rPr>
                      <w:rFonts w:ascii="Times New Roman" w:hAnsi="Times New Roman"/>
                      <w:color w:val="auto"/>
                      <w:sz w:val="21"/>
                      <w:szCs w:val="21"/>
                      <w:u w:val="single"/>
                    </w:rPr>
                    <w:t>投资额（万元）</w:t>
                  </w:r>
                </w:p>
              </w:tc>
              <w:tc>
                <w:tcPr>
                  <w:tcW w:w="62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color w:val="auto"/>
                      <w:sz w:val="21"/>
                      <w:u w:val="single"/>
                    </w:rPr>
                  </w:pPr>
                  <w:r>
                    <w:rPr>
                      <w:rFonts w:hint="eastAsia" w:ascii="Times New Roman" w:hAnsi="Times New Roman"/>
                      <w:color w:val="auto"/>
                      <w:sz w:val="21"/>
                      <w:u w:val="single"/>
                    </w:rPr>
                    <w:t>完成时间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rPr>
                    <w:t>生态环境</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color w:val="auto"/>
                      <w:sz w:val="21"/>
                      <w:szCs w:val="21"/>
                      <w:u w:val="single"/>
                    </w:rPr>
                    <w:t>植被保护</w:t>
                  </w:r>
                </w:p>
              </w:tc>
              <w:tc>
                <w:tcPr>
                  <w:tcW w:w="2191" w:type="pct"/>
                  <w:tcBorders>
                    <w:tl2br w:val="nil"/>
                    <w:tr2bl w:val="nil"/>
                  </w:tcBorders>
                  <w:noWrap w:val="0"/>
                  <w:vAlign w:val="center"/>
                </w:tcPr>
                <w:p>
                  <w:pPr>
                    <w:pStyle w:val="62"/>
                    <w:keepNext w:val="0"/>
                    <w:keepLines w:val="0"/>
                    <w:pageBreakBefore w:val="0"/>
                    <w:kinsoku/>
                    <w:wordWrap/>
                    <w:overflowPunct/>
                    <w:topLinePunct w:val="0"/>
                    <w:autoSpaceDE/>
                    <w:autoSpaceDN/>
                    <w:bidi w:val="0"/>
                    <w:spacing w:before="1" w:line="320" w:lineRule="exact"/>
                    <w:ind w:left="106"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①合理规划堆料场，施工场区选择在植被少、距离区域道路较近的场地；</w:t>
                  </w:r>
                </w:p>
                <w:p>
                  <w:pPr>
                    <w:pStyle w:val="62"/>
                    <w:keepNext w:val="0"/>
                    <w:keepLines w:val="0"/>
                    <w:pageBreakBefore w:val="0"/>
                    <w:kinsoku/>
                    <w:wordWrap/>
                    <w:overflowPunct/>
                    <w:topLinePunct w:val="0"/>
                    <w:autoSpaceDE/>
                    <w:autoSpaceDN/>
                    <w:bidi w:val="0"/>
                    <w:spacing w:line="320" w:lineRule="exact"/>
                    <w:ind w:left="61" w:right="44"/>
                    <w:textAlignment w:val="auto"/>
                    <w:rPr>
                      <w:rFonts w:hint="eastAsia" w:ascii="Times New Roman" w:hAnsi="Times New Roman" w:eastAsia="宋体" w:cs="Times New Roman"/>
                      <w:color w:val="auto"/>
                      <w:kern w:val="2"/>
                      <w:sz w:val="21"/>
                      <w:szCs w:val="21"/>
                      <w:u w:val="single"/>
                      <w:lang w:val="en-US" w:eastAsia="zh-CN" w:bidi="ar-SA"/>
                    </w:rPr>
                  </w:pPr>
                  <w:r>
                    <w:rPr>
                      <w:rFonts w:ascii="Times New Roman" w:hAnsi="Times New Roman" w:cs="Times New Roman"/>
                      <w:color w:val="auto"/>
                      <w:kern w:val="2"/>
                      <w:sz w:val="21"/>
                      <w:szCs w:val="21"/>
                      <w:u w:val="single"/>
                      <w:lang w:val="en-US" w:bidi="ar-SA"/>
                    </w:rPr>
                    <w:t>②施工结束时，及时恢复临时占地范围的土地使用功能</w:t>
                  </w:r>
                  <w:r>
                    <w:rPr>
                      <w:rFonts w:hint="eastAsia" w:ascii="Times New Roman" w:hAnsi="Times New Roman" w:cs="Times New Roman"/>
                      <w:color w:val="auto"/>
                      <w:kern w:val="2"/>
                      <w:sz w:val="21"/>
                      <w:szCs w:val="21"/>
                      <w:u w:val="single"/>
                      <w:lang w:val="en-US" w:eastAsia="zh-CN" w:bidi="ar-SA"/>
                    </w:rPr>
                    <w:t>。</w:t>
                  </w:r>
                </w:p>
              </w:tc>
              <w:tc>
                <w:tcPr>
                  <w:tcW w:w="861" w:type="pct"/>
                  <w:tcBorders>
                    <w:tl2br w:val="nil"/>
                    <w:tr2bl w:val="nil"/>
                  </w:tcBorders>
                  <w:noWrap w:val="0"/>
                  <w:vAlign w:val="center"/>
                </w:tcPr>
                <w:p>
                  <w:pPr>
                    <w:pStyle w:val="62"/>
                    <w:keepNext w:val="0"/>
                    <w:keepLines w:val="0"/>
                    <w:pageBreakBefore w:val="0"/>
                    <w:kinsoku/>
                    <w:wordWrap/>
                    <w:overflowPunct/>
                    <w:topLinePunct w:val="0"/>
                    <w:autoSpaceDE/>
                    <w:autoSpaceDN/>
                    <w:bidi w:val="0"/>
                    <w:spacing w:line="320" w:lineRule="exact"/>
                    <w:ind w:left="353" w:right="125" w:hanging="212"/>
                    <w:jc w:val="center"/>
                    <w:textAlignment w:val="auto"/>
                    <w:rPr>
                      <w:rFonts w:ascii="Times New Roman" w:hAnsi="Times New Roman" w:cs="Times New Roman"/>
                      <w:color w:val="auto"/>
                      <w:kern w:val="2"/>
                      <w:sz w:val="21"/>
                      <w:szCs w:val="21"/>
                      <w:u w:val="single"/>
                      <w:lang w:val="en-US" w:bidi="ar-SA"/>
                    </w:rPr>
                  </w:pPr>
                  <w:r>
                    <w:rPr>
                      <w:rFonts w:hint="eastAsia" w:ascii="Times New Roman" w:hAnsi="Times New Roman" w:cs="Times New Roman"/>
                      <w:color w:val="auto"/>
                      <w:kern w:val="2"/>
                      <w:sz w:val="21"/>
                      <w:szCs w:val="21"/>
                      <w:u w:val="single"/>
                      <w:lang w:val="en-US" w:eastAsia="zh-CN" w:bidi="ar-SA"/>
                    </w:rPr>
                    <w:t>3</w:t>
                  </w:r>
                  <w:r>
                    <w:rPr>
                      <w:rFonts w:hint="eastAsia" w:ascii="Times New Roman" w:hAnsi="Times New Roman" w:cs="Times New Roman"/>
                      <w:color w:val="auto"/>
                      <w:kern w:val="2"/>
                      <w:sz w:val="21"/>
                      <w:szCs w:val="21"/>
                      <w:u w:val="single"/>
                      <w:lang w:val="en-US" w:bidi="ar-SA"/>
                    </w:rPr>
                    <w:t>0.0</w:t>
                  </w:r>
                </w:p>
              </w:tc>
              <w:tc>
                <w:tcPr>
                  <w:tcW w:w="62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r>
                    <w:rPr>
                      <w:rFonts w:ascii="Times New Roman" w:hAnsi="Times New Roman"/>
                      <w:color w:val="auto"/>
                      <w:sz w:val="21"/>
                      <w:szCs w:val="21"/>
                      <w:u w:val="single"/>
                    </w:rPr>
                    <w:t>同时设计、同时施工、同时投入使用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p>
              </w:tc>
              <w:tc>
                <w:tcPr>
                  <w:tcW w:w="792" w:type="pct"/>
                  <w:tcBorders>
                    <w:tl2br w:val="nil"/>
                    <w:tr2bl w:val="nil"/>
                  </w:tcBorders>
                  <w:noWrap w:val="0"/>
                  <w:vAlign w:val="center"/>
                </w:tcPr>
                <w:p>
                  <w:pPr>
                    <w:pStyle w:val="62"/>
                    <w:keepNext w:val="0"/>
                    <w:keepLines w:val="0"/>
                    <w:pageBreakBefore w:val="0"/>
                    <w:kinsoku/>
                    <w:wordWrap/>
                    <w:overflowPunct/>
                    <w:topLinePunct w:val="0"/>
                    <w:autoSpaceDE/>
                    <w:autoSpaceDN/>
                    <w:bidi w:val="0"/>
                    <w:spacing w:line="320" w:lineRule="exact"/>
                    <w:ind w:left="167" w:right="150"/>
                    <w:jc w:val="center"/>
                    <w:textAlignment w:val="auto"/>
                    <w:rPr>
                      <w:rFonts w:ascii="Times New Roman" w:hAnsi="Times New Roman"/>
                      <w:color w:val="auto"/>
                      <w:sz w:val="21"/>
                      <w:szCs w:val="21"/>
                      <w:u w:val="single"/>
                    </w:rPr>
                  </w:pPr>
                  <w:r>
                    <w:rPr>
                      <w:rFonts w:ascii="Times New Roman" w:hAnsi="Times New Roman"/>
                      <w:color w:val="auto"/>
                      <w:sz w:val="21"/>
                      <w:szCs w:val="21"/>
                      <w:u w:val="single"/>
                    </w:rPr>
                    <w:t>水土保持</w:t>
                  </w:r>
                </w:p>
              </w:tc>
              <w:tc>
                <w:tcPr>
                  <w:tcW w:w="2191" w:type="pct"/>
                  <w:tcBorders>
                    <w:tl2br w:val="nil"/>
                    <w:tr2bl w:val="nil"/>
                  </w:tcBorders>
                  <w:noWrap w:val="0"/>
                  <w:vAlign w:val="center"/>
                </w:tcPr>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①进行封闭性施工，严格控制施工范围；</w:t>
                  </w:r>
                </w:p>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②场区预先修建挡土墙和截排水沟，地表开挖尽 量避开暴雨季节，做到分期分区开挖；</w:t>
                  </w:r>
                </w:p>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③合理选择施工工序；</w:t>
                  </w:r>
                </w:p>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④合理选择施工工期；</w:t>
                  </w:r>
                </w:p>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⑤严格控制运输流失；</w:t>
                  </w:r>
                </w:p>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⑥剥离的表层土采取临时覆盖等防护措施；</w:t>
                  </w:r>
                </w:p>
                <w:p>
                  <w:pPr>
                    <w:pStyle w:val="62"/>
                    <w:keepNext w:val="0"/>
                    <w:keepLines w:val="0"/>
                    <w:pageBreakBefore w:val="0"/>
                    <w:kinsoku/>
                    <w:wordWrap/>
                    <w:overflowPunct/>
                    <w:topLinePunct w:val="0"/>
                    <w:autoSpaceDE/>
                    <w:autoSpaceDN/>
                    <w:bidi w:val="0"/>
                    <w:spacing w:line="320" w:lineRule="exact"/>
                    <w:ind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⑦注重水土保持的综合性；</w:t>
                  </w:r>
                </w:p>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olor w:val="auto"/>
                      <w:sz w:val="21"/>
                      <w:szCs w:val="21"/>
                      <w:u w:val="single"/>
                    </w:rPr>
                  </w:pPr>
                  <w:r>
                    <w:rPr>
                      <w:rFonts w:ascii="Times New Roman" w:hAnsi="Times New Roman" w:cs="Times New Roman"/>
                      <w:color w:val="auto"/>
                      <w:kern w:val="2"/>
                      <w:sz w:val="21"/>
                      <w:szCs w:val="21"/>
                      <w:u w:val="single"/>
                      <w:lang w:val="en-US" w:bidi="ar-SA"/>
                    </w:rPr>
                    <w:t>⑧修建挡土墙。</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124.66</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color w:val="auto"/>
                      <w:sz w:val="21"/>
                      <w:szCs w:val="21"/>
                      <w:u w:val="single"/>
                    </w:rPr>
                    <w:t>土壤保护</w:t>
                  </w:r>
                </w:p>
              </w:tc>
              <w:tc>
                <w:tcPr>
                  <w:tcW w:w="2191" w:type="pct"/>
                  <w:tcBorders>
                    <w:tl2br w:val="nil"/>
                    <w:tr2bl w:val="nil"/>
                  </w:tcBorders>
                  <w:noWrap w:val="0"/>
                  <w:vAlign w:val="center"/>
                </w:tcPr>
                <w:p>
                  <w:pPr>
                    <w:pStyle w:val="62"/>
                    <w:keepNext w:val="0"/>
                    <w:keepLines w:val="0"/>
                    <w:pageBreakBefore w:val="0"/>
                    <w:kinsoku/>
                    <w:wordWrap/>
                    <w:overflowPunct/>
                    <w:topLinePunct w:val="0"/>
                    <w:autoSpaceDE/>
                    <w:autoSpaceDN/>
                    <w:bidi w:val="0"/>
                    <w:spacing w:line="320" w:lineRule="exact"/>
                    <w:ind w:left="61" w:right="44"/>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①施工中加强施工管理，尽量缩小施工范围；</w:t>
                  </w:r>
                </w:p>
                <w:p>
                  <w:pPr>
                    <w:keepNext w:val="0"/>
                    <w:keepLines w:val="0"/>
                    <w:pageBreakBefore w:val="0"/>
                    <w:kinsoku/>
                    <w:wordWrap/>
                    <w:overflowPunct/>
                    <w:topLinePunct w:val="0"/>
                    <w:autoSpaceDE/>
                    <w:autoSpaceDN/>
                    <w:bidi w:val="0"/>
                    <w:adjustRightInd w:val="0"/>
                    <w:snapToGrid w:val="0"/>
                    <w:spacing w:line="320" w:lineRule="exact"/>
                    <w:ind w:left="61" w:right="44" w:firstLine="0" w:firstLineChars="0"/>
                    <w:jc w:val="left"/>
                    <w:textAlignment w:val="auto"/>
                    <w:rPr>
                      <w:rFonts w:ascii="Times New Roman" w:hAnsi="Times New Roman"/>
                      <w:color w:val="auto"/>
                      <w:sz w:val="21"/>
                      <w:szCs w:val="21"/>
                      <w:u w:val="single"/>
                    </w:rPr>
                  </w:pPr>
                  <w:r>
                    <w:rPr>
                      <w:rFonts w:ascii="Times New Roman" w:hAnsi="Times New Roman"/>
                      <w:color w:val="auto"/>
                      <w:sz w:val="21"/>
                      <w:szCs w:val="21"/>
                      <w:u w:val="single"/>
                    </w:rPr>
                    <w:t>②表层熟化土壤剥离后单独堆放；</w:t>
                  </w:r>
                </w:p>
                <w:p>
                  <w:pPr>
                    <w:keepNext w:val="0"/>
                    <w:keepLines w:val="0"/>
                    <w:pageBreakBefore w:val="0"/>
                    <w:kinsoku/>
                    <w:wordWrap/>
                    <w:overflowPunct/>
                    <w:topLinePunct w:val="0"/>
                    <w:autoSpaceDE/>
                    <w:autoSpaceDN/>
                    <w:bidi w:val="0"/>
                    <w:adjustRightInd w:val="0"/>
                    <w:snapToGrid w:val="0"/>
                    <w:spacing w:line="320" w:lineRule="exact"/>
                    <w:ind w:left="61" w:right="44" w:firstLine="0" w:firstLineChars="0"/>
                    <w:jc w:val="left"/>
                    <w:textAlignment w:val="auto"/>
                    <w:rPr>
                      <w:rFonts w:ascii="Times New Roman" w:hAnsi="Times New Roman"/>
                      <w:color w:val="auto"/>
                      <w:sz w:val="21"/>
                      <w:szCs w:val="21"/>
                      <w:u w:val="single"/>
                    </w:rPr>
                  </w:pPr>
                  <w:r>
                    <w:rPr>
                      <w:rFonts w:ascii="Times New Roman" w:hAnsi="Times New Roman"/>
                      <w:color w:val="auto"/>
                      <w:sz w:val="21"/>
                      <w:szCs w:val="21"/>
                      <w:u w:val="single"/>
                    </w:rPr>
                    <w:t>③临时堆场地面采用水泥硬化。</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rPr>
                    <w:t>2.0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c>
                <w:tcPr>
                  <w:tcW w:w="792" w:type="pct"/>
                  <w:tcBorders>
                    <w:tl2br w:val="nil"/>
                    <w:tr2bl w:val="nil"/>
                  </w:tcBorders>
                  <w:noWrap w:val="0"/>
                  <w:vAlign w:val="center"/>
                </w:tcPr>
                <w:p>
                  <w:pPr>
                    <w:pStyle w:val="62"/>
                    <w:keepNext w:val="0"/>
                    <w:keepLines w:val="0"/>
                    <w:pageBreakBefore w:val="0"/>
                    <w:kinsoku/>
                    <w:wordWrap/>
                    <w:overflowPunct/>
                    <w:topLinePunct w:val="0"/>
                    <w:autoSpaceDE/>
                    <w:autoSpaceDN/>
                    <w:bidi w:val="0"/>
                    <w:spacing w:before="153" w:line="320" w:lineRule="exact"/>
                    <w:ind w:left="61" w:right="44"/>
                    <w:jc w:val="center"/>
                    <w:textAlignment w:val="auto"/>
                    <w:rPr>
                      <w:rFonts w:ascii="Times New Roman" w:hAnsi="Times New Roman" w:cs="Times New Roman"/>
                      <w:color w:val="auto"/>
                      <w:kern w:val="2"/>
                      <w:sz w:val="21"/>
                      <w:szCs w:val="21"/>
                      <w:u w:val="single"/>
                      <w:lang w:val="en-US" w:bidi="ar-SA"/>
                    </w:rPr>
                  </w:pPr>
                  <w:r>
                    <w:rPr>
                      <w:rFonts w:ascii="Times New Roman" w:hAnsi="Times New Roman" w:cs="Times New Roman"/>
                      <w:color w:val="auto"/>
                      <w:kern w:val="2"/>
                      <w:sz w:val="21"/>
                      <w:szCs w:val="21"/>
                      <w:u w:val="single"/>
                      <w:lang w:val="en-US" w:bidi="ar-SA"/>
                    </w:rPr>
                    <w:t>景观</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left"/>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①施工工地必须封闭，进行文明施工；</w:t>
                  </w:r>
                </w:p>
                <w:p>
                  <w:pPr>
                    <w:keepNext w:val="0"/>
                    <w:keepLines w:val="0"/>
                    <w:pageBreakBefore w:val="0"/>
                    <w:kinsoku/>
                    <w:wordWrap/>
                    <w:overflowPunct/>
                    <w:topLinePunct w:val="0"/>
                    <w:autoSpaceDE/>
                    <w:autoSpaceDN/>
                    <w:bidi w:val="0"/>
                    <w:adjustRightInd w:val="0"/>
                    <w:snapToGrid w:val="0"/>
                    <w:spacing w:line="320" w:lineRule="exact"/>
                    <w:ind w:firstLine="0" w:firstLineChars="0"/>
                    <w:jc w:val="left"/>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②施工现场做好排水沟渠；</w:t>
                  </w:r>
                </w:p>
                <w:p>
                  <w:pPr>
                    <w:keepNext w:val="0"/>
                    <w:keepLines w:val="0"/>
                    <w:pageBreakBefore w:val="0"/>
                    <w:kinsoku/>
                    <w:wordWrap/>
                    <w:overflowPunct/>
                    <w:topLinePunct w:val="0"/>
                    <w:autoSpaceDE/>
                    <w:autoSpaceDN/>
                    <w:bidi w:val="0"/>
                    <w:adjustRightInd w:val="0"/>
                    <w:snapToGrid w:val="0"/>
                    <w:spacing w:line="320" w:lineRule="exact"/>
                    <w:ind w:firstLine="0" w:firstLineChars="0"/>
                    <w:jc w:val="left"/>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③施工完成后及时进行生态修复。</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rPr>
                    <w:t>10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rPr>
                    <w:t>废水</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生活污水</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依托周边</w:t>
                  </w:r>
                  <w:r>
                    <w:rPr>
                      <w:rFonts w:hint="eastAsia" w:ascii="Times New Roman" w:hAnsi="Times New Roman"/>
                      <w:bCs/>
                      <w:color w:val="auto"/>
                      <w:spacing w:val="10"/>
                      <w:sz w:val="21"/>
                      <w:szCs w:val="21"/>
                      <w:u w:val="single"/>
                    </w:rPr>
                    <w:t>居民化粪池</w:t>
                  </w:r>
                  <w:r>
                    <w:rPr>
                      <w:rFonts w:ascii="Times New Roman" w:hAnsi="Times New Roman"/>
                      <w:color w:val="auto"/>
                      <w:szCs w:val="21"/>
                      <w:u w:val="single"/>
                    </w:rPr>
                    <w:t>处理后</w:t>
                  </w:r>
                  <w:r>
                    <w:rPr>
                      <w:rFonts w:hint="eastAsia" w:ascii="Times New Roman" w:hAnsi="Times New Roman"/>
                      <w:color w:val="auto"/>
                      <w:szCs w:val="21"/>
                      <w:u w:val="single"/>
                    </w:rPr>
                    <w:t>用于</w:t>
                  </w:r>
                  <w:r>
                    <w:rPr>
                      <w:rFonts w:ascii="Times New Roman" w:hAnsi="Times New Roman"/>
                      <w:color w:val="auto"/>
                      <w:szCs w:val="21"/>
                      <w:u w:val="single"/>
                    </w:rPr>
                    <w:t>周边农田施肥</w:t>
                  </w:r>
                  <w:r>
                    <w:rPr>
                      <w:rFonts w:hint="eastAsia" w:ascii="Times New Roman" w:hAnsi="Times New Roman"/>
                      <w:color w:val="auto"/>
                      <w:szCs w:val="21"/>
                      <w:u w:val="single"/>
                    </w:rPr>
                    <w:t>，</w:t>
                  </w:r>
                  <w:r>
                    <w:rPr>
                      <w:rFonts w:ascii="Times New Roman" w:hAnsi="Times New Roman"/>
                      <w:color w:val="auto"/>
                      <w:szCs w:val="21"/>
                      <w:u w:val="single"/>
                    </w:rPr>
                    <w:t>不外排。</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color w:val="auto"/>
                      <w:szCs w:val="21"/>
                      <w:u w:val="single"/>
                      <w:lang w:val="en-US" w:eastAsia="zh-CN"/>
                    </w:rPr>
                    <w:t>临时堆场余水</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ascii="Times New Roman" w:hAnsi="Times New Roman"/>
                      <w:bCs/>
                      <w:color w:val="auto"/>
                      <w:spacing w:val="10"/>
                      <w:sz w:val="21"/>
                      <w:szCs w:val="21"/>
                      <w:u w:val="single"/>
                    </w:rPr>
                  </w:pPr>
                  <w:r>
                    <w:rPr>
                      <w:rFonts w:hint="eastAsia" w:ascii="Times New Roman" w:hAnsi="Times New Roman"/>
                      <w:color w:val="auto"/>
                      <w:szCs w:val="21"/>
                      <w:u w:val="single"/>
                      <w:lang w:val="en-US" w:eastAsia="zh-CN"/>
                    </w:rPr>
                    <w:t>经多级沉淀池处理后满足《污水综合排放标准》(GB8978-1996）一级标准后，分别回补范家坝湖和三汊港湖。</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16</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施工船舶含油污水</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经油水分离器处理后的浮油渣暂存于船舶自备的容器中，送油污水接收船或岸上的油污水接收单位接收处理。</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2.0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车辆冲洗废水</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经沉淀处理后循环使用，不外排。</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2.0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color w:val="auto"/>
                      <w:szCs w:val="21"/>
                      <w:u w:val="single"/>
                      <w:lang w:val="en-US" w:eastAsia="zh-CN"/>
                    </w:rPr>
                    <w:t>施工机械冲洗废水</w:t>
                  </w:r>
                </w:p>
              </w:tc>
              <w:tc>
                <w:tcPr>
                  <w:tcW w:w="2191" w:type="pct"/>
                  <w:tcBorders>
                    <w:tl2br w:val="nil"/>
                    <w:tr2bl w:val="nil"/>
                  </w:tcBorders>
                  <w:noWrap w:val="0"/>
                  <w:vAlign w:val="center"/>
                </w:tcPr>
                <w:p>
                  <w:pPr>
                    <w:adjustRightInd w:val="0"/>
                    <w:snapToGrid w:val="0"/>
                    <w:jc w:val="left"/>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olor w:val="auto"/>
                      <w:szCs w:val="21"/>
                      <w:u w:val="single"/>
                      <w:lang w:val="en-US" w:eastAsia="zh-CN"/>
                    </w:rPr>
                    <w:t>经隔油池沉淀处理后回用洒水除尘。</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2.0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废气</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扬尘、</w:t>
                  </w:r>
                  <w:r>
                    <w:rPr>
                      <w:rFonts w:hint="eastAsia" w:ascii="Times New Roman" w:hAnsi="Times New Roman"/>
                      <w:bCs/>
                      <w:color w:val="auto"/>
                      <w:spacing w:val="10"/>
                      <w:sz w:val="21"/>
                      <w:szCs w:val="21"/>
                      <w:u w:val="single"/>
                      <w:lang w:val="en-US" w:eastAsia="zh-CN"/>
                    </w:rPr>
                    <w:t>车辆船舶</w:t>
                  </w:r>
                  <w:r>
                    <w:rPr>
                      <w:rFonts w:ascii="Times New Roman" w:hAnsi="Times New Roman"/>
                      <w:bCs/>
                      <w:color w:val="auto"/>
                      <w:spacing w:val="10"/>
                      <w:sz w:val="21"/>
                      <w:szCs w:val="21"/>
                      <w:u w:val="single"/>
                    </w:rPr>
                    <w:t>尾气及机械废气等</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加强管理、对场地及堆土及时洒水，设置临时围挡，避免在大风天气下进行土石施工，运输车辆要进行遮盖，减少车辆滞留时间</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rPr>
                    <w:t>5.0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p>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噪声</w:t>
                  </w:r>
                </w:p>
              </w:tc>
              <w:tc>
                <w:tcPr>
                  <w:tcW w:w="792" w:type="pct"/>
                  <w:tcBorders>
                    <w:tl2br w:val="nil"/>
                    <w:tr2bl w:val="nil"/>
                  </w:tcBorders>
                  <w:noWrap w:val="0"/>
                  <w:vAlign w:val="top"/>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施工设备、车辆</w:t>
                  </w:r>
                </w:p>
              </w:tc>
              <w:tc>
                <w:tcPr>
                  <w:tcW w:w="2191" w:type="pct"/>
                  <w:tcBorders>
                    <w:tl2br w:val="nil"/>
                    <w:tr2bl w:val="nil"/>
                  </w:tcBorders>
                  <w:noWrap w:val="0"/>
                  <w:vAlign w:val="top"/>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尽量选用低噪声设备，建临时隔声屏障，加强设备维护和限制施工时间</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p>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lang w:val="en-US" w:eastAsia="zh-CN"/>
                    </w:rPr>
                    <w:t>2</w:t>
                  </w:r>
                  <w:r>
                    <w:rPr>
                      <w:rFonts w:hint="eastAsia" w:ascii="Times New Roman" w:hAnsi="Times New Roman"/>
                      <w:bCs/>
                      <w:color w:val="auto"/>
                      <w:spacing w:val="10"/>
                      <w:sz w:val="21"/>
                      <w:szCs w:val="21"/>
                      <w:u w:val="single"/>
                    </w:rPr>
                    <w:t>.0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ascii="Times New Roman" w:hAnsi="Times New Roman"/>
                      <w:bCs/>
                      <w:color w:val="auto"/>
                      <w:spacing w:val="10"/>
                      <w:sz w:val="21"/>
                      <w:szCs w:val="21"/>
                      <w:u w:val="single"/>
                    </w:rPr>
                    <w:t>固废</w:t>
                  </w: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bCs/>
                      <w:color w:val="auto"/>
                      <w:spacing w:val="10"/>
                      <w:sz w:val="21"/>
                      <w:szCs w:val="21"/>
                      <w:u w:val="single"/>
                    </w:rPr>
                  </w:pPr>
                  <w:r>
                    <w:rPr>
                      <w:rFonts w:hint="eastAsia" w:ascii="Times New Roman" w:hAnsi="Times New Roman" w:eastAsia="宋体" w:cs="Times New Roman"/>
                      <w:bCs/>
                      <w:color w:val="auto"/>
                      <w:spacing w:val="10"/>
                      <w:sz w:val="21"/>
                      <w:szCs w:val="21"/>
                      <w:u w:val="single"/>
                    </w:rPr>
                    <w:t>生活垃圾</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宋体" w:cs="Times New Roman"/>
                      <w:bCs/>
                      <w:color w:val="auto"/>
                      <w:spacing w:val="10"/>
                      <w:sz w:val="21"/>
                      <w:szCs w:val="21"/>
                      <w:u w:val="single"/>
                    </w:rPr>
                  </w:pPr>
                  <w:r>
                    <w:rPr>
                      <w:rFonts w:hint="eastAsia" w:ascii="Times New Roman" w:hAnsi="Times New Roman" w:eastAsia="宋体" w:cs="Times New Roman"/>
                      <w:bCs/>
                      <w:color w:val="auto"/>
                      <w:spacing w:val="10"/>
                      <w:sz w:val="21"/>
                      <w:szCs w:val="21"/>
                      <w:u w:val="single"/>
                    </w:rPr>
                    <w:t>环卫部门定期清理</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rPr>
                    <w:t>0.5</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cs="Times New Roman"/>
                      <w:bCs/>
                      <w:color w:val="auto"/>
                      <w:spacing w:val="10"/>
                      <w:sz w:val="21"/>
                      <w:szCs w:val="21"/>
                      <w:u w:val="single"/>
                      <w:lang w:val="en-US" w:eastAsia="zh-CN"/>
                    </w:rPr>
                  </w:pPr>
                  <w:r>
                    <w:rPr>
                      <w:rFonts w:hint="eastAsia" w:ascii="Times New Roman" w:hAnsi="Times New Roman" w:eastAsia="宋体" w:cs="Times New Roman"/>
                      <w:bCs/>
                      <w:color w:val="auto"/>
                      <w:spacing w:val="10"/>
                      <w:sz w:val="21"/>
                      <w:szCs w:val="21"/>
                      <w:u w:val="single"/>
                      <w:lang w:val="en-US" w:eastAsia="zh-CN"/>
                    </w:rPr>
                    <w:t>清淤废物</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宋体" w:cs="Times New Roman"/>
                      <w:bCs/>
                      <w:color w:val="auto"/>
                      <w:spacing w:val="10"/>
                      <w:sz w:val="21"/>
                      <w:szCs w:val="21"/>
                      <w:u w:val="single"/>
                    </w:rPr>
                  </w:pPr>
                  <w:r>
                    <w:rPr>
                      <w:rFonts w:hint="default" w:ascii="Times New Roman" w:hAnsi="Times New Roman" w:eastAsia="宋体" w:cs="Times New Roman"/>
                      <w:bCs/>
                      <w:color w:val="auto"/>
                      <w:spacing w:val="10"/>
                      <w:sz w:val="21"/>
                      <w:szCs w:val="21"/>
                      <w:u w:val="single"/>
                    </w:rPr>
                    <w:t>白泥湖采用500m</w:t>
                  </w:r>
                  <w:r>
                    <w:rPr>
                      <w:rFonts w:hint="default" w:ascii="Times New Roman" w:hAnsi="Times New Roman" w:eastAsia="宋体" w:cs="Times New Roman"/>
                      <w:bCs/>
                      <w:color w:val="auto"/>
                      <w:spacing w:val="10"/>
                      <w:sz w:val="21"/>
                      <w:szCs w:val="21"/>
                      <w:u w:val="single"/>
                      <w:vertAlign w:val="superscript"/>
                    </w:rPr>
                    <w:t>3</w:t>
                  </w:r>
                  <w:r>
                    <w:rPr>
                      <w:rFonts w:hint="default" w:ascii="Times New Roman" w:hAnsi="Times New Roman" w:eastAsia="宋体" w:cs="Times New Roman"/>
                      <w:bCs/>
                      <w:color w:val="auto"/>
                      <w:spacing w:val="10"/>
                      <w:sz w:val="21"/>
                      <w:szCs w:val="21"/>
                      <w:u w:val="single"/>
                    </w:rPr>
                    <w:t>/h 绞吸式挖泥船开挖，绞吸式挖泥船直接抽取上部淤泥用于白泥湖南堤填塘固基。范家坝湖和三汊港湖采用钻探式抽沙船进行施工，上部粘土层自然下沉，下层砾砂通过钻探式抽沙船可吸取，运至临时堆存场。</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rPr>
                    <w:t>8.5</w:t>
                  </w:r>
                  <w:r>
                    <w:rPr>
                      <w:rFonts w:hint="eastAsia" w:ascii="Times New Roman" w:hAnsi="Times New Roman"/>
                      <w:bCs/>
                      <w:color w:val="auto"/>
                      <w:spacing w:val="10"/>
                      <w:sz w:val="21"/>
                      <w:szCs w:val="21"/>
                      <w:u w:val="single"/>
                      <w:lang w:val="en-US" w:eastAsia="zh-CN"/>
                    </w:rPr>
                    <w:t>9</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7"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 w:val="21"/>
                      <w:szCs w:val="21"/>
                      <w:u w:val="single"/>
                    </w:rPr>
                  </w:pPr>
                </w:p>
              </w:tc>
              <w:tc>
                <w:tcPr>
                  <w:tcW w:w="79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宋体" w:cs="Times New Roman"/>
                      <w:bCs/>
                      <w:color w:val="auto"/>
                      <w:spacing w:val="10"/>
                      <w:sz w:val="21"/>
                      <w:szCs w:val="21"/>
                      <w:u w:val="single"/>
                      <w:lang w:val="en-US" w:eastAsia="zh-CN"/>
                    </w:rPr>
                  </w:pPr>
                  <w:r>
                    <w:rPr>
                      <w:rFonts w:hint="eastAsia" w:ascii="Times New Roman" w:hAnsi="Times New Roman" w:eastAsia="宋体" w:cs="Times New Roman"/>
                      <w:bCs/>
                      <w:color w:val="auto"/>
                      <w:spacing w:val="10"/>
                      <w:sz w:val="21"/>
                      <w:szCs w:val="21"/>
                      <w:u w:val="single"/>
                      <w:lang w:val="en-US" w:eastAsia="zh-CN"/>
                    </w:rPr>
                    <w:t>危险废物</w:t>
                  </w:r>
                </w:p>
              </w:tc>
              <w:tc>
                <w:tcPr>
                  <w:tcW w:w="219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宋体" w:cs="Times New Roman"/>
                      <w:bCs/>
                      <w:color w:val="auto"/>
                      <w:spacing w:val="10"/>
                      <w:sz w:val="21"/>
                      <w:szCs w:val="21"/>
                      <w:u w:val="single"/>
                      <w:lang w:val="en-US"/>
                    </w:rPr>
                  </w:pPr>
                  <w:r>
                    <w:rPr>
                      <w:rFonts w:hint="default" w:ascii="Times New Roman" w:hAnsi="Times New Roman" w:eastAsia="宋体" w:cs="Times New Roman"/>
                      <w:bCs/>
                      <w:color w:val="auto"/>
                      <w:spacing w:val="10"/>
                      <w:sz w:val="21"/>
                      <w:szCs w:val="21"/>
                      <w:u w:val="single"/>
                    </w:rPr>
                    <w:t>危废间，危废均采用贮存桶贮存，并委托有危废资质单位处理。</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2.0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10" w:type="pct"/>
                  <w:gridSpan w:val="3"/>
                  <w:tcBorders>
                    <w:tl2br w:val="nil"/>
                    <w:tr2bl w:val="nil"/>
                  </w:tcBorders>
                  <w:noWrap w:val="0"/>
                  <w:vAlign w:val="center"/>
                </w:tcPr>
                <w:p>
                  <w:pPr>
                    <w:pStyle w:val="62"/>
                    <w:keepNext w:val="0"/>
                    <w:keepLines w:val="0"/>
                    <w:pageBreakBefore w:val="0"/>
                    <w:kinsoku/>
                    <w:wordWrap/>
                    <w:overflowPunct/>
                    <w:topLinePunct w:val="0"/>
                    <w:autoSpaceDE/>
                    <w:autoSpaceDN/>
                    <w:bidi w:val="0"/>
                    <w:adjustRightInd w:val="0"/>
                    <w:snapToGrid w:val="0"/>
                    <w:spacing w:line="320" w:lineRule="exact"/>
                    <w:ind w:left="149"/>
                    <w:jc w:val="center"/>
                    <w:textAlignment w:val="auto"/>
                    <w:rPr>
                      <w:rFonts w:ascii="Times New Roman" w:hAnsi="Times New Roman" w:cs="Times New Roman"/>
                      <w:bCs/>
                      <w:color w:val="auto"/>
                      <w:spacing w:val="10"/>
                      <w:kern w:val="2"/>
                      <w:sz w:val="21"/>
                      <w:szCs w:val="21"/>
                      <w:u w:val="single"/>
                      <w:lang w:val="en-US" w:bidi="ar-SA"/>
                    </w:rPr>
                  </w:pPr>
                  <w:r>
                    <w:rPr>
                      <w:rFonts w:hint="eastAsia" w:ascii="Times New Roman" w:hAnsi="Times New Roman" w:cs="Times New Roman"/>
                      <w:bCs/>
                      <w:color w:val="auto"/>
                      <w:spacing w:val="10"/>
                      <w:kern w:val="2"/>
                      <w:sz w:val="21"/>
                      <w:szCs w:val="21"/>
                      <w:u w:val="single"/>
                      <w:lang w:val="en-US" w:bidi="ar-SA"/>
                    </w:rPr>
                    <w:t>绿化</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bCs/>
                      <w:color w:val="auto"/>
                      <w:spacing w:val="10"/>
                      <w:sz w:val="21"/>
                      <w:szCs w:val="21"/>
                      <w:u w:val="single"/>
                    </w:rPr>
                  </w:pPr>
                  <w:r>
                    <w:rPr>
                      <w:rFonts w:hint="eastAsia" w:ascii="Times New Roman" w:hAnsi="Times New Roman"/>
                      <w:bCs/>
                      <w:color w:val="auto"/>
                      <w:spacing w:val="10"/>
                      <w:sz w:val="21"/>
                      <w:szCs w:val="21"/>
                      <w:u w:val="single"/>
                      <w:lang w:val="en-US" w:eastAsia="zh-CN"/>
                    </w:rPr>
                    <w:t>30</w:t>
                  </w:r>
                  <w:r>
                    <w:rPr>
                      <w:rFonts w:hint="eastAsia" w:ascii="Times New Roman" w:hAnsi="Times New Roman"/>
                      <w:bCs/>
                      <w:color w:val="auto"/>
                      <w:spacing w:val="10"/>
                      <w:sz w:val="21"/>
                      <w:szCs w:val="21"/>
                      <w:u w:val="single"/>
                    </w:rPr>
                    <w:t>.0</w:t>
                  </w:r>
                </w:p>
              </w:tc>
              <w:tc>
                <w:tcPr>
                  <w:tcW w:w="6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510" w:type="pct"/>
                  <w:gridSpan w:val="3"/>
                  <w:tcBorders>
                    <w:tl2br w:val="nil"/>
                    <w:tr2bl w:val="nil"/>
                  </w:tcBorders>
                  <w:noWrap w:val="0"/>
                  <w:vAlign w:val="center"/>
                </w:tcPr>
                <w:p>
                  <w:pPr>
                    <w:pStyle w:val="62"/>
                    <w:keepNext w:val="0"/>
                    <w:keepLines w:val="0"/>
                    <w:pageBreakBefore w:val="0"/>
                    <w:kinsoku/>
                    <w:wordWrap/>
                    <w:overflowPunct/>
                    <w:topLinePunct w:val="0"/>
                    <w:autoSpaceDE/>
                    <w:autoSpaceDN/>
                    <w:bidi w:val="0"/>
                    <w:adjustRightInd w:val="0"/>
                    <w:snapToGrid w:val="0"/>
                    <w:spacing w:line="320" w:lineRule="exact"/>
                    <w:ind w:left="149"/>
                    <w:jc w:val="center"/>
                    <w:textAlignment w:val="auto"/>
                    <w:rPr>
                      <w:rFonts w:hint="eastAsia" w:ascii="Times New Roman" w:hAnsi="Times New Roman" w:cs="Times New Roman"/>
                      <w:bCs/>
                      <w:color w:val="auto"/>
                      <w:spacing w:val="10"/>
                      <w:kern w:val="2"/>
                      <w:sz w:val="21"/>
                      <w:szCs w:val="21"/>
                      <w:u w:val="single"/>
                      <w:lang w:val="en-US" w:bidi="ar-SA"/>
                    </w:rPr>
                  </w:pPr>
                  <w:r>
                    <w:rPr>
                      <w:rFonts w:hint="eastAsia" w:ascii="Times New Roman" w:hAnsi="Times New Roman" w:cs="Times New Roman"/>
                      <w:bCs/>
                      <w:color w:val="auto"/>
                      <w:spacing w:val="10"/>
                      <w:kern w:val="2"/>
                      <w:sz w:val="21"/>
                      <w:szCs w:val="21"/>
                      <w:u w:val="single"/>
                      <w:lang w:val="en-US" w:bidi="ar-SA"/>
                    </w:rPr>
                    <w:t>合计</w:t>
                  </w:r>
                </w:p>
              </w:tc>
              <w:tc>
                <w:tcPr>
                  <w:tcW w:w="861"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宋体"/>
                      <w:bCs/>
                      <w:color w:val="auto"/>
                      <w:spacing w:val="10"/>
                      <w:sz w:val="21"/>
                      <w:szCs w:val="21"/>
                      <w:u w:val="single"/>
                      <w:lang w:val="en-US" w:eastAsia="zh-CN"/>
                    </w:rPr>
                  </w:pPr>
                  <w:r>
                    <w:rPr>
                      <w:rFonts w:hint="eastAsia" w:ascii="Times New Roman" w:hAnsi="Times New Roman"/>
                      <w:bCs/>
                      <w:color w:val="auto"/>
                      <w:spacing w:val="10"/>
                      <w:sz w:val="21"/>
                      <w:szCs w:val="21"/>
                      <w:u w:val="single"/>
                      <w:lang w:val="en-US" w:eastAsia="zh-CN"/>
                    </w:rPr>
                    <w:t>236.75</w:t>
                  </w:r>
                </w:p>
              </w:tc>
              <w:tc>
                <w:tcPr>
                  <w:tcW w:w="62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bCs/>
                      <w:color w:val="auto"/>
                      <w:spacing w:val="10"/>
                      <w:szCs w:val="21"/>
                      <w:u w:val="single"/>
                    </w:rPr>
                  </w:pPr>
                </w:p>
              </w:tc>
            </w:tr>
          </w:tbl>
          <w:p>
            <w:pPr>
              <w:adjustRightInd w:val="0"/>
              <w:snapToGrid w:val="0"/>
              <w:ind w:firstLine="0" w:firstLineChars="0"/>
              <w:rPr>
                <w:rFonts w:ascii="Times New Roman" w:hAnsi="Times New Roman"/>
                <w:bCs/>
                <w:color w:val="auto"/>
                <w:spacing w:val="10"/>
                <w:szCs w:val="21"/>
                <w:u w:val="none"/>
              </w:rPr>
            </w:pPr>
          </w:p>
          <w:p>
            <w:pPr>
              <w:adjustRightInd w:val="0"/>
              <w:snapToGrid w:val="0"/>
              <w:spacing w:line="360" w:lineRule="auto"/>
              <w:rPr>
                <w:rFonts w:hint="eastAsia" w:ascii="Times New Roman" w:hAnsi="Times New Roman"/>
                <w:bCs/>
                <w:color w:val="auto"/>
                <w:spacing w:val="10"/>
                <w:szCs w:val="21"/>
                <w:lang w:val="en-US" w:eastAsia="zh-CN"/>
              </w:rPr>
            </w:pPr>
          </w:p>
          <w:p>
            <w:pPr>
              <w:adjustRightInd w:val="0"/>
              <w:snapToGrid w:val="0"/>
              <w:spacing w:line="360" w:lineRule="auto"/>
              <w:rPr>
                <w:rFonts w:hint="eastAsia" w:ascii="Times New Roman" w:hAnsi="Times New Roman"/>
                <w:bCs/>
                <w:color w:val="auto"/>
                <w:spacing w:val="10"/>
                <w:szCs w:val="21"/>
                <w:lang w:val="en-US" w:eastAsia="zh-CN"/>
              </w:rPr>
            </w:pPr>
          </w:p>
          <w:p>
            <w:pPr>
              <w:adjustRightInd w:val="0"/>
              <w:snapToGrid w:val="0"/>
              <w:spacing w:line="360" w:lineRule="auto"/>
              <w:rPr>
                <w:rFonts w:hint="eastAsia" w:ascii="Times New Roman" w:hAnsi="Times New Roman"/>
                <w:bCs/>
                <w:color w:val="auto"/>
                <w:spacing w:val="10"/>
                <w:szCs w:val="21"/>
                <w:lang w:val="en-US" w:eastAsia="zh-CN"/>
              </w:rPr>
            </w:pPr>
          </w:p>
          <w:p>
            <w:pPr>
              <w:adjustRightInd w:val="0"/>
              <w:snapToGrid w:val="0"/>
              <w:spacing w:line="360" w:lineRule="auto"/>
              <w:rPr>
                <w:rFonts w:hint="eastAsia" w:ascii="Times New Roman" w:hAnsi="Times New Roman"/>
                <w:bCs/>
                <w:color w:val="auto"/>
                <w:spacing w:val="10"/>
                <w:szCs w:val="21"/>
                <w:lang w:val="en-US" w:eastAsia="zh-CN"/>
              </w:rPr>
            </w:pPr>
          </w:p>
          <w:p>
            <w:pPr>
              <w:adjustRightInd w:val="0"/>
              <w:snapToGrid w:val="0"/>
              <w:spacing w:line="360" w:lineRule="auto"/>
              <w:rPr>
                <w:rFonts w:hint="default" w:ascii="Times New Roman" w:hAnsi="Times New Roman" w:eastAsia="宋体"/>
                <w:bCs/>
                <w:color w:val="auto"/>
                <w:spacing w:val="10"/>
                <w:szCs w:val="21"/>
                <w:lang w:val="en-US" w:eastAsia="zh-CN"/>
              </w:rPr>
            </w:pPr>
          </w:p>
        </w:tc>
      </w:tr>
    </w:tbl>
    <w:p>
      <w:pPr>
        <w:rPr>
          <w:rFonts w:ascii="Times New Roman" w:hAnsi="Times New Roman"/>
          <w:color w:val="auto"/>
        </w:rPr>
        <w:sectPr>
          <w:pgSz w:w="11907" w:h="16840"/>
          <w:pgMar w:top="1440" w:right="1797" w:bottom="1440" w:left="1797"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2"/>
        <w:jc w:val="center"/>
        <w:outlineLvl w:val="0"/>
        <w:rPr>
          <w:rFonts w:ascii="Times New Roman" w:hAnsi="Times New Roman" w:eastAsia="黑体"/>
          <w:snapToGrid w:val="0"/>
          <w:color w:val="auto"/>
          <w:sz w:val="30"/>
          <w:szCs w:val="30"/>
        </w:rPr>
      </w:pPr>
      <w:bookmarkStart w:id="79" w:name="_Toc21289"/>
      <w:r>
        <w:rPr>
          <w:rFonts w:ascii="Times New Roman" w:hAnsi="Times New Roman" w:eastAsia="黑体"/>
          <w:snapToGrid w:val="0"/>
          <w:color w:val="auto"/>
          <w:sz w:val="30"/>
          <w:szCs w:val="30"/>
        </w:rPr>
        <w:t>六、生态环境保护措施监督检查清单</w:t>
      </w:r>
      <w:bookmarkEnd w:id="79"/>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3128"/>
        <w:gridCol w:w="2351"/>
        <w:gridCol w:w="1040"/>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68" w:type="pct"/>
            <w:vMerge w:val="restart"/>
            <w:tcBorders>
              <w:tl2br w:val="single" w:color="auto" w:sz="4" w:space="0"/>
            </w:tcBorders>
          </w:tcPr>
          <w:p>
            <w:pPr>
              <w:pStyle w:val="22"/>
              <w:adjustRightInd w:val="0"/>
              <w:snapToGrid w:val="0"/>
              <w:spacing w:beforeLines="30" w:beforeAutospacing="0" w:after="0" w:afterAutospacing="0"/>
              <w:jc w:val="center"/>
              <w:outlineLvl w:val="0"/>
              <w:rPr>
                <w:rFonts w:ascii="Times New Roman" w:hAnsi="Times New Roman" w:eastAsia="黑体"/>
                <w:color w:val="auto"/>
                <w:kern w:val="2"/>
                <w:sz w:val="21"/>
                <w:szCs w:val="21"/>
              </w:rPr>
            </w:pPr>
            <w:bookmarkStart w:id="80" w:name="_Toc7878"/>
            <w:r>
              <w:rPr>
                <w:rFonts w:ascii="Times New Roman" w:hAnsi="Times New Roman" w:eastAsia="黑体"/>
                <w:color w:val="auto"/>
                <w:kern w:val="2"/>
                <w:sz w:val="21"/>
                <w:szCs w:val="21"/>
              </w:rPr>
              <w:t>内容</w:t>
            </w:r>
            <w:bookmarkEnd w:id="80"/>
          </w:p>
          <w:p>
            <w:pPr>
              <w:pStyle w:val="22"/>
              <w:adjustRightInd w:val="0"/>
              <w:snapToGrid w:val="0"/>
              <w:spacing w:before="0" w:beforeAutospacing="0" w:after="0" w:afterAutospacing="0" w:line="14" w:lineRule="auto"/>
              <w:outlineLvl w:val="9"/>
              <w:rPr>
                <w:rFonts w:ascii="Times New Roman" w:hAnsi="Times New Roman" w:eastAsia="黑体"/>
                <w:color w:val="auto"/>
                <w:kern w:val="2"/>
                <w:sz w:val="135"/>
                <w:szCs w:val="21"/>
              </w:rPr>
            </w:pPr>
          </w:p>
          <w:p>
            <w:pPr>
              <w:pStyle w:val="22"/>
              <w:adjustRightInd w:val="0"/>
              <w:snapToGrid w:val="0"/>
              <w:spacing w:before="0" w:beforeAutospacing="0" w:after="0" w:afterAutospacing="0"/>
              <w:outlineLvl w:val="9"/>
              <w:rPr>
                <w:rFonts w:ascii="Times New Roman" w:hAnsi="Times New Roman" w:eastAsia="黑体"/>
                <w:color w:val="auto"/>
                <w:kern w:val="2"/>
                <w:sz w:val="21"/>
                <w:szCs w:val="21"/>
              </w:rPr>
            </w:pPr>
          </w:p>
          <w:p>
            <w:pPr>
              <w:pStyle w:val="22"/>
              <w:adjustRightInd w:val="0"/>
              <w:snapToGrid w:val="0"/>
              <w:spacing w:before="0" w:beforeAutospacing="0" w:after="0" w:afterAutospacing="0"/>
              <w:outlineLvl w:val="0"/>
              <w:rPr>
                <w:rFonts w:ascii="Times New Roman" w:hAnsi="Times New Roman" w:eastAsia="黑体"/>
                <w:color w:val="auto"/>
                <w:kern w:val="2"/>
                <w:sz w:val="21"/>
                <w:szCs w:val="21"/>
              </w:rPr>
            </w:pPr>
            <w:bookmarkStart w:id="81" w:name="_Toc21094"/>
            <w:r>
              <w:rPr>
                <w:rFonts w:ascii="Times New Roman" w:hAnsi="Times New Roman" w:eastAsia="黑体"/>
                <w:color w:val="auto"/>
                <w:kern w:val="2"/>
                <w:sz w:val="21"/>
                <w:szCs w:val="21"/>
              </w:rPr>
              <w:t>要素</w:t>
            </w:r>
            <w:bookmarkEnd w:id="81"/>
          </w:p>
        </w:tc>
        <w:tc>
          <w:tcPr>
            <w:tcW w:w="3141" w:type="pct"/>
            <w:gridSpan w:val="2"/>
            <w:vAlign w:val="center"/>
          </w:tcPr>
          <w:p>
            <w:pPr>
              <w:pStyle w:val="22"/>
              <w:adjustRightInd w:val="0"/>
              <w:snapToGrid w:val="0"/>
              <w:spacing w:before="0" w:beforeAutospacing="0" w:after="0" w:afterAutospacing="0"/>
              <w:jc w:val="center"/>
              <w:outlineLvl w:val="0"/>
              <w:rPr>
                <w:rFonts w:ascii="Times New Roman" w:hAnsi="Times New Roman" w:eastAsia="黑体"/>
                <w:color w:val="auto"/>
                <w:kern w:val="2"/>
                <w:sz w:val="21"/>
                <w:szCs w:val="21"/>
              </w:rPr>
            </w:pPr>
            <w:bookmarkStart w:id="82" w:name="_Toc15504"/>
            <w:r>
              <w:rPr>
                <w:rFonts w:ascii="Times New Roman" w:hAnsi="Times New Roman" w:eastAsia="黑体"/>
                <w:color w:val="auto"/>
                <w:kern w:val="2"/>
                <w:sz w:val="21"/>
                <w:szCs w:val="21"/>
              </w:rPr>
              <w:t>施工期</w:t>
            </w:r>
            <w:bookmarkEnd w:id="82"/>
          </w:p>
        </w:tc>
        <w:tc>
          <w:tcPr>
            <w:tcW w:w="1490" w:type="pct"/>
            <w:gridSpan w:val="2"/>
            <w:vAlign w:val="center"/>
          </w:tcPr>
          <w:p>
            <w:pPr>
              <w:pStyle w:val="22"/>
              <w:adjustRightInd w:val="0"/>
              <w:snapToGrid w:val="0"/>
              <w:spacing w:before="0" w:beforeAutospacing="0" w:after="0" w:afterAutospacing="0"/>
              <w:jc w:val="center"/>
              <w:outlineLvl w:val="0"/>
              <w:rPr>
                <w:rFonts w:ascii="Times New Roman" w:hAnsi="Times New Roman" w:eastAsia="黑体"/>
                <w:color w:val="auto"/>
                <w:kern w:val="2"/>
                <w:sz w:val="21"/>
                <w:szCs w:val="21"/>
              </w:rPr>
            </w:pPr>
            <w:bookmarkStart w:id="83" w:name="_Toc21924"/>
            <w:r>
              <w:rPr>
                <w:rFonts w:ascii="Times New Roman" w:hAnsi="Times New Roman" w:eastAsia="黑体"/>
                <w:color w:val="auto"/>
                <w:kern w:val="2"/>
                <w:sz w:val="21"/>
                <w:szCs w:val="21"/>
              </w:rPr>
              <w:t>运营期</w:t>
            </w:r>
            <w:bookmarkEnd w:id="8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8" w:type="pct"/>
            <w:vMerge w:val="continue"/>
          </w:tcPr>
          <w:p>
            <w:pPr>
              <w:pStyle w:val="22"/>
              <w:adjustRightInd w:val="0"/>
              <w:snapToGrid w:val="0"/>
              <w:spacing w:before="0" w:beforeAutospacing="0" w:after="0" w:afterAutospacing="0"/>
              <w:ind w:firstLine="840"/>
              <w:jc w:val="center"/>
              <w:outlineLvl w:val="9"/>
              <w:rPr>
                <w:rFonts w:ascii="Times New Roman" w:hAnsi="Times New Roman" w:eastAsia="黑体"/>
                <w:color w:val="auto"/>
                <w:kern w:val="2"/>
                <w:sz w:val="21"/>
                <w:szCs w:val="21"/>
              </w:rPr>
            </w:pPr>
          </w:p>
        </w:tc>
        <w:tc>
          <w:tcPr>
            <w:tcW w:w="1793" w:type="pct"/>
            <w:vAlign w:val="center"/>
          </w:tcPr>
          <w:p>
            <w:pPr>
              <w:pStyle w:val="22"/>
              <w:adjustRightInd w:val="0"/>
              <w:snapToGrid w:val="0"/>
              <w:spacing w:before="0" w:beforeAutospacing="0" w:after="0" w:afterAutospacing="0"/>
              <w:jc w:val="center"/>
              <w:outlineLvl w:val="0"/>
              <w:rPr>
                <w:rFonts w:ascii="Times New Roman" w:hAnsi="Times New Roman" w:eastAsia="黑体"/>
                <w:color w:val="auto"/>
                <w:kern w:val="2"/>
                <w:sz w:val="21"/>
                <w:szCs w:val="21"/>
              </w:rPr>
            </w:pPr>
            <w:bookmarkStart w:id="84" w:name="_Toc4000"/>
            <w:r>
              <w:rPr>
                <w:rFonts w:ascii="Times New Roman" w:hAnsi="Times New Roman" w:eastAsia="黑体"/>
                <w:color w:val="auto"/>
                <w:kern w:val="2"/>
                <w:sz w:val="21"/>
                <w:szCs w:val="21"/>
              </w:rPr>
              <w:t>环境保护措施</w:t>
            </w:r>
            <w:bookmarkEnd w:id="84"/>
          </w:p>
        </w:tc>
        <w:tc>
          <w:tcPr>
            <w:tcW w:w="1348" w:type="pct"/>
            <w:vAlign w:val="center"/>
          </w:tcPr>
          <w:p>
            <w:pPr>
              <w:pStyle w:val="22"/>
              <w:adjustRightInd w:val="0"/>
              <w:snapToGrid w:val="0"/>
              <w:spacing w:before="0" w:beforeAutospacing="0" w:after="0" w:afterAutospacing="0"/>
              <w:jc w:val="center"/>
              <w:outlineLvl w:val="0"/>
              <w:rPr>
                <w:rFonts w:ascii="Times New Roman" w:hAnsi="Times New Roman" w:eastAsia="黑体"/>
                <w:color w:val="auto"/>
                <w:kern w:val="2"/>
                <w:sz w:val="21"/>
                <w:szCs w:val="21"/>
              </w:rPr>
            </w:pPr>
            <w:bookmarkStart w:id="85" w:name="_Toc28209"/>
            <w:r>
              <w:rPr>
                <w:rFonts w:ascii="Times New Roman" w:hAnsi="Times New Roman" w:eastAsia="黑体"/>
                <w:color w:val="auto"/>
                <w:kern w:val="2"/>
                <w:sz w:val="21"/>
                <w:szCs w:val="21"/>
              </w:rPr>
              <w:t>验收要求</w:t>
            </w:r>
            <w:bookmarkEnd w:id="85"/>
          </w:p>
        </w:tc>
        <w:tc>
          <w:tcPr>
            <w:tcW w:w="596" w:type="pct"/>
            <w:vAlign w:val="center"/>
          </w:tcPr>
          <w:p>
            <w:pPr>
              <w:pStyle w:val="22"/>
              <w:adjustRightInd w:val="0"/>
              <w:snapToGrid w:val="0"/>
              <w:spacing w:before="0" w:beforeAutospacing="0" w:after="0" w:afterAutospacing="0"/>
              <w:jc w:val="center"/>
              <w:outlineLvl w:val="0"/>
              <w:rPr>
                <w:rFonts w:ascii="Times New Roman" w:hAnsi="Times New Roman" w:eastAsia="黑体"/>
                <w:color w:val="auto"/>
                <w:kern w:val="2"/>
                <w:sz w:val="21"/>
                <w:szCs w:val="21"/>
              </w:rPr>
            </w:pPr>
            <w:bookmarkStart w:id="86" w:name="_Toc6242"/>
            <w:r>
              <w:rPr>
                <w:rFonts w:ascii="Times New Roman" w:hAnsi="Times New Roman" w:eastAsia="黑体"/>
                <w:color w:val="auto"/>
                <w:kern w:val="2"/>
                <w:sz w:val="21"/>
                <w:szCs w:val="21"/>
              </w:rPr>
              <w:t>环境保护措施</w:t>
            </w:r>
            <w:bookmarkEnd w:id="86"/>
          </w:p>
        </w:tc>
        <w:tc>
          <w:tcPr>
            <w:tcW w:w="893" w:type="pct"/>
            <w:vAlign w:val="center"/>
          </w:tcPr>
          <w:p>
            <w:pPr>
              <w:pStyle w:val="22"/>
              <w:adjustRightInd w:val="0"/>
              <w:snapToGrid w:val="0"/>
              <w:spacing w:before="0" w:beforeAutospacing="0" w:after="0" w:afterAutospacing="0"/>
              <w:jc w:val="center"/>
              <w:outlineLvl w:val="0"/>
              <w:rPr>
                <w:rFonts w:ascii="Times New Roman" w:hAnsi="Times New Roman" w:eastAsia="黑体"/>
                <w:color w:val="auto"/>
                <w:kern w:val="2"/>
                <w:sz w:val="21"/>
                <w:szCs w:val="21"/>
              </w:rPr>
            </w:pPr>
            <w:bookmarkStart w:id="87" w:name="_Toc17876"/>
            <w:r>
              <w:rPr>
                <w:rFonts w:ascii="Times New Roman" w:hAnsi="Times New Roman" w:eastAsia="黑体"/>
                <w:color w:val="auto"/>
                <w:kern w:val="2"/>
                <w:sz w:val="21"/>
                <w:szCs w:val="21"/>
              </w:rPr>
              <w:t>验收要求</w:t>
            </w:r>
            <w:bookmarkEnd w:id="8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陆生生态</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合理安排施工时段，尽可能避开暴雨季节施工，以降低因降雨对水土产生的水力侵蚀；水土保持采取工程措施及植物措施相结合的方式；及时对绿化带进行恢复</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表土用于植被恢复，临时占地面积较小</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植被恢复</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植被恢复效果达到要求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水生生态</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合理设计施工方案，分片进行，以避免对水生态环境产</w:t>
            </w: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生较大的影响</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改善原有水生生态环境</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地表水环境</w:t>
            </w:r>
          </w:p>
        </w:tc>
        <w:tc>
          <w:tcPr>
            <w:tcW w:w="1793" w:type="pct"/>
            <w:vAlign w:val="center"/>
          </w:tcPr>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①</w:t>
            </w:r>
            <w:r>
              <w:rPr>
                <w:rFonts w:ascii="Times New Roman" w:hAnsi="Times New Roman"/>
                <w:color w:val="auto"/>
                <w:szCs w:val="21"/>
                <w:u w:val="single"/>
              </w:rPr>
              <w:t>施工人员生活污水利用现有居民住房化粪池处理后</w:t>
            </w:r>
            <w:r>
              <w:rPr>
                <w:rFonts w:hint="eastAsia" w:ascii="Times New Roman" w:hAnsi="Times New Roman"/>
                <w:color w:val="auto"/>
                <w:szCs w:val="21"/>
                <w:u w:val="single"/>
              </w:rPr>
              <w:t>用于</w:t>
            </w:r>
            <w:r>
              <w:rPr>
                <w:rFonts w:ascii="Times New Roman" w:hAnsi="Times New Roman"/>
                <w:color w:val="auto"/>
                <w:szCs w:val="21"/>
                <w:u w:val="single"/>
              </w:rPr>
              <w:t>周边农田施肥</w:t>
            </w:r>
            <w:r>
              <w:rPr>
                <w:rFonts w:hint="eastAsia" w:ascii="Times New Roman" w:hAnsi="Times New Roman"/>
                <w:color w:val="auto"/>
                <w:szCs w:val="21"/>
                <w:u w:val="single"/>
              </w:rPr>
              <w:t>，</w:t>
            </w:r>
            <w:r>
              <w:rPr>
                <w:rFonts w:ascii="Times New Roman" w:hAnsi="Times New Roman"/>
                <w:color w:val="auto"/>
                <w:szCs w:val="21"/>
                <w:u w:val="single"/>
              </w:rPr>
              <w:t>不外排。</w:t>
            </w:r>
          </w:p>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②临时堆场余水经多级沉淀池处理后满足《污水综合排放标准》(GB8978-1996）一级标准后，分别回补范家坝湖和三汊港湖。</w:t>
            </w:r>
          </w:p>
          <w:p>
            <w:pPr>
              <w:adjustRightInd w:val="0"/>
              <w:snapToGrid w:val="0"/>
              <w:jc w:val="left"/>
              <w:rPr>
                <w:rFonts w:hint="eastAsia"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③施工船舶含油污水经油水分离器处理后的浮油渣暂存于船舶自备的容器中，送油污水接收船或岸上的油污水接收单位接收处理。</w:t>
            </w:r>
          </w:p>
          <w:p>
            <w:pPr>
              <w:adjustRightInd w:val="0"/>
              <w:snapToGrid w:val="0"/>
              <w:jc w:val="left"/>
              <w:rPr>
                <w:rFonts w:hint="default" w:ascii="Times New Roman" w:hAnsi="Times New Roman"/>
                <w:color w:val="auto"/>
                <w:szCs w:val="21"/>
                <w:u w:val="single"/>
                <w:lang w:val="en-US" w:eastAsia="zh-CN"/>
              </w:rPr>
            </w:pPr>
            <w:r>
              <w:rPr>
                <w:rFonts w:hint="eastAsia" w:ascii="Times New Roman" w:hAnsi="Times New Roman"/>
                <w:color w:val="auto"/>
                <w:szCs w:val="21"/>
                <w:u w:val="single"/>
                <w:lang w:val="en-US" w:eastAsia="zh-CN"/>
              </w:rPr>
              <w:t>④车辆冲洗废水经沉淀处理后循环使用，不外排。</w:t>
            </w:r>
          </w:p>
          <w:p>
            <w:pPr>
              <w:spacing w:line="260" w:lineRule="exact"/>
              <w:ind w:firstLine="0" w:firstLineChars="0"/>
              <w:jc w:val="center"/>
              <w:rPr>
                <w:rFonts w:ascii="Times New Roman" w:hAnsi="Times New Roman" w:cs="Times New Roman"/>
                <w:bCs/>
                <w:color w:val="auto"/>
                <w:sz w:val="21"/>
                <w:szCs w:val="21"/>
              </w:rPr>
            </w:pPr>
            <w:r>
              <w:rPr>
                <w:rFonts w:hint="eastAsia" w:ascii="Times New Roman" w:hAnsi="Times New Roman"/>
                <w:color w:val="auto"/>
                <w:szCs w:val="21"/>
                <w:u w:val="single"/>
                <w:lang w:val="en-US" w:eastAsia="zh-CN"/>
              </w:rPr>
              <w:t>⑤施工机械冲洗废水经隔油池沉淀处理后回用洒水除尘。</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施工期车辆</w:t>
            </w:r>
            <w:r>
              <w:rPr>
                <w:rFonts w:hint="eastAsia" w:ascii="Times New Roman" w:hAnsi="Times New Roman" w:cs="Times New Roman"/>
                <w:bCs/>
                <w:color w:val="auto"/>
                <w:sz w:val="21"/>
                <w:szCs w:val="21"/>
                <w:lang w:eastAsia="zh-CN"/>
              </w:rPr>
              <w:t>、</w:t>
            </w:r>
            <w:r>
              <w:rPr>
                <w:rFonts w:ascii="Times New Roman" w:hAnsi="Times New Roman" w:cs="Times New Roman"/>
                <w:bCs/>
                <w:color w:val="auto"/>
                <w:sz w:val="21"/>
                <w:szCs w:val="21"/>
              </w:rPr>
              <w:t>设备清洗废水经隔油池、洗车平台简单处理之后全部回用车辆和设备的冲洗，施工场地洒水抑尘、绿化用水等；</w:t>
            </w:r>
            <w:r>
              <w:rPr>
                <w:rFonts w:hint="eastAsia" w:ascii="Times New Roman" w:hAnsi="Times New Roman" w:cs="Times New Roman"/>
                <w:bCs/>
                <w:color w:val="auto"/>
                <w:sz w:val="21"/>
                <w:szCs w:val="21"/>
                <w:lang w:val="en-US" w:eastAsia="zh-CN"/>
              </w:rPr>
              <w:t>船舶废水暂存于船舶自备的容器中，并送岸上的由资质的接收单位统一处理。</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地下水及土壤环境</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声环境</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隔声、减振</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场界达到《建筑施工场界环境噪声排放标准》</w:t>
            </w: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（GB12523-2011），减</w:t>
            </w: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少噪声对周边敏感点</w:t>
            </w: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的影响</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振动</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大气环境</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施工现场设专人负责保洁工作，及时清扫和洒水降尘，施工现场周边设置围栏等预防措施</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达《大气污染物综合排放标准》（GB16297-1996）中的</w:t>
            </w: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无组织排放浓度监控 限值；满足《恶臭污染物排放标准》(GB14554-93)二级标准</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固体废物</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配套建设</w:t>
            </w:r>
            <w:r>
              <w:rPr>
                <w:rFonts w:hint="eastAsia" w:ascii="Times New Roman" w:hAnsi="Times New Roman" w:cs="Times New Roman"/>
                <w:bCs/>
                <w:color w:val="auto"/>
                <w:sz w:val="21"/>
                <w:szCs w:val="21"/>
                <w:lang w:val="en-US" w:eastAsia="zh-CN"/>
              </w:rPr>
              <w:t>5</w:t>
            </w:r>
            <w:r>
              <w:rPr>
                <w:rFonts w:ascii="Times New Roman" w:hAnsi="Times New Roman" w:cs="Times New Roman"/>
                <w:bCs/>
                <w:color w:val="auto"/>
                <w:sz w:val="21"/>
                <w:szCs w:val="21"/>
              </w:rPr>
              <w:t>个临时堆场；</w:t>
            </w:r>
            <w:r>
              <w:rPr>
                <w:rFonts w:hint="eastAsia" w:ascii="Times New Roman" w:hAnsi="Times New Roman" w:cs="Times New Roman"/>
                <w:bCs/>
                <w:color w:val="auto"/>
                <w:sz w:val="21"/>
                <w:szCs w:val="21"/>
                <w:lang w:val="en-US" w:eastAsia="zh-CN"/>
              </w:rPr>
              <w:t>危险废物在危废暂存间</w:t>
            </w:r>
            <w:r>
              <w:rPr>
                <w:rFonts w:ascii="Times New Roman" w:hAnsi="Times New Roman" w:cs="Times New Roman"/>
                <w:bCs/>
                <w:color w:val="auto"/>
                <w:sz w:val="21"/>
                <w:szCs w:val="21"/>
              </w:rPr>
              <w:t>贮存，定期交有资质单位处理</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固废</w:t>
            </w:r>
            <w:r>
              <w:rPr>
                <w:rFonts w:ascii="Times New Roman" w:hAnsi="Times New Roman" w:cs="Times New Roman"/>
                <w:bCs/>
                <w:color w:val="auto"/>
                <w:sz w:val="21"/>
                <w:szCs w:val="21"/>
              </w:rPr>
              <w:t>妥善处置利用</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临时堆场基坑回填，植被恢复</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hint="eastAsia" w:ascii="Times New Roman" w:hAnsi="Times New Roman" w:cs="Times New Roman"/>
                <w:bCs/>
                <w:color w:val="auto"/>
                <w:sz w:val="21"/>
                <w:szCs w:val="21"/>
                <w:lang w:val="en-US" w:eastAsia="zh-CN"/>
              </w:rPr>
              <w:t>固废</w:t>
            </w:r>
            <w:r>
              <w:rPr>
                <w:rFonts w:ascii="Times New Roman" w:hAnsi="Times New Roman" w:cs="Times New Roman"/>
                <w:bCs/>
                <w:color w:val="auto"/>
                <w:sz w:val="21"/>
                <w:szCs w:val="21"/>
              </w:rPr>
              <w:t>处置完全，无残留；植被恢复效果达到要求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电磁环境</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环境风险</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严格按照规范操作</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环境风险可控</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p>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68" w:type="pct"/>
            <w:vMerge w:val="restar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环境监测</w:t>
            </w:r>
          </w:p>
        </w:tc>
        <w:tc>
          <w:tcPr>
            <w:tcW w:w="1793" w:type="pct"/>
            <w:vAlign w:val="center"/>
          </w:tcPr>
          <w:p>
            <w:pPr>
              <w:spacing w:line="260" w:lineRule="exact"/>
              <w:ind w:firstLine="0" w:firstLineChars="0"/>
              <w:jc w:val="center"/>
              <w:rPr>
                <w:rFonts w:ascii="Times New Roman" w:hAnsi="Times New Roman" w:cs="Times New Roman"/>
                <w:bCs/>
                <w:color w:val="auto"/>
                <w:sz w:val="21"/>
                <w:szCs w:val="21"/>
              </w:rPr>
            </w:pPr>
            <w:r>
              <w:rPr>
                <w:rFonts w:hint="eastAsia" w:ascii="Times New Roman" w:hAnsi="Times New Roman" w:cs="Times New Roman"/>
                <w:bCs/>
                <w:color w:val="auto"/>
                <w:sz w:val="21"/>
                <w:szCs w:val="21"/>
              </w:rPr>
              <w:t>疏浚作业污染监控</w:t>
            </w:r>
          </w:p>
        </w:tc>
        <w:tc>
          <w:tcPr>
            <w:tcW w:w="1348" w:type="pct"/>
            <w:vAlign w:val="center"/>
          </w:tcPr>
          <w:p>
            <w:pPr>
              <w:spacing w:line="260" w:lineRule="exact"/>
              <w:ind w:firstLine="0" w:firstLineChars="0"/>
              <w:jc w:val="center"/>
              <w:rPr>
                <w:rFonts w:ascii="Times New Roman" w:hAnsi="Times New Roman" w:cs="Times New Roman"/>
                <w:bCs/>
                <w:color w:val="auto"/>
                <w:sz w:val="21"/>
                <w:szCs w:val="21"/>
              </w:rPr>
            </w:pPr>
            <w:r>
              <w:rPr>
                <w:rFonts w:hint="eastAsia" w:ascii="Times New Roman" w:hAnsi="Times New Roman" w:cs="Times New Roman"/>
                <w:bCs/>
                <w:color w:val="auto"/>
                <w:sz w:val="21"/>
                <w:szCs w:val="21"/>
              </w:rPr>
              <w:t>《地表水环境质量标准》（GB3838-2002）III类标准</w:t>
            </w:r>
          </w:p>
        </w:tc>
        <w:tc>
          <w:tcPr>
            <w:tcW w:w="596"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c>
          <w:tcPr>
            <w:tcW w:w="893"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68" w:type="pct"/>
            <w:vMerge w:val="continue"/>
            <w:vAlign w:val="center"/>
          </w:tcPr>
          <w:p>
            <w:pPr>
              <w:spacing w:line="260" w:lineRule="exact"/>
              <w:ind w:firstLine="0" w:firstLineChars="0"/>
              <w:jc w:val="center"/>
              <w:rPr>
                <w:rFonts w:ascii="Times New Roman" w:hAnsi="Times New Roman" w:cs="Times New Roman"/>
                <w:bCs/>
                <w:color w:val="auto"/>
                <w:sz w:val="21"/>
                <w:szCs w:val="21"/>
              </w:rPr>
            </w:pPr>
          </w:p>
        </w:tc>
        <w:tc>
          <w:tcPr>
            <w:tcW w:w="1793" w:type="pct"/>
            <w:vAlign w:val="top"/>
          </w:tcPr>
          <w:p>
            <w:pPr>
              <w:pStyle w:val="62"/>
              <w:spacing w:before="12"/>
              <w:rPr>
                <w:rFonts w:ascii="Times New Roman" w:hAnsi="Times New Roman"/>
                <w:b/>
                <w:color w:val="auto"/>
                <w:sz w:val="20"/>
                <w:u w:val="none"/>
              </w:rPr>
            </w:pPr>
          </w:p>
          <w:p>
            <w:pPr>
              <w:pStyle w:val="62"/>
              <w:ind w:left="106" w:leftChars="0" w:right="91" w:rightChars="0"/>
              <w:jc w:val="center"/>
              <w:rPr>
                <w:rFonts w:ascii="Times New Roman" w:hAnsi="Times New Roman" w:cs="Times New Roman"/>
                <w:bCs/>
                <w:color w:val="auto"/>
                <w:sz w:val="21"/>
                <w:szCs w:val="21"/>
              </w:rPr>
            </w:pPr>
            <w:r>
              <w:rPr>
                <w:rFonts w:ascii="Times New Roman" w:hAnsi="Times New Roman"/>
                <w:color w:val="auto"/>
                <w:sz w:val="21"/>
                <w:u w:val="none"/>
              </w:rPr>
              <w:t>噪声监测</w:t>
            </w:r>
          </w:p>
        </w:tc>
        <w:tc>
          <w:tcPr>
            <w:tcW w:w="1348" w:type="pct"/>
            <w:vAlign w:val="top"/>
          </w:tcPr>
          <w:p>
            <w:pPr>
              <w:pStyle w:val="62"/>
              <w:spacing w:line="242" w:lineRule="auto"/>
              <w:ind w:left="215" w:right="193"/>
              <w:jc w:val="center"/>
              <w:rPr>
                <w:rFonts w:ascii="Times New Roman" w:hAnsi="Times New Roman" w:cs="Times New Roman"/>
                <w:bCs/>
                <w:color w:val="auto"/>
                <w:sz w:val="21"/>
                <w:szCs w:val="21"/>
              </w:rPr>
            </w:pPr>
            <w:r>
              <w:rPr>
                <w:rFonts w:ascii="Times New Roman" w:hAnsi="Times New Roman"/>
                <w:color w:val="auto"/>
                <w:sz w:val="21"/>
                <w:u w:val="none"/>
              </w:rPr>
              <w:t>《建筑施工场界环境噪声排放标准》（GB12523-2011）</w:t>
            </w:r>
          </w:p>
        </w:tc>
        <w:tc>
          <w:tcPr>
            <w:tcW w:w="596" w:type="pct"/>
            <w:vAlign w:val="center"/>
          </w:tcPr>
          <w:p>
            <w:pPr>
              <w:spacing w:line="26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893" w:type="pct"/>
            <w:vAlign w:val="center"/>
          </w:tcPr>
          <w:p>
            <w:pPr>
              <w:spacing w:line="26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6" w:hRule="atLeast"/>
          <w:jc w:val="center"/>
        </w:trPr>
        <w:tc>
          <w:tcPr>
            <w:tcW w:w="368" w:type="pct"/>
            <w:vAlign w:val="center"/>
          </w:tcPr>
          <w:p>
            <w:pPr>
              <w:spacing w:line="260" w:lineRule="exact"/>
              <w:ind w:firstLine="0" w:firstLineChars="0"/>
              <w:jc w:val="center"/>
              <w:rPr>
                <w:rFonts w:ascii="Times New Roman" w:hAnsi="Times New Roman" w:cs="Times New Roman"/>
                <w:bCs/>
                <w:color w:val="auto"/>
                <w:sz w:val="21"/>
                <w:szCs w:val="21"/>
              </w:rPr>
            </w:pPr>
            <w:r>
              <w:rPr>
                <w:rFonts w:ascii="Times New Roman" w:hAnsi="Times New Roman" w:cs="Times New Roman"/>
                <w:bCs/>
                <w:color w:val="auto"/>
                <w:sz w:val="21"/>
                <w:szCs w:val="21"/>
              </w:rPr>
              <w:t>其他</w:t>
            </w:r>
          </w:p>
        </w:tc>
        <w:tc>
          <w:tcPr>
            <w:tcW w:w="4631" w:type="pct"/>
            <w:gridSpan w:val="4"/>
            <w:vAlign w:val="center"/>
          </w:tcPr>
          <w:p>
            <w:pPr>
              <w:pStyle w:val="62"/>
              <w:spacing w:line="364" w:lineRule="auto"/>
              <w:ind w:left="112" w:right="11" w:firstLine="420"/>
              <w:rPr>
                <w:rFonts w:ascii="Times New Roman" w:hAnsi="Times New Roman"/>
                <w:color w:val="auto"/>
                <w:sz w:val="21"/>
                <w:u w:val="none"/>
              </w:rPr>
            </w:pPr>
            <w:r>
              <w:rPr>
                <w:rFonts w:ascii="Times New Roman" w:hAnsi="Times New Roman"/>
                <w:color w:val="auto"/>
                <w:sz w:val="21"/>
                <w:u w:val="none"/>
              </w:rPr>
              <w:t>1、建设单位及施工单位在清</w:t>
            </w:r>
            <w:r>
              <w:rPr>
                <w:rFonts w:hint="eastAsia" w:ascii="Times New Roman" w:hAnsi="Times New Roman"/>
                <w:color w:val="auto"/>
                <w:sz w:val="21"/>
                <w:u w:val="none"/>
              </w:rPr>
              <w:t>淤</w:t>
            </w:r>
            <w:r>
              <w:rPr>
                <w:rFonts w:ascii="Times New Roman" w:hAnsi="Times New Roman"/>
                <w:color w:val="auto"/>
                <w:sz w:val="21"/>
                <w:u w:val="none"/>
              </w:rPr>
              <w:t>施工过程中，严格落实本报告提出的风险防控措施，运输沿线向属地有关部门报备，并在关键涉水区域配置环保、应急管理人员应对可能发生的突发环境事件。</w:t>
            </w:r>
          </w:p>
          <w:p>
            <w:pPr>
              <w:pStyle w:val="62"/>
              <w:spacing w:line="364" w:lineRule="auto"/>
              <w:ind w:left="112" w:right="11" w:firstLine="420"/>
              <w:rPr>
                <w:rFonts w:ascii="Times New Roman" w:hAnsi="Times New Roman"/>
                <w:color w:val="auto"/>
                <w:sz w:val="21"/>
                <w:u w:val="none"/>
              </w:rPr>
            </w:pPr>
            <w:r>
              <w:rPr>
                <w:rFonts w:ascii="Times New Roman" w:hAnsi="Times New Roman"/>
                <w:color w:val="auto"/>
                <w:sz w:val="21"/>
                <w:u w:val="none"/>
              </w:rPr>
              <w:t>2、建设单位及施工单位应督促和引导处置接收单位及时规范暂存过程中的环  境管理要求，协调和监督其淤泥处置和暂存相关工作的运营管理。</w:t>
            </w:r>
          </w:p>
          <w:p>
            <w:pPr>
              <w:pStyle w:val="62"/>
              <w:spacing w:line="367" w:lineRule="auto"/>
              <w:ind w:left="112" w:right="11" w:firstLine="420"/>
              <w:rPr>
                <w:rFonts w:ascii="Times New Roman" w:hAnsi="Times New Roman"/>
                <w:color w:val="auto"/>
                <w:sz w:val="21"/>
                <w:u w:val="none"/>
              </w:rPr>
            </w:pPr>
            <w:r>
              <w:rPr>
                <w:rFonts w:ascii="Times New Roman" w:hAnsi="Times New Roman"/>
                <w:color w:val="auto"/>
                <w:sz w:val="21"/>
                <w:u w:val="none"/>
              </w:rPr>
              <w:t>3、项目建设单位配合施工单位统筹管理</w:t>
            </w:r>
            <w:r>
              <w:rPr>
                <w:rFonts w:hint="eastAsia" w:ascii="Times New Roman" w:hAnsi="Times New Roman"/>
                <w:color w:val="auto"/>
                <w:sz w:val="21"/>
                <w:u w:val="none"/>
              </w:rPr>
              <w:t>清淤</w:t>
            </w:r>
            <w:r>
              <w:rPr>
                <w:rFonts w:ascii="Times New Roman" w:hAnsi="Times New Roman"/>
                <w:color w:val="auto"/>
                <w:sz w:val="21"/>
                <w:u w:val="none"/>
              </w:rPr>
              <w:t>、运输及处置单位暂存、处置情  况，并形成书面管理记录或台账。</w:t>
            </w:r>
          </w:p>
          <w:p>
            <w:pPr>
              <w:pStyle w:val="62"/>
              <w:spacing w:before="139"/>
              <w:ind w:left="532"/>
              <w:rPr>
                <w:rFonts w:ascii="Times New Roman" w:hAnsi="Times New Roman"/>
                <w:color w:val="auto"/>
                <w:sz w:val="21"/>
                <w:u w:val="none"/>
              </w:rPr>
            </w:pPr>
            <w:r>
              <w:rPr>
                <w:rFonts w:hint="eastAsia" w:ascii="Times New Roman" w:hAnsi="Times New Roman"/>
                <w:color w:val="auto"/>
                <w:sz w:val="21"/>
                <w:u w:val="none"/>
              </w:rPr>
              <w:t>4</w:t>
            </w:r>
            <w:r>
              <w:rPr>
                <w:rFonts w:ascii="Times New Roman" w:hAnsi="Times New Roman"/>
                <w:color w:val="auto"/>
                <w:sz w:val="21"/>
                <w:u w:val="none"/>
              </w:rPr>
              <w:t>、环境保护“三同时”及竣工环境保护自主验收要求</w:t>
            </w:r>
          </w:p>
          <w:p>
            <w:pPr>
              <w:pStyle w:val="62"/>
              <w:spacing w:before="141" w:line="364" w:lineRule="auto"/>
              <w:ind w:left="112" w:right="87" w:firstLine="420"/>
              <w:jc w:val="both"/>
              <w:rPr>
                <w:rFonts w:ascii="Times New Roman" w:hAnsi="Times New Roman"/>
                <w:color w:val="auto"/>
                <w:sz w:val="21"/>
                <w:u w:val="none"/>
              </w:rPr>
            </w:pPr>
            <w:r>
              <w:rPr>
                <w:rFonts w:ascii="Times New Roman" w:hAnsi="Times New Roman"/>
                <w:color w:val="auto"/>
                <w:sz w:val="21"/>
                <w:u w:val="none"/>
              </w:rPr>
              <w:t>本项目配套的环境保护设施应与主体工程同时设计、同时施工、同时投产使用；本项目竣工后，建设单位应当如实查验、监测、记载建设项目环境保护设施的建设和调试情况，编制验收监测报告，建设单位应当根据验收监测报告结论， 逐一检查是否存在《建设项目竣工环境保护验收暂行办法》第八条所列验收不合格的情形，提出验收意见；存在问题的，建设单位应当进行整改，整改完成后方可提出验收意见。除需要取得排污许可证的水和大气污染防治设施外，其他环境保护设施的验收期限一般不超过 3 个月；需要对该类环境保护设施进行调试或者整改的，验收期限可以适当延期，但最长不超过 12 个月。</w:t>
            </w:r>
          </w:p>
          <w:p>
            <w:pPr>
              <w:pStyle w:val="62"/>
              <w:spacing w:before="141" w:line="364" w:lineRule="auto"/>
              <w:ind w:right="87"/>
              <w:jc w:val="both"/>
              <w:rPr>
                <w:rFonts w:hint="default" w:ascii="Times New Roman" w:hAnsi="Times New Roman" w:eastAsia="宋体" w:cs="Times New Roman"/>
                <w:bCs/>
                <w:color w:val="auto"/>
                <w:sz w:val="21"/>
                <w:szCs w:val="21"/>
                <w:lang w:val="en-US" w:eastAsia="zh-CN"/>
              </w:rPr>
            </w:pPr>
          </w:p>
        </w:tc>
      </w:tr>
    </w:tbl>
    <w:p>
      <w:pPr>
        <w:pStyle w:val="22"/>
        <w:spacing w:before="0" w:beforeAutospacing="0" w:line="14" w:lineRule="auto"/>
        <w:jc w:val="center"/>
        <w:outlineLvl w:val="0"/>
        <w:rPr>
          <w:rFonts w:ascii="Times New Roman" w:hAnsi="Times New Roman" w:eastAsia="黑体"/>
          <w:snapToGrid w:val="0"/>
          <w:color w:val="auto"/>
          <w:sz w:val="30"/>
          <w:szCs w:val="30"/>
        </w:rPr>
      </w:pPr>
      <w:bookmarkStart w:id="88" w:name="_Toc94"/>
      <w:r>
        <w:rPr>
          <w:rFonts w:ascii="Times New Roman" w:hAnsi="Times New Roman" w:eastAsia="黑体"/>
          <w:snapToGrid w:val="0"/>
          <w:color w:val="auto"/>
          <w:sz w:val="30"/>
          <w:szCs w:val="30"/>
        </w:rPr>
        <w:t>七、结论</w:t>
      </w:r>
      <w:bookmarkEnd w:id="88"/>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7" w:hRule="atLeast"/>
          <w:jc w:val="center"/>
        </w:trPr>
        <w:tc>
          <w:tcPr>
            <w:tcW w:w="5000" w:type="pct"/>
          </w:tcPr>
          <w:p>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ascii="Times New Roman" w:hAnsi="Times New Roman"/>
                <w:color w:val="auto"/>
                <w:sz w:val="24"/>
                <w:szCs w:val="24"/>
              </w:rPr>
            </w:pPr>
            <w:r>
              <w:rPr>
                <w:rFonts w:hint="eastAsia" w:ascii="Times New Roman" w:hAnsi="Times New Roman"/>
                <w:color w:val="auto"/>
                <w:sz w:val="24"/>
                <w:szCs w:val="24"/>
              </w:rPr>
              <w:t>本项目为河湖整治工程，符合国家相关产业政策。建设单位对项目施工期产生的废气、废水、噪声、固体废物均采取了妥善的处理处置措施，不会改变区域环境质量功能。在全面落实本评价提出的各项污染防范措施、“三同时”制度、保证安全施工、并按环境保护的有关法规、标准的规定进行设计、修复的前提下，项目的建设整体上符合环境保护和社会可持续发展的要求，从环境保护角度分析，本项目是可行的</w:t>
            </w:r>
            <w:r>
              <w:rPr>
                <w:rFonts w:ascii="Times New Roman" w:hAnsi="Times New Roman"/>
                <w:color w:val="auto"/>
                <w:sz w:val="24"/>
                <w:szCs w:val="24"/>
              </w:rPr>
              <w:t>。</w:t>
            </w:r>
          </w:p>
          <w:p>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ascii="Times New Roman" w:hAnsi="Times New Roman"/>
                <w:color w:val="auto"/>
                <w:sz w:val="24"/>
                <w:szCs w:val="24"/>
              </w:rPr>
            </w:pPr>
          </w:p>
          <w:p>
            <w:pPr>
              <w:adjustRightInd w:val="0"/>
              <w:snapToGrid w:val="0"/>
              <w:ind w:firstLine="315"/>
              <w:rPr>
                <w:rFonts w:ascii="Times New Roman" w:hAnsi="Times New Roman"/>
                <w:color w:val="auto"/>
                <w:szCs w:val="21"/>
              </w:rPr>
            </w:pPr>
          </w:p>
        </w:tc>
      </w:tr>
    </w:tbl>
    <w:p>
      <w:pPr>
        <w:pStyle w:val="14"/>
        <w:rPr>
          <w:rFonts w:ascii="Times New Roman" w:hAnsi="Times New Roman"/>
          <w:color w:val="auto"/>
        </w:rPr>
      </w:pP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248D3D-D650-4899-9D26-982B29BD5AD0}"/>
  </w:font>
  <w:font w:name="黑体">
    <w:panose1 w:val="02010609060101010101"/>
    <w:charset w:val="86"/>
    <w:family w:val="auto"/>
    <w:pitch w:val="default"/>
    <w:sig w:usb0="800002BF" w:usb1="38CF7CFA" w:usb2="00000016" w:usb3="00000000" w:csb0="00040001" w:csb1="00000000"/>
    <w:embedRegular r:id="rId2" w:fontKey="{CE07221C-34F3-43E9-BD5F-44C43DA12A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3926ABE-34FE-424D-AAE9-70B7343496EE}"/>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139CA99-6F0C-42D1-A547-AD6F9E8CFA97}"/>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42569317-B7FF-42D7-9D7C-535EEDF6D420}"/>
  </w:font>
  <w:font w:name="方正小标宋_GBK">
    <w:panose1 w:val="02000000000000000000"/>
    <w:charset w:val="86"/>
    <w:family w:val="script"/>
    <w:pitch w:val="default"/>
    <w:sig w:usb0="A00002BF" w:usb1="38CF7CFA" w:usb2="00082016" w:usb3="00000000" w:csb0="00040001" w:csb1="00000000"/>
    <w:embedRegular r:id="rId6" w:fontKey="{C7093453-2692-45A7-998D-C5D59A68C34C}"/>
  </w:font>
  <w:font w:name="华文仿宋">
    <w:panose1 w:val="02010600040101010101"/>
    <w:charset w:val="86"/>
    <w:family w:val="auto"/>
    <w:pitch w:val="default"/>
    <w:sig w:usb0="00000287" w:usb1="080F0000" w:usb2="00000000" w:usb3="00000000" w:csb0="0004009F" w:csb1="DFD70000"/>
    <w:embedRegular r:id="rId7" w:fontKey="{9A6AE738-F926-4AD0-B7EA-11A5F1DBEB0F}"/>
  </w:font>
  <w:font w:name="仿宋">
    <w:panose1 w:val="02010609060101010101"/>
    <w:charset w:val="86"/>
    <w:family w:val="modern"/>
    <w:pitch w:val="default"/>
    <w:sig w:usb0="800002BF" w:usb1="38CF7CFA" w:usb2="00000016" w:usb3="00000000" w:csb0="00040001" w:csb1="00000000"/>
    <w:embedRegular r:id="rId8" w:fontKey="{E992E754-D63E-4E86-AF02-C5818605999D}"/>
  </w:font>
  <w:font w:name="Wingdings 2">
    <w:panose1 w:val="05020102010507070707"/>
    <w:charset w:val="02"/>
    <w:family w:val="roman"/>
    <w:pitch w:val="default"/>
    <w:sig w:usb0="00000000" w:usb1="00000000" w:usb2="00000000" w:usb3="00000000" w:csb0="80000000" w:csb1="00000000"/>
    <w:embedRegular r:id="rId9" w:fontKey="{ACA7D65D-2C83-4837-8009-EAF18BAFC691}"/>
  </w:font>
  <w:font w:name="等线">
    <w:panose1 w:val="02010600030101010101"/>
    <w:charset w:val="86"/>
    <w:family w:val="auto"/>
    <w:pitch w:val="default"/>
    <w:sig w:usb0="A00002BF" w:usb1="38CF7CFA" w:usb2="00000016" w:usb3="00000000" w:csb0="0004000F" w:csb1="00000000"/>
    <w:embedRegular r:id="rId10" w:fontKey="{D937679D-8CA5-4CF5-B588-8A52138FC7F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rPr>
        <w:rStyle w:val="29"/>
      </w:rPr>
    </w:pPr>
    <w:r>
      <w:fldChar w:fldCharType="begin"/>
    </w:r>
    <w:r>
      <w:rPr>
        <w:rStyle w:val="29"/>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right"/>
                          </w:pPr>
                          <w:r>
                            <w:fldChar w:fldCharType="begin"/>
                          </w:r>
                          <w:r>
                            <w:instrText xml:space="preserve"> PAGE   \* MERGEFORMAT </w:instrText>
                          </w:r>
                          <w:r>
                            <w:fldChar w:fldCharType="separate"/>
                          </w:r>
                          <w:r>
                            <w:rPr>
                              <w:lang w:val="zh-CN"/>
                            </w:rPr>
                            <w:t>65</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jc w:val="right"/>
                    </w:pPr>
                    <w:r>
                      <w:fldChar w:fldCharType="begin"/>
                    </w:r>
                    <w:r>
                      <w:instrText xml:space="preserve"> PAGE   \* MERGEFORMAT </w:instrText>
                    </w:r>
                    <w:r>
                      <w:fldChar w:fldCharType="separate"/>
                    </w:r>
                    <w:r>
                      <w:rPr>
                        <w:lang w:val="zh-CN"/>
                      </w:rPr>
                      <w:t>65</w:t>
                    </w:r>
                    <w:r>
                      <w:rPr>
                        <w:lang w:val="zh-CN"/>
                      </w:rPr>
                      <w:fldChar w:fldCharType="end"/>
                    </w:r>
                  </w:p>
                </w:txbxContent>
              </v:textbox>
            </v:shape>
          </w:pict>
        </mc:Fallback>
      </mc:AlternateContent>
    </w:r>
  </w:p>
  <w:p>
    <w:pPr>
      <w:pStyle w:val="20"/>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7FB24"/>
    <w:multiLevelType w:val="singleLevel"/>
    <w:tmpl w:val="B537FB24"/>
    <w:lvl w:ilvl="0" w:tentative="0">
      <w:start w:val="2"/>
      <w:numFmt w:val="decimal"/>
      <w:suff w:val="nothing"/>
      <w:lvlText w:val="（%1）"/>
      <w:lvlJc w:val="left"/>
    </w:lvl>
  </w:abstractNum>
  <w:abstractNum w:abstractNumId="1">
    <w:nsid w:val="00BA7AFC"/>
    <w:multiLevelType w:val="multilevel"/>
    <w:tmpl w:val="00BA7AFC"/>
    <w:lvl w:ilvl="0" w:tentative="0">
      <w:start w:val="1"/>
      <w:numFmt w:val="decimal"/>
      <w:lvlText w:val="%1"/>
      <w:lvlJc w:val="left"/>
      <w:pPr>
        <w:ind w:left="432" w:hanging="432"/>
      </w:pPr>
      <w:rPr>
        <w:rFonts w:hint="default"/>
      </w:r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chineseCountingThousand"/>
      <w:pStyle w:val="9"/>
      <w:lvlText w:val="(%4)"/>
      <w:lvlJc w:val="left"/>
      <w:pPr>
        <w:ind w:left="864" w:hanging="864"/>
      </w:pPr>
      <w:rPr>
        <w:sz w:val="24"/>
        <w:szCs w:val="24"/>
      </w:rPr>
    </w:lvl>
    <w:lvl w:ilvl="4" w:tentative="0">
      <w:start w:val="1"/>
      <w:numFmt w:val="decimal"/>
      <w:lvlText w:val="%5."/>
      <w:lvlJc w:val="left"/>
      <w:pPr>
        <w:ind w:left="1717" w:hanging="1008"/>
      </w:pPr>
    </w:lvl>
    <w:lvl w:ilvl="5" w:tentative="0">
      <w:start w:val="1"/>
      <w:numFmt w:val="lowerLetter"/>
      <w:pStyle w:val="10"/>
      <w:lvlText w:val="%6）"/>
      <w:lvlJc w:val="left"/>
      <w:pPr>
        <w:ind w:left="420" w:hanging="420"/>
      </w:pPr>
      <w:rPr>
        <w:rFonts w:hint="eastAsia"/>
      </w:rPr>
    </w:lvl>
    <w:lvl w:ilvl="6" w:tentative="0">
      <w:start w:val="1"/>
      <w:numFmt w:val="bullet"/>
      <w:lvlText w:val=""/>
      <w:lvlJc w:val="left"/>
      <w:pPr>
        <w:ind w:left="420" w:hanging="420"/>
      </w:pPr>
      <w:rPr>
        <w:rFonts w:hint="default" w:ascii="Wingdings" w:hAnsi="Wingdings"/>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2">
    <w:nsid w:val="0A802517"/>
    <w:multiLevelType w:val="singleLevel"/>
    <w:tmpl w:val="0A802517"/>
    <w:lvl w:ilvl="0" w:tentative="0">
      <w:start w:val="2"/>
      <w:numFmt w:val="decimal"/>
      <w:suff w:val="nothing"/>
      <w:lvlText w:val="（%1）"/>
      <w:lvlJc w:val="left"/>
    </w:lvl>
  </w:abstractNum>
  <w:abstractNum w:abstractNumId="3">
    <w:nsid w:val="4BF5392E"/>
    <w:multiLevelType w:val="singleLevel"/>
    <w:tmpl w:val="4BF5392E"/>
    <w:lvl w:ilvl="0" w:tentative="0">
      <w:start w:val="2"/>
      <w:numFmt w:val="decimal"/>
      <w:suff w:val="nothing"/>
      <w:lvlText w:val="（%1）"/>
      <w:lvlJc w:val="left"/>
    </w:lvl>
  </w:abstractNum>
  <w:abstractNum w:abstractNumId="4">
    <w:nsid w:val="5073917E"/>
    <w:multiLevelType w:val="singleLevel"/>
    <w:tmpl w:val="5073917E"/>
    <w:lvl w:ilvl="0" w:tentative="0">
      <w:start w:val="11"/>
      <w:numFmt w:val="decimal"/>
      <w:suff w:val="nothing"/>
      <w:lvlText w:val="%1、"/>
      <w:lvlJc w:val="left"/>
    </w:lvl>
  </w:abstractNum>
  <w:abstractNum w:abstractNumId="5">
    <w:nsid w:val="59B89927"/>
    <w:multiLevelType w:val="singleLevel"/>
    <w:tmpl w:val="59B89927"/>
    <w:lvl w:ilvl="0" w:tentative="0">
      <w:start w:val="1"/>
      <w:numFmt w:val="chineseCounting"/>
      <w:suff w:val="nothing"/>
      <w:lvlText w:val="%1、"/>
      <w:lvlJc w:val="left"/>
      <w:rPr>
        <w:rFonts w:hint="eastAsia"/>
      </w:rPr>
    </w:lvl>
  </w:abstractNum>
  <w:abstractNum w:abstractNumId="6">
    <w:nsid w:val="66E059EE"/>
    <w:multiLevelType w:val="singleLevel"/>
    <w:tmpl w:val="66E059EE"/>
    <w:lvl w:ilvl="0" w:tentative="0">
      <w:start w:val="2"/>
      <w:numFmt w:val="decimal"/>
      <w:lvlText w:val="%1."/>
      <w:lvlJc w:val="left"/>
      <w:pPr>
        <w:tabs>
          <w:tab w:val="left" w:pos="312"/>
        </w:tabs>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hideSpellingErrors/>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MDZmNDJlMzc5MjM3MDAwYjE1NmY1NTlkZjgwMTQifQ=="/>
  </w:docVars>
  <w:rsids>
    <w:rsidRoot w:val="00A14947"/>
    <w:rsid w:val="0000049D"/>
    <w:rsid w:val="00001CED"/>
    <w:rsid w:val="00001E67"/>
    <w:rsid w:val="00003CD8"/>
    <w:rsid w:val="0000635B"/>
    <w:rsid w:val="000122FB"/>
    <w:rsid w:val="00014965"/>
    <w:rsid w:val="00014FAF"/>
    <w:rsid w:val="0001523A"/>
    <w:rsid w:val="00015E6F"/>
    <w:rsid w:val="00016ECB"/>
    <w:rsid w:val="0002562E"/>
    <w:rsid w:val="000269F6"/>
    <w:rsid w:val="00027612"/>
    <w:rsid w:val="00030CF4"/>
    <w:rsid w:val="00031939"/>
    <w:rsid w:val="00032D25"/>
    <w:rsid w:val="0005219D"/>
    <w:rsid w:val="0005568F"/>
    <w:rsid w:val="0006153D"/>
    <w:rsid w:val="00061B1F"/>
    <w:rsid w:val="000664DB"/>
    <w:rsid w:val="000700B7"/>
    <w:rsid w:val="0007127D"/>
    <w:rsid w:val="00071AE5"/>
    <w:rsid w:val="00073197"/>
    <w:rsid w:val="00074783"/>
    <w:rsid w:val="000801E0"/>
    <w:rsid w:val="00080978"/>
    <w:rsid w:val="00082A29"/>
    <w:rsid w:val="0008331D"/>
    <w:rsid w:val="00083C18"/>
    <w:rsid w:val="00085FF6"/>
    <w:rsid w:val="00087EE2"/>
    <w:rsid w:val="000907DB"/>
    <w:rsid w:val="00092899"/>
    <w:rsid w:val="000931DB"/>
    <w:rsid w:val="00095A7C"/>
    <w:rsid w:val="000A178E"/>
    <w:rsid w:val="000A312B"/>
    <w:rsid w:val="000A43F4"/>
    <w:rsid w:val="000A4751"/>
    <w:rsid w:val="000A557E"/>
    <w:rsid w:val="000B058F"/>
    <w:rsid w:val="000B693F"/>
    <w:rsid w:val="000C09AC"/>
    <w:rsid w:val="000C0A63"/>
    <w:rsid w:val="000C437E"/>
    <w:rsid w:val="000C6006"/>
    <w:rsid w:val="000C7496"/>
    <w:rsid w:val="000D57E3"/>
    <w:rsid w:val="000E06B5"/>
    <w:rsid w:val="000E0C0C"/>
    <w:rsid w:val="000E5F16"/>
    <w:rsid w:val="000F4452"/>
    <w:rsid w:val="000F6DA1"/>
    <w:rsid w:val="000F701B"/>
    <w:rsid w:val="001056A0"/>
    <w:rsid w:val="00115279"/>
    <w:rsid w:val="00117459"/>
    <w:rsid w:val="0011749A"/>
    <w:rsid w:val="00120C68"/>
    <w:rsid w:val="00127A68"/>
    <w:rsid w:val="0013639A"/>
    <w:rsid w:val="00136C7A"/>
    <w:rsid w:val="00140062"/>
    <w:rsid w:val="001403DA"/>
    <w:rsid w:val="00140B13"/>
    <w:rsid w:val="0014105C"/>
    <w:rsid w:val="00141B68"/>
    <w:rsid w:val="00145CD1"/>
    <w:rsid w:val="001466DA"/>
    <w:rsid w:val="00146A6B"/>
    <w:rsid w:val="00150295"/>
    <w:rsid w:val="001528C3"/>
    <w:rsid w:val="00154DE1"/>
    <w:rsid w:val="00155B40"/>
    <w:rsid w:val="00157435"/>
    <w:rsid w:val="00160740"/>
    <w:rsid w:val="001620FF"/>
    <w:rsid w:val="00162130"/>
    <w:rsid w:val="00163EEA"/>
    <w:rsid w:val="00167A07"/>
    <w:rsid w:val="0017046A"/>
    <w:rsid w:val="001704A3"/>
    <w:rsid w:val="001739B9"/>
    <w:rsid w:val="0017504D"/>
    <w:rsid w:val="001772CF"/>
    <w:rsid w:val="00177422"/>
    <w:rsid w:val="00183063"/>
    <w:rsid w:val="00184F10"/>
    <w:rsid w:val="00185546"/>
    <w:rsid w:val="0019146B"/>
    <w:rsid w:val="0019282F"/>
    <w:rsid w:val="00192D94"/>
    <w:rsid w:val="001933A5"/>
    <w:rsid w:val="00194398"/>
    <w:rsid w:val="00196CD0"/>
    <w:rsid w:val="001A70E1"/>
    <w:rsid w:val="001A7D2A"/>
    <w:rsid w:val="001B008C"/>
    <w:rsid w:val="001B574C"/>
    <w:rsid w:val="001C0AF9"/>
    <w:rsid w:val="001C155A"/>
    <w:rsid w:val="001C48C0"/>
    <w:rsid w:val="001D2B00"/>
    <w:rsid w:val="001D6470"/>
    <w:rsid w:val="001D6726"/>
    <w:rsid w:val="001D6DDC"/>
    <w:rsid w:val="001D75B0"/>
    <w:rsid w:val="001E0F6C"/>
    <w:rsid w:val="001E492C"/>
    <w:rsid w:val="001E4B72"/>
    <w:rsid w:val="001F22B1"/>
    <w:rsid w:val="001F3347"/>
    <w:rsid w:val="001F4440"/>
    <w:rsid w:val="001F69E4"/>
    <w:rsid w:val="00202AB9"/>
    <w:rsid w:val="00205E6D"/>
    <w:rsid w:val="00206A65"/>
    <w:rsid w:val="00207DF7"/>
    <w:rsid w:val="00207FAC"/>
    <w:rsid w:val="00212D31"/>
    <w:rsid w:val="002130C7"/>
    <w:rsid w:val="002138D3"/>
    <w:rsid w:val="002218A8"/>
    <w:rsid w:val="0022306D"/>
    <w:rsid w:val="00226574"/>
    <w:rsid w:val="002278EC"/>
    <w:rsid w:val="002278FA"/>
    <w:rsid w:val="002301CF"/>
    <w:rsid w:val="002357C7"/>
    <w:rsid w:val="002367C4"/>
    <w:rsid w:val="00240972"/>
    <w:rsid w:val="002438DD"/>
    <w:rsid w:val="002446AE"/>
    <w:rsid w:val="002456A8"/>
    <w:rsid w:val="00250875"/>
    <w:rsid w:val="00250DDC"/>
    <w:rsid w:val="002519F9"/>
    <w:rsid w:val="0025679E"/>
    <w:rsid w:val="00260BDB"/>
    <w:rsid w:val="00260C68"/>
    <w:rsid w:val="002648B0"/>
    <w:rsid w:val="00265D45"/>
    <w:rsid w:val="002674AF"/>
    <w:rsid w:val="002702C5"/>
    <w:rsid w:val="00271511"/>
    <w:rsid w:val="00272DB3"/>
    <w:rsid w:val="00275271"/>
    <w:rsid w:val="0027535E"/>
    <w:rsid w:val="00275AA6"/>
    <w:rsid w:val="002779A8"/>
    <w:rsid w:val="00277B4B"/>
    <w:rsid w:val="002807D5"/>
    <w:rsid w:val="00282CCD"/>
    <w:rsid w:val="00283688"/>
    <w:rsid w:val="00285BB1"/>
    <w:rsid w:val="00291163"/>
    <w:rsid w:val="00291DD9"/>
    <w:rsid w:val="0029481D"/>
    <w:rsid w:val="002965DF"/>
    <w:rsid w:val="0029671A"/>
    <w:rsid w:val="002A168C"/>
    <w:rsid w:val="002A196B"/>
    <w:rsid w:val="002A2C48"/>
    <w:rsid w:val="002A3EED"/>
    <w:rsid w:val="002A4A39"/>
    <w:rsid w:val="002A519C"/>
    <w:rsid w:val="002A5A17"/>
    <w:rsid w:val="002A6425"/>
    <w:rsid w:val="002A6ED6"/>
    <w:rsid w:val="002A737F"/>
    <w:rsid w:val="002B49E2"/>
    <w:rsid w:val="002B544A"/>
    <w:rsid w:val="002B7B00"/>
    <w:rsid w:val="002B7C44"/>
    <w:rsid w:val="002B7E47"/>
    <w:rsid w:val="002C1388"/>
    <w:rsid w:val="002C3C6A"/>
    <w:rsid w:val="002D0C12"/>
    <w:rsid w:val="002D42DB"/>
    <w:rsid w:val="002E09B6"/>
    <w:rsid w:val="002E1F3A"/>
    <w:rsid w:val="002E298A"/>
    <w:rsid w:val="002F02A4"/>
    <w:rsid w:val="002F272B"/>
    <w:rsid w:val="002F7C6D"/>
    <w:rsid w:val="003024BA"/>
    <w:rsid w:val="003027E4"/>
    <w:rsid w:val="0030332C"/>
    <w:rsid w:val="00312296"/>
    <w:rsid w:val="0031340E"/>
    <w:rsid w:val="003161DC"/>
    <w:rsid w:val="00316464"/>
    <w:rsid w:val="0032073A"/>
    <w:rsid w:val="00321D8E"/>
    <w:rsid w:val="00323418"/>
    <w:rsid w:val="00326159"/>
    <w:rsid w:val="00326E5B"/>
    <w:rsid w:val="00332252"/>
    <w:rsid w:val="00334996"/>
    <w:rsid w:val="00336969"/>
    <w:rsid w:val="003369FE"/>
    <w:rsid w:val="00336C52"/>
    <w:rsid w:val="00341B3E"/>
    <w:rsid w:val="00341B42"/>
    <w:rsid w:val="003446B0"/>
    <w:rsid w:val="00344802"/>
    <w:rsid w:val="00345154"/>
    <w:rsid w:val="0034560E"/>
    <w:rsid w:val="00350523"/>
    <w:rsid w:val="0035113C"/>
    <w:rsid w:val="00352975"/>
    <w:rsid w:val="00354830"/>
    <w:rsid w:val="00356868"/>
    <w:rsid w:val="003575F7"/>
    <w:rsid w:val="00360B5F"/>
    <w:rsid w:val="0036485B"/>
    <w:rsid w:val="00373B0D"/>
    <w:rsid w:val="00376988"/>
    <w:rsid w:val="00377002"/>
    <w:rsid w:val="0038071D"/>
    <w:rsid w:val="00381A72"/>
    <w:rsid w:val="00384480"/>
    <w:rsid w:val="003868F5"/>
    <w:rsid w:val="0039417F"/>
    <w:rsid w:val="0039558C"/>
    <w:rsid w:val="003957BC"/>
    <w:rsid w:val="003A1948"/>
    <w:rsid w:val="003B0E3E"/>
    <w:rsid w:val="003B138E"/>
    <w:rsid w:val="003B152A"/>
    <w:rsid w:val="003B545B"/>
    <w:rsid w:val="003B6955"/>
    <w:rsid w:val="003C6991"/>
    <w:rsid w:val="003C6FC0"/>
    <w:rsid w:val="003C73C4"/>
    <w:rsid w:val="003D3EE9"/>
    <w:rsid w:val="003E3E8D"/>
    <w:rsid w:val="003E6892"/>
    <w:rsid w:val="003E7681"/>
    <w:rsid w:val="003F0809"/>
    <w:rsid w:val="003F3BBE"/>
    <w:rsid w:val="003F611C"/>
    <w:rsid w:val="003F755C"/>
    <w:rsid w:val="003F77E2"/>
    <w:rsid w:val="00404874"/>
    <w:rsid w:val="00406F01"/>
    <w:rsid w:val="004118AA"/>
    <w:rsid w:val="00411B36"/>
    <w:rsid w:val="004121D7"/>
    <w:rsid w:val="00412CA4"/>
    <w:rsid w:val="0041396F"/>
    <w:rsid w:val="004141E3"/>
    <w:rsid w:val="004150B9"/>
    <w:rsid w:val="00416D50"/>
    <w:rsid w:val="00417772"/>
    <w:rsid w:val="00420E6A"/>
    <w:rsid w:val="00427785"/>
    <w:rsid w:val="00431B43"/>
    <w:rsid w:val="00433CA9"/>
    <w:rsid w:val="0043521D"/>
    <w:rsid w:val="00442024"/>
    <w:rsid w:val="0044254C"/>
    <w:rsid w:val="00443F6A"/>
    <w:rsid w:val="00447C80"/>
    <w:rsid w:val="00450A17"/>
    <w:rsid w:val="004521D7"/>
    <w:rsid w:val="004617A9"/>
    <w:rsid w:val="00462EB1"/>
    <w:rsid w:val="00463515"/>
    <w:rsid w:val="00466321"/>
    <w:rsid w:val="004672AF"/>
    <w:rsid w:val="004727B0"/>
    <w:rsid w:val="00480247"/>
    <w:rsid w:val="0048081D"/>
    <w:rsid w:val="0048117E"/>
    <w:rsid w:val="0048422A"/>
    <w:rsid w:val="00484B44"/>
    <w:rsid w:val="004855F6"/>
    <w:rsid w:val="00486F0C"/>
    <w:rsid w:val="004937FC"/>
    <w:rsid w:val="00494670"/>
    <w:rsid w:val="00497317"/>
    <w:rsid w:val="004A0EB4"/>
    <w:rsid w:val="004A3823"/>
    <w:rsid w:val="004A4164"/>
    <w:rsid w:val="004A59BB"/>
    <w:rsid w:val="004B2024"/>
    <w:rsid w:val="004B43A3"/>
    <w:rsid w:val="004B4C49"/>
    <w:rsid w:val="004B58A5"/>
    <w:rsid w:val="004B5CF8"/>
    <w:rsid w:val="004B63D9"/>
    <w:rsid w:val="004C0594"/>
    <w:rsid w:val="004C0882"/>
    <w:rsid w:val="004C55BE"/>
    <w:rsid w:val="004C5CCB"/>
    <w:rsid w:val="004C64FE"/>
    <w:rsid w:val="004C7A46"/>
    <w:rsid w:val="004D3995"/>
    <w:rsid w:val="004E5B30"/>
    <w:rsid w:val="004E5DF4"/>
    <w:rsid w:val="004F0779"/>
    <w:rsid w:val="004F1230"/>
    <w:rsid w:val="004F173F"/>
    <w:rsid w:val="004F177C"/>
    <w:rsid w:val="004F18CC"/>
    <w:rsid w:val="004F2DCE"/>
    <w:rsid w:val="004F3593"/>
    <w:rsid w:val="004F436D"/>
    <w:rsid w:val="00501616"/>
    <w:rsid w:val="005039CB"/>
    <w:rsid w:val="00504453"/>
    <w:rsid w:val="00504D2E"/>
    <w:rsid w:val="00504ED6"/>
    <w:rsid w:val="0050550D"/>
    <w:rsid w:val="0050558F"/>
    <w:rsid w:val="005057E0"/>
    <w:rsid w:val="00506286"/>
    <w:rsid w:val="00510813"/>
    <w:rsid w:val="005114F1"/>
    <w:rsid w:val="00511DE0"/>
    <w:rsid w:val="00515BD7"/>
    <w:rsid w:val="00517AC4"/>
    <w:rsid w:val="00517CD5"/>
    <w:rsid w:val="00517F02"/>
    <w:rsid w:val="0052337A"/>
    <w:rsid w:val="00524547"/>
    <w:rsid w:val="00524C2D"/>
    <w:rsid w:val="005251E8"/>
    <w:rsid w:val="005258A2"/>
    <w:rsid w:val="005258F0"/>
    <w:rsid w:val="00530F7C"/>
    <w:rsid w:val="005314F8"/>
    <w:rsid w:val="00534567"/>
    <w:rsid w:val="00534F43"/>
    <w:rsid w:val="00535A84"/>
    <w:rsid w:val="00536889"/>
    <w:rsid w:val="00542838"/>
    <w:rsid w:val="00542E07"/>
    <w:rsid w:val="00547A5C"/>
    <w:rsid w:val="00554A7B"/>
    <w:rsid w:val="0055572C"/>
    <w:rsid w:val="00556D89"/>
    <w:rsid w:val="0056064F"/>
    <w:rsid w:val="00561B84"/>
    <w:rsid w:val="0056415D"/>
    <w:rsid w:val="00564321"/>
    <w:rsid w:val="00565984"/>
    <w:rsid w:val="00571D98"/>
    <w:rsid w:val="005720AE"/>
    <w:rsid w:val="00572601"/>
    <w:rsid w:val="0058030D"/>
    <w:rsid w:val="005817A9"/>
    <w:rsid w:val="00582045"/>
    <w:rsid w:val="00590AE3"/>
    <w:rsid w:val="005918F1"/>
    <w:rsid w:val="00592026"/>
    <w:rsid w:val="00596993"/>
    <w:rsid w:val="005A06B7"/>
    <w:rsid w:val="005A0B3B"/>
    <w:rsid w:val="005A1759"/>
    <w:rsid w:val="005B4800"/>
    <w:rsid w:val="005B534C"/>
    <w:rsid w:val="005C0D6F"/>
    <w:rsid w:val="005D0369"/>
    <w:rsid w:val="005D0394"/>
    <w:rsid w:val="005D21AE"/>
    <w:rsid w:val="005D53FE"/>
    <w:rsid w:val="005D7A0F"/>
    <w:rsid w:val="005E0438"/>
    <w:rsid w:val="005E1791"/>
    <w:rsid w:val="005E2CE6"/>
    <w:rsid w:val="005E3666"/>
    <w:rsid w:val="005E5863"/>
    <w:rsid w:val="005E6324"/>
    <w:rsid w:val="005F1CC8"/>
    <w:rsid w:val="005F228B"/>
    <w:rsid w:val="005F29CD"/>
    <w:rsid w:val="005F4DFB"/>
    <w:rsid w:val="005F6CC0"/>
    <w:rsid w:val="00603E5B"/>
    <w:rsid w:val="00604BC8"/>
    <w:rsid w:val="00611E7B"/>
    <w:rsid w:val="0061550C"/>
    <w:rsid w:val="00615710"/>
    <w:rsid w:val="00615B4C"/>
    <w:rsid w:val="00615B5D"/>
    <w:rsid w:val="00615CE4"/>
    <w:rsid w:val="00620308"/>
    <w:rsid w:val="006212BC"/>
    <w:rsid w:val="0062146F"/>
    <w:rsid w:val="006246BB"/>
    <w:rsid w:val="0062785A"/>
    <w:rsid w:val="00630DC7"/>
    <w:rsid w:val="00631EB9"/>
    <w:rsid w:val="00634234"/>
    <w:rsid w:val="006343AF"/>
    <w:rsid w:val="00635068"/>
    <w:rsid w:val="0063634A"/>
    <w:rsid w:val="0064250D"/>
    <w:rsid w:val="00643763"/>
    <w:rsid w:val="00644FFC"/>
    <w:rsid w:val="006534B9"/>
    <w:rsid w:val="006535EB"/>
    <w:rsid w:val="006536A9"/>
    <w:rsid w:val="00662596"/>
    <w:rsid w:val="00663016"/>
    <w:rsid w:val="0066701E"/>
    <w:rsid w:val="00674605"/>
    <w:rsid w:val="006748B8"/>
    <w:rsid w:val="00675B46"/>
    <w:rsid w:val="0067697C"/>
    <w:rsid w:val="00677187"/>
    <w:rsid w:val="00677B81"/>
    <w:rsid w:val="0068535B"/>
    <w:rsid w:val="0068736E"/>
    <w:rsid w:val="0069290A"/>
    <w:rsid w:val="00692AE2"/>
    <w:rsid w:val="00697032"/>
    <w:rsid w:val="006975AC"/>
    <w:rsid w:val="006A0F53"/>
    <w:rsid w:val="006A15FB"/>
    <w:rsid w:val="006A2616"/>
    <w:rsid w:val="006A2F52"/>
    <w:rsid w:val="006A308C"/>
    <w:rsid w:val="006A399A"/>
    <w:rsid w:val="006A5FAF"/>
    <w:rsid w:val="006A72BF"/>
    <w:rsid w:val="006B332A"/>
    <w:rsid w:val="006B33BD"/>
    <w:rsid w:val="006B43BA"/>
    <w:rsid w:val="006B5D03"/>
    <w:rsid w:val="006B6088"/>
    <w:rsid w:val="006C3F75"/>
    <w:rsid w:val="006C4A38"/>
    <w:rsid w:val="006C5BD3"/>
    <w:rsid w:val="006C68CA"/>
    <w:rsid w:val="006D170E"/>
    <w:rsid w:val="006D426E"/>
    <w:rsid w:val="006D6D93"/>
    <w:rsid w:val="006E06AF"/>
    <w:rsid w:val="006F1789"/>
    <w:rsid w:val="00701304"/>
    <w:rsid w:val="00705F90"/>
    <w:rsid w:val="00706C5D"/>
    <w:rsid w:val="00710927"/>
    <w:rsid w:val="007118E6"/>
    <w:rsid w:val="0071205A"/>
    <w:rsid w:val="007167B6"/>
    <w:rsid w:val="007200C4"/>
    <w:rsid w:val="007225C9"/>
    <w:rsid w:val="0072299E"/>
    <w:rsid w:val="00723B81"/>
    <w:rsid w:val="007274C3"/>
    <w:rsid w:val="007303AA"/>
    <w:rsid w:val="00734099"/>
    <w:rsid w:val="00735CD7"/>
    <w:rsid w:val="007374E2"/>
    <w:rsid w:val="00753765"/>
    <w:rsid w:val="00753F5F"/>
    <w:rsid w:val="00754034"/>
    <w:rsid w:val="00754BF1"/>
    <w:rsid w:val="00755A30"/>
    <w:rsid w:val="00755E1C"/>
    <w:rsid w:val="00756556"/>
    <w:rsid w:val="007574EE"/>
    <w:rsid w:val="0076132B"/>
    <w:rsid w:val="0076169A"/>
    <w:rsid w:val="007623AE"/>
    <w:rsid w:val="00764B55"/>
    <w:rsid w:val="00766BED"/>
    <w:rsid w:val="00770B19"/>
    <w:rsid w:val="00773401"/>
    <w:rsid w:val="00774FA0"/>
    <w:rsid w:val="00775AB4"/>
    <w:rsid w:val="00776620"/>
    <w:rsid w:val="00776ACD"/>
    <w:rsid w:val="00776EC8"/>
    <w:rsid w:val="007772FD"/>
    <w:rsid w:val="007773A4"/>
    <w:rsid w:val="00777B6D"/>
    <w:rsid w:val="00783DCC"/>
    <w:rsid w:val="00784855"/>
    <w:rsid w:val="00784F39"/>
    <w:rsid w:val="00785350"/>
    <w:rsid w:val="0078545C"/>
    <w:rsid w:val="00786897"/>
    <w:rsid w:val="007906C4"/>
    <w:rsid w:val="007912C4"/>
    <w:rsid w:val="007940EA"/>
    <w:rsid w:val="007967E8"/>
    <w:rsid w:val="0079694A"/>
    <w:rsid w:val="007A63F2"/>
    <w:rsid w:val="007B1398"/>
    <w:rsid w:val="007B25E1"/>
    <w:rsid w:val="007B34C6"/>
    <w:rsid w:val="007B39C9"/>
    <w:rsid w:val="007B51CE"/>
    <w:rsid w:val="007B56F9"/>
    <w:rsid w:val="007B68DE"/>
    <w:rsid w:val="007B717D"/>
    <w:rsid w:val="007B7D86"/>
    <w:rsid w:val="007C1857"/>
    <w:rsid w:val="007C4D5F"/>
    <w:rsid w:val="007C514F"/>
    <w:rsid w:val="007C564E"/>
    <w:rsid w:val="007C5E93"/>
    <w:rsid w:val="007D0F95"/>
    <w:rsid w:val="007D7ECB"/>
    <w:rsid w:val="007E037E"/>
    <w:rsid w:val="007E0FBC"/>
    <w:rsid w:val="007E25A1"/>
    <w:rsid w:val="007E4BD2"/>
    <w:rsid w:val="007E6037"/>
    <w:rsid w:val="007E7145"/>
    <w:rsid w:val="007F3916"/>
    <w:rsid w:val="00801179"/>
    <w:rsid w:val="00802479"/>
    <w:rsid w:val="00802B97"/>
    <w:rsid w:val="00803874"/>
    <w:rsid w:val="00805372"/>
    <w:rsid w:val="00805B7B"/>
    <w:rsid w:val="008060EC"/>
    <w:rsid w:val="00811352"/>
    <w:rsid w:val="0081293E"/>
    <w:rsid w:val="00812BE7"/>
    <w:rsid w:val="00814FFB"/>
    <w:rsid w:val="00820568"/>
    <w:rsid w:val="00831A80"/>
    <w:rsid w:val="008332C8"/>
    <w:rsid w:val="00833743"/>
    <w:rsid w:val="008340A4"/>
    <w:rsid w:val="00836799"/>
    <w:rsid w:val="00837028"/>
    <w:rsid w:val="00837131"/>
    <w:rsid w:val="0084145D"/>
    <w:rsid w:val="00845F57"/>
    <w:rsid w:val="0085003C"/>
    <w:rsid w:val="00850FD5"/>
    <w:rsid w:val="008521E0"/>
    <w:rsid w:val="008525B0"/>
    <w:rsid w:val="008570A5"/>
    <w:rsid w:val="00857507"/>
    <w:rsid w:val="00862211"/>
    <w:rsid w:val="00867CBC"/>
    <w:rsid w:val="008721D3"/>
    <w:rsid w:val="00875757"/>
    <w:rsid w:val="00876C30"/>
    <w:rsid w:val="00877017"/>
    <w:rsid w:val="008773C0"/>
    <w:rsid w:val="00880364"/>
    <w:rsid w:val="00884DBB"/>
    <w:rsid w:val="00885561"/>
    <w:rsid w:val="00886C4C"/>
    <w:rsid w:val="0088711C"/>
    <w:rsid w:val="0089029A"/>
    <w:rsid w:val="00892ECF"/>
    <w:rsid w:val="00892F06"/>
    <w:rsid w:val="00894285"/>
    <w:rsid w:val="008A00BB"/>
    <w:rsid w:val="008A40AE"/>
    <w:rsid w:val="008A4E19"/>
    <w:rsid w:val="008A67C5"/>
    <w:rsid w:val="008B19B1"/>
    <w:rsid w:val="008B22E1"/>
    <w:rsid w:val="008B397F"/>
    <w:rsid w:val="008B3C78"/>
    <w:rsid w:val="008B4AE9"/>
    <w:rsid w:val="008C138F"/>
    <w:rsid w:val="008C30AD"/>
    <w:rsid w:val="008C6B00"/>
    <w:rsid w:val="008C6D29"/>
    <w:rsid w:val="008D068E"/>
    <w:rsid w:val="008D0F7A"/>
    <w:rsid w:val="008D2E96"/>
    <w:rsid w:val="008D5FC3"/>
    <w:rsid w:val="008D63BE"/>
    <w:rsid w:val="008D79A1"/>
    <w:rsid w:val="008D7A5C"/>
    <w:rsid w:val="008E0CFF"/>
    <w:rsid w:val="008E5AEE"/>
    <w:rsid w:val="008E5D6B"/>
    <w:rsid w:val="008E689B"/>
    <w:rsid w:val="008E76F0"/>
    <w:rsid w:val="008F15FE"/>
    <w:rsid w:val="008F2A94"/>
    <w:rsid w:val="008F5187"/>
    <w:rsid w:val="008F709C"/>
    <w:rsid w:val="0090312B"/>
    <w:rsid w:val="00904961"/>
    <w:rsid w:val="0091566B"/>
    <w:rsid w:val="0091736D"/>
    <w:rsid w:val="0091769E"/>
    <w:rsid w:val="00931001"/>
    <w:rsid w:val="00931863"/>
    <w:rsid w:val="00933524"/>
    <w:rsid w:val="00933CDB"/>
    <w:rsid w:val="0093514E"/>
    <w:rsid w:val="0094278D"/>
    <w:rsid w:val="00946B22"/>
    <w:rsid w:val="0095030D"/>
    <w:rsid w:val="00952ACC"/>
    <w:rsid w:val="0095308A"/>
    <w:rsid w:val="00955AEE"/>
    <w:rsid w:val="00956F14"/>
    <w:rsid w:val="009620FD"/>
    <w:rsid w:val="0096247A"/>
    <w:rsid w:val="00962CD2"/>
    <w:rsid w:val="00965EB7"/>
    <w:rsid w:val="00965F4B"/>
    <w:rsid w:val="00970F8A"/>
    <w:rsid w:val="00971FB5"/>
    <w:rsid w:val="00972D2A"/>
    <w:rsid w:val="00975CC5"/>
    <w:rsid w:val="00976328"/>
    <w:rsid w:val="00976B4E"/>
    <w:rsid w:val="0098150F"/>
    <w:rsid w:val="00983D7E"/>
    <w:rsid w:val="00984458"/>
    <w:rsid w:val="00985283"/>
    <w:rsid w:val="00987322"/>
    <w:rsid w:val="00990241"/>
    <w:rsid w:val="009A0491"/>
    <w:rsid w:val="009A0F3B"/>
    <w:rsid w:val="009A34A8"/>
    <w:rsid w:val="009A4310"/>
    <w:rsid w:val="009A72C7"/>
    <w:rsid w:val="009B0897"/>
    <w:rsid w:val="009B2DFF"/>
    <w:rsid w:val="009B453D"/>
    <w:rsid w:val="009C0166"/>
    <w:rsid w:val="009C4385"/>
    <w:rsid w:val="009C5092"/>
    <w:rsid w:val="009C5E52"/>
    <w:rsid w:val="009C5F0E"/>
    <w:rsid w:val="009D0852"/>
    <w:rsid w:val="009D1FBF"/>
    <w:rsid w:val="009D7463"/>
    <w:rsid w:val="009E13EE"/>
    <w:rsid w:val="009E399C"/>
    <w:rsid w:val="009E43C1"/>
    <w:rsid w:val="009E7E95"/>
    <w:rsid w:val="009F1107"/>
    <w:rsid w:val="009F116F"/>
    <w:rsid w:val="009F13FA"/>
    <w:rsid w:val="009F329E"/>
    <w:rsid w:val="009F3818"/>
    <w:rsid w:val="009F5046"/>
    <w:rsid w:val="009F5126"/>
    <w:rsid w:val="009F7CAA"/>
    <w:rsid w:val="009F7ED3"/>
    <w:rsid w:val="00A03607"/>
    <w:rsid w:val="00A047FF"/>
    <w:rsid w:val="00A04FEF"/>
    <w:rsid w:val="00A050B2"/>
    <w:rsid w:val="00A058FD"/>
    <w:rsid w:val="00A1145E"/>
    <w:rsid w:val="00A122CD"/>
    <w:rsid w:val="00A12A32"/>
    <w:rsid w:val="00A13189"/>
    <w:rsid w:val="00A139D7"/>
    <w:rsid w:val="00A14248"/>
    <w:rsid w:val="00A14947"/>
    <w:rsid w:val="00A16C98"/>
    <w:rsid w:val="00A20615"/>
    <w:rsid w:val="00A23DC5"/>
    <w:rsid w:val="00A34028"/>
    <w:rsid w:val="00A35568"/>
    <w:rsid w:val="00A35F58"/>
    <w:rsid w:val="00A36F64"/>
    <w:rsid w:val="00A37056"/>
    <w:rsid w:val="00A42F7A"/>
    <w:rsid w:val="00A4358F"/>
    <w:rsid w:val="00A46F67"/>
    <w:rsid w:val="00A51CBC"/>
    <w:rsid w:val="00A54AA1"/>
    <w:rsid w:val="00A56436"/>
    <w:rsid w:val="00A568FF"/>
    <w:rsid w:val="00A61496"/>
    <w:rsid w:val="00A61833"/>
    <w:rsid w:val="00A624C6"/>
    <w:rsid w:val="00A63CEC"/>
    <w:rsid w:val="00A644E5"/>
    <w:rsid w:val="00A7031E"/>
    <w:rsid w:val="00A728B1"/>
    <w:rsid w:val="00A73E73"/>
    <w:rsid w:val="00A7444E"/>
    <w:rsid w:val="00A74F97"/>
    <w:rsid w:val="00A763DE"/>
    <w:rsid w:val="00A803D6"/>
    <w:rsid w:val="00A809AC"/>
    <w:rsid w:val="00A81282"/>
    <w:rsid w:val="00A8713F"/>
    <w:rsid w:val="00A90E22"/>
    <w:rsid w:val="00A910D2"/>
    <w:rsid w:val="00A91167"/>
    <w:rsid w:val="00A91680"/>
    <w:rsid w:val="00A9171C"/>
    <w:rsid w:val="00A92FFD"/>
    <w:rsid w:val="00A940BE"/>
    <w:rsid w:val="00A95975"/>
    <w:rsid w:val="00A96A0E"/>
    <w:rsid w:val="00A9708D"/>
    <w:rsid w:val="00AA2C17"/>
    <w:rsid w:val="00AA4172"/>
    <w:rsid w:val="00AB1914"/>
    <w:rsid w:val="00AB4A3A"/>
    <w:rsid w:val="00AB5330"/>
    <w:rsid w:val="00AB7747"/>
    <w:rsid w:val="00AC2532"/>
    <w:rsid w:val="00AD1507"/>
    <w:rsid w:val="00AD1556"/>
    <w:rsid w:val="00AD393A"/>
    <w:rsid w:val="00AD4FC2"/>
    <w:rsid w:val="00AD5A70"/>
    <w:rsid w:val="00AD738B"/>
    <w:rsid w:val="00AE0F3F"/>
    <w:rsid w:val="00AE1BF4"/>
    <w:rsid w:val="00AE5D97"/>
    <w:rsid w:val="00AE6794"/>
    <w:rsid w:val="00AE7919"/>
    <w:rsid w:val="00AE7C66"/>
    <w:rsid w:val="00AF4623"/>
    <w:rsid w:val="00AF742F"/>
    <w:rsid w:val="00B01110"/>
    <w:rsid w:val="00B02262"/>
    <w:rsid w:val="00B029B2"/>
    <w:rsid w:val="00B03CEC"/>
    <w:rsid w:val="00B042F5"/>
    <w:rsid w:val="00B04341"/>
    <w:rsid w:val="00B04961"/>
    <w:rsid w:val="00B1004F"/>
    <w:rsid w:val="00B1022E"/>
    <w:rsid w:val="00B1209F"/>
    <w:rsid w:val="00B1260E"/>
    <w:rsid w:val="00B12AD0"/>
    <w:rsid w:val="00B14F72"/>
    <w:rsid w:val="00B16644"/>
    <w:rsid w:val="00B2346A"/>
    <w:rsid w:val="00B24F30"/>
    <w:rsid w:val="00B27AB8"/>
    <w:rsid w:val="00B31ABF"/>
    <w:rsid w:val="00B335AE"/>
    <w:rsid w:val="00B379CE"/>
    <w:rsid w:val="00B37CE1"/>
    <w:rsid w:val="00B40ACF"/>
    <w:rsid w:val="00B467C9"/>
    <w:rsid w:val="00B46BAA"/>
    <w:rsid w:val="00B472BC"/>
    <w:rsid w:val="00B5058D"/>
    <w:rsid w:val="00B50B5F"/>
    <w:rsid w:val="00B512F1"/>
    <w:rsid w:val="00B53456"/>
    <w:rsid w:val="00B54128"/>
    <w:rsid w:val="00B55826"/>
    <w:rsid w:val="00B55B21"/>
    <w:rsid w:val="00B60426"/>
    <w:rsid w:val="00B610BF"/>
    <w:rsid w:val="00B622DD"/>
    <w:rsid w:val="00B63134"/>
    <w:rsid w:val="00B63522"/>
    <w:rsid w:val="00B67431"/>
    <w:rsid w:val="00B722B8"/>
    <w:rsid w:val="00B76F1D"/>
    <w:rsid w:val="00B84C24"/>
    <w:rsid w:val="00B84CDD"/>
    <w:rsid w:val="00B8679F"/>
    <w:rsid w:val="00B92A19"/>
    <w:rsid w:val="00B93858"/>
    <w:rsid w:val="00B93BD5"/>
    <w:rsid w:val="00B9544C"/>
    <w:rsid w:val="00BA01DE"/>
    <w:rsid w:val="00BA122F"/>
    <w:rsid w:val="00BA29E9"/>
    <w:rsid w:val="00BA3AAC"/>
    <w:rsid w:val="00BA5A25"/>
    <w:rsid w:val="00BA61D3"/>
    <w:rsid w:val="00BA6F9E"/>
    <w:rsid w:val="00BB006E"/>
    <w:rsid w:val="00BB3618"/>
    <w:rsid w:val="00BB4B4C"/>
    <w:rsid w:val="00BC0C9E"/>
    <w:rsid w:val="00BC0DD1"/>
    <w:rsid w:val="00BC32DC"/>
    <w:rsid w:val="00BC420B"/>
    <w:rsid w:val="00BC79D4"/>
    <w:rsid w:val="00BD18C2"/>
    <w:rsid w:val="00BD1B51"/>
    <w:rsid w:val="00BD3A2F"/>
    <w:rsid w:val="00BD47F6"/>
    <w:rsid w:val="00BE312D"/>
    <w:rsid w:val="00BE3FCA"/>
    <w:rsid w:val="00BF0237"/>
    <w:rsid w:val="00BF0E73"/>
    <w:rsid w:val="00BF4E3C"/>
    <w:rsid w:val="00C05719"/>
    <w:rsid w:val="00C062AB"/>
    <w:rsid w:val="00C10578"/>
    <w:rsid w:val="00C11C46"/>
    <w:rsid w:val="00C17A70"/>
    <w:rsid w:val="00C17D62"/>
    <w:rsid w:val="00C21FDC"/>
    <w:rsid w:val="00C24EE7"/>
    <w:rsid w:val="00C2596A"/>
    <w:rsid w:val="00C25D29"/>
    <w:rsid w:val="00C26C11"/>
    <w:rsid w:val="00C271BE"/>
    <w:rsid w:val="00C27425"/>
    <w:rsid w:val="00C328FE"/>
    <w:rsid w:val="00C32AE6"/>
    <w:rsid w:val="00C32B43"/>
    <w:rsid w:val="00C33A05"/>
    <w:rsid w:val="00C36E2C"/>
    <w:rsid w:val="00C42500"/>
    <w:rsid w:val="00C4409D"/>
    <w:rsid w:val="00C455BE"/>
    <w:rsid w:val="00C45E1A"/>
    <w:rsid w:val="00C50913"/>
    <w:rsid w:val="00C51E5F"/>
    <w:rsid w:val="00C60771"/>
    <w:rsid w:val="00C617C6"/>
    <w:rsid w:val="00C61E4B"/>
    <w:rsid w:val="00C62348"/>
    <w:rsid w:val="00C62E3A"/>
    <w:rsid w:val="00C64503"/>
    <w:rsid w:val="00C64A1F"/>
    <w:rsid w:val="00C64BFF"/>
    <w:rsid w:val="00C72B40"/>
    <w:rsid w:val="00C763C9"/>
    <w:rsid w:val="00C80057"/>
    <w:rsid w:val="00C82613"/>
    <w:rsid w:val="00C82924"/>
    <w:rsid w:val="00C82C79"/>
    <w:rsid w:val="00C82E32"/>
    <w:rsid w:val="00C84753"/>
    <w:rsid w:val="00C8659B"/>
    <w:rsid w:val="00C87240"/>
    <w:rsid w:val="00C87279"/>
    <w:rsid w:val="00C87359"/>
    <w:rsid w:val="00C91362"/>
    <w:rsid w:val="00C91611"/>
    <w:rsid w:val="00C95B30"/>
    <w:rsid w:val="00CA3585"/>
    <w:rsid w:val="00CA3D5A"/>
    <w:rsid w:val="00CA4C7C"/>
    <w:rsid w:val="00CA500F"/>
    <w:rsid w:val="00CA58EC"/>
    <w:rsid w:val="00CA6A73"/>
    <w:rsid w:val="00CB0183"/>
    <w:rsid w:val="00CB081D"/>
    <w:rsid w:val="00CB1EA3"/>
    <w:rsid w:val="00CB552C"/>
    <w:rsid w:val="00CB6A9E"/>
    <w:rsid w:val="00CC6181"/>
    <w:rsid w:val="00CC738D"/>
    <w:rsid w:val="00CD2BCD"/>
    <w:rsid w:val="00CD36AA"/>
    <w:rsid w:val="00CD3791"/>
    <w:rsid w:val="00CD5DB4"/>
    <w:rsid w:val="00CD65B0"/>
    <w:rsid w:val="00CE02CD"/>
    <w:rsid w:val="00CE10E9"/>
    <w:rsid w:val="00CE15D0"/>
    <w:rsid w:val="00CE30C5"/>
    <w:rsid w:val="00CE4B7E"/>
    <w:rsid w:val="00D000B9"/>
    <w:rsid w:val="00D0072E"/>
    <w:rsid w:val="00D00FA0"/>
    <w:rsid w:val="00D04073"/>
    <w:rsid w:val="00D10E31"/>
    <w:rsid w:val="00D15727"/>
    <w:rsid w:val="00D16332"/>
    <w:rsid w:val="00D17D12"/>
    <w:rsid w:val="00D17F6B"/>
    <w:rsid w:val="00D21FD0"/>
    <w:rsid w:val="00D23374"/>
    <w:rsid w:val="00D24972"/>
    <w:rsid w:val="00D2515E"/>
    <w:rsid w:val="00D308ED"/>
    <w:rsid w:val="00D37292"/>
    <w:rsid w:val="00D403ED"/>
    <w:rsid w:val="00D439EE"/>
    <w:rsid w:val="00D44184"/>
    <w:rsid w:val="00D4473D"/>
    <w:rsid w:val="00D44BB6"/>
    <w:rsid w:val="00D4716C"/>
    <w:rsid w:val="00D512FB"/>
    <w:rsid w:val="00D521A9"/>
    <w:rsid w:val="00D56178"/>
    <w:rsid w:val="00D56BA5"/>
    <w:rsid w:val="00D56CF0"/>
    <w:rsid w:val="00D56F5C"/>
    <w:rsid w:val="00D5760D"/>
    <w:rsid w:val="00D62E1A"/>
    <w:rsid w:val="00D704B1"/>
    <w:rsid w:val="00D70B63"/>
    <w:rsid w:val="00D72B92"/>
    <w:rsid w:val="00D72ED4"/>
    <w:rsid w:val="00D735D3"/>
    <w:rsid w:val="00D73F61"/>
    <w:rsid w:val="00D74122"/>
    <w:rsid w:val="00D754C0"/>
    <w:rsid w:val="00D776A2"/>
    <w:rsid w:val="00D77DB3"/>
    <w:rsid w:val="00D801C4"/>
    <w:rsid w:val="00D84494"/>
    <w:rsid w:val="00D90836"/>
    <w:rsid w:val="00D91643"/>
    <w:rsid w:val="00D94CC6"/>
    <w:rsid w:val="00D95896"/>
    <w:rsid w:val="00D95CC6"/>
    <w:rsid w:val="00D9746E"/>
    <w:rsid w:val="00DA2DA3"/>
    <w:rsid w:val="00DA6615"/>
    <w:rsid w:val="00DA76AE"/>
    <w:rsid w:val="00DA7C39"/>
    <w:rsid w:val="00DB181E"/>
    <w:rsid w:val="00DB1C7A"/>
    <w:rsid w:val="00DB1E5C"/>
    <w:rsid w:val="00DB2983"/>
    <w:rsid w:val="00DB343D"/>
    <w:rsid w:val="00DB4D44"/>
    <w:rsid w:val="00DB5579"/>
    <w:rsid w:val="00DB5CFE"/>
    <w:rsid w:val="00DC0FBD"/>
    <w:rsid w:val="00DC72A6"/>
    <w:rsid w:val="00DD2113"/>
    <w:rsid w:val="00DD265E"/>
    <w:rsid w:val="00DD2C93"/>
    <w:rsid w:val="00DD7A3C"/>
    <w:rsid w:val="00DF1930"/>
    <w:rsid w:val="00DF514A"/>
    <w:rsid w:val="00DF7AB9"/>
    <w:rsid w:val="00E0358D"/>
    <w:rsid w:val="00E06327"/>
    <w:rsid w:val="00E06AA7"/>
    <w:rsid w:val="00E06E2B"/>
    <w:rsid w:val="00E06ECB"/>
    <w:rsid w:val="00E07A38"/>
    <w:rsid w:val="00E16591"/>
    <w:rsid w:val="00E2064B"/>
    <w:rsid w:val="00E20781"/>
    <w:rsid w:val="00E20943"/>
    <w:rsid w:val="00E25239"/>
    <w:rsid w:val="00E253A0"/>
    <w:rsid w:val="00E265B1"/>
    <w:rsid w:val="00E275B0"/>
    <w:rsid w:val="00E3274B"/>
    <w:rsid w:val="00E32EF4"/>
    <w:rsid w:val="00E34CE5"/>
    <w:rsid w:val="00E412D0"/>
    <w:rsid w:val="00E429CE"/>
    <w:rsid w:val="00E45725"/>
    <w:rsid w:val="00E47349"/>
    <w:rsid w:val="00E477F2"/>
    <w:rsid w:val="00E47CDB"/>
    <w:rsid w:val="00E517D5"/>
    <w:rsid w:val="00E566BC"/>
    <w:rsid w:val="00E60982"/>
    <w:rsid w:val="00E60C8D"/>
    <w:rsid w:val="00E6162F"/>
    <w:rsid w:val="00E62148"/>
    <w:rsid w:val="00E6311B"/>
    <w:rsid w:val="00E65D97"/>
    <w:rsid w:val="00E67EFD"/>
    <w:rsid w:val="00E702DC"/>
    <w:rsid w:val="00E71FFB"/>
    <w:rsid w:val="00E72B4B"/>
    <w:rsid w:val="00E730B5"/>
    <w:rsid w:val="00E76D1D"/>
    <w:rsid w:val="00E77450"/>
    <w:rsid w:val="00E806F8"/>
    <w:rsid w:val="00E84AB7"/>
    <w:rsid w:val="00E87272"/>
    <w:rsid w:val="00E87752"/>
    <w:rsid w:val="00E8793B"/>
    <w:rsid w:val="00E90F81"/>
    <w:rsid w:val="00E91A6D"/>
    <w:rsid w:val="00E9242D"/>
    <w:rsid w:val="00E92D4E"/>
    <w:rsid w:val="00E9572A"/>
    <w:rsid w:val="00EB00AE"/>
    <w:rsid w:val="00EB041C"/>
    <w:rsid w:val="00EB0789"/>
    <w:rsid w:val="00EB312E"/>
    <w:rsid w:val="00EC2F15"/>
    <w:rsid w:val="00EC5874"/>
    <w:rsid w:val="00ED192D"/>
    <w:rsid w:val="00ED2604"/>
    <w:rsid w:val="00ED30B4"/>
    <w:rsid w:val="00ED31F5"/>
    <w:rsid w:val="00EE30F7"/>
    <w:rsid w:val="00EF19E5"/>
    <w:rsid w:val="00EF2759"/>
    <w:rsid w:val="00EF4138"/>
    <w:rsid w:val="00EF45EB"/>
    <w:rsid w:val="00EF5099"/>
    <w:rsid w:val="00EF5E33"/>
    <w:rsid w:val="00F00075"/>
    <w:rsid w:val="00F07822"/>
    <w:rsid w:val="00F15C95"/>
    <w:rsid w:val="00F165FA"/>
    <w:rsid w:val="00F22985"/>
    <w:rsid w:val="00F241AB"/>
    <w:rsid w:val="00F244FB"/>
    <w:rsid w:val="00F24BA8"/>
    <w:rsid w:val="00F31382"/>
    <w:rsid w:val="00F32A54"/>
    <w:rsid w:val="00F33F19"/>
    <w:rsid w:val="00F34C17"/>
    <w:rsid w:val="00F35829"/>
    <w:rsid w:val="00F412EC"/>
    <w:rsid w:val="00F42868"/>
    <w:rsid w:val="00F42E3A"/>
    <w:rsid w:val="00F465A7"/>
    <w:rsid w:val="00F47FBB"/>
    <w:rsid w:val="00F50B7C"/>
    <w:rsid w:val="00F5202D"/>
    <w:rsid w:val="00F52CF6"/>
    <w:rsid w:val="00F54192"/>
    <w:rsid w:val="00F54496"/>
    <w:rsid w:val="00F61038"/>
    <w:rsid w:val="00F61097"/>
    <w:rsid w:val="00F67424"/>
    <w:rsid w:val="00F73DBA"/>
    <w:rsid w:val="00F74154"/>
    <w:rsid w:val="00F74345"/>
    <w:rsid w:val="00F74441"/>
    <w:rsid w:val="00F76F36"/>
    <w:rsid w:val="00F77F30"/>
    <w:rsid w:val="00F8152E"/>
    <w:rsid w:val="00F82589"/>
    <w:rsid w:val="00F82B19"/>
    <w:rsid w:val="00F840D9"/>
    <w:rsid w:val="00F85ADC"/>
    <w:rsid w:val="00F90050"/>
    <w:rsid w:val="00F90AA7"/>
    <w:rsid w:val="00F9212D"/>
    <w:rsid w:val="00F93FA0"/>
    <w:rsid w:val="00FA2EE3"/>
    <w:rsid w:val="00FA301A"/>
    <w:rsid w:val="00FA406A"/>
    <w:rsid w:val="00FA5CB6"/>
    <w:rsid w:val="00FB2C4A"/>
    <w:rsid w:val="00FB4322"/>
    <w:rsid w:val="00FB51DE"/>
    <w:rsid w:val="00FB7A17"/>
    <w:rsid w:val="00FB7C5C"/>
    <w:rsid w:val="00FB7E59"/>
    <w:rsid w:val="00FC66AC"/>
    <w:rsid w:val="00FC707B"/>
    <w:rsid w:val="00FC7598"/>
    <w:rsid w:val="00FD18F4"/>
    <w:rsid w:val="00FD74B4"/>
    <w:rsid w:val="00FE5EA0"/>
    <w:rsid w:val="00FE706F"/>
    <w:rsid w:val="00FF12E8"/>
    <w:rsid w:val="00FF37A0"/>
    <w:rsid w:val="00FF3FF6"/>
    <w:rsid w:val="00FF57EC"/>
    <w:rsid w:val="00FF6C64"/>
    <w:rsid w:val="00FF6FCE"/>
    <w:rsid w:val="00FF7518"/>
    <w:rsid w:val="00FF7FD8"/>
    <w:rsid w:val="01BC79C8"/>
    <w:rsid w:val="01C13BB4"/>
    <w:rsid w:val="02685C0C"/>
    <w:rsid w:val="02A62291"/>
    <w:rsid w:val="03231B33"/>
    <w:rsid w:val="03634626"/>
    <w:rsid w:val="037D3E18"/>
    <w:rsid w:val="03975B91"/>
    <w:rsid w:val="040B2C55"/>
    <w:rsid w:val="04B51648"/>
    <w:rsid w:val="0571055A"/>
    <w:rsid w:val="05742AC8"/>
    <w:rsid w:val="05DD50C3"/>
    <w:rsid w:val="063124F6"/>
    <w:rsid w:val="06352F05"/>
    <w:rsid w:val="063E7D85"/>
    <w:rsid w:val="06C47189"/>
    <w:rsid w:val="070875E0"/>
    <w:rsid w:val="07287718"/>
    <w:rsid w:val="07293586"/>
    <w:rsid w:val="07295285"/>
    <w:rsid w:val="072D4D2F"/>
    <w:rsid w:val="07500A1D"/>
    <w:rsid w:val="075C73C2"/>
    <w:rsid w:val="07770C56"/>
    <w:rsid w:val="08915791"/>
    <w:rsid w:val="08D359AD"/>
    <w:rsid w:val="092217DD"/>
    <w:rsid w:val="093A7294"/>
    <w:rsid w:val="098A06BB"/>
    <w:rsid w:val="09F77876"/>
    <w:rsid w:val="0A682522"/>
    <w:rsid w:val="0ACD78AC"/>
    <w:rsid w:val="0AEE2302"/>
    <w:rsid w:val="0B2D79F3"/>
    <w:rsid w:val="0B4B4BF3"/>
    <w:rsid w:val="0BD27BF6"/>
    <w:rsid w:val="0D307327"/>
    <w:rsid w:val="0D5374B9"/>
    <w:rsid w:val="0DAD0977"/>
    <w:rsid w:val="0E100F06"/>
    <w:rsid w:val="0E110D06"/>
    <w:rsid w:val="0E1F1149"/>
    <w:rsid w:val="0E686877"/>
    <w:rsid w:val="0F0A1DF9"/>
    <w:rsid w:val="0F0D580E"/>
    <w:rsid w:val="0F13775A"/>
    <w:rsid w:val="0F601A19"/>
    <w:rsid w:val="0F9A112B"/>
    <w:rsid w:val="0FB56209"/>
    <w:rsid w:val="106D2F64"/>
    <w:rsid w:val="10866596"/>
    <w:rsid w:val="109202F8"/>
    <w:rsid w:val="10937F1A"/>
    <w:rsid w:val="10AB7087"/>
    <w:rsid w:val="10B63710"/>
    <w:rsid w:val="111C2F7A"/>
    <w:rsid w:val="113013DE"/>
    <w:rsid w:val="122B06C2"/>
    <w:rsid w:val="130432FB"/>
    <w:rsid w:val="13951726"/>
    <w:rsid w:val="141A663B"/>
    <w:rsid w:val="14396509"/>
    <w:rsid w:val="1447165C"/>
    <w:rsid w:val="146975C2"/>
    <w:rsid w:val="14A57E39"/>
    <w:rsid w:val="14DC5FE6"/>
    <w:rsid w:val="14DE1D5E"/>
    <w:rsid w:val="15DB629E"/>
    <w:rsid w:val="165F6ECF"/>
    <w:rsid w:val="166041CE"/>
    <w:rsid w:val="170E1384"/>
    <w:rsid w:val="176F7BEF"/>
    <w:rsid w:val="17735226"/>
    <w:rsid w:val="17872239"/>
    <w:rsid w:val="18FC4A33"/>
    <w:rsid w:val="19BF51E7"/>
    <w:rsid w:val="19C00865"/>
    <w:rsid w:val="19E90653"/>
    <w:rsid w:val="1A1C66C0"/>
    <w:rsid w:val="1A42393B"/>
    <w:rsid w:val="1A7016AA"/>
    <w:rsid w:val="1AF776D6"/>
    <w:rsid w:val="1B046F80"/>
    <w:rsid w:val="1B3267B5"/>
    <w:rsid w:val="1B7D5788"/>
    <w:rsid w:val="1BC25DC8"/>
    <w:rsid w:val="1BC538DB"/>
    <w:rsid w:val="1C206126"/>
    <w:rsid w:val="1C3B4DCB"/>
    <w:rsid w:val="1C5E7925"/>
    <w:rsid w:val="1C887FC8"/>
    <w:rsid w:val="1D5F6196"/>
    <w:rsid w:val="1D6132A5"/>
    <w:rsid w:val="1D8E56D5"/>
    <w:rsid w:val="1DDE4B7D"/>
    <w:rsid w:val="1DE859FC"/>
    <w:rsid w:val="1E4E1D03"/>
    <w:rsid w:val="1E7A43DA"/>
    <w:rsid w:val="1E813720"/>
    <w:rsid w:val="1EB277FE"/>
    <w:rsid w:val="1EBB0A1A"/>
    <w:rsid w:val="1FE7539E"/>
    <w:rsid w:val="207F2647"/>
    <w:rsid w:val="20823EE5"/>
    <w:rsid w:val="20963CB8"/>
    <w:rsid w:val="20B07FB6"/>
    <w:rsid w:val="20B21E1A"/>
    <w:rsid w:val="20BB3625"/>
    <w:rsid w:val="213B74B1"/>
    <w:rsid w:val="215A2310"/>
    <w:rsid w:val="21DE318A"/>
    <w:rsid w:val="21EF5B80"/>
    <w:rsid w:val="22576990"/>
    <w:rsid w:val="22833F45"/>
    <w:rsid w:val="229C4EAB"/>
    <w:rsid w:val="23384D2F"/>
    <w:rsid w:val="24597720"/>
    <w:rsid w:val="249841FA"/>
    <w:rsid w:val="252D53FE"/>
    <w:rsid w:val="254A0D4A"/>
    <w:rsid w:val="25EC2D81"/>
    <w:rsid w:val="264528BD"/>
    <w:rsid w:val="26485F81"/>
    <w:rsid w:val="266876DA"/>
    <w:rsid w:val="268F1252"/>
    <w:rsid w:val="26A55390"/>
    <w:rsid w:val="26AC3A6A"/>
    <w:rsid w:val="27D15DD1"/>
    <w:rsid w:val="28620159"/>
    <w:rsid w:val="286F11F3"/>
    <w:rsid w:val="28A76295"/>
    <w:rsid w:val="290D27BA"/>
    <w:rsid w:val="29206EB8"/>
    <w:rsid w:val="29890093"/>
    <w:rsid w:val="29D049D8"/>
    <w:rsid w:val="29E325E0"/>
    <w:rsid w:val="29EC3253"/>
    <w:rsid w:val="2A261D85"/>
    <w:rsid w:val="2A452503"/>
    <w:rsid w:val="2A756869"/>
    <w:rsid w:val="2ADE61BC"/>
    <w:rsid w:val="2B1151B3"/>
    <w:rsid w:val="2B7F6B4B"/>
    <w:rsid w:val="2BA936A8"/>
    <w:rsid w:val="2BAC5771"/>
    <w:rsid w:val="2BBE4C18"/>
    <w:rsid w:val="2C315A5A"/>
    <w:rsid w:val="2C574478"/>
    <w:rsid w:val="2D976DEB"/>
    <w:rsid w:val="2D9E56F5"/>
    <w:rsid w:val="2E1F0FC6"/>
    <w:rsid w:val="2E667F96"/>
    <w:rsid w:val="2E8226AB"/>
    <w:rsid w:val="2E8C5F2F"/>
    <w:rsid w:val="2EEF2250"/>
    <w:rsid w:val="2F832C79"/>
    <w:rsid w:val="2FA11189"/>
    <w:rsid w:val="2FAF45CB"/>
    <w:rsid w:val="2FEF2D58"/>
    <w:rsid w:val="30580BC9"/>
    <w:rsid w:val="311E2ED7"/>
    <w:rsid w:val="31457DBA"/>
    <w:rsid w:val="315C449C"/>
    <w:rsid w:val="31B82709"/>
    <w:rsid w:val="31F723E5"/>
    <w:rsid w:val="32400B34"/>
    <w:rsid w:val="3286099B"/>
    <w:rsid w:val="329E6876"/>
    <w:rsid w:val="32E00E0D"/>
    <w:rsid w:val="332B3F69"/>
    <w:rsid w:val="335477EE"/>
    <w:rsid w:val="336D04EB"/>
    <w:rsid w:val="33896EE1"/>
    <w:rsid w:val="33D61C65"/>
    <w:rsid w:val="33D934D4"/>
    <w:rsid w:val="33FE2F6A"/>
    <w:rsid w:val="343B642D"/>
    <w:rsid w:val="344637CB"/>
    <w:rsid w:val="34BA1A48"/>
    <w:rsid w:val="34FA0097"/>
    <w:rsid w:val="35847960"/>
    <w:rsid w:val="35C44A43"/>
    <w:rsid w:val="35D21B18"/>
    <w:rsid w:val="36074A7F"/>
    <w:rsid w:val="36923549"/>
    <w:rsid w:val="36963DEF"/>
    <w:rsid w:val="36A4475E"/>
    <w:rsid w:val="36B75FBF"/>
    <w:rsid w:val="36F40B16"/>
    <w:rsid w:val="36FB4891"/>
    <w:rsid w:val="37074DD7"/>
    <w:rsid w:val="375D2B5F"/>
    <w:rsid w:val="377F284C"/>
    <w:rsid w:val="37B24C58"/>
    <w:rsid w:val="387D0E59"/>
    <w:rsid w:val="389B71D6"/>
    <w:rsid w:val="38F12CD3"/>
    <w:rsid w:val="38F94775"/>
    <w:rsid w:val="392971ED"/>
    <w:rsid w:val="39897C3B"/>
    <w:rsid w:val="39B239D3"/>
    <w:rsid w:val="39BF365D"/>
    <w:rsid w:val="3A70604D"/>
    <w:rsid w:val="3B3763D1"/>
    <w:rsid w:val="3B53544C"/>
    <w:rsid w:val="3B583D69"/>
    <w:rsid w:val="3B820EA8"/>
    <w:rsid w:val="3C16166D"/>
    <w:rsid w:val="3C1C4D96"/>
    <w:rsid w:val="3CBF12EB"/>
    <w:rsid w:val="3CDA245A"/>
    <w:rsid w:val="3CEE0A37"/>
    <w:rsid w:val="3D0A2E41"/>
    <w:rsid w:val="3D404AB5"/>
    <w:rsid w:val="3D6C3AFB"/>
    <w:rsid w:val="3D842BF3"/>
    <w:rsid w:val="3E5C04C3"/>
    <w:rsid w:val="3E5D4420"/>
    <w:rsid w:val="3E6F1080"/>
    <w:rsid w:val="3F660E74"/>
    <w:rsid w:val="407A6407"/>
    <w:rsid w:val="40CF687B"/>
    <w:rsid w:val="41166258"/>
    <w:rsid w:val="418F562E"/>
    <w:rsid w:val="423A3BCC"/>
    <w:rsid w:val="42C7371B"/>
    <w:rsid w:val="42CD46CB"/>
    <w:rsid w:val="42D71A17"/>
    <w:rsid w:val="433A6FE6"/>
    <w:rsid w:val="4350713C"/>
    <w:rsid w:val="436653E0"/>
    <w:rsid w:val="438D20D6"/>
    <w:rsid w:val="44224F14"/>
    <w:rsid w:val="44CD14E0"/>
    <w:rsid w:val="453749EF"/>
    <w:rsid w:val="458946E9"/>
    <w:rsid w:val="45A9358D"/>
    <w:rsid w:val="45DA5C4C"/>
    <w:rsid w:val="463D6A5B"/>
    <w:rsid w:val="466E4440"/>
    <w:rsid w:val="46767799"/>
    <w:rsid w:val="46D36999"/>
    <w:rsid w:val="46D955A7"/>
    <w:rsid w:val="470556D1"/>
    <w:rsid w:val="47133957"/>
    <w:rsid w:val="47451645"/>
    <w:rsid w:val="4760647F"/>
    <w:rsid w:val="4779329E"/>
    <w:rsid w:val="47A07E0C"/>
    <w:rsid w:val="4870272E"/>
    <w:rsid w:val="49534B1C"/>
    <w:rsid w:val="49B849EA"/>
    <w:rsid w:val="49C12AD9"/>
    <w:rsid w:val="49DC7715"/>
    <w:rsid w:val="4A023139"/>
    <w:rsid w:val="4A4227F7"/>
    <w:rsid w:val="4A4D25BF"/>
    <w:rsid w:val="4A7B576F"/>
    <w:rsid w:val="4AFA2747"/>
    <w:rsid w:val="4B055CCF"/>
    <w:rsid w:val="4BA601D9"/>
    <w:rsid w:val="4BDC009E"/>
    <w:rsid w:val="4BE72F58"/>
    <w:rsid w:val="4BE85782"/>
    <w:rsid w:val="4C4A0649"/>
    <w:rsid w:val="4CE470D3"/>
    <w:rsid w:val="4D471547"/>
    <w:rsid w:val="4D491763"/>
    <w:rsid w:val="4DBC07E4"/>
    <w:rsid w:val="4DC95151"/>
    <w:rsid w:val="4DD32D63"/>
    <w:rsid w:val="4DEC4FB0"/>
    <w:rsid w:val="4E075D8A"/>
    <w:rsid w:val="4ED43D8A"/>
    <w:rsid w:val="4F960564"/>
    <w:rsid w:val="4FC62A8C"/>
    <w:rsid w:val="4FCB2904"/>
    <w:rsid w:val="4FCD667C"/>
    <w:rsid w:val="4FE20F0D"/>
    <w:rsid w:val="504A0043"/>
    <w:rsid w:val="50504C4B"/>
    <w:rsid w:val="509C6E7C"/>
    <w:rsid w:val="51077BCA"/>
    <w:rsid w:val="515801C7"/>
    <w:rsid w:val="5162104E"/>
    <w:rsid w:val="518825E4"/>
    <w:rsid w:val="51D27F79"/>
    <w:rsid w:val="522900C9"/>
    <w:rsid w:val="527E1EAF"/>
    <w:rsid w:val="529E60AD"/>
    <w:rsid w:val="52A60E49"/>
    <w:rsid w:val="52B0193D"/>
    <w:rsid w:val="52E607AA"/>
    <w:rsid w:val="532C190B"/>
    <w:rsid w:val="53A039CC"/>
    <w:rsid w:val="53A1505A"/>
    <w:rsid w:val="53BE3E7E"/>
    <w:rsid w:val="53EA0BEA"/>
    <w:rsid w:val="54063E08"/>
    <w:rsid w:val="543437E8"/>
    <w:rsid w:val="55425416"/>
    <w:rsid w:val="559B174B"/>
    <w:rsid w:val="55CE0CF4"/>
    <w:rsid w:val="562315B4"/>
    <w:rsid w:val="56806AD1"/>
    <w:rsid w:val="56B22A9C"/>
    <w:rsid w:val="56F11256"/>
    <w:rsid w:val="57AA2DFF"/>
    <w:rsid w:val="57B72A76"/>
    <w:rsid w:val="580764A3"/>
    <w:rsid w:val="581A7F84"/>
    <w:rsid w:val="58B86332"/>
    <w:rsid w:val="597A4A53"/>
    <w:rsid w:val="5A1B4488"/>
    <w:rsid w:val="5A251EDB"/>
    <w:rsid w:val="5A317807"/>
    <w:rsid w:val="5A3C747D"/>
    <w:rsid w:val="5ABE2233"/>
    <w:rsid w:val="5ACB7C5C"/>
    <w:rsid w:val="5B276D18"/>
    <w:rsid w:val="5B8F0C89"/>
    <w:rsid w:val="5BDF5D95"/>
    <w:rsid w:val="5BF82712"/>
    <w:rsid w:val="5D251162"/>
    <w:rsid w:val="5D704AEA"/>
    <w:rsid w:val="5D851BFC"/>
    <w:rsid w:val="5DC56BE4"/>
    <w:rsid w:val="5DD20003"/>
    <w:rsid w:val="5DF87A0F"/>
    <w:rsid w:val="5E0C65C1"/>
    <w:rsid w:val="5E1E00A2"/>
    <w:rsid w:val="5E800D5D"/>
    <w:rsid w:val="5F1A2B43"/>
    <w:rsid w:val="5FB837BB"/>
    <w:rsid w:val="5FEF42F1"/>
    <w:rsid w:val="6022031E"/>
    <w:rsid w:val="60E40384"/>
    <w:rsid w:val="61526BB7"/>
    <w:rsid w:val="61A60ADB"/>
    <w:rsid w:val="61C06BE4"/>
    <w:rsid w:val="62364782"/>
    <w:rsid w:val="62A5277C"/>
    <w:rsid w:val="62C751AC"/>
    <w:rsid w:val="63021D41"/>
    <w:rsid w:val="638D1F52"/>
    <w:rsid w:val="63D40BE9"/>
    <w:rsid w:val="63E0211F"/>
    <w:rsid w:val="64EE6A20"/>
    <w:rsid w:val="65373578"/>
    <w:rsid w:val="654E3963"/>
    <w:rsid w:val="65CD2ADA"/>
    <w:rsid w:val="6618187B"/>
    <w:rsid w:val="66BC7090"/>
    <w:rsid w:val="672D1E43"/>
    <w:rsid w:val="673F2C7A"/>
    <w:rsid w:val="67D671A0"/>
    <w:rsid w:val="681F6961"/>
    <w:rsid w:val="68610A2F"/>
    <w:rsid w:val="68805514"/>
    <w:rsid w:val="6931512E"/>
    <w:rsid w:val="694E2071"/>
    <w:rsid w:val="697414BE"/>
    <w:rsid w:val="697A3B33"/>
    <w:rsid w:val="699E2456"/>
    <w:rsid w:val="69DA7573"/>
    <w:rsid w:val="6B322639"/>
    <w:rsid w:val="6C636C38"/>
    <w:rsid w:val="6D3C0733"/>
    <w:rsid w:val="6D3D781B"/>
    <w:rsid w:val="6DB34098"/>
    <w:rsid w:val="6DB545B6"/>
    <w:rsid w:val="6E0E1EE1"/>
    <w:rsid w:val="6E4375A0"/>
    <w:rsid w:val="6E514CED"/>
    <w:rsid w:val="6E79491A"/>
    <w:rsid w:val="6EB563D5"/>
    <w:rsid w:val="6EEC49B2"/>
    <w:rsid w:val="6F225983"/>
    <w:rsid w:val="6F2A2D4B"/>
    <w:rsid w:val="6FDB2297"/>
    <w:rsid w:val="6FFC5590"/>
    <w:rsid w:val="70301DA3"/>
    <w:rsid w:val="706D1DD0"/>
    <w:rsid w:val="70856B87"/>
    <w:rsid w:val="70D527EE"/>
    <w:rsid w:val="711E5C0E"/>
    <w:rsid w:val="715B5300"/>
    <w:rsid w:val="715E6CDC"/>
    <w:rsid w:val="715F4BD7"/>
    <w:rsid w:val="71B96608"/>
    <w:rsid w:val="71D27F8A"/>
    <w:rsid w:val="71D64AC4"/>
    <w:rsid w:val="71F744C6"/>
    <w:rsid w:val="71F960CF"/>
    <w:rsid w:val="71FD29A8"/>
    <w:rsid w:val="72563E57"/>
    <w:rsid w:val="72A22648"/>
    <w:rsid w:val="72EB0A43"/>
    <w:rsid w:val="731F5D5E"/>
    <w:rsid w:val="733834ED"/>
    <w:rsid w:val="736B3932"/>
    <w:rsid w:val="73EB0168"/>
    <w:rsid w:val="741E793C"/>
    <w:rsid w:val="755723C0"/>
    <w:rsid w:val="758D75E2"/>
    <w:rsid w:val="75BB43E0"/>
    <w:rsid w:val="763B52D1"/>
    <w:rsid w:val="76A9415B"/>
    <w:rsid w:val="76B4739E"/>
    <w:rsid w:val="77762421"/>
    <w:rsid w:val="778D483A"/>
    <w:rsid w:val="77E46676"/>
    <w:rsid w:val="780F09F4"/>
    <w:rsid w:val="787E6FBC"/>
    <w:rsid w:val="789C4F47"/>
    <w:rsid w:val="78A90480"/>
    <w:rsid w:val="78DD0E2E"/>
    <w:rsid w:val="79222498"/>
    <w:rsid w:val="79811327"/>
    <w:rsid w:val="7A364017"/>
    <w:rsid w:val="7A8265E1"/>
    <w:rsid w:val="7A97325F"/>
    <w:rsid w:val="7B686D42"/>
    <w:rsid w:val="7B7517F2"/>
    <w:rsid w:val="7B841746"/>
    <w:rsid w:val="7C1E21EF"/>
    <w:rsid w:val="7C2A5808"/>
    <w:rsid w:val="7C4E5B9F"/>
    <w:rsid w:val="7CF60710"/>
    <w:rsid w:val="7D0239FF"/>
    <w:rsid w:val="7D5E40CD"/>
    <w:rsid w:val="7D641B1E"/>
    <w:rsid w:val="7D693BED"/>
    <w:rsid w:val="7D7D04EA"/>
    <w:rsid w:val="7E492AC2"/>
    <w:rsid w:val="7E9B4FB7"/>
    <w:rsid w:val="7EB10D93"/>
    <w:rsid w:val="7EC87E8B"/>
    <w:rsid w:val="7F032A9F"/>
    <w:rsid w:val="7F9D27D1"/>
    <w:rsid w:val="7FA97CBC"/>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99" w:semiHidden="0" w:name="heading 3" w:locked="1"/>
    <w:lsdException w:qFormat="1" w:unhideWhenUsed="0" w:uiPriority="99" w:semiHidden="0" w:name="heading 4" w:locked="1"/>
    <w:lsdException w:qFormat="1" w:uiPriority="0" w:name="heading 5" w:locked="1"/>
    <w:lsdException w:qFormat="1" w:unhideWhenUsed="0" w:uiPriority="9" w:semiHidden="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42"/>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qFormat/>
    <w:locked/>
    <w:uiPriority w:val="0"/>
    <w:pPr>
      <w:keepNext/>
      <w:keepLines/>
      <w:spacing w:line="360" w:lineRule="auto"/>
      <w:jc w:val="left"/>
      <w:outlineLvl w:val="1"/>
    </w:pPr>
    <w:rPr>
      <w:rFonts w:ascii="Times New Roman" w:hAnsi="Times New Roman" w:eastAsia="黑体"/>
      <w:b/>
      <w:bCs/>
      <w:sz w:val="24"/>
      <w:szCs w:val="32"/>
    </w:rPr>
  </w:style>
  <w:style w:type="paragraph" w:styleId="8">
    <w:name w:val="heading 3"/>
    <w:basedOn w:val="1"/>
    <w:next w:val="1"/>
    <w:qFormat/>
    <w:locked/>
    <w:uiPriority w:val="99"/>
    <w:pPr>
      <w:keepNext/>
      <w:ind w:firstLine="0" w:firstLineChars="0"/>
      <w:jc w:val="left"/>
      <w:outlineLvl w:val="2"/>
    </w:pPr>
    <w:rPr>
      <w:b/>
      <w:bCs/>
    </w:rPr>
  </w:style>
  <w:style w:type="paragraph" w:styleId="9">
    <w:name w:val="heading 4"/>
    <w:basedOn w:val="1"/>
    <w:next w:val="1"/>
    <w:qFormat/>
    <w:locked/>
    <w:uiPriority w:val="99"/>
    <w:pPr>
      <w:keepNext/>
      <w:keepLines/>
      <w:numPr>
        <w:ilvl w:val="3"/>
        <w:numId w:val="1"/>
      </w:numPr>
      <w:spacing w:before="163"/>
      <w:ind w:left="-2" w:leftChars="-59" w:hanging="140" w:hangingChars="58"/>
      <w:outlineLvl w:val="3"/>
    </w:pPr>
    <w:rPr>
      <w:rFonts w:ascii="楷体" w:hAnsi="楷体"/>
      <w:b/>
      <w:bCs/>
    </w:rPr>
  </w:style>
  <w:style w:type="paragraph" w:styleId="10">
    <w:name w:val="heading 6"/>
    <w:basedOn w:val="1"/>
    <w:next w:val="1"/>
    <w:qFormat/>
    <w:locked/>
    <w:uiPriority w:val="9"/>
    <w:pPr>
      <w:keepNext/>
      <w:keepLines/>
      <w:numPr>
        <w:ilvl w:val="5"/>
        <w:numId w:val="1"/>
      </w:numPr>
      <w:ind w:left="0" w:firstLine="0" w:firstLineChars="0"/>
      <w:outlineLvl w:val="5"/>
    </w:pPr>
    <w:rPr>
      <w:rFonts w:ascii="Cambria" w:hAnsi="Cambria" w:eastAsia="楷体"/>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
    <w:name w:val="样式 样式 首行缩进:  2 字符 + 首行缩进:  2 字符"/>
    <w:basedOn w:val="1"/>
    <w:next w:val="5"/>
    <w:qFormat/>
    <w:uiPriority w:val="0"/>
    <w:pPr>
      <w:snapToGrid w:val="0"/>
      <w:spacing w:line="360" w:lineRule="auto"/>
      <w:ind w:firstLine="560" w:firstLineChars="200"/>
    </w:pPr>
    <w:rPr>
      <w:spacing w:val="0"/>
      <w:sz w:val="28"/>
    </w:rPr>
  </w:style>
  <w:style w:type="paragraph" w:styleId="5">
    <w:name w:val="toc 1"/>
    <w:basedOn w:val="1"/>
    <w:next w:val="1"/>
    <w:qFormat/>
    <w:locked/>
    <w:uiPriority w:val="0"/>
  </w:style>
  <w:style w:type="paragraph" w:styleId="11">
    <w:name w:val="table of authorities"/>
    <w:basedOn w:val="1"/>
    <w:next w:val="1"/>
    <w:qFormat/>
    <w:uiPriority w:val="0"/>
    <w:pPr>
      <w:ind w:left="420" w:leftChars="200"/>
    </w:pPr>
  </w:style>
  <w:style w:type="paragraph" w:styleId="12">
    <w:name w:val="Normal Indent"/>
    <w:basedOn w:val="1"/>
    <w:qFormat/>
    <w:uiPriority w:val="0"/>
    <w:pPr>
      <w:spacing w:line="360" w:lineRule="auto"/>
      <w:ind w:firstLine="200"/>
    </w:pPr>
  </w:style>
  <w:style w:type="paragraph" w:styleId="13">
    <w:name w:val="annotation text"/>
    <w:basedOn w:val="1"/>
    <w:link w:val="36"/>
    <w:semiHidden/>
    <w:qFormat/>
    <w:uiPriority w:val="0"/>
    <w:pPr>
      <w:jc w:val="left"/>
    </w:pPr>
    <w:rPr>
      <w:rFonts w:ascii="Times New Roman" w:hAnsi="Times New Roman"/>
      <w:kern w:val="0"/>
      <w:sz w:val="24"/>
      <w:szCs w:val="20"/>
    </w:rPr>
  </w:style>
  <w:style w:type="paragraph" w:styleId="14">
    <w:name w:val="Body Text"/>
    <w:basedOn w:val="1"/>
    <w:next w:val="1"/>
    <w:link w:val="49"/>
    <w:qFormat/>
    <w:uiPriority w:val="0"/>
    <w:pPr>
      <w:widowControl/>
      <w:snapToGrid w:val="0"/>
      <w:spacing w:before="60" w:after="160" w:line="259" w:lineRule="auto"/>
      <w:ind w:right="113"/>
    </w:pPr>
    <w:rPr>
      <w:kern w:val="0"/>
      <w:sz w:val="18"/>
      <w:szCs w:val="20"/>
    </w:rPr>
  </w:style>
  <w:style w:type="paragraph" w:styleId="15">
    <w:name w:val="Body Text Indent"/>
    <w:basedOn w:val="1"/>
    <w:next w:val="16"/>
    <w:link w:val="50"/>
    <w:semiHidden/>
    <w:qFormat/>
    <w:uiPriority w:val="0"/>
    <w:pPr>
      <w:spacing w:after="120"/>
      <w:ind w:left="420" w:leftChars="200"/>
    </w:pPr>
  </w:style>
  <w:style w:type="paragraph" w:styleId="16">
    <w:name w:val="Body Text First Indent 2"/>
    <w:basedOn w:val="15"/>
    <w:next w:val="1"/>
    <w:qFormat/>
    <w:uiPriority w:val="0"/>
    <w:pPr>
      <w:ind w:firstLine="420" w:firstLineChars="200"/>
    </w:pPr>
  </w:style>
  <w:style w:type="paragraph" w:styleId="17">
    <w:name w:val="Date"/>
    <w:basedOn w:val="1"/>
    <w:next w:val="1"/>
    <w:link w:val="41"/>
    <w:qFormat/>
    <w:uiPriority w:val="0"/>
    <w:pPr>
      <w:ind w:left="100" w:leftChars="2500"/>
    </w:pPr>
    <w:rPr>
      <w:rFonts w:ascii="Times New Roman" w:hAnsi="Times New Roman"/>
      <w:kern w:val="0"/>
      <w:sz w:val="24"/>
      <w:szCs w:val="20"/>
    </w:rPr>
  </w:style>
  <w:style w:type="paragraph" w:styleId="18">
    <w:name w:val="Body Text Indent 2"/>
    <w:basedOn w:val="1"/>
    <w:next w:val="1"/>
    <w:qFormat/>
    <w:uiPriority w:val="0"/>
    <w:pPr>
      <w:spacing w:line="360" w:lineRule="exact"/>
      <w:ind w:firstLine="420" w:firstLineChars="200"/>
    </w:pPr>
    <w:rPr>
      <w:rFonts w:ascii="仿宋_GB2312" w:eastAsia="仿宋_GB2312"/>
    </w:rPr>
  </w:style>
  <w:style w:type="paragraph" w:styleId="19">
    <w:name w:val="Balloon Text"/>
    <w:basedOn w:val="1"/>
    <w:link w:val="45"/>
    <w:semiHidden/>
    <w:qFormat/>
    <w:uiPriority w:val="0"/>
    <w:rPr>
      <w:sz w:val="18"/>
      <w:szCs w:val="18"/>
    </w:rPr>
  </w:style>
  <w:style w:type="paragraph" w:styleId="20">
    <w:name w:val="footer"/>
    <w:basedOn w:val="1"/>
    <w:link w:val="48"/>
    <w:qFormat/>
    <w:uiPriority w:val="99"/>
    <w:pPr>
      <w:tabs>
        <w:tab w:val="center" w:pos="4153"/>
        <w:tab w:val="right" w:pos="8306"/>
      </w:tabs>
      <w:snapToGrid w:val="0"/>
      <w:jc w:val="left"/>
    </w:pPr>
    <w:rPr>
      <w:sz w:val="18"/>
      <w:szCs w:val="18"/>
    </w:rPr>
  </w:style>
  <w:style w:type="paragraph" w:styleId="21">
    <w:name w:val="header"/>
    <w:basedOn w:val="1"/>
    <w:next w:val="1"/>
    <w:link w:val="40"/>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3"/>
    <w:next w:val="13"/>
    <w:link w:val="35"/>
    <w:semiHidden/>
    <w:qFormat/>
    <w:uiPriority w:val="0"/>
    <w:rPr>
      <w:b/>
      <w:bCs/>
    </w:rPr>
  </w:style>
  <w:style w:type="paragraph" w:styleId="24">
    <w:name w:val="Body Text First Indent"/>
    <w:basedOn w:val="14"/>
    <w:next w:val="1"/>
    <w:link w:val="65"/>
    <w:qFormat/>
    <w:uiPriority w:val="0"/>
    <w:pPr>
      <w:widowControl w:val="0"/>
      <w:snapToGrid/>
      <w:spacing w:before="0" w:after="120" w:line="240" w:lineRule="auto"/>
      <w:ind w:right="0" w:firstLine="420" w:firstLineChars="100"/>
    </w:pPr>
    <w:rPr>
      <w:kern w:val="2"/>
      <w:sz w:val="21"/>
      <w:szCs w:val="24"/>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0"/>
    <w:rPr>
      <w:b/>
    </w:rPr>
  </w:style>
  <w:style w:type="character" w:styleId="29">
    <w:name w:val="page number"/>
    <w:basedOn w:val="27"/>
    <w:qFormat/>
    <w:uiPriority w:val="0"/>
  </w:style>
  <w:style w:type="character" w:styleId="30">
    <w:name w:val="annotation reference"/>
    <w:basedOn w:val="27"/>
    <w:semiHidden/>
    <w:qFormat/>
    <w:uiPriority w:val="0"/>
    <w:rPr>
      <w:sz w:val="21"/>
    </w:rPr>
  </w:style>
  <w:style w:type="paragraph" w:customStyle="1" w:styleId="31">
    <w:name w:val="Default2"/>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2">
    <w:name w:val="正文首行缩进1"/>
    <w:basedOn w:val="1"/>
    <w:qFormat/>
    <w:uiPriority w:val="99"/>
    <w:pPr>
      <w:spacing w:after="120"/>
      <w:ind w:firstLine="420" w:firstLineChars="100"/>
    </w:pPr>
  </w:style>
  <w:style w:type="paragraph" w:customStyle="1" w:styleId="33">
    <w:name w:val="xl27"/>
    <w:basedOn w:val="11"/>
    <w:next w:val="1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4">
    <w:name w:val="lh-正文-报告表"/>
    <w:basedOn w:val="1"/>
    <w:qFormat/>
    <w:uiPriority w:val="0"/>
    <w:pPr>
      <w:spacing w:line="360" w:lineRule="auto"/>
      <w:ind w:firstLine="480" w:firstLineChars="200"/>
    </w:pPr>
    <w:rPr>
      <w:rFonts w:ascii="Times New Roman" w:hAnsi="Times New Roman"/>
      <w:kern w:val="0"/>
      <w:sz w:val="24"/>
    </w:rPr>
  </w:style>
  <w:style w:type="character" w:customStyle="1" w:styleId="35">
    <w:name w:val="批注主题 Char"/>
    <w:basedOn w:val="36"/>
    <w:link w:val="23"/>
    <w:semiHidden/>
    <w:qFormat/>
    <w:locked/>
    <w:uiPriority w:val="0"/>
    <w:rPr>
      <w:rFonts w:cs="Times New Roman"/>
      <w:b/>
      <w:bCs/>
      <w:kern w:val="2"/>
      <w:szCs w:val="24"/>
    </w:rPr>
  </w:style>
  <w:style w:type="character" w:customStyle="1" w:styleId="36">
    <w:name w:val="批注文字 Char"/>
    <w:link w:val="13"/>
    <w:qFormat/>
    <w:locked/>
    <w:uiPriority w:val="0"/>
    <w:rPr>
      <w:rFonts w:ascii="Times New Roman" w:hAnsi="Times New Roman" w:eastAsia="宋体"/>
      <w:sz w:val="24"/>
    </w:rPr>
  </w:style>
  <w:style w:type="character" w:customStyle="1" w:styleId="37">
    <w:name w:val="正文文本 字符1"/>
    <w:basedOn w:val="27"/>
    <w:semiHidden/>
    <w:qFormat/>
    <w:uiPriority w:val="0"/>
    <w:rPr>
      <w:rFonts w:ascii="Times New Roman" w:hAnsi="Times New Roman" w:eastAsia="宋体" w:cs="Times New Roman"/>
      <w:sz w:val="24"/>
      <w:szCs w:val="24"/>
    </w:rPr>
  </w:style>
  <w:style w:type="character" w:customStyle="1" w:styleId="38">
    <w:name w:val="表格 Char"/>
    <w:link w:val="39"/>
    <w:qFormat/>
    <w:locked/>
    <w:uiPriority w:val="0"/>
    <w:rPr>
      <w:rFonts w:ascii="宋体"/>
      <w:sz w:val="21"/>
    </w:rPr>
  </w:style>
  <w:style w:type="paragraph" w:customStyle="1" w:styleId="39">
    <w:name w:val="表格"/>
    <w:basedOn w:val="1"/>
    <w:next w:val="1"/>
    <w:link w:val="38"/>
    <w:qFormat/>
    <w:uiPriority w:val="0"/>
    <w:pPr>
      <w:adjustRightInd w:val="0"/>
      <w:snapToGrid w:val="0"/>
      <w:spacing w:beforeLines="10" w:afterLines="10" w:line="259" w:lineRule="auto"/>
      <w:jc w:val="center"/>
    </w:pPr>
    <w:rPr>
      <w:rFonts w:ascii="宋体"/>
      <w:kern w:val="0"/>
      <w:szCs w:val="20"/>
    </w:rPr>
  </w:style>
  <w:style w:type="character" w:customStyle="1" w:styleId="40">
    <w:name w:val="页眉 Char"/>
    <w:basedOn w:val="27"/>
    <w:link w:val="21"/>
    <w:qFormat/>
    <w:locked/>
    <w:uiPriority w:val="0"/>
    <w:rPr>
      <w:rFonts w:cs="Times New Roman"/>
      <w:sz w:val="18"/>
      <w:szCs w:val="18"/>
    </w:rPr>
  </w:style>
  <w:style w:type="character" w:customStyle="1" w:styleId="41">
    <w:name w:val="日期 Char"/>
    <w:link w:val="17"/>
    <w:qFormat/>
    <w:locked/>
    <w:uiPriority w:val="0"/>
    <w:rPr>
      <w:rFonts w:ascii="Times New Roman" w:hAnsi="Times New Roman" w:eastAsia="宋体"/>
      <w:sz w:val="24"/>
    </w:rPr>
  </w:style>
  <w:style w:type="character" w:customStyle="1" w:styleId="42">
    <w:name w:val="标题 1 Char"/>
    <w:link w:val="6"/>
    <w:qFormat/>
    <w:uiPriority w:val="0"/>
    <w:rPr>
      <w:rFonts w:eastAsia="黑体"/>
      <w:b/>
      <w:bCs/>
      <w:color w:val="000000"/>
      <w:kern w:val="44"/>
      <w:sz w:val="30"/>
      <w:szCs w:val="30"/>
    </w:rPr>
  </w:style>
  <w:style w:type="character" w:customStyle="1" w:styleId="43">
    <w:name w:val="普通(网站) Char"/>
    <w:qFormat/>
    <w:locked/>
    <w:uiPriority w:val="0"/>
    <w:rPr>
      <w:rFonts w:ascii="宋体" w:hAnsi="宋体" w:eastAsia="宋体"/>
      <w:sz w:val="24"/>
    </w:rPr>
  </w:style>
  <w:style w:type="character" w:customStyle="1" w:styleId="44">
    <w:name w:val="批注文字 字符1"/>
    <w:basedOn w:val="27"/>
    <w:semiHidden/>
    <w:qFormat/>
    <w:uiPriority w:val="0"/>
    <w:rPr>
      <w:rFonts w:ascii="Times New Roman" w:hAnsi="Times New Roman" w:eastAsia="宋体" w:cs="Times New Roman"/>
      <w:sz w:val="24"/>
      <w:szCs w:val="24"/>
    </w:rPr>
  </w:style>
  <w:style w:type="character" w:customStyle="1" w:styleId="45">
    <w:name w:val="批注框文本 Char"/>
    <w:basedOn w:val="27"/>
    <w:link w:val="19"/>
    <w:semiHidden/>
    <w:qFormat/>
    <w:locked/>
    <w:uiPriority w:val="0"/>
    <w:rPr>
      <w:rFonts w:ascii="Times New Roman" w:hAnsi="Times New Roman" w:eastAsia="宋体" w:cs="Times New Roman"/>
      <w:sz w:val="18"/>
      <w:szCs w:val="18"/>
    </w:rPr>
  </w:style>
  <w:style w:type="character" w:customStyle="1" w:styleId="46">
    <w:name w:val="普通(网站) Char1"/>
    <w:link w:val="22"/>
    <w:qFormat/>
    <w:locked/>
    <w:uiPriority w:val="0"/>
    <w:rPr>
      <w:rFonts w:ascii="宋体" w:hAnsi="宋体" w:eastAsia="宋体"/>
      <w:sz w:val="24"/>
    </w:rPr>
  </w:style>
  <w:style w:type="character" w:customStyle="1" w:styleId="47">
    <w:name w:val="日期 字符"/>
    <w:basedOn w:val="27"/>
    <w:semiHidden/>
    <w:qFormat/>
    <w:uiPriority w:val="0"/>
    <w:rPr>
      <w:rFonts w:ascii="Times New Roman" w:hAnsi="Times New Roman" w:eastAsia="宋体" w:cs="Times New Roman"/>
      <w:sz w:val="24"/>
      <w:szCs w:val="24"/>
    </w:rPr>
  </w:style>
  <w:style w:type="character" w:customStyle="1" w:styleId="48">
    <w:name w:val="页脚 Char"/>
    <w:basedOn w:val="27"/>
    <w:link w:val="20"/>
    <w:qFormat/>
    <w:locked/>
    <w:uiPriority w:val="99"/>
    <w:rPr>
      <w:rFonts w:cs="Times New Roman"/>
      <w:sz w:val="18"/>
      <w:szCs w:val="18"/>
    </w:rPr>
  </w:style>
  <w:style w:type="character" w:customStyle="1" w:styleId="49">
    <w:name w:val="正文文本 Char"/>
    <w:link w:val="14"/>
    <w:qFormat/>
    <w:locked/>
    <w:uiPriority w:val="0"/>
    <w:rPr>
      <w:sz w:val="18"/>
    </w:rPr>
  </w:style>
  <w:style w:type="character" w:customStyle="1" w:styleId="50">
    <w:name w:val="正文文本缩进 Char"/>
    <w:basedOn w:val="27"/>
    <w:link w:val="15"/>
    <w:semiHidden/>
    <w:qFormat/>
    <w:locked/>
    <w:uiPriority w:val="0"/>
    <w:rPr>
      <w:rFonts w:ascii="Times New Roman" w:hAnsi="Times New Roman" w:eastAsia="宋体" w:cs="Times New Roman"/>
      <w:sz w:val="24"/>
      <w:szCs w:val="24"/>
    </w:rPr>
  </w:style>
  <w:style w:type="paragraph" w:customStyle="1" w:styleId="51">
    <w:name w:val="表格文字"/>
    <w:basedOn w:val="1"/>
    <w:link w:val="57"/>
    <w:qFormat/>
    <w:uiPriority w:val="0"/>
    <w:pPr>
      <w:adjustRightInd w:val="0"/>
      <w:snapToGrid w:val="0"/>
      <w:jc w:val="center"/>
    </w:pPr>
    <w:rPr>
      <w:rFonts w:ascii="宋体" w:hAnsi="宋体"/>
      <w:szCs w:val="20"/>
    </w:rPr>
  </w:style>
  <w:style w:type="paragraph" w:customStyle="1" w:styleId="52">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5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4">
    <w:name w:val="表头"/>
    <w:basedOn w:val="1"/>
    <w:qFormat/>
    <w:uiPriority w:val="0"/>
    <w:pPr>
      <w:spacing w:before="120" w:after="120" w:line="360" w:lineRule="auto"/>
      <w:ind w:firstLine="425"/>
      <w:jc w:val="center"/>
    </w:pPr>
    <w:rPr>
      <w:rFonts w:eastAsia="楷体_GB2312"/>
      <w:sz w:val="24"/>
      <w:szCs w:val="20"/>
    </w:rPr>
  </w:style>
  <w:style w:type="paragraph" w:customStyle="1" w:styleId="55">
    <w:name w:val="表格内容"/>
    <w:basedOn w:val="1"/>
    <w:link w:val="59"/>
    <w:qFormat/>
    <w:uiPriority w:val="0"/>
    <w:pPr>
      <w:widowControl/>
      <w:jc w:val="center"/>
    </w:pPr>
    <w:rPr>
      <w:rFonts w:cs="宋体"/>
      <w:kern w:val="0"/>
      <w:szCs w:val="20"/>
    </w:rPr>
  </w:style>
  <w:style w:type="paragraph" w:customStyle="1" w:styleId="56">
    <w:name w:val="表文字"/>
    <w:basedOn w:val="1"/>
    <w:qFormat/>
    <w:uiPriority w:val="0"/>
    <w:pPr>
      <w:overflowPunct w:val="0"/>
      <w:autoSpaceDE w:val="0"/>
      <w:autoSpaceDN w:val="0"/>
      <w:adjustRightInd w:val="0"/>
      <w:spacing w:line="240" w:lineRule="atLeast"/>
      <w:jc w:val="center"/>
      <w:textAlignment w:val="baseline"/>
    </w:pPr>
    <w:rPr>
      <w:kern w:val="0"/>
      <w:sz w:val="24"/>
    </w:rPr>
  </w:style>
  <w:style w:type="character" w:customStyle="1" w:styleId="57">
    <w:name w:val="表格文字 Char Char"/>
    <w:link w:val="51"/>
    <w:qFormat/>
    <w:locked/>
    <w:uiPriority w:val="0"/>
    <w:rPr>
      <w:rFonts w:ascii="宋体" w:hAnsi="宋体"/>
      <w:kern w:val="2"/>
      <w:sz w:val="21"/>
    </w:rPr>
  </w:style>
  <w:style w:type="paragraph" w:customStyle="1" w:styleId="58">
    <w:name w:val="表字居中"/>
    <w:basedOn w:val="1"/>
    <w:qFormat/>
    <w:uiPriority w:val="0"/>
    <w:pPr>
      <w:spacing w:line="400" w:lineRule="exact"/>
      <w:jc w:val="center"/>
    </w:pPr>
    <w:rPr>
      <w:rFonts w:ascii="Times New Roman" w:hAnsi="Times New Roman"/>
      <w:szCs w:val="21"/>
    </w:rPr>
  </w:style>
  <w:style w:type="character" w:customStyle="1" w:styleId="59">
    <w:name w:val="表格内容 Char"/>
    <w:basedOn w:val="27"/>
    <w:link w:val="55"/>
    <w:qFormat/>
    <w:uiPriority w:val="0"/>
    <w:rPr>
      <w:rFonts w:cs="宋体"/>
      <w:sz w:val="21"/>
    </w:rPr>
  </w:style>
  <w:style w:type="character" w:customStyle="1" w:styleId="60">
    <w:name w:val="表字体 Char"/>
    <w:link w:val="61"/>
    <w:qFormat/>
    <w:uiPriority w:val="0"/>
    <w:rPr>
      <w:rFonts w:ascii="Times New Roman" w:hAnsi="Times New Roman"/>
    </w:rPr>
  </w:style>
  <w:style w:type="paragraph" w:customStyle="1" w:styleId="61">
    <w:name w:val="表字体"/>
    <w:basedOn w:val="1"/>
    <w:next w:val="1"/>
    <w:link w:val="60"/>
    <w:qFormat/>
    <w:uiPriority w:val="0"/>
    <w:pPr>
      <w:jc w:val="center"/>
    </w:pPr>
    <w:rPr>
      <w:rFonts w:ascii="Times New Roman" w:hAnsi="Times New Roman"/>
      <w:kern w:val="0"/>
      <w:sz w:val="20"/>
      <w:szCs w:val="20"/>
    </w:rPr>
  </w:style>
  <w:style w:type="paragraph" w:customStyle="1" w:styleId="62">
    <w:name w:val="Table Paragraph"/>
    <w:basedOn w:val="1"/>
    <w:qFormat/>
    <w:uiPriority w:val="1"/>
    <w:pPr>
      <w:widowControl/>
      <w:jc w:val="left"/>
    </w:pPr>
    <w:rPr>
      <w:rFonts w:cs="宋体"/>
      <w:kern w:val="0"/>
      <w:sz w:val="22"/>
      <w:szCs w:val="22"/>
    </w:rPr>
  </w:style>
  <w:style w:type="paragraph" w:customStyle="1" w:styleId="63">
    <w:name w:val="Char Char Char Char Char Char Char Char Char Char"/>
    <w:basedOn w:val="1"/>
    <w:qFormat/>
    <w:uiPriority w:val="0"/>
    <w:pPr>
      <w:widowControl/>
      <w:spacing w:after="160" w:line="240" w:lineRule="exact"/>
      <w:jc w:val="left"/>
    </w:pPr>
    <w:rPr>
      <w:rFonts w:ascii="Times New Roman" w:hAnsi="Times New Roman"/>
    </w:rPr>
  </w:style>
  <w:style w:type="character" w:customStyle="1" w:styleId="64">
    <w:name w:val="正文首行缩进 Char"/>
    <w:basedOn w:val="49"/>
    <w:link w:val="24"/>
    <w:qFormat/>
    <w:uiPriority w:val="0"/>
    <w:rPr>
      <w:kern w:val="2"/>
      <w:sz w:val="21"/>
      <w:szCs w:val="24"/>
    </w:rPr>
  </w:style>
  <w:style w:type="character" w:customStyle="1" w:styleId="65">
    <w:name w:val="正文首行缩进 Char1"/>
    <w:basedOn w:val="49"/>
    <w:link w:val="24"/>
    <w:qFormat/>
    <w:uiPriority w:val="0"/>
    <w:rPr>
      <w:kern w:val="2"/>
      <w:sz w:val="21"/>
      <w:szCs w:val="24"/>
    </w:rPr>
  </w:style>
  <w:style w:type="paragraph" w:customStyle="1" w:styleId="66">
    <w:name w:val="正文001"/>
    <w:basedOn w:val="1"/>
    <w:qFormat/>
    <w:uiPriority w:val="0"/>
    <w:pPr>
      <w:spacing w:before="60" w:line="460" w:lineRule="exact"/>
      <w:ind w:firstLine="482"/>
    </w:pPr>
    <w:rPr>
      <w:rFonts w:ascii="Times New Roman" w:hAnsi="Times New Roman"/>
      <w:sz w:val="24"/>
      <w:szCs w:val="20"/>
    </w:rPr>
  </w:style>
  <w:style w:type="paragraph" w:customStyle="1" w:styleId="67">
    <w:name w:val="标题003"/>
    <w:basedOn w:val="1"/>
    <w:qFormat/>
    <w:uiPriority w:val="0"/>
    <w:pPr>
      <w:spacing w:before="120" w:line="440" w:lineRule="exact"/>
      <w:outlineLvl w:val="2"/>
    </w:pPr>
    <w:rPr>
      <w:rFonts w:ascii="Times New Roman" w:hAnsi="Times New Roman"/>
      <w:b/>
      <w:sz w:val="27"/>
      <w:szCs w:val="20"/>
    </w:rPr>
  </w:style>
  <w:style w:type="character" w:customStyle="1" w:styleId="68">
    <w:name w:val="正文1 Char"/>
    <w:link w:val="69"/>
    <w:qFormat/>
    <w:locked/>
    <w:uiPriority w:val="0"/>
    <w:rPr>
      <w:sz w:val="24"/>
    </w:rPr>
  </w:style>
  <w:style w:type="paragraph" w:customStyle="1" w:styleId="69">
    <w:name w:val="正文1"/>
    <w:basedOn w:val="1"/>
    <w:link w:val="68"/>
    <w:qFormat/>
    <w:uiPriority w:val="0"/>
    <w:pPr>
      <w:spacing w:line="360" w:lineRule="auto"/>
      <w:ind w:firstLine="723" w:firstLineChars="200"/>
    </w:pPr>
    <w:rPr>
      <w:kern w:val="0"/>
      <w:sz w:val="24"/>
      <w:szCs w:val="20"/>
    </w:rPr>
  </w:style>
  <w:style w:type="character" w:customStyle="1" w:styleId="70">
    <w:name w:val="表标题 Char"/>
    <w:link w:val="71"/>
    <w:qFormat/>
    <w:uiPriority w:val="0"/>
    <w:rPr>
      <w:b/>
    </w:rPr>
  </w:style>
  <w:style w:type="paragraph" w:customStyle="1" w:styleId="71">
    <w:name w:val="表标题"/>
    <w:basedOn w:val="1"/>
    <w:link w:val="70"/>
    <w:qFormat/>
    <w:uiPriority w:val="0"/>
    <w:pPr>
      <w:jc w:val="center"/>
    </w:pPr>
    <w:rPr>
      <w:b/>
      <w:kern w:val="0"/>
      <w:sz w:val="20"/>
      <w:szCs w:val="20"/>
    </w:rPr>
  </w:style>
  <w:style w:type="paragraph" w:customStyle="1" w:styleId="72">
    <w:name w:val="样式 首行缩进:  2 字符"/>
    <w:basedOn w:val="1"/>
    <w:qFormat/>
    <w:uiPriority w:val="0"/>
    <w:pPr>
      <w:spacing w:line="500" w:lineRule="exact"/>
      <w:ind w:firstLine="480" w:firstLineChars="200"/>
    </w:pPr>
    <w:rPr>
      <w:rFonts w:ascii="Times New Roman" w:hAnsi="Times New Roman"/>
      <w:sz w:val="24"/>
    </w:rPr>
  </w:style>
  <w:style w:type="paragraph" w:customStyle="1" w:styleId="73">
    <w:name w:val="WPSOffice手动目录 1"/>
    <w:qFormat/>
    <w:uiPriority w:val="0"/>
    <w:pPr>
      <w:ind w:leftChars="0"/>
    </w:pPr>
    <w:rPr>
      <w:rFonts w:ascii="Calibri" w:hAnsi="Calibri" w:eastAsia="宋体" w:cs="Times New Roman"/>
      <w:sz w:val="20"/>
      <w:szCs w:val="20"/>
    </w:rPr>
  </w:style>
  <w:style w:type="paragraph" w:customStyle="1" w:styleId="74">
    <w:name w:val="样式 样式 首行缩进:  2 字符1 + 首行缩进:  2 字符"/>
    <w:basedOn w:val="1"/>
    <w:qFormat/>
    <w:uiPriority w:val="0"/>
    <w:pPr>
      <w:tabs>
        <w:tab w:val="left" w:pos="720"/>
      </w:tabs>
      <w:spacing w:line="360" w:lineRule="auto"/>
    </w:pPr>
    <w:rPr>
      <w:rFonts w:ascii="宋体" w:hAnsi="宋体" w:cs="宋体"/>
      <w:color w:val="000000"/>
    </w:rPr>
  </w:style>
  <w:style w:type="table" w:customStyle="1" w:styleId="75">
    <w:name w:val="Table Normal"/>
    <w:semiHidden/>
    <w:unhideWhenUsed/>
    <w:qFormat/>
    <w:uiPriority w:val="0"/>
    <w:tblPr>
      <w:tblCellMar>
        <w:top w:w="0" w:type="dxa"/>
        <w:left w:w="0" w:type="dxa"/>
        <w:bottom w:w="0" w:type="dxa"/>
        <w:right w:w="0" w:type="dxa"/>
      </w:tblCellMar>
    </w:tblPr>
  </w:style>
  <w:style w:type="paragraph" w:customStyle="1" w:styleId="76">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77">
    <w:name w:val="正文文字"/>
    <w:basedOn w:val="1"/>
    <w:qFormat/>
    <w:uiPriority w:val="0"/>
    <w:pPr>
      <w:spacing w:line="560" w:lineRule="exact"/>
      <w:ind w:firstLine="200"/>
    </w:pPr>
    <w:rPr>
      <w:rFonts w:ascii="Times New Roman" w:hAnsi="Times New Roman"/>
      <w:szCs w:val="20"/>
    </w:rPr>
  </w:style>
  <w:style w:type="paragraph" w:customStyle="1" w:styleId="78">
    <w:name w:val="Table Text"/>
    <w:basedOn w:val="1"/>
    <w:semiHidden/>
    <w:qFormat/>
    <w:uiPriority w:val="0"/>
    <w:rPr>
      <w:rFonts w:ascii="宋体" w:hAnsi="宋体" w:eastAsia="宋体" w:cs="宋体"/>
      <w:sz w:val="21"/>
      <w:szCs w:val="21"/>
      <w:lang w:val="en-US" w:eastAsia="en-US" w:bidi="ar-SA"/>
    </w:rPr>
  </w:style>
  <w:style w:type="paragraph" w:customStyle="1" w:styleId="79">
    <w:name w:val="表"/>
    <w:basedOn w:val="1"/>
    <w:qFormat/>
    <w:uiPriority w:val="0"/>
    <w:pPr>
      <w:kinsoku w:val="0"/>
      <w:adjustRightInd w:val="0"/>
      <w:snapToGrid w:val="0"/>
      <w:spacing w:line="240" w:lineRule="auto"/>
      <w:ind w:firstLine="0" w:firstLineChars="0"/>
      <w:jc w:val="center"/>
    </w:pPr>
    <w:rPr>
      <w:rFonts w:eastAsia="楷体"/>
      <w:spacing w:val="2"/>
      <w:kern w:val="0"/>
      <w:szCs w:val="20"/>
    </w:rPr>
  </w:style>
  <w:style w:type="paragraph" w:customStyle="1" w:styleId="80">
    <w:name w:val="正文正式用"/>
    <w:basedOn w:val="14"/>
    <w:qFormat/>
    <w:uiPriority w:val="0"/>
    <w:pPr>
      <w:snapToGrid w:val="0"/>
      <w:spacing w:after="0" w:line="360" w:lineRule="auto"/>
      <w:ind w:firstLine="200" w:firstLineChars="200"/>
    </w:pPr>
    <w:rPr>
      <w:color w:val="000000"/>
      <w:sz w:val="24"/>
    </w:rPr>
  </w:style>
  <w:style w:type="paragraph" w:customStyle="1" w:styleId="81">
    <w:name w:val="LNY正文样式"/>
    <w:basedOn w:val="82"/>
    <w:qFormat/>
    <w:uiPriority w:val="0"/>
    <w:pPr>
      <w:ind w:firstLine="480"/>
    </w:pPr>
    <w:rPr>
      <w:rFonts w:eastAsia="宋体" w:cs="Calibri"/>
      <w:color w:val="000000"/>
    </w:rPr>
  </w:style>
  <w:style w:type="paragraph" w:styleId="82">
    <w:name w:val="List Paragraph"/>
    <w:basedOn w:val="1"/>
    <w:qFormat/>
    <w:uiPriority w:val="0"/>
    <w:pPr>
      <w:snapToGrid/>
      <w:spacing w:line="240" w:lineRule="auto"/>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8C7D1-0A7E-41B0-9591-FAE26E7C2F3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128</Pages>
  <Words>78891</Words>
  <Characters>91164</Characters>
  <Lines>335</Lines>
  <Paragraphs>94</Paragraphs>
  <TotalTime>0</TotalTime>
  <ScaleCrop>false</ScaleCrop>
  <LinksUpToDate>false</LinksUpToDate>
  <CharactersWithSpaces>92365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2021-04-07T01:10:00Z</dcterms:created>
  <dc:creator>lhj</dc:creator>
  <cp:lastModifiedBy>文赫</cp:lastModifiedBy>
  <cp:lastPrinted>2022-04-01T02:59:00Z</cp:lastPrinted>
  <dcterms:modified xsi:type="dcterms:W3CDTF">2023-07-16T08:23:52Z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29EEC10EFECE4F0AA44911285310959E_13</vt:lpwstr>
  </property>
</Properties>
</file>