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auto"/>
          <w:sz w:val="36"/>
          <w:szCs w:val="36"/>
          <w:u w:val="none"/>
        </w:rPr>
      </w:pPr>
      <w:bookmarkStart w:id="0" w:name="_Hlk57883707"/>
    </w:p>
    <w:p>
      <w:pPr>
        <w:rPr>
          <w:rFonts w:hint="default" w:ascii="Times New Roman" w:hAnsi="Times New Roman" w:eastAsia="宋体" w:cs="Times New Roman"/>
          <w:color w:val="auto"/>
          <w:sz w:val="36"/>
          <w:szCs w:val="36"/>
          <w:u w:val="none"/>
        </w:rPr>
      </w:pPr>
    </w:p>
    <w:p>
      <w:pPr>
        <w:rPr>
          <w:rFonts w:hint="default" w:ascii="Times New Roman" w:hAnsi="Times New Roman" w:eastAsia="宋体" w:cs="Times New Roman"/>
          <w:color w:val="auto"/>
          <w:sz w:val="36"/>
          <w:szCs w:val="36"/>
          <w:u w:val="none"/>
          <w:lang w:eastAsia="zh-CN"/>
        </w:rPr>
      </w:pPr>
    </w:p>
    <w:p>
      <w:pPr>
        <w:rPr>
          <w:rFonts w:hint="default" w:ascii="Times New Roman" w:hAnsi="Times New Roman" w:eastAsia="宋体" w:cs="Times New Roman"/>
          <w:color w:val="auto"/>
          <w:sz w:val="36"/>
          <w:szCs w:val="36"/>
          <w:u w:val="none"/>
        </w:rPr>
      </w:pPr>
    </w:p>
    <w:bookmarkEnd w:id="0"/>
    <w:p>
      <w:pPr>
        <w:adjustRightInd w:val="0"/>
        <w:snapToGrid w:val="0"/>
        <w:jc w:val="center"/>
        <w:outlineLvl w:val="0"/>
        <w:rPr>
          <w:rFonts w:hint="default" w:ascii="Times New Roman" w:hAnsi="Times New Roman" w:eastAsia="宋体" w:cs="Times New Roman"/>
          <w:bCs/>
          <w:color w:val="auto"/>
          <w:sz w:val="72"/>
          <w:szCs w:val="72"/>
          <w:u w:val="none"/>
        </w:rPr>
      </w:pPr>
      <w:bookmarkStart w:id="1" w:name="_Toc18234"/>
      <w:bookmarkStart w:id="2" w:name="_Toc6435"/>
      <w:bookmarkStart w:id="3" w:name="_Toc21173"/>
      <w:bookmarkStart w:id="4" w:name="_Toc20967"/>
      <w:bookmarkStart w:id="5" w:name="_Toc19619"/>
      <w:bookmarkStart w:id="6" w:name="_Toc17630"/>
      <w:r>
        <w:rPr>
          <w:rFonts w:hint="default" w:ascii="Times New Roman" w:hAnsi="Times New Roman" w:eastAsia="宋体" w:cs="Times New Roman"/>
          <w:bCs/>
          <w:color w:val="auto"/>
          <w:sz w:val="72"/>
          <w:szCs w:val="72"/>
          <w:u w:val="none"/>
        </w:rPr>
        <w:t>建设项目环境影响报告表</w:t>
      </w:r>
      <w:bookmarkEnd w:id="1"/>
      <w:bookmarkEnd w:id="2"/>
      <w:bookmarkEnd w:id="3"/>
      <w:bookmarkEnd w:id="4"/>
      <w:bookmarkEnd w:id="5"/>
      <w:bookmarkEnd w:id="6"/>
    </w:p>
    <w:p>
      <w:pPr>
        <w:adjustRightInd w:val="0"/>
        <w:snapToGrid w:val="0"/>
        <w:spacing w:before="192" w:beforeLines="80"/>
        <w:jc w:val="center"/>
        <w:rPr>
          <w:rFonts w:hint="default" w:ascii="Times New Roman" w:hAnsi="Times New Roman" w:eastAsia="宋体" w:cs="Times New Roman"/>
          <w:bCs/>
          <w:color w:val="auto"/>
          <w:sz w:val="48"/>
          <w:szCs w:val="48"/>
          <w:u w:val="none"/>
        </w:rPr>
      </w:pPr>
      <w:r>
        <w:rPr>
          <w:rFonts w:hint="default" w:ascii="Times New Roman" w:hAnsi="Times New Roman" w:eastAsia="宋体" w:cs="Times New Roman"/>
          <w:bCs/>
          <w:color w:val="auto"/>
          <w:sz w:val="48"/>
          <w:szCs w:val="48"/>
          <w:u w:val="none"/>
        </w:rPr>
        <w:t>（生态影响类）</w:t>
      </w:r>
    </w:p>
    <w:p>
      <w:pPr>
        <w:adjustRightInd w:val="0"/>
        <w:snapToGrid w:val="0"/>
        <w:spacing w:line="288" w:lineRule="auto"/>
        <w:jc w:val="center"/>
        <w:outlineLvl w:val="9"/>
        <w:rPr>
          <w:rFonts w:hint="default" w:ascii="Times New Roman" w:hAnsi="Times New Roman" w:eastAsia="宋体" w:cs="Times New Roman"/>
          <w:color w:val="auto"/>
          <w:kern w:val="44"/>
          <w:sz w:val="44"/>
          <w:szCs w:val="44"/>
          <w:u w:val="none"/>
        </w:rPr>
      </w:pPr>
      <w:bookmarkStart w:id="7" w:name="_Hlk57883728"/>
    </w:p>
    <w:p>
      <w:pPr>
        <w:jc w:val="center"/>
        <w:rPr>
          <w:rFonts w:hint="default" w:ascii="Times New Roman" w:hAnsi="Times New Roman" w:eastAsia="宋体" w:cs="Times New Roman"/>
          <w:color w:val="auto"/>
          <w:sz w:val="52"/>
          <w:szCs w:val="52"/>
          <w:u w:val="none"/>
        </w:rPr>
      </w:pPr>
    </w:p>
    <w:p>
      <w:pPr>
        <w:ind w:firstLine="1040"/>
        <w:rPr>
          <w:rFonts w:hint="default" w:ascii="Times New Roman" w:hAnsi="Times New Roman" w:eastAsia="宋体" w:cs="Times New Roman"/>
          <w:color w:val="auto"/>
          <w:sz w:val="44"/>
          <w:szCs w:val="44"/>
          <w:u w:val="none"/>
        </w:rPr>
      </w:pPr>
    </w:p>
    <w:p>
      <w:pPr>
        <w:ind w:firstLine="1040"/>
        <w:rPr>
          <w:rFonts w:hint="default" w:ascii="Times New Roman" w:hAnsi="Times New Roman" w:eastAsia="宋体" w:cs="Times New Roman"/>
          <w:color w:val="auto"/>
          <w:sz w:val="44"/>
          <w:szCs w:val="44"/>
          <w:u w:val="none"/>
        </w:rPr>
      </w:pPr>
    </w:p>
    <w:p>
      <w:pPr>
        <w:ind w:firstLine="1040"/>
        <w:rPr>
          <w:rFonts w:hint="default" w:ascii="Times New Roman" w:hAnsi="Times New Roman" w:eastAsia="宋体" w:cs="Times New Roman"/>
          <w:color w:val="auto"/>
          <w:sz w:val="44"/>
          <w:szCs w:val="44"/>
          <w:u w:val="none"/>
          <w:lang w:val="en-US" w:eastAsia="zh-CN"/>
        </w:rPr>
      </w:pPr>
    </w:p>
    <w:p>
      <w:pPr>
        <w:spacing w:line="360" w:lineRule="auto"/>
        <w:ind w:firstLine="1040"/>
        <w:rPr>
          <w:rFonts w:hint="default" w:ascii="Times New Roman" w:hAnsi="Times New Roman" w:eastAsia="宋体" w:cs="Times New Roman"/>
          <w:color w:val="auto"/>
          <w:sz w:val="44"/>
          <w:szCs w:val="44"/>
          <w:u w:val="none"/>
        </w:rPr>
      </w:pPr>
    </w:p>
    <w:bookmarkEnd w:id="7"/>
    <w:p>
      <w:pPr>
        <w:adjustRightInd w:val="0"/>
        <w:snapToGrid w:val="0"/>
        <w:spacing w:line="360" w:lineRule="auto"/>
        <w:ind w:left="2738" w:leftChars="514" w:hanging="1659" w:hangingChars="461"/>
        <w:jc w:val="both"/>
        <w:rPr>
          <w:rFonts w:hint="default" w:ascii="Times New Roman" w:hAnsi="Times New Roman" w:eastAsia="宋体" w:cs="Times New Roman"/>
          <w:color w:val="auto"/>
          <w:sz w:val="36"/>
          <w:szCs w:val="36"/>
          <w:u w:val="none"/>
          <w:lang w:eastAsia="zh-CN"/>
        </w:rPr>
      </w:pPr>
      <w:r>
        <w:rPr>
          <w:rFonts w:hint="default" w:ascii="Times New Roman" w:hAnsi="Times New Roman" w:eastAsia="宋体" w:cs="Times New Roman"/>
          <w:color w:val="auto"/>
          <w:sz w:val="36"/>
          <w:szCs w:val="36"/>
          <w:u w:val="none"/>
        </w:rPr>
        <w:t>项目名称：</w:t>
      </w:r>
      <w:r>
        <w:rPr>
          <w:rFonts w:hint="default" w:ascii="Times New Roman" w:hAnsi="Times New Roman" w:eastAsia="宋体" w:cs="Times New Roman"/>
          <w:color w:val="auto"/>
          <w:sz w:val="36"/>
          <w:szCs w:val="36"/>
          <w:u w:val="single"/>
          <w:lang w:eastAsia="zh-CN"/>
        </w:rPr>
        <w:t>湘阴县青山岛横岭湖团山围闸口人工湿地工程</w:t>
      </w:r>
    </w:p>
    <w:p>
      <w:pPr>
        <w:adjustRightInd w:val="0"/>
        <w:snapToGrid w:val="0"/>
        <w:spacing w:line="360" w:lineRule="auto"/>
        <w:ind w:firstLine="1080" w:firstLineChars="300"/>
        <w:rPr>
          <w:rFonts w:hint="default" w:ascii="Times New Roman" w:hAnsi="Times New Roman" w:eastAsia="宋体" w:cs="Times New Roman"/>
          <w:color w:val="auto"/>
          <w:sz w:val="36"/>
          <w:szCs w:val="36"/>
          <w:u w:val="none"/>
          <w:lang w:eastAsia="zh-CN"/>
        </w:rPr>
      </w:pPr>
      <w:r>
        <w:rPr>
          <w:rFonts w:hint="default" w:ascii="Times New Roman" w:hAnsi="Times New Roman" w:eastAsia="宋体" w:cs="Times New Roman"/>
          <w:color w:val="auto"/>
          <w:sz w:val="36"/>
          <w:szCs w:val="36"/>
          <w:u w:val="none"/>
        </w:rPr>
        <w:t>建设单位：</w:t>
      </w:r>
      <w:r>
        <w:rPr>
          <w:rFonts w:hint="default" w:ascii="Times New Roman" w:hAnsi="Times New Roman" w:eastAsia="宋体" w:cs="Times New Roman"/>
          <w:color w:val="auto"/>
          <w:sz w:val="36"/>
          <w:szCs w:val="36"/>
          <w:u w:val="single"/>
          <w:lang w:eastAsia="zh-CN"/>
        </w:rPr>
        <w:t>湖南洋沙湖投资控股集团有限公司</w:t>
      </w:r>
    </w:p>
    <w:p>
      <w:pPr>
        <w:adjustRightInd w:val="0"/>
        <w:snapToGrid w:val="0"/>
        <w:spacing w:line="360" w:lineRule="auto"/>
        <w:ind w:firstLine="1080" w:firstLineChars="300"/>
        <w:rPr>
          <w:rFonts w:hint="default" w:ascii="Times New Roman" w:hAnsi="Times New Roman" w:eastAsia="宋体" w:cs="Times New Roman"/>
          <w:color w:val="auto"/>
          <w:sz w:val="36"/>
          <w:szCs w:val="36"/>
          <w:u w:val="none"/>
          <w:lang w:eastAsia="zh-CN"/>
        </w:rPr>
      </w:pPr>
      <w:r>
        <w:rPr>
          <w:rFonts w:hint="default" w:ascii="Times New Roman" w:hAnsi="Times New Roman" w:eastAsia="宋体" w:cs="Times New Roman"/>
          <w:color w:val="auto"/>
          <w:sz w:val="36"/>
          <w:szCs w:val="36"/>
          <w:u w:val="none"/>
        </w:rPr>
        <w:t>编制日期：</w:t>
      </w:r>
      <w:r>
        <w:rPr>
          <w:rFonts w:hint="default" w:ascii="Times New Roman" w:hAnsi="Times New Roman" w:eastAsia="宋体" w:cs="Times New Roman"/>
          <w:color w:val="auto"/>
          <w:sz w:val="36"/>
          <w:szCs w:val="36"/>
          <w:u w:val="single"/>
          <w:lang w:val="en-US" w:eastAsia="zh-CN"/>
        </w:rPr>
        <w:t>二〇二三</w:t>
      </w:r>
      <w:r>
        <w:rPr>
          <w:rFonts w:hint="default" w:ascii="Times New Roman" w:hAnsi="Times New Roman" w:eastAsia="宋体" w:cs="Times New Roman"/>
          <w:color w:val="auto"/>
          <w:sz w:val="36"/>
          <w:szCs w:val="36"/>
          <w:u w:val="single"/>
        </w:rPr>
        <w:t>年</w:t>
      </w:r>
      <w:r>
        <w:rPr>
          <w:rFonts w:hint="eastAsia" w:cs="Times New Roman"/>
          <w:color w:val="auto"/>
          <w:sz w:val="36"/>
          <w:szCs w:val="36"/>
          <w:u w:val="single"/>
          <w:lang w:val="en-US" w:eastAsia="zh-CN"/>
        </w:rPr>
        <w:t>九</w:t>
      </w:r>
      <w:r>
        <w:rPr>
          <w:rFonts w:hint="default" w:ascii="Times New Roman" w:hAnsi="Times New Roman" w:eastAsia="宋体" w:cs="Times New Roman"/>
          <w:color w:val="auto"/>
          <w:sz w:val="36"/>
          <w:szCs w:val="36"/>
          <w:u w:val="single"/>
        </w:rPr>
        <w:t>月</w:t>
      </w:r>
    </w:p>
    <w:p>
      <w:pPr>
        <w:adjustRightInd w:val="0"/>
        <w:snapToGrid w:val="0"/>
        <w:spacing w:line="288" w:lineRule="auto"/>
        <w:ind w:firstLine="1040"/>
        <w:rPr>
          <w:rFonts w:hint="default" w:ascii="Times New Roman" w:hAnsi="Times New Roman" w:eastAsia="宋体" w:cs="Times New Roman"/>
          <w:color w:val="auto"/>
          <w:sz w:val="36"/>
          <w:szCs w:val="36"/>
          <w:u w:val="none"/>
        </w:rPr>
      </w:pPr>
    </w:p>
    <w:p>
      <w:pPr>
        <w:adjustRightInd w:val="0"/>
        <w:snapToGrid w:val="0"/>
        <w:spacing w:line="288" w:lineRule="auto"/>
        <w:ind w:firstLine="1040"/>
        <w:rPr>
          <w:rFonts w:hint="default" w:ascii="Times New Roman" w:hAnsi="Times New Roman" w:eastAsia="宋体" w:cs="Times New Roman"/>
          <w:color w:val="auto"/>
          <w:sz w:val="36"/>
          <w:szCs w:val="36"/>
          <w:u w:val="none"/>
        </w:rPr>
      </w:pPr>
    </w:p>
    <w:p>
      <w:pPr>
        <w:adjustRightInd w:val="0"/>
        <w:snapToGrid w:val="0"/>
        <w:spacing w:line="288" w:lineRule="auto"/>
        <w:ind w:firstLine="1040"/>
        <w:rPr>
          <w:rFonts w:hint="default" w:ascii="Times New Roman" w:hAnsi="Times New Roman" w:eastAsia="宋体" w:cs="Times New Roman"/>
          <w:color w:val="auto"/>
          <w:sz w:val="36"/>
          <w:szCs w:val="36"/>
          <w:u w:val="none"/>
        </w:rPr>
      </w:pPr>
    </w:p>
    <w:p>
      <w:pPr>
        <w:adjustRightInd w:val="0"/>
        <w:snapToGrid w:val="0"/>
        <w:spacing w:line="288" w:lineRule="auto"/>
        <w:ind w:firstLine="1040"/>
        <w:rPr>
          <w:rFonts w:hint="default" w:ascii="Times New Roman" w:hAnsi="Times New Roman" w:eastAsia="宋体" w:cs="Times New Roman"/>
          <w:color w:val="auto"/>
          <w:sz w:val="36"/>
          <w:szCs w:val="36"/>
          <w:u w:val="none"/>
        </w:rPr>
      </w:pPr>
    </w:p>
    <w:p>
      <w:pPr>
        <w:adjustRightInd w:val="0"/>
        <w:snapToGrid w:val="0"/>
        <w:spacing w:line="288" w:lineRule="auto"/>
        <w:jc w:val="center"/>
        <w:rPr>
          <w:rFonts w:hint="default" w:ascii="Times New Roman" w:hAnsi="Times New Roman" w:eastAsia="宋体" w:cs="Times New Roman"/>
          <w:color w:val="auto"/>
          <w:sz w:val="36"/>
          <w:szCs w:val="36"/>
          <w:u w:val="none"/>
        </w:rPr>
      </w:pPr>
      <w:r>
        <w:rPr>
          <w:rFonts w:hint="default" w:ascii="Times New Roman" w:hAnsi="Times New Roman" w:eastAsia="宋体" w:cs="Times New Roman"/>
          <w:color w:val="auto"/>
          <w:sz w:val="36"/>
          <w:szCs w:val="36"/>
          <w:u w:val="none"/>
        </w:rPr>
        <w:t>中华人民共和国生态环境部制</w:t>
      </w:r>
    </w:p>
    <w:p>
      <w:pPr>
        <w:adjustRightInd w:val="0"/>
        <w:snapToGrid w:val="0"/>
        <w:spacing w:line="288" w:lineRule="auto"/>
        <w:jc w:val="center"/>
        <w:rPr>
          <w:rFonts w:hint="eastAsia" w:ascii="Times New Roman" w:hAnsi="Times New Roman" w:eastAsia="宋体" w:cs="Times New Roman"/>
          <w:color w:val="auto"/>
          <w:sz w:val="36"/>
          <w:szCs w:val="36"/>
          <w:u w:val="none"/>
          <w:lang w:eastAsia="zh-CN"/>
        </w:rPr>
      </w:pPr>
    </w:p>
    <w:p>
      <w:pPr>
        <w:adjustRightInd w:val="0"/>
        <w:snapToGrid w:val="0"/>
        <w:spacing w:line="288" w:lineRule="auto"/>
        <w:jc w:val="center"/>
        <w:rPr>
          <w:rFonts w:hint="eastAsia" w:ascii="Times New Roman" w:hAnsi="Times New Roman" w:eastAsia="宋体" w:cs="Times New Roman"/>
          <w:color w:val="auto"/>
          <w:sz w:val="36"/>
          <w:szCs w:val="36"/>
          <w:u w:val="none"/>
          <w:lang w:eastAsia="zh-CN"/>
        </w:rPr>
      </w:pPr>
    </w:p>
    <w:p>
      <w:pPr>
        <w:adjustRightInd w:val="0"/>
        <w:snapToGrid w:val="0"/>
        <w:spacing w:line="288" w:lineRule="auto"/>
        <w:jc w:val="center"/>
        <w:rPr>
          <w:rFonts w:hint="eastAsia" w:ascii="Times New Roman" w:hAnsi="Times New Roman" w:eastAsia="宋体" w:cs="Times New Roman"/>
          <w:color w:val="auto"/>
          <w:sz w:val="36"/>
          <w:szCs w:val="36"/>
          <w:u w:val="none"/>
          <w:lang w:eastAsia="zh-CN"/>
        </w:rPr>
      </w:pPr>
    </w:p>
    <w:p>
      <w:pPr>
        <w:jc w:val="center"/>
        <w:rPr>
          <w:rFonts w:hint="eastAsia"/>
          <w:b/>
          <w:bCs/>
          <w:color w:val="auto"/>
          <w:u w:val="none"/>
          <w:lang w:eastAsia="zh-CN"/>
        </w:rPr>
      </w:pPr>
    </w:p>
    <w:p>
      <w:pPr>
        <w:jc w:val="center"/>
        <w:rPr>
          <w:rFonts w:hint="default"/>
          <w:b/>
          <w:bCs/>
          <w:color w:val="auto"/>
          <w:u w:val="none"/>
          <w:lang w:val="en-US" w:eastAsia="zh-CN"/>
        </w:rPr>
      </w:pPr>
    </w:p>
    <w:p>
      <w:pPr>
        <w:jc w:val="center"/>
        <w:rPr>
          <w:rFonts w:hint="default"/>
          <w:b/>
          <w:bCs/>
          <w:color w:val="auto"/>
          <w:u w:val="none"/>
          <w:lang w:val="en-US" w:eastAsia="zh-CN"/>
        </w:rPr>
      </w:pPr>
    </w:p>
    <w:p>
      <w:pPr>
        <w:pStyle w:val="29"/>
        <w:jc w:val="center"/>
        <w:outlineLvl w:val="0"/>
        <w:rPr>
          <w:rFonts w:hint="default" w:ascii="Times New Roman" w:hAnsi="Times New Roman" w:eastAsia="宋体" w:cs="Times New Roman"/>
          <w:snapToGrid w:val="0"/>
          <w:color w:val="auto"/>
          <w:sz w:val="30"/>
          <w:szCs w:val="30"/>
          <w:u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bookmarkStart w:id="8" w:name="_Toc13684"/>
      <w:bookmarkStart w:id="9" w:name="_Toc6729"/>
      <w:bookmarkStart w:id="10" w:name="_Toc4925"/>
      <w:bookmarkStart w:id="11" w:name="_Toc7844"/>
      <w:bookmarkStart w:id="12" w:name="_Toc6874"/>
      <w:bookmarkStart w:id="13" w:name="_Toc27222"/>
    </w:p>
    <w:p>
      <w:pPr>
        <w:pStyle w:val="29"/>
        <w:jc w:val="center"/>
        <w:outlineLvl w:val="0"/>
        <w:rPr>
          <w:rFonts w:hint="default" w:ascii="Times New Roman" w:hAnsi="Times New Roman" w:eastAsia="宋体" w:cs="Times New Roman"/>
          <w:snapToGrid w:val="0"/>
          <w:color w:val="auto"/>
          <w:sz w:val="30"/>
          <w:szCs w:val="30"/>
          <w:u w:val="none"/>
        </w:rPr>
      </w:pPr>
      <w:r>
        <w:rPr>
          <w:rFonts w:hint="default" w:ascii="Times New Roman" w:hAnsi="Times New Roman" w:eastAsia="宋体" w:cs="Times New Roman"/>
          <w:snapToGrid w:val="0"/>
          <w:color w:val="auto"/>
          <w:sz w:val="30"/>
          <w:szCs w:val="30"/>
          <w:u w:val="none"/>
        </w:rPr>
        <w:t>一、建设项目基本情况</w:t>
      </w:r>
      <w:bookmarkEnd w:id="8"/>
      <w:bookmarkEnd w:id="9"/>
      <w:bookmarkEnd w:id="10"/>
      <w:bookmarkEnd w:id="11"/>
      <w:bookmarkEnd w:id="12"/>
      <w:bookmarkEnd w:id="13"/>
    </w:p>
    <w:tbl>
      <w:tblPr>
        <w:tblStyle w:val="32"/>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226"/>
        <w:gridCol w:w="2043"/>
        <w:gridCol w:w="2218"/>
        <w:gridCol w:w="10"/>
        <w:gridCol w:w="25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建设项目名称</w:t>
            </w:r>
          </w:p>
        </w:tc>
        <w:tc>
          <w:tcPr>
            <w:tcW w:w="6813" w:type="dxa"/>
            <w:gridSpan w:val="4"/>
            <w:noWrap w:val="0"/>
            <w:vAlign w:val="center"/>
          </w:tcPr>
          <w:p>
            <w:pPr>
              <w:adjustRightInd w:val="0"/>
              <w:snapToGrid w:val="0"/>
              <w:jc w:val="center"/>
              <w:rPr>
                <w:rFonts w:hint="default" w:ascii="Times New Roman" w:hAnsi="Times New Roman" w:eastAsia="宋体" w:cs="Times New Roman"/>
                <w:color w:val="auto"/>
                <w:szCs w:val="21"/>
                <w:u w:val="none"/>
                <w:lang w:eastAsia="zh-CN"/>
              </w:rPr>
            </w:pPr>
            <w:r>
              <w:rPr>
                <w:rFonts w:hint="eastAsia"/>
                <w:u w:val="none"/>
              </w:rPr>
              <w:t>湘阴县青山岛横岭湖团山围闸口人工湿地工程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项目代码</w:t>
            </w:r>
          </w:p>
        </w:tc>
        <w:tc>
          <w:tcPr>
            <w:tcW w:w="6813" w:type="dxa"/>
            <w:gridSpan w:val="4"/>
            <w:noWrap w:val="0"/>
            <w:vAlign w:val="center"/>
          </w:tcPr>
          <w:p>
            <w:pPr>
              <w:adjustRightInd w:val="0"/>
              <w:snapToGrid w:val="0"/>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2302-430624-04-05-816238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建设单位联系人</w:t>
            </w:r>
          </w:p>
        </w:tc>
        <w:tc>
          <w:tcPr>
            <w:tcW w:w="2043" w:type="dxa"/>
            <w:noWrap w:val="0"/>
            <w:vAlign w:val="center"/>
          </w:tcPr>
          <w:p>
            <w:pPr>
              <w:adjustRightInd w:val="0"/>
              <w:snapToGrid w:val="0"/>
              <w:jc w:val="center"/>
              <w:rPr>
                <w:rFonts w:hint="eastAsia" w:ascii="Times New Roman" w:hAnsi="Times New Roman" w:eastAsia="宋体" w:cs="Times New Roman"/>
                <w:color w:val="auto"/>
                <w:szCs w:val="21"/>
                <w:u w:val="none"/>
                <w:lang w:eastAsia="zh-CN"/>
              </w:rPr>
            </w:pPr>
            <w:r>
              <w:rPr>
                <w:rFonts w:hint="eastAsia"/>
                <w:u w:val="none"/>
                <w:lang w:val="en-US" w:eastAsia="zh-CN"/>
              </w:rPr>
              <w:t xml:space="preserve"> </w:t>
            </w:r>
            <w:bookmarkStart w:id="75" w:name="_GoBack"/>
            <w:bookmarkEnd w:id="75"/>
          </w:p>
        </w:tc>
        <w:tc>
          <w:tcPr>
            <w:tcW w:w="2228" w:type="dxa"/>
            <w:gridSpan w:val="2"/>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联系方式</w:t>
            </w:r>
          </w:p>
        </w:tc>
        <w:tc>
          <w:tcPr>
            <w:tcW w:w="2542" w:type="dxa"/>
            <w:noWrap w:val="0"/>
            <w:vAlign w:val="center"/>
          </w:tcPr>
          <w:p>
            <w:pPr>
              <w:adjustRightInd w:val="0"/>
              <w:snapToGrid w:val="0"/>
              <w:ind w:left="63" w:leftChars="30" w:right="63" w:rightChars="30"/>
              <w:jc w:val="center"/>
              <w:rPr>
                <w:rFonts w:hint="default" w:ascii="Times New Roman" w:hAnsi="Times New Roman" w:eastAsia="宋体" w:cs="Times New Roman"/>
                <w:color w:val="auto"/>
                <w:szCs w:val="21"/>
                <w:u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建设地点</w:t>
            </w:r>
          </w:p>
        </w:tc>
        <w:tc>
          <w:tcPr>
            <w:tcW w:w="6813" w:type="dxa"/>
            <w:gridSpan w:val="4"/>
            <w:noWrap w:val="0"/>
            <w:vAlign w:val="center"/>
          </w:tcPr>
          <w:p>
            <w:pPr>
              <w:adjustRightInd w:val="0"/>
              <w:snapToGrid w:val="0"/>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岳阳市湘阴县三塘镇青草湖村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地理坐标</w:t>
            </w:r>
          </w:p>
        </w:tc>
        <w:tc>
          <w:tcPr>
            <w:tcW w:w="6813" w:type="dxa"/>
            <w:gridSpan w:val="4"/>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lang w:val="en-US" w:eastAsia="zh-CN"/>
              </w:rPr>
              <w:t>建设地点中心坐标</w:t>
            </w:r>
            <w:r>
              <w:rPr>
                <w:rFonts w:hint="default" w:ascii="Times New Roman" w:hAnsi="Times New Roman" w:eastAsia="宋体" w:cs="Times New Roman"/>
                <w:color w:val="auto"/>
                <w:szCs w:val="21"/>
                <w:u w:val="none"/>
              </w:rPr>
              <w:t>（</w:t>
            </w:r>
            <w:r>
              <w:rPr>
                <w:rFonts w:hint="default" w:ascii="Times New Roman" w:hAnsi="Times New Roman" w:eastAsia="宋体" w:cs="Times New Roman"/>
                <w:color w:val="auto"/>
                <w:szCs w:val="21"/>
                <w:u w:val="none"/>
                <w:lang w:val="en-US" w:eastAsia="zh-CN"/>
              </w:rPr>
              <w:t>11</w:t>
            </w:r>
            <w:r>
              <w:rPr>
                <w:rFonts w:hint="eastAsia" w:cs="Times New Roman"/>
                <w:color w:val="auto"/>
                <w:szCs w:val="21"/>
                <w:u w:val="none"/>
                <w:lang w:val="en-US" w:eastAsia="zh-CN"/>
              </w:rPr>
              <w:t>2</w:t>
            </w:r>
            <w:r>
              <w:rPr>
                <w:rFonts w:hint="default" w:ascii="Times New Roman" w:hAnsi="Times New Roman" w:eastAsia="宋体" w:cs="Times New Roman"/>
                <w:color w:val="auto"/>
                <w:szCs w:val="21"/>
                <w:u w:val="none"/>
              </w:rPr>
              <w:t>度</w:t>
            </w:r>
            <w:r>
              <w:rPr>
                <w:rFonts w:hint="eastAsia" w:cs="Times New Roman"/>
                <w:color w:val="auto"/>
                <w:szCs w:val="21"/>
                <w:u w:val="none"/>
                <w:lang w:val="en-US" w:eastAsia="zh-CN"/>
              </w:rPr>
              <w:t>50</w:t>
            </w:r>
            <w:r>
              <w:rPr>
                <w:rFonts w:hint="default" w:ascii="Times New Roman" w:hAnsi="Times New Roman" w:eastAsia="宋体" w:cs="Times New Roman"/>
                <w:color w:val="auto"/>
                <w:szCs w:val="21"/>
                <w:u w:val="none"/>
              </w:rPr>
              <w:t>分</w:t>
            </w:r>
            <w:r>
              <w:rPr>
                <w:rFonts w:hint="eastAsia" w:cs="Times New Roman"/>
                <w:color w:val="auto"/>
                <w:szCs w:val="21"/>
                <w:u w:val="none"/>
                <w:lang w:val="en-US" w:eastAsia="zh-CN"/>
              </w:rPr>
              <w:t>32.46</w:t>
            </w:r>
            <w:r>
              <w:rPr>
                <w:rFonts w:hint="default" w:ascii="Times New Roman" w:hAnsi="Times New Roman" w:eastAsia="宋体" w:cs="Times New Roman"/>
                <w:color w:val="auto"/>
                <w:szCs w:val="21"/>
                <w:u w:val="none"/>
              </w:rPr>
              <w:t>秒，</w:t>
            </w:r>
            <w:r>
              <w:rPr>
                <w:rFonts w:hint="eastAsia" w:cs="Times New Roman"/>
                <w:color w:val="auto"/>
                <w:szCs w:val="21"/>
                <w:u w:val="none"/>
                <w:lang w:val="en-US" w:eastAsia="zh-CN"/>
              </w:rPr>
              <w:t>28</w:t>
            </w:r>
            <w:r>
              <w:rPr>
                <w:rFonts w:hint="default" w:ascii="Times New Roman" w:hAnsi="Times New Roman" w:eastAsia="宋体" w:cs="Times New Roman"/>
                <w:color w:val="auto"/>
                <w:szCs w:val="21"/>
                <w:u w:val="none"/>
              </w:rPr>
              <w:t>度</w:t>
            </w:r>
            <w:r>
              <w:rPr>
                <w:rFonts w:hint="eastAsia" w:cs="Times New Roman"/>
                <w:color w:val="auto"/>
                <w:szCs w:val="21"/>
                <w:u w:val="none"/>
                <w:lang w:val="en-US" w:eastAsia="zh-CN"/>
              </w:rPr>
              <w:t>52</w:t>
            </w:r>
            <w:r>
              <w:rPr>
                <w:rFonts w:hint="default" w:ascii="Times New Roman" w:hAnsi="Times New Roman" w:eastAsia="宋体" w:cs="Times New Roman"/>
                <w:color w:val="auto"/>
                <w:szCs w:val="21"/>
                <w:u w:val="none"/>
              </w:rPr>
              <w:t>分</w:t>
            </w:r>
            <w:r>
              <w:rPr>
                <w:rFonts w:hint="eastAsia" w:cs="Times New Roman"/>
                <w:color w:val="auto"/>
                <w:szCs w:val="21"/>
                <w:u w:val="none"/>
                <w:lang w:val="en-US" w:eastAsia="zh-CN"/>
              </w:rPr>
              <w:t>4.98</w:t>
            </w:r>
            <w:r>
              <w:rPr>
                <w:rFonts w:hint="default" w:ascii="Times New Roman" w:hAnsi="Times New Roman" w:eastAsia="宋体" w:cs="Times New Roman"/>
                <w:color w:val="auto"/>
                <w:szCs w:val="21"/>
                <w:u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建设项目</w:t>
            </w:r>
          </w:p>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行业类别</w:t>
            </w:r>
          </w:p>
        </w:tc>
        <w:tc>
          <w:tcPr>
            <w:tcW w:w="2043" w:type="dxa"/>
            <w:noWrap w:val="0"/>
            <w:vAlign w:val="center"/>
          </w:tcPr>
          <w:p>
            <w:pPr>
              <w:adjustRightInd w:val="0"/>
              <w:snapToGrid w:val="0"/>
              <w:jc w:val="left"/>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五十、社会事业与服务业类114人工湖、人工湿地</w:t>
            </w:r>
          </w:p>
        </w:tc>
        <w:tc>
          <w:tcPr>
            <w:tcW w:w="2218" w:type="dxa"/>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用地（用海）面积（m</w:t>
            </w:r>
            <w:r>
              <w:rPr>
                <w:rFonts w:hint="default" w:ascii="Times New Roman" w:hAnsi="Times New Roman" w:eastAsia="宋体" w:cs="Times New Roman"/>
                <w:color w:val="auto"/>
                <w:szCs w:val="21"/>
                <w:u w:val="none"/>
                <w:vertAlign w:val="superscript"/>
              </w:rPr>
              <w:t>2</w:t>
            </w:r>
            <w:r>
              <w:rPr>
                <w:rFonts w:hint="default" w:ascii="Times New Roman" w:hAnsi="Times New Roman" w:eastAsia="宋体" w:cs="Times New Roman"/>
                <w:color w:val="auto"/>
                <w:szCs w:val="21"/>
                <w:u w:val="none"/>
              </w:rPr>
              <w:t>）/长度（km）</w:t>
            </w:r>
          </w:p>
        </w:tc>
        <w:tc>
          <w:tcPr>
            <w:tcW w:w="2552" w:type="dxa"/>
            <w:gridSpan w:val="2"/>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eastAsia" w:cs="Times New Roman"/>
                <w:color w:val="auto"/>
                <w:szCs w:val="21"/>
                <w:u w:val="none"/>
                <w:lang w:val="en-US" w:eastAsia="zh-CN"/>
              </w:rPr>
              <w:t>238666</w:t>
            </w:r>
            <w:r>
              <w:rPr>
                <w:rFonts w:hint="default" w:ascii="Times New Roman" w:hAnsi="Times New Roman" w:eastAsia="宋体" w:cs="Times New Roman"/>
                <w:color w:val="auto"/>
                <w:szCs w:val="21"/>
                <w:u w:val="none"/>
              </w:rPr>
              <w:t>m</w:t>
            </w:r>
            <w:r>
              <w:rPr>
                <w:rFonts w:hint="default" w:ascii="Times New Roman" w:hAnsi="Times New Roman" w:eastAsia="宋体" w:cs="Times New Roman"/>
                <w:color w:val="auto"/>
                <w:szCs w:val="21"/>
                <w:u w:val="none"/>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建设性质</w:t>
            </w:r>
          </w:p>
        </w:tc>
        <w:tc>
          <w:tcPr>
            <w:tcW w:w="2043" w:type="dxa"/>
            <w:noWrap w:val="0"/>
            <w:vAlign w:val="center"/>
          </w:tcPr>
          <w:p>
            <w:pPr>
              <w:adjustRightInd w:val="0"/>
              <w:snapToGrid w:val="0"/>
              <w:jc w:val="left"/>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sym w:font="Wingdings 2" w:char="0052"/>
            </w:r>
            <w:r>
              <w:rPr>
                <w:rFonts w:hint="default" w:ascii="Times New Roman" w:hAnsi="Times New Roman" w:eastAsia="宋体" w:cs="Times New Roman"/>
                <w:color w:val="auto"/>
                <w:szCs w:val="21"/>
                <w:u w:val="none"/>
              </w:rPr>
              <w:t>新建（迁建）</w:t>
            </w:r>
          </w:p>
          <w:p>
            <w:pPr>
              <w:adjustRightInd w:val="0"/>
              <w:snapToGrid w:val="0"/>
              <w:jc w:val="left"/>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□改建</w:t>
            </w:r>
          </w:p>
          <w:p>
            <w:pPr>
              <w:adjustRightInd w:val="0"/>
              <w:snapToGrid w:val="0"/>
              <w:jc w:val="left"/>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□扩建</w:t>
            </w:r>
          </w:p>
          <w:p>
            <w:pPr>
              <w:adjustRightInd w:val="0"/>
              <w:snapToGrid w:val="0"/>
              <w:jc w:val="left"/>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□技术改造</w:t>
            </w:r>
          </w:p>
        </w:tc>
        <w:tc>
          <w:tcPr>
            <w:tcW w:w="2218" w:type="dxa"/>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建设项目</w:t>
            </w:r>
          </w:p>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申报情形</w:t>
            </w:r>
          </w:p>
        </w:tc>
        <w:tc>
          <w:tcPr>
            <w:tcW w:w="2552" w:type="dxa"/>
            <w:gridSpan w:val="2"/>
            <w:noWrap w:val="0"/>
            <w:vAlign w:val="center"/>
          </w:tcPr>
          <w:p>
            <w:pPr>
              <w:adjustRightInd w:val="0"/>
              <w:snapToGrid w:val="0"/>
              <w:jc w:val="left"/>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sym w:font="Wingdings 2" w:char="0052"/>
            </w:r>
            <w:r>
              <w:rPr>
                <w:rFonts w:hint="default" w:ascii="Times New Roman" w:hAnsi="Times New Roman" w:eastAsia="宋体" w:cs="Times New Roman"/>
                <w:color w:val="auto"/>
                <w:szCs w:val="21"/>
                <w:u w:val="none"/>
              </w:rPr>
              <w:t>首次申报项目</w:t>
            </w:r>
          </w:p>
          <w:p>
            <w:pPr>
              <w:adjustRightInd w:val="0"/>
              <w:snapToGrid w:val="0"/>
              <w:jc w:val="left"/>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sym w:font="Wingdings 2" w:char="00A3"/>
            </w:r>
            <w:r>
              <w:rPr>
                <w:rFonts w:hint="default" w:ascii="Times New Roman" w:hAnsi="Times New Roman" w:eastAsia="宋体" w:cs="Times New Roman"/>
                <w:color w:val="auto"/>
                <w:szCs w:val="21"/>
                <w:u w:val="none"/>
              </w:rPr>
              <w:t>不予批准后再次申报项目</w:t>
            </w:r>
          </w:p>
          <w:p>
            <w:pPr>
              <w:adjustRightInd w:val="0"/>
              <w:snapToGrid w:val="0"/>
              <w:jc w:val="left"/>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□超五年重新审核项目</w:t>
            </w:r>
          </w:p>
          <w:p>
            <w:pPr>
              <w:adjustRightInd w:val="0"/>
              <w:snapToGrid w:val="0"/>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项目审批（核准/</w:t>
            </w:r>
          </w:p>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备案）部门（选填）</w:t>
            </w:r>
          </w:p>
        </w:tc>
        <w:tc>
          <w:tcPr>
            <w:tcW w:w="2043" w:type="dxa"/>
            <w:noWrap w:val="0"/>
            <w:vAlign w:val="center"/>
          </w:tcPr>
          <w:p>
            <w:pPr>
              <w:adjustRightInd w:val="0"/>
              <w:snapToGrid w:val="0"/>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湘阴县</w:t>
            </w:r>
            <w:r>
              <w:rPr>
                <w:rFonts w:hint="default" w:ascii="Times New Roman" w:hAnsi="Times New Roman" w:eastAsia="宋体" w:cs="Times New Roman"/>
                <w:color w:val="auto"/>
                <w:szCs w:val="21"/>
                <w:u w:val="none"/>
                <w:lang w:val="en-US" w:eastAsia="zh-CN"/>
              </w:rPr>
              <w:t>发展和改革局</w:t>
            </w:r>
          </w:p>
        </w:tc>
        <w:tc>
          <w:tcPr>
            <w:tcW w:w="2218" w:type="dxa"/>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项目审批（核准/</w:t>
            </w:r>
          </w:p>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备案）文号（选填）</w:t>
            </w:r>
          </w:p>
        </w:tc>
        <w:tc>
          <w:tcPr>
            <w:tcW w:w="2552" w:type="dxa"/>
            <w:gridSpan w:val="2"/>
            <w:noWrap w:val="0"/>
            <w:vAlign w:val="center"/>
          </w:tcPr>
          <w:p>
            <w:pPr>
              <w:adjustRightInd w:val="0"/>
              <w:snapToGrid w:val="0"/>
              <w:jc w:val="center"/>
              <w:rPr>
                <w:rFonts w:hint="default" w:ascii="Times New Roman" w:hAnsi="Times New Roman" w:eastAsia="宋体" w:cs="Times New Roman"/>
                <w:color w:val="auto"/>
                <w:szCs w:val="21"/>
                <w:u w:val="none"/>
                <w:lang w:val="en-US"/>
              </w:rPr>
            </w:pPr>
            <w:r>
              <w:rPr>
                <w:rFonts w:hint="eastAsia" w:cs="Times New Roman"/>
                <w:color w:val="auto"/>
                <w:szCs w:val="21"/>
                <w:u w:val="none"/>
                <w:lang w:val="en-US" w:eastAsia="zh-CN"/>
              </w:rPr>
              <w:t>湘阴</w:t>
            </w:r>
            <w:r>
              <w:rPr>
                <w:rFonts w:hint="default" w:ascii="Times New Roman" w:hAnsi="Times New Roman" w:eastAsia="宋体" w:cs="Times New Roman"/>
                <w:color w:val="auto"/>
                <w:szCs w:val="21"/>
                <w:u w:val="none"/>
                <w:lang w:val="en-US" w:eastAsia="zh-CN"/>
              </w:rPr>
              <w:t>发改审[202</w:t>
            </w:r>
            <w:r>
              <w:rPr>
                <w:rFonts w:hint="eastAsia" w:cs="Times New Roman"/>
                <w:color w:val="auto"/>
                <w:szCs w:val="21"/>
                <w:u w:val="none"/>
                <w:lang w:val="en-US" w:eastAsia="zh-CN"/>
              </w:rPr>
              <w:t>3</w:t>
            </w:r>
            <w:r>
              <w:rPr>
                <w:rFonts w:hint="default" w:ascii="Times New Roman" w:hAnsi="Times New Roman" w:eastAsia="宋体" w:cs="Times New Roman"/>
                <w:color w:val="auto"/>
                <w:szCs w:val="21"/>
                <w:u w:val="none"/>
                <w:lang w:val="en-US" w:eastAsia="zh-CN"/>
              </w:rPr>
              <w:t>]</w:t>
            </w:r>
            <w:r>
              <w:rPr>
                <w:rFonts w:hint="eastAsia" w:cs="Times New Roman"/>
                <w:color w:val="auto"/>
                <w:szCs w:val="21"/>
                <w:u w:val="none"/>
                <w:lang w:val="en-US" w:eastAsia="zh-CN"/>
              </w:rPr>
              <w:t>73</w:t>
            </w:r>
            <w:r>
              <w:rPr>
                <w:rFonts w:hint="default" w:ascii="Times New Roman" w:hAnsi="Times New Roman" w:eastAsia="宋体" w:cs="Times New Roman"/>
                <w:color w:val="auto"/>
                <w:szCs w:val="21"/>
                <w:u w:val="none"/>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总投资（万元）</w:t>
            </w:r>
          </w:p>
        </w:tc>
        <w:tc>
          <w:tcPr>
            <w:tcW w:w="2043" w:type="dxa"/>
            <w:noWrap w:val="0"/>
            <w:vAlign w:val="center"/>
          </w:tcPr>
          <w:p>
            <w:pPr>
              <w:adjustRightInd w:val="0"/>
              <w:snapToGrid w:val="0"/>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2248.23</w:t>
            </w:r>
          </w:p>
        </w:tc>
        <w:tc>
          <w:tcPr>
            <w:tcW w:w="221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环保投资（万元）</w:t>
            </w:r>
          </w:p>
        </w:tc>
        <w:tc>
          <w:tcPr>
            <w:tcW w:w="2552" w:type="dxa"/>
            <w:gridSpan w:val="2"/>
            <w:noWrap w:val="0"/>
            <w:vAlign w:val="center"/>
          </w:tcPr>
          <w:p>
            <w:pPr>
              <w:adjustRightInd w:val="0"/>
              <w:snapToGrid w:val="0"/>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105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环保投资占比（%）</w:t>
            </w:r>
          </w:p>
        </w:tc>
        <w:tc>
          <w:tcPr>
            <w:tcW w:w="2043" w:type="dxa"/>
            <w:noWrap w:val="0"/>
            <w:vAlign w:val="center"/>
          </w:tcPr>
          <w:p>
            <w:pPr>
              <w:adjustRightInd w:val="0"/>
              <w:snapToGrid w:val="0"/>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4.67</w:t>
            </w:r>
          </w:p>
        </w:tc>
        <w:tc>
          <w:tcPr>
            <w:tcW w:w="2218"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施工工期</w:t>
            </w:r>
          </w:p>
        </w:tc>
        <w:tc>
          <w:tcPr>
            <w:tcW w:w="2552" w:type="dxa"/>
            <w:gridSpan w:val="2"/>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eastAsia" w:cs="Times New Roman"/>
                <w:color w:val="auto"/>
                <w:szCs w:val="21"/>
                <w:u w:val="none"/>
                <w:lang w:val="en-US" w:eastAsia="zh-CN"/>
              </w:rPr>
              <w:t>23</w:t>
            </w:r>
            <w:r>
              <w:rPr>
                <w:rFonts w:hint="default" w:ascii="Times New Roman" w:hAnsi="Times New Roman" w:eastAsia="宋体" w:cs="Times New Roman"/>
                <w:color w:val="auto"/>
                <w:szCs w:val="21"/>
                <w:u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9"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是否开工建设</w:t>
            </w:r>
          </w:p>
        </w:tc>
        <w:tc>
          <w:tcPr>
            <w:tcW w:w="6813" w:type="dxa"/>
            <w:gridSpan w:val="4"/>
            <w:noWrap w:val="0"/>
            <w:vAlign w:val="center"/>
          </w:tcPr>
          <w:p>
            <w:pPr>
              <w:adjustRightInd w:val="0"/>
              <w:snapToGrid w:val="0"/>
              <w:ind w:firstLine="105"/>
              <w:jc w:val="left"/>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sym w:font="Wingdings 2" w:char="0052"/>
            </w:r>
            <w:r>
              <w:rPr>
                <w:rFonts w:hint="default" w:ascii="Times New Roman" w:hAnsi="Times New Roman" w:eastAsia="宋体" w:cs="Times New Roman"/>
                <w:color w:val="auto"/>
                <w:szCs w:val="21"/>
                <w:u w:val="none"/>
              </w:rPr>
              <w:t>否</w:t>
            </w:r>
          </w:p>
          <w:p>
            <w:pPr>
              <w:adjustRightInd w:val="0"/>
              <w:snapToGrid w:val="0"/>
              <w:ind w:firstLine="92"/>
              <w:jc w:val="left"/>
              <w:rPr>
                <w:rFonts w:hint="default" w:ascii="Times New Roman" w:hAnsi="Times New Roman" w:eastAsia="宋体" w:cs="Times New Roman"/>
                <w:color w:val="auto"/>
                <w:szCs w:val="21"/>
                <w:u w:val="none"/>
                <w:lang w:eastAsia="zh-CN"/>
              </w:rPr>
            </w:pPr>
            <w:r>
              <w:rPr>
                <w:rFonts w:hint="default" w:ascii="Times New Roman" w:hAnsi="Times New Roman" w:eastAsia="宋体" w:cs="Times New Roman"/>
                <w:color w:val="auto"/>
                <w:szCs w:val="21"/>
                <w:u w:val="none"/>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226" w:type="dxa"/>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kern w:val="0"/>
                <w:szCs w:val="21"/>
                <w:u w:val="none"/>
              </w:rPr>
              <w:t>专项评价设置情况</w:t>
            </w:r>
          </w:p>
        </w:tc>
        <w:tc>
          <w:tcPr>
            <w:tcW w:w="6813" w:type="dxa"/>
            <w:gridSpan w:val="4"/>
            <w:noWrap w:val="0"/>
            <w:tcMar>
              <w:top w:w="16" w:type="dxa"/>
              <w:left w:w="16" w:type="dxa"/>
              <w:right w:w="16" w:type="dxa"/>
            </w:tcMar>
            <w:vAlign w:val="center"/>
          </w:tcPr>
          <w:p>
            <w:pPr>
              <w:spacing w:line="320" w:lineRule="exact"/>
              <w:ind w:firstLine="420" w:firstLineChars="200"/>
              <w:jc w:val="left"/>
              <w:rPr>
                <w:rFonts w:hint="default" w:ascii="Times New Roman" w:hAnsi="Times New Roman" w:eastAsia="宋体" w:cs="Times New Roman"/>
                <w:color w:val="auto"/>
                <w:szCs w:val="18"/>
                <w:u w:val="none"/>
              </w:rPr>
            </w:pPr>
            <w:r>
              <w:rPr>
                <w:rFonts w:hint="default" w:ascii="Times New Roman" w:hAnsi="Times New Roman" w:eastAsia="宋体" w:cs="Times New Roman"/>
                <w:color w:val="auto"/>
                <w:szCs w:val="18"/>
                <w:u w:val="none"/>
              </w:rPr>
              <w:t>地表水环境专项评价，根据《建设项目环境影响报告表编制技术指南（生态影响类）（试行）：人工湖、人工湿地项目需开展地表水环境专项评价。</w:t>
            </w:r>
          </w:p>
          <w:p>
            <w:pPr>
              <w:spacing w:line="320" w:lineRule="exact"/>
              <w:ind w:firstLine="420" w:firstLineChars="200"/>
              <w:jc w:val="left"/>
              <w:rPr>
                <w:rFonts w:hint="default" w:ascii="Times New Roman" w:hAnsi="Times New Roman" w:eastAsia="宋体" w:cs="Times New Roman"/>
                <w:color w:val="auto"/>
                <w:szCs w:val="18"/>
                <w:u w:val="none"/>
                <w:lang w:val="en-US" w:eastAsia="zh-CN"/>
              </w:rPr>
            </w:pPr>
            <w:r>
              <w:rPr>
                <w:rFonts w:hint="eastAsia" w:cs="Times New Roman"/>
                <w:color w:val="auto"/>
                <w:szCs w:val="18"/>
                <w:u w:val="none"/>
                <w:lang w:val="en-US" w:eastAsia="zh-CN"/>
              </w:rPr>
              <w:t>根据湘阴县自然资源局出具的用地说明以及与湖南湘阴横岭湖省级自然保护区规划图的叠图分析，本项目不占用生态红线及湖南湘阴横岭湖省级自然保护区，故无需开展生态环境专项评价。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7" w:hRule="atLeast"/>
        </w:trPr>
        <w:tc>
          <w:tcPr>
            <w:tcW w:w="2226" w:type="dxa"/>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szCs w:val="21"/>
                <w:u w:val="none"/>
              </w:rPr>
              <w:t>规划情况</w:t>
            </w:r>
          </w:p>
        </w:tc>
        <w:tc>
          <w:tcPr>
            <w:tcW w:w="6813" w:type="dxa"/>
            <w:gridSpan w:val="4"/>
            <w:noWrap w:val="0"/>
            <w:tcMar>
              <w:top w:w="16" w:type="dxa"/>
              <w:left w:w="16" w:type="dxa"/>
              <w:right w:w="16" w:type="dxa"/>
            </w:tcMar>
            <w:vAlign w:val="center"/>
          </w:tcPr>
          <w:p>
            <w:pPr>
              <w:autoSpaceDE w:val="0"/>
              <w:autoSpaceDN w:val="0"/>
              <w:adjustRightInd w:val="0"/>
              <w:snapToGrid w:val="0"/>
              <w:jc w:val="center"/>
              <w:rPr>
                <w:rFonts w:hint="default" w:cs="Times New Roman"/>
                <w:color w:val="FF0000"/>
                <w:kern w:val="0"/>
                <w:szCs w:val="21"/>
                <w:u w:val="single"/>
                <w:lang w:val="en-US" w:eastAsia="zh-CN"/>
              </w:rPr>
            </w:pPr>
            <w:r>
              <w:rPr>
                <w:rFonts w:hint="eastAsia" w:cs="Times New Roman"/>
                <w:color w:val="FF0000"/>
                <w:kern w:val="0"/>
                <w:szCs w:val="21"/>
                <w:u w:val="single"/>
                <w:lang w:val="en-US" w:eastAsia="zh-CN"/>
              </w:rPr>
              <w:t>本项目属于《三塘镇土地利用总体规划》中渔场用地，本项目属于渔场配套处理设施，主要功能为处理渔场养殖尾水。故符合其相关要求。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2226" w:type="dxa"/>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规划环境影响</w:t>
            </w:r>
          </w:p>
          <w:p>
            <w:pPr>
              <w:autoSpaceDE w:val="0"/>
              <w:autoSpaceDN w:val="0"/>
              <w:adjustRightInd w:val="0"/>
              <w:snapToGrid w:val="0"/>
              <w:jc w:val="center"/>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szCs w:val="21"/>
                <w:u w:val="none"/>
              </w:rPr>
              <w:t>评价情况</w:t>
            </w:r>
          </w:p>
        </w:tc>
        <w:tc>
          <w:tcPr>
            <w:tcW w:w="6813" w:type="dxa"/>
            <w:gridSpan w:val="4"/>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kern w:val="0"/>
                <w:szCs w:val="21"/>
                <w:u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7" w:hRule="atLeast"/>
        </w:trPr>
        <w:tc>
          <w:tcPr>
            <w:tcW w:w="2226" w:type="dxa"/>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kern w:val="0"/>
                <w:szCs w:val="21"/>
                <w:u w:val="none"/>
              </w:rPr>
              <w:t>规划及</w:t>
            </w:r>
            <w:r>
              <w:rPr>
                <w:rFonts w:hint="default" w:ascii="Times New Roman" w:hAnsi="Times New Roman" w:eastAsia="宋体" w:cs="Times New Roman"/>
                <w:color w:val="auto"/>
                <w:szCs w:val="21"/>
                <w:u w:val="none"/>
              </w:rPr>
              <w:t>规划环境影响评价</w:t>
            </w:r>
            <w:r>
              <w:rPr>
                <w:rFonts w:hint="default" w:ascii="Times New Roman" w:hAnsi="Times New Roman" w:eastAsia="宋体" w:cs="Times New Roman"/>
                <w:color w:val="auto"/>
                <w:kern w:val="0"/>
                <w:szCs w:val="21"/>
                <w:u w:val="none"/>
              </w:rPr>
              <w:t>符合性分析</w:t>
            </w:r>
          </w:p>
        </w:tc>
        <w:tc>
          <w:tcPr>
            <w:tcW w:w="6813" w:type="dxa"/>
            <w:gridSpan w:val="4"/>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kern w:val="0"/>
                <w:szCs w:val="21"/>
                <w:u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2226" w:type="dxa"/>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eastAsia="宋体" w:cs="Times New Roman"/>
                <w:color w:val="auto"/>
                <w:kern w:val="0"/>
                <w:szCs w:val="21"/>
                <w:u w:val="none"/>
              </w:rPr>
            </w:pPr>
            <w:bookmarkStart w:id="14" w:name="_Hlk56690880"/>
            <w:r>
              <w:rPr>
                <w:rFonts w:hint="default" w:ascii="Times New Roman" w:hAnsi="Times New Roman" w:eastAsia="宋体" w:cs="Times New Roman"/>
                <w:color w:val="auto"/>
                <w:kern w:val="0"/>
                <w:szCs w:val="21"/>
                <w:u w:val="none"/>
              </w:rPr>
              <w:t>其他符合性分析</w:t>
            </w:r>
            <w:bookmarkEnd w:id="14"/>
          </w:p>
        </w:tc>
        <w:tc>
          <w:tcPr>
            <w:tcW w:w="6813" w:type="dxa"/>
            <w:gridSpan w:val="4"/>
            <w:noWrap w:val="0"/>
            <w:tcMar>
              <w:top w:w="16" w:type="dxa"/>
              <w:left w:w="16" w:type="dxa"/>
              <w:right w:w="16" w:type="dxa"/>
            </w:tcMar>
            <w:vAlign w:val="center"/>
          </w:tcPr>
          <w:p>
            <w:pPr>
              <w:adjustRightInd w:val="0"/>
              <w:snapToGrid w:val="0"/>
              <w:spacing w:line="360" w:lineRule="auto"/>
              <w:ind w:firstLine="482" w:firstLineChars="200"/>
              <w:jc w:val="left"/>
              <w:rPr>
                <w:rFonts w:hint="default" w:ascii="Times New Roman" w:hAnsi="Times New Roman" w:eastAsia="宋体" w:cs="Times New Roman"/>
                <w:b/>
                <w:color w:val="auto"/>
                <w:kern w:val="0"/>
                <w:sz w:val="24"/>
                <w:u w:val="none"/>
              </w:rPr>
            </w:pPr>
            <w:r>
              <w:rPr>
                <w:rFonts w:hint="default" w:ascii="Times New Roman" w:hAnsi="Times New Roman" w:eastAsia="宋体" w:cs="Times New Roman"/>
                <w:b/>
                <w:color w:val="auto"/>
                <w:kern w:val="0"/>
                <w:sz w:val="24"/>
                <w:u w:val="none"/>
              </w:rPr>
              <w:t>1、产业政策符合性</w:t>
            </w:r>
          </w:p>
          <w:p>
            <w:pPr>
              <w:adjustRightInd w:val="0"/>
              <w:snapToGrid w:val="0"/>
              <w:spacing w:line="360" w:lineRule="auto"/>
              <w:ind w:firstLine="480" w:firstLineChars="200"/>
              <w:jc w:val="left"/>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经查阅《产业结构调整指导目录（2019年本）》</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lang w:val="en-US" w:eastAsia="zh-CN"/>
              </w:rPr>
              <w:t>2021年修订</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，本项目不属于鼓励类、限制类、淘汰类，为允许类，符合国家产业政策。</w:t>
            </w:r>
          </w:p>
          <w:p>
            <w:pPr>
              <w:adjustRightInd w:val="0"/>
              <w:snapToGrid w:val="0"/>
              <w:spacing w:line="480" w:lineRule="exact"/>
              <w:ind w:firstLine="482" w:firstLineChars="200"/>
              <w:rPr>
                <w:rFonts w:hint="default" w:ascii="Times New Roman" w:hAnsi="Times New Roman" w:eastAsia="宋体" w:cs="Times New Roman"/>
                <w:b/>
                <w:color w:val="auto"/>
                <w:sz w:val="24"/>
                <w:u w:val="none"/>
              </w:rPr>
            </w:pPr>
            <w:r>
              <w:rPr>
                <w:rFonts w:hint="default" w:ascii="Times New Roman" w:hAnsi="Times New Roman" w:eastAsia="宋体" w:cs="Times New Roman"/>
                <w:b/>
                <w:color w:val="auto"/>
                <w:sz w:val="24"/>
                <w:u w:val="none"/>
              </w:rPr>
              <w:t>2</w:t>
            </w:r>
            <w:r>
              <w:rPr>
                <w:rFonts w:hint="default" w:ascii="Times New Roman" w:hAnsi="Times New Roman" w:eastAsia="宋体" w:cs="Times New Roman"/>
                <w:b/>
                <w:color w:val="auto"/>
                <w:sz w:val="24"/>
                <w:u w:val="none"/>
                <w:lang w:eastAsia="zh-CN"/>
              </w:rPr>
              <w:t>、</w:t>
            </w:r>
            <w:r>
              <w:rPr>
                <w:rFonts w:hint="default" w:ascii="Times New Roman" w:hAnsi="Times New Roman" w:eastAsia="宋体" w:cs="Times New Roman"/>
                <w:b/>
                <w:color w:val="auto"/>
                <w:sz w:val="24"/>
                <w:u w:val="none"/>
              </w:rPr>
              <w:t>项目选址合理性分析</w:t>
            </w:r>
          </w:p>
          <w:p>
            <w:pPr>
              <w:adjustRightInd w:val="0"/>
              <w:snapToGrid w:val="0"/>
              <w:spacing w:line="360" w:lineRule="auto"/>
              <w:ind w:firstLine="480" w:firstLineChars="200"/>
              <w:rPr>
                <w:rFonts w:hint="default" w:cs="Times New Roman"/>
                <w:color w:val="auto"/>
                <w:sz w:val="24"/>
                <w:u w:val="none"/>
                <w:lang w:val="en-US" w:eastAsia="zh-CN"/>
              </w:rPr>
            </w:pPr>
            <w:r>
              <w:rPr>
                <w:rFonts w:hint="default" w:ascii="Times New Roman" w:hAnsi="Times New Roman" w:eastAsia="宋体" w:cs="Times New Roman"/>
                <w:color w:val="auto"/>
                <w:sz w:val="24"/>
                <w:u w:val="none"/>
              </w:rPr>
              <w:t>本项目选址位于岳阳市湘阴县三塘镇青草湖村</w:t>
            </w:r>
            <w:r>
              <w:rPr>
                <w:rFonts w:hint="default" w:ascii="Times New Roman" w:hAnsi="Times New Roman" w:eastAsia="宋体" w:cs="Times New Roman"/>
                <w:color w:val="auto"/>
                <w:sz w:val="24"/>
                <w:u w:val="none"/>
                <w:lang w:val="en-US" w:eastAsia="zh-CN"/>
              </w:rPr>
              <w:t>，</w:t>
            </w:r>
            <w:r>
              <w:rPr>
                <w:rFonts w:hint="eastAsia" w:cs="Times New Roman"/>
                <w:color w:val="auto"/>
                <w:sz w:val="24"/>
                <w:u w:val="none"/>
                <w:lang w:val="en-US" w:eastAsia="zh-CN"/>
              </w:rPr>
              <w:t>其中管网位于堤坝的东侧，堤坝的西侧为湖南湘阴横岭湖省级自然保护区规划图。根据湘阴县自然资源局出具的用地说明以及与湖南湘阴横岭湖省级自然保护区规划图的叠图分析，本项目不占用生态红线及湖南湘阴横岭湖省级自然保护区。本项目现场道路完善，无需设置施工道路和取弃土场。青草湖村有大量闲置居民房，可租赁居民房作为施工营地，不涉及生态红线及湖南湘阴横岭湖省级自然保护区。</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u w:val="none"/>
              </w:rPr>
            </w:pPr>
            <w:r>
              <w:rPr>
                <w:rFonts w:hint="eastAsia" w:cs="Times New Roman"/>
                <w:b/>
                <w:bCs/>
                <w:color w:val="auto"/>
                <w:sz w:val="24"/>
                <w:szCs w:val="24"/>
                <w:u w:val="none"/>
                <w:lang w:val="en-US" w:eastAsia="zh-CN"/>
              </w:rPr>
              <w:t>3</w:t>
            </w:r>
            <w:r>
              <w:rPr>
                <w:rFonts w:hint="default" w:ascii="Times New Roman" w:hAnsi="Times New Roman" w:eastAsia="宋体"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rPr>
              <w:t>与《长江</w:t>
            </w:r>
            <w:r>
              <w:rPr>
                <w:rFonts w:hint="default" w:ascii="Times New Roman" w:hAnsi="Times New Roman" w:eastAsia="宋体" w:cs="Times New Roman"/>
                <w:b/>
                <w:bCs/>
                <w:color w:val="auto"/>
                <w:sz w:val="24"/>
                <w:szCs w:val="24"/>
                <w:u w:val="none"/>
                <w:lang w:eastAsia="zh-CN"/>
              </w:rPr>
              <w:t>保护法</w:t>
            </w:r>
            <w:r>
              <w:rPr>
                <w:rFonts w:hint="default" w:ascii="Times New Roman" w:hAnsi="Times New Roman" w:eastAsia="宋体" w:cs="Times New Roman"/>
                <w:b/>
                <w:bCs/>
                <w:color w:val="auto"/>
                <w:sz w:val="24"/>
                <w:szCs w:val="24"/>
                <w:u w:val="none"/>
              </w:rPr>
              <w:t>》符合性分析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根据《长江保护法》，“</w:t>
            </w:r>
            <w:r>
              <w:rPr>
                <w:rFonts w:hint="default" w:ascii="Times New Roman" w:hAnsi="Times New Roman" w:eastAsia="宋体" w:cs="Times New Roman"/>
                <w:color w:val="auto"/>
                <w:sz w:val="24"/>
                <w:szCs w:val="24"/>
                <w:u w:val="none"/>
              </w:rPr>
              <w:t>长江流域地方各级人民政府应当落实本行政区域的生态环境保护和修复、促进资源合理高效利用、优化产业结构和布局、维护长江流域生态安全的责任。</w:t>
            </w:r>
            <w:r>
              <w:rPr>
                <w:rFonts w:hint="default" w:ascii="Times New Roman" w:hAnsi="Times New Roman" w:eastAsia="宋体" w:cs="Times New Roman"/>
                <w:color w:val="auto"/>
                <w:sz w:val="24"/>
                <w:szCs w:val="24"/>
                <w:u w:val="none"/>
                <w:lang w:eastAsia="zh-CN"/>
              </w:rPr>
              <w:t>”、“国家鼓励、支持单位和个人参与长江流域生态环境保护和修复、资源合理利用、促进绿色发展的活动。”、“国务院生态环境主管部门和长江流域地方各级人民政府应当采取有效措施，加大对长江流域的水污染防治、监管力度，预防、控制和减少水环境污染。”，</w:t>
            </w:r>
            <w:r>
              <w:rPr>
                <w:rFonts w:hint="default" w:ascii="Times New Roman" w:hAnsi="Times New Roman" w:eastAsia="宋体" w:cs="Times New Roman"/>
                <w:color w:val="auto"/>
                <w:sz w:val="24"/>
                <w:szCs w:val="24"/>
                <w:u w:val="none"/>
              </w:rPr>
              <w:t>本项目</w:t>
            </w:r>
            <w:r>
              <w:rPr>
                <w:rFonts w:hint="default" w:ascii="Times New Roman" w:hAnsi="Times New Roman" w:eastAsia="宋体" w:cs="Times New Roman"/>
                <w:color w:val="auto"/>
                <w:sz w:val="24"/>
                <w:szCs w:val="24"/>
                <w:u w:val="none"/>
                <w:lang w:eastAsia="zh-CN"/>
              </w:rPr>
              <w:t>所在地属于长江流域，主要建设内容</w:t>
            </w:r>
            <w:r>
              <w:rPr>
                <w:rFonts w:hint="default" w:ascii="Times New Roman" w:hAnsi="Times New Roman" w:eastAsia="宋体" w:cs="Times New Roman"/>
                <w:color w:val="auto"/>
                <w:sz w:val="24"/>
                <w:szCs w:val="24"/>
                <w:u w:val="none"/>
              </w:rPr>
              <w:t>为</w:t>
            </w:r>
            <w:r>
              <w:rPr>
                <w:rFonts w:hint="default" w:ascii="Times New Roman" w:hAnsi="Times New Roman" w:eastAsia="宋体" w:cs="Times New Roman"/>
                <w:color w:val="auto"/>
                <w:sz w:val="24"/>
                <w:szCs w:val="24"/>
                <w:u w:val="none"/>
                <w:lang w:val="en-US" w:eastAsia="zh-CN"/>
              </w:rPr>
              <w:t>青山岛横岭湖团山围闸口人工湿地</w:t>
            </w:r>
            <w:r>
              <w:rPr>
                <w:rFonts w:hint="default" w:ascii="Times New Roman" w:hAnsi="Times New Roman" w:eastAsia="宋体" w:cs="Times New Roman"/>
                <w:color w:val="auto"/>
                <w:sz w:val="24"/>
                <w:szCs w:val="24"/>
                <w:u w:val="none"/>
              </w:rPr>
              <w:t>，有利于促进</w:t>
            </w:r>
            <w:r>
              <w:rPr>
                <w:rFonts w:hint="eastAsia" w:cs="Times New Roman"/>
                <w:color w:val="auto"/>
                <w:sz w:val="24"/>
                <w:szCs w:val="24"/>
                <w:u w:val="none"/>
                <w:lang w:val="en-US" w:eastAsia="zh-CN"/>
              </w:rPr>
              <w:t>横岭湖</w:t>
            </w:r>
            <w:r>
              <w:rPr>
                <w:rFonts w:hint="default" w:ascii="Times New Roman" w:hAnsi="Times New Roman" w:eastAsia="宋体" w:cs="Times New Roman"/>
                <w:color w:val="auto"/>
                <w:sz w:val="24"/>
                <w:szCs w:val="24"/>
                <w:u w:val="none"/>
              </w:rPr>
              <w:t>的生态功能修复，因此本项目与《</w:t>
            </w:r>
            <w:r>
              <w:rPr>
                <w:rFonts w:hint="default" w:ascii="Times New Roman" w:hAnsi="Times New Roman" w:eastAsia="宋体" w:cs="Times New Roman"/>
                <w:color w:val="auto"/>
                <w:sz w:val="24"/>
                <w:szCs w:val="24"/>
                <w:u w:val="none"/>
                <w:lang w:eastAsia="zh-CN"/>
              </w:rPr>
              <w:t>长江保护法</w:t>
            </w:r>
            <w:r>
              <w:rPr>
                <w:rFonts w:hint="default" w:ascii="Times New Roman" w:hAnsi="Times New Roman" w:eastAsia="宋体" w:cs="Times New Roman"/>
                <w:color w:val="auto"/>
                <w:sz w:val="24"/>
                <w:szCs w:val="24"/>
                <w:u w:val="none"/>
              </w:rPr>
              <w:t>》相符。</w:t>
            </w:r>
          </w:p>
          <w:p>
            <w:pPr>
              <w:pStyle w:val="73"/>
              <w:keepNext w:val="0"/>
              <w:keepLines w:val="0"/>
              <w:pageBreakBefore w:val="0"/>
              <w:widowControl w:val="0"/>
              <w:kinsoku/>
              <w:wordWrap/>
              <w:overflowPunct/>
              <w:topLinePunct w:val="0"/>
              <w:bidi w:val="0"/>
              <w:adjustRightInd w:val="0"/>
              <w:snapToGrid w:val="0"/>
              <w:spacing w:line="360" w:lineRule="auto"/>
              <w:ind w:firstLine="482" w:firstLineChars="200"/>
              <w:textAlignment w:val="auto"/>
              <w:outlineLvl w:val="3"/>
              <w:rPr>
                <w:rFonts w:hint="default" w:ascii="Times New Roman" w:hAnsi="Times New Roman" w:eastAsia="宋体" w:cs="Times New Roman"/>
                <w:b/>
                <w:bCs/>
                <w:color w:val="auto"/>
                <w:kern w:val="21"/>
                <w:sz w:val="24"/>
                <w:szCs w:val="24"/>
                <w:u w:val="none"/>
                <w:lang w:val="en-US" w:eastAsia="zh-CN" w:bidi="en-US"/>
              </w:rPr>
            </w:pPr>
            <w:r>
              <w:rPr>
                <w:rFonts w:hint="eastAsia" w:cs="Times New Roman"/>
                <w:b/>
                <w:bCs/>
                <w:color w:val="auto"/>
                <w:kern w:val="21"/>
                <w:sz w:val="24"/>
                <w:szCs w:val="24"/>
                <w:u w:val="none"/>
                <w:lang w:val="en-US" w:eastAsia="zh-CN" w:bidi="en-US"/>
              </w:rPr>
              <w:t>4</w:t>
            </w:r>
            <w:r>
              <w:rPr>
                <w:rFonts w:hint="default" w:ascii="Times New Roman" w:hAnsi="Times New Roman" w:eastAsia="宋体" w:cs="Times New Roman"/>
                <w:b/>
                <w:bCs/>
                <w:color w:val="auto"/>
                <w:kern w:val="21"/>
                <w:sz w:val="24"/>
                <w:szCs w:val="24"/>
                <w:u w:val="none"/>
                <w:lang w:val="en-US" w:eastAsia="zh-CN" w:bidi="en-US"/>
              </w:rPr>
              <w:t>、“三线一单”符合性</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（1）生态保护红线</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“生态保护红线”是生态空间范围内具有特殊重要生态功能必须实行强制性严格保护的区域。</w:t>
            </w:r>
            <w:r>
              <w:rPr>
                <w:rFonts w:hint="default" w:ascii="Times New Roman" w:hAnsi="Times New Roman" w:eastAsia="宋体" w:cs="Times New Roman"/>
                <w:color w:val="FF0000"/>
                <w:sz w:val="24"/>
                <w:szCs w:val="24"/>
                <w:u w:val="single"/>
              </w:rPr>
              <w:t>本项目属于《三塘镇土地利用总体规划》中渔场用地，本项目属于渔场配套处理设施，主要功能为处理渔场养殖尾水。故符合其相关要求。</w:t>
            </w:r>
            <w:r>
              <w:rPr>
                <w:rFonts w:hint="default" w:ascii="Times New Roman" w:hAnsi="Times New Roman" w:eastAsia="宋体" w:cs="Times New Roman"/>
                <w:color w:val="auto"/>
                <w:sz w:val="24"/>
                <w:szCs w:val="24"/>
                <w:u w:val="none"/>
              </w:rPr>
              <w:t>根据湘阴县自然资源局出具的用地说明，本项目不占用生态红线。</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（2）环境质量底线</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本项目</w:t>
            </w:r>
            <w:r>
              <w:rPr>
                <w:rFonts w:hint="default" w:ascii="Times New Roman" w:hAnsi="Times New Roman" w:eastAsia="宋体" w:cs="Times New Roman"/>
                <w:color w:val="auto"/>
                <w:sz w:val="24"/>
                <w:szCs w:val="24"/>
                <w:u w:val="none"/>
                <w:lang w:val="en-US" w:eastAsia="zh-CN"/>
              </w:rPr>
              <w:t>属于人工湿地项目，不属于工业生产项目</w:t>
            </w:r>
            <w:r>
              <w:rPr>
                <w:rFonts w:hint="default" w:ascii="Times New Roman" w:hAnsi="Times New Roman" w:eastAsia="宋体" w:cs="Times New Roman"/>
                <w:color w:val="auto"/>
                <w:sz w:val="24"/>
                <w:szCs w:val="24"/>
                <w:u w:val="none"/>
              </w:rPr>
              <w:t>，项目所在地大气环境</w:t>
            </w:r>
            <w:r>
              <w:rPr>
                <w:rFonts w:hint="default" w:ascii="Times New Roman" w:hAnsi="Times New Roman" w:eastAsia="宋体" w:cs="Times New Roman"/>
                <w:color w:val="auto"/>
                <w:sz w:val="24"/>
                <w:szCs w:val="24"/>
                <w:u w:val="none"/>
                <w:lang w:eastAsia="zh-CN"/>
              </w:rPr>
              <w:t>质量</w:t>
            </w:r>
            <w:r>
              <w:rPr>
                <w:rFonts w:hint="default" w:ascii="Times New Roman" w:hAnsi="Times New Roman" w:eastAsia="宋体" w:cs="Times New Roman"/>
                <w:color w:val="auto"/>
                <w:sz w:val="24"/>
                <w:szCs w:val="24"/>
                <w:u w:val="none"/>
              </w:rPr>
              <w:t>满足《环境空气质量标准》</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GB3095-2012</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中二级标准</w:t>
            </w:r>
            <w:r>
              <w:rPr>
                <w:rFonts w:hint="default" w:ascii="Times New Roman" w:hAnsi="Times New Roman" w:eastAsia="宋体" w:cs="Times New Roman"/>
                <w:color w:val="auto"/>
                <w:sz w:val="24"/>
                <w:szCs w:val="24"/>
                <w:u w:val="none"/>
                <w:lang w:eastAsia="zh-CN"/>
              </w:rPr>
              <w:t>要求</w:t>
            </w:r>
            <w:r>
              <w:rPr>
                <w:rFonts w:hint="default" w:ascii="Times New Roman" w:hAnsi="Times New Roman" w:eastAsia="宋体" w:cs="Times New Roman"/>
                <w:color w:val="auto"/>
                <w:sz w:val="24"/>
                <w:szCs w:val="24"/>
                <w:u w:val="none"/>
              </w:rPr>
              <w:t>；各噪声监测点噪声均</w:t>
            </w:r>
            <w:r>
              <w:rPr>
                <w:rFonts w:hint="default" w:ascii="Times New Roman" w:hAnsi="Times New Roman" w:eastAsia="宋体" w:cs="Times New Roman"/>
                <w:color w:val="auto"/>
                <w:sz w:val="24"/>
                <w:szCs w:val="24"/>
                <w:u w:val="none"/>
                <w:lang w:eastAsia="zh-CN"/>
              </w:rPr>
              <w:t>满足</w:t>
            </w:r>
            <w:r>
              <w:rPr>
                <w:rFonts w:hint="default" w:ascii="Times New Roman" w:hAnsi="Times New Roman" w:eastAsia="宋体" w:cs="Times New Roman"/>
                <w:color w:val="auto"/>
                <w:sz w:val="24"/>
                <w:szCs w:val="24"/>
                <w:u w:val="none"/>
              </w:rPr>
              <w:t>《声环境质量标准》（GB3096-2008）2类标准要求</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经采取相应的防治措施处理后，各</w:t>
            </w:r>
            <w:r>
              <w:rPr>
                <w:rFonts w:hint="default" w:ascii="Times New Roman" w:hAnsi="Times New Roman" w:eastAsia="宋体" w:cs="Times New Roman"/>
                <w:color w:val="auto"/>
                <w:sz w:val="24"/>
                <w:szCs w:val="24"/>
                <w:u w:val="none"/>
                <w:lang w:eastAsia="zh-CN"/>
              </w:rPr>
              <w:t>污染物</w:t>
            </w:r>
            <w:r>
              <w:rPr>
                <w:rFonts w:hint="default" w:ascii="Times New Roman" w:hAnsi="Times New Roman" w:eastAsia="宋体" w:cs="Times New Roman"/>
                <w:color w:val="auto"/>
                <w:sz w:val="24"/>
                <w:szCs w:val="24"/>
                <w:u w:val="none"/>
              </w:rPr>
              <w:t>的排放对周边环境影响较小。</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本项目对改善</w:t>
            </w:r>
            <w:r>
              <w:rPr>
                <w:rFonts w:hint="eastAsia" w:cs="Times New Roman"/>
                <w:color w:val="auto"/>
                <w:sz w:val="24"/>
                <w:szCs w:val="24"/>
                <w:u w:val="none"/>
                <w:lang w:val="en-US" w:eastAsia="zh-CN"/>
              </w:rPr>
              <w:t>横岭湖</w:t>
            </w:r>
            <w:r>
              <w:rPr>
                <w:rFonts w:hint="default" w:ascii="Times New Roman" w:hAnsi="Times New Roman" w:eastAsia="宋体" w:cs="Times New Roman"/>
                <w:color w:val="auto"/>
                <w:sz w:val="24"/>
                <w:szCs w:val="24"/>
                <w:u w:val="none"/>
                <w:lang w:val="en-US" w:eastAsia="zh-CN"/>
              </w:rPr>
              <w:t>的水环境有积极作用</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lang w:val="en-US" w:eastAsia="zh-CN"/>
              </w:rPr>
              <w:t>施工</w:t>
            </w:r>
            <w:r>
              <w:rPr>
                <w:rFonts w:hint="default" w:ascii="Times New Roman" w:hAnsi="Times New Roman" w:eastAsia="宋体" w:cs="Times New Roman"/>
                <w:color w:val="auto"/>
                <w:sz w:val="24"/>
                <w:szCs w:val="24"/>
                <w:u w:val="none"/>
                <w:lang w:eastAsia="zh-CN"/>
              </w:rPr>
              <w:t>过程会对</w:t>
            </w:r>
            <w:r>
              <w:rPr>
                <w:rFonts w:hint="eastAsia" w:cs="Times New Roman"/>
                <w:color w:val="auto"/>
                <w:sz w:val="24"/>
                <w:szCs w:val="24"/>
                <w:u w:val="none"/>
                <w:lang w:val="en-US" w:eastAsia="zh-CN"/>
              </w:rPr>
              <w:t>青山岛鱼塘</w:t>
            </w:r>
            <w:r>
              <w:rPr>
                <w:rFonts w:hint="default" w:ascii="Times New Roman" w:hAnsi="Times New Roman" w:eastAsia="宋体" w:cs="Times New Roman"/>
                <w:color w:val="auto"/>
                <w:sz w:val="24"/>
                <w:szCs w:val="24"/>
                <w:u w:val="none"/>
                <w:lang w:eastAsia="zh-CN"/>
              </w:rPr>
              <w:t>的水环境、生态环境及附近居民点产生一定程度的不利影响，但这些不利影响是暂时的，可通过控制污染排放、实施生态修复等措施予以减免和消除，</w:t>
            </w:r>
            <w:r>
              <w:rPr>
                <w:rFonts w:hint="default" w:ascii="Times New Roman" w:hAnsi="Times New Roman" w:eastAsia="宋体" w:cs="Times New Roman"/>
                <w:color w:val="auto"/>
                <w:sz w:val="24"/>
                <w:szCs w:val="24"/>
                <w:u w:val="none"/>
                <w:lang w:val="en-US" w:eastAsia="zh-CN"/>
              </w:rPr>
              <w:t>并随着施工的结束和逐步恢复</w:t>
            </w:r>
            <w:r>
              <w:rPr>
                <w:rFonts w:hint="default" w:ascii="Times New Roman" w:hAnsi="Times New Roman" w:eastAsia="宋体" w:cs="Times New Roman"/>
                <w:color w:val="auto"/>
                <w:sz w:val="24"/>
                <w:szCs w:val="24"/>
                <w:u w:val="none"/>
                <w:lang w:eastAsia="zh-CN"/>
              </w:rPr>
              <w:t>。因此本项目符合环境质量底线的要求</w:t>
            </w:r>
            <w:r>
              <w:rPr>
                <w:rFonts w:hint="default" w:ascii="Times New Roman" w:hAnsi="Times New Roman" w:eastAsia="宋体" w:cs="Times New Roman"/>
                <w:color w:val="auto"/>
                <w:sz w:val="24"/>
                <w:szCs w:val="24"/>
                <w:u w:val="none"/>
              </w:rPr>
              <w:t>。</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u w:val="none"/>
              </w:rPr>
            </w:pPr>
            <w:r>
              <w:rPr>
                <w:rFonts w:hint="default" w:ascii="Times New Roman" w:hAnsi="Times New Roman" w:eastAsia="宋体" w:cs="Times New Roman"/>
                <w:b/>
                <w:bCs/>
                <w:color w:val="auto"/>
                <w:sz w:val="24"/>
                <w:szCs w:val="24"/>
                <w:u w:val="none"/>
                <w:lang w:eastAsia="zh-CN"/>
              </w:rPr>
              <w:t>③</w:t>
            </w:r>
            <w:r>
              <w:rPr>
                <w:rFonts w:hint="default" w:ascii="Times New Roman" w:hAnsi="Times New Roman" w:eastAsia="宋体" w:cs="Times New Roman"/>
                <w:b/>
                <w:bCs/>
                <w:color w:val="auto"/>
                <w:sz w:val="24"/>
                <w:szCs w:val="24"/>
                <w:u w:val="none"/>
              </w:rPr>
              <w:t>资源利用上线符合性分析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本项目</w:t>
            </w:r>
            <w:r>
              <w:rPr>
                <w:rFonts w:hint="default" w:ascii="Times New Roman" w:hAnsi="Times New Roman" w:eastAsia="宋体" w:cs="Times New Roman"/>
                <w:color w:val="auto"/>
                <w:sz w:val="24"/>
                <w:szCs w:val="24"/>
                <w:u w:val="none"/>
                <w:lang w:val="en-US" w:eastAsia="zh-CN"/>
              </w:rPr>
              <w:t>属于人工湿地项目，不属于工业生产项目，</w:t>
            </w:r>
            <w:r>
              <w:rPr>
                <w:rFonts w:hint="default" w:ascii="Times New Roman" w:hAnsi="Times New Roman" w:eastAsia="宋体" w:cs="Times New Roman"/>
                <w:color w:val="auto"/>
                <w:sz w:val="24"/>
                <w:szCs w:val="24"/>
                <w:u w:val="none"/>
              </w:rPr>
              <w:t>本项目</w:t>
            </w:r>
            <w:r>
              <w:rPr>
                <w:rFonts w:hint="default" w:ascii="Times New Roman" w:hAnsi="Times New Roman" w:eastAsia="宋体" w:cs="Times New Roman"/>
                <w:color w:val="auto"/>
                <w:sz w:val="24"/>
                <w:szCs w:val="24"/>
                <w:u w:val="none"/>
                <w:lang w:eastAsia="zh-CN"/>
              </w:rPr>
              <w:t>施工</w:t>
            </w:r>
            <w:r>
              <w:rPr>
                <w:rFonts w:hint="default" w:ascii="Times New Roman" w:hAnsi="Times New Roman" w:eastAsia="宋体" w:cs="Times New Roman"/>
                <w:color w:val="auto"/>
                <w:sz w:val="24"/>
                <w:szCs w:val="24"/>
                <w:u w:val="none"/>
              </w:rPr>
              <w:t>过程中消耗一定电</w:t>
            </w:r>
            <w:r>
              <w:rPr>
                <w:rFonts w:hint="default" w:ascii="Times New Roman" w:hAnsi="Times New Roman" w:eastAsia="宋体" w:cs="Times New Roman"/>
                <w:color w:val="auto"/>
                <w:sz w:val="24"/>
                <w:szCs w:val="24"/>
                <w:u w:val="none"/>
                <w:lang w:eastAsia="zh-CN"/>
              </w:rPr>
              <w:t>能</w:t>
            </w:r>
            <w:r>
              <w:rPr>
                <w:rFonts w:hint="default" w:ascii="Times New Roman" w:hAnsi="Times New Roman" w:eastAsia="宋体" w:cs="Times New Roman"/>
                <w:color w:val="auto"/>
                <w:sz w:val="24"/>
                <w:szCs w:val="24"/>
                <w:u w:val="none"/>
              </w:rPr>
              <w:t>等资源，电耗由当地相关供电部门提供，能够满足本项目的用</w:t>
            </w:r>
            <w:r>
              <w:rPr>
                <w:rFonts w:hint="default" w:ascii="Times New Roman" w:hAnsi="Times New Roman" w:eastAsia="宋体" w:cs="Times New Roman"/>
                <w:color w:val="auto"/>
                <w:sz w:val="24"/>
                <w:szCs w:val="24"/>
                <w:u w:val="none"/>
                <w:lang w:eastAsia="zh-CN"/>
              </w:rPr>
              <w:t>电</w:t>
            </w:r>
            <w:r>
              <w:rPr>
                <w:rFonts w:hint="default" w:ascii="Times New Roman" w:hAnsi="Times New Roman" w:eastAsia="宋体" w:cs="Times New Roman"/>
                <w:color w:val="auto"/>
                <w:sz w:val="24"/>
                <w:szCs w:val="24"/>
                <w:u w:val="none"/>
              </w:rPr>
              <w:t>要求。本项目工程占地范围</w:t>
            </w:r>
            <w:r>
              <w:rPr>
                <w:rFonts w:hint="default" w:ascii="Times New Roman" w:hAnsi="Times New Roman" w:eastAsia="宋体" w:cs="Times New Roman"/>
                <w:color w:val="auto"/>
                <w:sz w:val="24"/>
                <w:szCs w:val="24"/>
                <w:u w:val="none"/>
                <w:lang w:eastAsia="zh-CN"/>
              </w:rPr>
              <w:t>主要为</w:t>
            </w:r>
            <w:r>
              <w:rPr>
                <w:rFonts w:hint="default" w:ascii="Times New Roman" w:hAnsi="Times New Roman" w:eastAsia="宋体" w:cs="Times New Roman"/>
                <w:color w:val="auto"/>
                <w:sz w:val="24"/>
                <w:szCs w:val="24"/>
                <w:u w:val="none"/>
              </w:rPr>
              <w:t>施工临时占地，不会突破当地资源利用上线。</w:t>
            </w:r>
            <w:r>
              <w:rPr>
                <w:rFonts w:hint="default" w:ascii="Times New Roman" w:hAnsi="Times New Roman" w:eastAsia="宋体" w:cs="Times New Roman"/>
                <w:color w:val="auto"/>
                <w:sz w:val="24"/>
                <w:szCs w:val="24"/>
                <w:u w:val="none"/>
                <w:lang w:eastAsia="zh-CN"/>
              </w:rPr>
              <w:t>本</w:t>
            </w:r>
            <w:r>
              <w:rPr>
                <w:rFonts w:hint="default" w:ascii="Times New Roman" w:hAnsi="Times New Roman" w:eastAsia="宋体" w:cs="Times New Roman"/>
                <w:color w:val="auto"/>
                <w:sz w:val="24"/>
                <w:szCs w:val="24"/>
                <w:u w:val="none"/>
              </w:rPr>
              <w:t>项目符合资源利用上线要求。</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u w:val="none"/>
              </w:rPr>
            </w:pPr>
            <w:r>
              <w:rPr>
                <w:rFonts w:hint="default" w:ascii="Times New Roman" w:hAnsi="Times New Roman" w:eastAsia="宋体" w:cs="Times New Roman"/>
                <w:b/>
                <w:bCs/>
                <w:color w:val="auto"/>
                <w:sz w:val="24"/>
                <w:szCs w:val="24"/>
                <w:u w:val="none"/>
                <w:lang w:eastAsia="zh-CN"/>
              </w:rPr>
              <w:t>④</w:t>
            </w:r>
            <w:r>
              <w:rPr>
                <w:rFonts w:hint="default" w:ascii="Times New Roman" w:hAnsi="Times New Roman" w:eastAsia="宋体" w:cs="Times New Roman"/>
                <w:b/>
                <w:bCs/>
                <w:color w:val="auto"/>
                <w:sz w:val="24"/>
                <w:szCs w:val="24"/>
                <w:u w:val="none"/>
              </w:rPr>
              <w:t>环境准入负面清单符合性分析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本项目为</w:t>
            </w:r>
            <w:r>
              <w:rPr>
                <w:rFonts w:hint="default" w:ascii="Times New Roman" w:hAnsi="Times New Roman" w:eastAsia="宋体" w:cs="Times New Roman"/>
                <w:color w:val="auto"/>
                <w:sz w:val="24"/>
                <w:szCs w:val="24"/>
                <w:u w:val="none"/>
                <w:lang w:val="en-US" w:eastAsia="zh-CN"/>
              </w:rPr>
              <w:t>人工湿地项目，不属于工业生产项目</w:t>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lang w:val="en-US" w:eastAsia="zh-CN"/>
              </w:rPr>
              <w:t>属于</w:t>
            </w:r>
            <w:r>
              <w:rPr>
                <w:rFonts w:hint="default" w:ascii="Times New Roman" w:hAnsi="Times New Roman" w:eastAsia="宋体" w:cs="Times New Roman"/>
                <w:color w:val="auto"/>
                <w:sz w:val="24"/>
                <w:szCs w:val="24"/>
                <w:u w:val="none"/>
              </w:rPr>
              <w:t>《产业结构调整指导目录（2019年本）》</w:t>
            </w:r>
            <w:r>
              <w:rPr>
                <w:rFonts w:hint="default" w:ascii="Times New Roman" w:hAnsi="Times New Roman" w:eastAsia="宋体" w:cs="Times New Roman"/>
                <w:color w:val="auto"/>
                <w:sz w:val="24"/>
                <w:szCs w:val="24"/>
                <w:u w:val="none"/>
                <w:lang w:val="en-US" w:eastAsia="zh-CN"/>
              </w:rPr>
              <w:t>中允许类</w:t>
            </w:r>
            <w:r>
              <w:rPr>
                <w:rFonts w:hint="default" w:ascii="Times New Roman" w:hAnsi="Times New Roman" w:eastAsia="宋体" w:cs="Times New Roman"/>
                <w:color w:val="auto"/>
                <w:sz w:val="24"/>
                <w:szCs w:val="24"/>
                <w:u w:val="none"/>
              </w:rPr>
              <w:t>。且符合国家有关法律、法规和政策的规定，为</w:t>
            </w:r>
            <w:r>
              <w:rPr>
                <w:rFonts w:hint="default" w:ascii="Times New Roman" w:hAnsi="Times New Roman" w:eastAsia="宋体" w:cs="Times New Roman"/>
                <w:color w:val="auto"/>
                <w:sz w:val="24"/>
                <w:szCs w:val="24"/>
                <w:u w:val="none"/>
                <w:lang w:eastAsia="zh-CN"/>
              </w:rPr>
              <w:t>鼓励</w:t>
            </w:r>
            <w:r>
              <w:rPr>
                <w:rFonts w:hint="default" w:ascii="Times New Roman" w:hAnsi="Times New Roman" w:eastAsia="宋体" w:cs="Times New Roman"/>
                <w:color w:val="auto"/>
                <w:sz w:val="24"/>
                <w:szCs w:val="24"/>
                <w:u w:val="none"/>
              </w:rPr>
              <w:t>建设项目。因此，</w:t>
            </w:r>
            <w:r>
              <w:rPr>
                <w:rFonts w:hint="default" w:ascii="Times New Roman" w:hAnsi="Times New Roman" w:eastAsia="宋体" w:cs="Times New Roman"/>
                <w:color w:val="auto"/>
                <w:sz w:val="24"/>
                <w:szCs w:val="24"/>
                <w:u w:val="none"/>
                <w:lang w:eastAsia="zh-CN"/>
              </w:rPr>
              <w:t>本</w:t>
            </w:r>
            <w:r>
              <w:rPr>
                <w:rFonts w:hint="default" w:ascii="Times New Roman" w:hAnsi="Times New Roman" w:eastAsia="宋体" w:cs="Times New Roman"/>
                <w:color w:val="auto"/>
                <w:sz w:val="24"/>
                <w:szCs w:val="24"/>
                <w:u w:val="none"/>
              </w:rPr>
              <w:t>项目符合产业政策</w:t>
            </w:r>
            <w:r>
              <w:rPr>
                <w:rFonts w:hint="default" w:ascii="Times New Roman" w:hAnsi="Times New Roman" w:eastAsia="宋体" w:cs="Times New Roman"/>
                <w:color w:val="auto"/>
                <w:sz w:val="24"/>
                <w:szCs w:val="24"/>
                <w:u w:val="none"/>
                <w:lang w:eastAsia="zh-CN"/>
              </w:rPr>
              <w:t>要求</w:t>
            </w:r>
            <w:r>
              <w:rPr>
                <w:rFonts w:hint="default" w:ascii="Times New Roman" w:hAnsi="Times New Roman" w:eastAsia="宋体" w:cs="Times New Roman"/>
                <w:color w:val="auto"/>
                <w:sz w:val="24"/>
                <w:szCs w:val="24"/>
                <w:u w:val="none"/>
              </w:rPr>
              <w:t>，不属于负面清单的范围。</w:t>
            </w:r>
          </w:p>
          <w:p>
            <w:pPr>
              <w:pStyle w:val="79"/>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因此，本项目的建设符合“三线一单”的</w:t>
            </w:r>
            <w:r>
              <w:rPr>
                <w:rFonts w:hint="default" w:ascii="Times New Roman" w:hAnsi="Times New Roman" w:eastAsia="宋体" w:cs="Times New Roman"/>
                <w:color w:val="auto"/>
                <w:sz w:val="24"/>
                <w:szCs w:val="24"/>
                <w:u w:val="none"/>
                <w:lang w:val="en-US" w:eastAsia="zh-CN"/>
              </w:rPr>
              <w:t>相关</w:t>
            </w:r>
            <w:r>
              <w:rPr>
                <w:rFonts w:hint="default" w:ascii="Times New Roman" w:hAnsi="Times New Roman" w:eastAsia="宋体" w:cs="Times New Roman"/>
                <w:color w:val="auto"/>
                <w:sz w:val="24"/>
                <w:szCs w:val="24"/>
                <w:u w:val="none"/>
              </w:rPr>
              <w:t>要求。</w:t>
            </w:r>
          </w:p>
          <w:p>
            <w:pPr>
              <w:pStyle w:val="79"/>
              <w:keepNext w:val="0"/>
              <w:keepLines w:val="0"/>
              <w:pageBreakBefore w:val="0"/>
              <w:widowControl w:val="0"/>
              <w:kinsoku/>
              <w:wordWrap/>
              <w:overflowPunct/>
              <w:topLinePunct w:val="0"/>
              <w:bidi w:val="0"/>
              <w:adjustRightInd w:val="0"/>
              <w:snapToGrid w:val="0"/>
              <w:spacing w:line="360" w:lineRule="auto"/>
              <w:ind w:left="0" w:leftChars="0" w:firstLine="482" w:firstLineChars="200"/>
              <w:textAlignment w:val="auto"/>
              <w:rPr>
                <w:rFonts w:hint="eastAsia"/>
                <w:b/>
                <w:bCs/>
                <w:color w:val="auto"/>
                <w:u w:val="none"/>
                <w:vertAlign w:val="baseline"/>
                <w:lang w:val="en-US" w:eastAsia="zh-CN"/>
              </w:rPr>
            </w:pPr>
            <w:r>
              <w:rPr>
                <w:rFonts w:hint="eastAsia"/>
                <w:b/>
                <w:bCs/>
                <w:color w:val="auto"/>
                <w:u w:val="none"/>
                <w:vertAlign w:val="baseline"/>
                <w:lang w:val="en-US" w:eastAsia="zh-CN"/>
              </w:rPr>
              <w:t>5、本项目与《湖南省长江经济带发展负面清单实施细则（试行，2022年版）》符合性分析</w:t>
            </w:r>
          </w:p>
          <w:p>
            <w:pPr>
              <w:pStyle w:val="79"/>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rPr>
                <w:rFonts w:hint="default"/>
                <w:b w:val="0"/>
                <w:bCs w:val="0"/>
                <w:color w:val="auto"/>
                <w:u w:val="none"/>
                <w:vertAlign w:val="baseline"/>
                <w:lang w:val="en-US" w:eastAsia="zh-CN"/>
              </w:rPr>
            </w:pPr>
            <w:r>
              <w:rPr>
                <w:rFonts w:hint="eastAsia"/>
                <w:b w:val="0"/>
                <w:bCs w:val="0"/>
                <w:color w:val="auto"/>
                <w:u w:val="none"/>
                <w:vertAlign w:val="baseline"/>
                <w:lang w:val="en-US" w:eastAsia="zh-CN"/>
              </w:rPr>
              <w:t>2022年6月30日，湖南省推动长江经济带发展领导小组办公室印发了《湖南省长江经济带发展负面清单实施细则（试行，2022年版）》。</w:t>
            </w:r>
          </w:p>
          <w:p>
            <w:pPr>
              <w:pStyle w:val="79"/>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b w:val="0"/>
                <w:bCs w:val="0"/>
                <w:color w:val="auto"/>
                <w:sz w:val="24"/>
                <w:szCs w:val="24"/>
                <w:u w:val="none"/>
                <w:lang w:val="en-US" w:eastAsia="zh-CN"/>
              </w:rPr>
            </w:pPr>
            <w:r>
              <w:rPr>
                <w:rFonts w:hint="eastAsia" w:cs="Times New Roman"/>
                <w:b w:val="0"/>
                <w:bCs w:val="0"/>
                <w:color w:val="auto"/>
                <w:sz w:val="24"/>
                <w:szCs w:val="24"/>
                <w:u w:val="none"/>
                <w:lang w:val="en-US" w:eastAsia="zh-CN"/>
              </w:rPr>
              <w:t>该文件第十一条规定：禁止违法利用、占用长江流域河湖岸线。禁止在《长江岸线保护和开发利用总体规划》划定的岸线保护区和保留区内投资建设除事关公共安全及公众利益的防洪换、河道治理、供水、生态环境保护、航道整治、国家重要基础设施以外的项目。禁止填湖造地、围湖造田及非法围垦河道，禁止非法建设矮围网围、填埋湿地等侵占河湖水域或违法利用、占用河湖岸线的行为。</w:t>
            </w:r>
          </w:p>
          <w:p>
            <w:pPr>
              <w:pStyle w:val="79"/>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b w:val="0"/>
                <w:bCs w:val="0"/>
                <w:color w:val="auto"/>
                <w:sz w:val="24"/>
                <w:szCs w:val="24"/>
                <w:u w:val="none"/>
                <w:lang w:val="en-US" w:eastAsia="zh-CN"/>
              </w:rPr>
            </w:pPr>
            <w:r>
              <w:rPr>
                <w:rFonts w:hint="eastAsia" w:cs="Times New Roman"/>
                <w:b w:val="0"/>
                <w:bCs w:val="0"/>
                <w:color w:val="auto"/>
                <w:sz w:val="24"/>
                <w:szCs w:val="24"/>
                <w:u w:val="none"/>
                <w:lang w:val="en-US" w:eastAsia="zh-CN"/>
              </w:rPr>
              <w:t>第十五条规定：禁止在长江湖南段和洞庭湖、湘江、资江、沅江、澧水干流岸线一公里范围内新建、扩建化工园区和化工项目。禁止在长江湖南段岸线三公里范围内和湘江、资江、沅江、澧水岸线一公里范围内新建、改建、扩建尾矿库、冶炼渣库和磷石膏库，以提升安全、生态环境保护水平为目的的改扩建除外。</w:t>
            </w:r>
          </w:p>
          <w:p>
            <w:pPr>
              <w:pStyle w:val="79"/>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b w:val="0"/>
                <w:bCs w:val="0"/>
                <w:color w:val="auto"/>
                <w:sz w:val="24"/>
                <w:szCs w:val="24"/>
                <w:u w:val="none"/>
                <w:lang w:val="en-US" w:eastAsia="zh-CN"/>
              </w:rPr>
            </w:pPr>
            <w:r>
              <w:rPr>
                <w:rFonts w:hint="eastAsia" w:cs="Times New Roman"/>
                <w:b w:val="0"/>
                <w:bCs w:val="0"/>
                <w:color w:val="auto"/>
                <w:sz w:val="24"/>
                <w:szCs w:val="24"/>
                <w:u w:val="none"/>
                <w:lang w:val="en-US" w:eastAsia="zh-CN"/>
              </w:rPr>
              <w:t>本项目为提升横岭湖生态环境保护水平为目的的建设项目。无填湖造地、围湖造田及非法围垦河道、非法建设矮围网围、填埋湿地等侵占河湖水域或违法利用、占用河湖岸线的行为。</w:t>
            </w:r>
          </w:p>
          <w:p>
            <w:pPr>
              <w:pStyle w:val="79"/>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cs="Times New Roman"/>
                <w:b/>
                <w:bCs/>
                <w:color w:val="FF0000"/>
                <w:sz w:val="24"/>
                <w:szCs w:val="24"/>
                <w:u w:val="single"/>
                <w:lang w:val="en-US" w:eastAsia="zh-CN"/>
              </w:rPr>
            </w:pPr>
            <w:r>
              <w:rPr>
                <w:rFonts w:hint="eastAsia" w:cs="Times New Roman"/>
                <w:b/>
                <w:bCs/>
                <w:color w:val="FF0000"/>
                <w:sz w:val="24"/>
                <w:szCs w:val="24"/>
                <w:u w:val="single"/>
                <w:lang w:val="en-US" w:eastAsia="zh-CN"/>
              </w:rPr>
              <w:t>六、与《湖南省洞庭湖保护条例》符合性分析</w:t>
            </w:r>
          </w:p>
          <w:p>
            <w:pPr>
              <w:pStyle w:val="79"/>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s="Times New Roman"/>
                <w:b w:val="0"/>
                <w:bCs w:val="0"/>
                <w:color w:val="FF0000"/>
                <w:sz w:val="24"/>
                <w:szCs w:val="24"/>
                <w:u w:val="single"/>
                <w:lang w:val="en-US" w:eastAsia="zh-CN"/>
              </w:rPr>
            </w:pPr>
            <w:r>
              <w:rPr>
                <w:rFonts w:hint="default" w:cs="Times New Roman"/>
                <w:b w:val="0"/>
                <w:bCs w:val="0"/>
                <w:color w:val="FF0000"/>
                <w:sz w:val="24"/>
                <w:szCs w:val="24"/>
                <w:u w:val="single"/>
                <w:lang w:val="en-US" w:eastAsia="zh-CN"/>
              </w:rPr>
              <w:t>2021年5月27日湖南省第十三届人民代表大会常务委员会第二十四次会议通过</w:t>
            </w:r>
            <w:r>
              <w:rPr>
                <w:rFonts w:hint="eastAsia" w:cs="Times New Roman"/>
                <w:b w:val="0"/>
                <w:bCs w:val="0"/>
                <w:color w:val="FF0000"/>
                <w:sz w:val="24"/>
                <w:szCs w:val="24"/>
                <w:u w:val="single"/>
                <w:lang w:val="en-US" w:eastAsia="zh-CN"/>
              </w:rPr>
              <w:t>了《湖南省洞庭湖保护条例》。</w:t>
            </w:r>
          </w:p>
          <w:p>
            <w:pPr>
              <w:pStyle w:val="79"/>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b w:val="0"/>
                <w:bCs w:val="0"/>
                <w:color w:val="FF0000"/>
                <w:sz w:val="24"/>
                <w:szCs w:val="24"/>
                <w:u w:val="single"/>
                <w:lang w:val="en-US" w:eastAsia="zh-CN"/>
              </w:rPr>
            </w:pPr>
            <w:r>
              <w:rPr>
                <w:rFonts w:hint="eastAsia" w:cs="Times New Roman"/>
                <w:b w:val="0"/>
                <w:bCs w:val="0"/>
                <w:color w:val="FF0000"/>
                <w:sz w:val="24"/>
                <w:szCs w:val="24"/>
                <w:u w:val="single"/>
                <w:lang w:val="en-US" w:eastAsia="zh-CN"/>
              </w:rPr>
              <w:t>该文件规定如下：“第三十六条 禁止在湖区自然保护区人工种植、施肥培育芦苇，但为生态保护和修复需要种植的除外。湖区县（市、区）人民政府应当采取措施，防止芦苇残体污染水体。</w:t>
            </w:r>
          </w:p>
          <w:p>
            <w:pPr>
              <w:pStyle w:val="79"/>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b w:val="0"/>
                <w:bCs w:val="0"/>
                <w:color w:val="FF0000"/>
                <w:sz w:val="24"/>
                <w:szCs w:val="24"/>
                <w:u w:val="single"/>
                <w:lang w:val="en-US" w:eastAsia="zh-CN"/>
              </w:rPr>
            </w:pPr>
            <w:r>
              <w:rPr>
                <w:rFonts w:hint="eastAsia" w:cs="Times New Roman"/>
                <w:b w:val="0"/>
                <w:bCs w:val="0"/>
                <w:color w:val="FF0000"/>
                <w:sz w:val="24"/>
                <w:szCs w:val="24"/>
                <w:u w:val="single"/>
                <w:lang w:val="en-US" w:eastAsia="zh-CN"/>
              </w:rPr>
              <w:t>第三十七条 禁止在湖区的自然保护区种植欧美黑杨等不利于涵养水源、破坏生物多样性的树种。”</w:t>
            </w:r>
          </w:p>
          <w:p>
            <w:pPr>
              <w:pStyle w:val="79"/>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b w:val="0"/>
                <w:bCs w:val="0"/>
                <w:color w:val="FF0000"/>
                <w:sz w:val="24"/>
                <w:szCs w:val="24"/>
                <w:u w:val="single"/>
                <w:lang w:val="en-US" w:eastAsia="zh-CN"/>
              </w:rPr>
            </w:pPr>
            <w:r>
              <w:rPr>
                <w:rFonts w:hint="eastAsia" w:cs="Times New Roman"/>
                <w:b w:val="0"/>
                <w:bCs w:val="0"/>
                <w:color w:val="FF0000"/>
                <w:sz w:val="24"/>
                <w:szCs w:val="24"/>
                <w:u w:val="single"/>
                <w:lang w:val="en-US" w:eastAsia="zh-CN"/>
              </w:rPr>
              <w:t>本项目不种植欧美黑杨等不利于涵养水源、破坏生物多样性的树种，人工湿地为了生态保护和修复种植了芦苇，在营运期提出：每年冬季，对芦苇进行收割，对倒伏在人工湿地中的芦苇残体进行清理，从而防止芦苇残体污染水体。本项目符合《湖南省洞庭湖保护条例》相关要求。</w:t>
            </w:r>
          </w:p>
          <w:p>
            <w:pPr>
              <w:pStyle w:val="79"/>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cs="Times New Roman"/>
                <w:b/>
                <w:bCs/>
                <w:color w:val="FF0000"/>
                <w:sz w:val="24"/>
                <w:szCs w:val="24"/>
                <w:u w:val="single"/>
                <w:lang w:val="en-US" w:eastAsia="zh-CN"/>
              </w:rPr>
            </w:pPr>
            <w:r>
              <w:rPr>
                <w:rFonts w:hint="eastAsia" w:cs="Times New Roman"/>
                <w:b/>
                <w:bCs/>
                <w:color w:val="FF0000"/>
                <w:sz w:val="24"/>
                <w:szCs w:val="24"/>
                <w:u w:val="single"/>
                <w:lang w:val="en-US" w:eastAsia="zh-CN"/>
              </w:rPr>
              <w:t>七、与</w:t>
            </w:r>
            <w:r>
              <w:rPr>
                <w:rFonts w:hint="eastAsia" w:cs="Times New Roman"/>
                <w:b/>
                <w:bCs/>
                <w:color w:val="FF0000"/>
                <w:kern w:val="0"/>
                <w:szCs w:val="21"/>
                <w:u w:val="single"/>
                <w:lang w:val="en-US" w:eastAsia="zh-CN"/>
              </w:rPr>
              <w:t>《湘阴县“十四五”生态环境保护专项规划》相符性分析</w:t>
            </w:r>
          </w:p>
          <w:p>
            <w:pPr>
              <w:pStyle w:val="79"/>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s="Times New Roman"/>
                <w:color w:val="FF0000"/>
                <w:kern w:val="0"/>
                <w:szCs w:val="21"/>
                <w:u w:val="single"/>
                <w:lang w:val="en-US" w:eastAsia="zh-CN"/>
              </w:rPr>
            </w:pPr>
            <w:r>
              <w:rPr>
                <w:rFonts w:hint="eastAsia" w:cs="Times New Roman"/>
                <w:b w:val="0"/>
                <w:bCs w:val="0"/>
                <w:color w:val="FF0000"/>
                <w:sz w:val="24"/>
                <w:szCs w:val="24"/>
                <w:u w:val="single"/>
                <w:lang w:val="en-US" w:eastAsia="zh-CN"/>
              </w:rPr>
              <w:t>岳阳市生态环境局湘阴分局2022年5月印发了</w:t>
            </w:r>
            <w:r>
              <w:rPr>
                <w:rFonts w:hint="eastAsia" w:cs="Times New Roman"/>
                <w:color w:val="FF0000"/>
                <w:kern w:val="0"/>
                <w:szCs w:val="21"/>
                <w:u w:val="single"/>
                <w:lang w:val="en-US" w:eastAsia="zh-CN"/>
              </w:rPr>
              <w:t>《湘阴县“十四五”生态环境保护专项规划》，在该规划（二）深入打好污染防治攻坚战、4.打好农业农村污染治理攻坚战中提出：</w:t>
            </w:r>
          </w:p>
          <w:p>
            <w:pPr>
              <w:pStyle w:val="79"/>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Times New Roman"/>
                <w:color w:val="FF0000"/>
                <w:sz w:val="24"/>
                <w:szCs w:val="24"/>
                <w:u w:val="single"/>
                <w:lang w:val="zh-CN"/>
              </w:rPr>
            </w:pPr>
            <w:r>
              <w:rPr>
                <w:rFonts w:hint="default" w:ascii="Times New Roman" w:hAnsi="Times New Roman" w:eastAsia="Times New Roman"/>
                <w:color w:val="FF0000"/>
                <w:sz w:val="24"/>
                <w:szCs w:val="24"/>
                <w:u w:val="single"/>
                <w:lang w:val="zh-CN"/>
              </w:rPr>
              <w:t>加强水产养殖尾水治理。加强水产养殖污染治理以及水产养殖污染防治和水生生态保护。推进水产生态健康养殖，积极发展大水面生态增养殖、工厂化循环水养殖、池塘工程化循环水养殖、连片池塘尾水集中处理模式等健康养殖方式，推进稻渔综合种养等生态循环农业。优化水产养殖空间布局，坚持生态健康养殖。推进集中连片鱼池标准化改造或尾水治理，促进水产养殖业提档升级。</w:t>
            </w:r>
          </w:p>
          <w:p>
            <w:pPr>
              <w:pStyle w:val="79"/>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eastAsia="宋体"/>
                <w:color w:val="FF0000"/>
                <w:sz w:val="24"/>
                <w:szCs w:val="24"/>
                <w:u w:val="single"/>
                <w:lang w:val="en-US" w:eastAsia="zh-CN"/>
              </w:rPr>
            </w:pPr>
            <w:r>
              <w:rPr>
                <w:rFonts w:hint="eastAsia" w:ascii="Times New Roman" w:hAnsi="Times New Roman" w:eastAsia="宋体"/>
                <w:color w:val="FF0000"/>
                <w:sz w:val="24"/>
                <w:szCs w:val="24"/>
                <w:u w:val="single"/>
                <w:lang w:val="en-US" w:eastAsia="zh-CN"/>
              </w:rPr>
              <w:t>本项目采用人工湿地的方式治理</w:t>
            </w:r>
            <w:r>
              <w:rPr>
                <w:rFonts w:hint="default" w:ascii="Times New Roman" w:hAnsi="Times New Roman" w:eastAsia="Times New Roman"/>
                <w:color w:val="FF0000"/>
                <w:sz w:val="24"/>
                <w:szCs w:val="24"/>
                <w:u w:val="single"/>
                <w:lang w:val="zh-CN"/>
              </w:rPr>
              <w:t>水产养殖尾水</w:t>
            </w:r>
            <w:r>
              <w:rPr>
                <w:rFonts w:hint="eastAsia" w:eastAsia="Times New Roman"/>
                <w:color w:val="FF0000"/>
                <w:sz w:val="24"/>
                <w:szCs w:val="24"/>
                <w:u w:val="single"/>
                <w:lang w:val="zh-CN"/>
              </w:rPr>
              <w:t>，</w:t>
            </w:r>
            <w:r>
              <w:rPr>
                <w:rFonts w:hint="eastAsia" w:eastAsia="宋体"/>
                <w:color w:val="FF0000"/>
                <w:sz w:val="24"/>
                <w:szCs w:val="24"/>
                <w:u w:val="single"/>
                <w:lang w:val="en-US" w:eastAsia="zh-CN"/>
              </w:rPr>
              <w:t>符合其相关要求。</w:t>
            </w:r>
          </w:p>
          <w:p>
            <w:pPr>
              <w:pStyle w:val="79"/>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cs="Times New Roman"/>
                <w:b/>
                <w:bCs/>
                <w:color w:val="FF0000"/>
                <w:sz w:val="24"/>
                <w:szCs w:val="24"/>
                <w:u w:val="single"/>
                <w:lang w:val="en-US" w:eastAsia="zh-CN"/>
              </w:rPr>
            </w:pPr>
            <w:r>
              <w:rPr>
                <w:rFonts w:hint="eastAsia" w:cs="Times New Roman"/>
                <w:b/>
                <w:bCs/>
                <w:color w:val="FF0000"/>
                <w:sz w:val="24"/>
                <w:szCs w:val="24"/>
                <w:u w:val="single"/>
                <w:lang w:val="en-US" w:eastAsia="zh-CN"/>
              </w:rPr>
              <w:t>八、本项目与</w:t>
            </w:r>
            <w:r>
              <w:rPr>
                <w:rFonts w:hint="eastAsia"/>
                <w:b/>
                <w:bCs/>
                <w:color w:val="FF0000"/>
                <w:u w:val="single"/>
                <w:vertAlign w:val="baseline"/>
                <w:lang w:val="en-US" w:eastAsia="zh-CN"/>
              </w:rPr>
              <w:t>《岳阳市人民政府关于实施岳阳市“三线一单”生态环境分区管控的意见（岳政发〔2021〕2号）》</w:t>
            </w:r>
            <w:r>
              <w:rPr>
                <w:rFonts w:hint="eastAsia" w:cs="Times New Roman"/>
                <w:b/>
                <w:bCs/>
                <w:color w:val="FF0000"/>
                <w:sz w:val="24"/>
                <w:szCs w:val="24"/>
                <w:u w:val="single"/>
                <w:lang w:val="en-US" w:eastAsia="zh-CN"/>
              </w:rPr>
              <w:t>符合性分析</w:t>
            </w:r>
          </w:p>
          <w:p>
            <w:pPr>
              <w:pStyle w:val="79"/>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b w:val="0"/>
                <w:bCs w:val="0"/>
                <w:color w:val="FF0000"/>
                <w:u w:val="single"/>
                <w:vertAlign w:val="baseline"/>
                <w:lang w:val="en-US" w:eastAsia="zh-CN"/>
              </w:rPr>
            </w:pPr>
            <w:r>
              <w:rPr>
                <w:rFonts w:hint="eastAsia" w:cs="Times New Roman"/>
                <w:b w:val="0"/>
                <w:bCs w:val="0"/>
                <w:color w:val="FF0000"/>
                <w:sz w:val="24"/>
                <w:szCs w:val="24"/>
                <w:u w:val="single"/>
                <w:lang w:val="en-US" w:eastAsia="zh-CN"/>
              </w:rPr>
              <w:t>本项目位于岳阳市湘阴县三塘镇青草湖村，</w:t>
            </w:r>
            <w:r>
              <w:rPr>
                <w:rFonts w:hint="eastAsia"/>
                <w:b w:val="0"/>
                <w:bCs w:val="0"/>
                <w:color w:val="FF0000"/>
                <w:u w:val="single"/>
                <w:vertAlign w:val="baseline"/>
                <w:lang w:val="en-US" w:eastAsia="zh-CN"/>
              </w:rPr>
              <w:t>岳阳市人民政府关于实施岳阳市“三线一单”生态环境分区管控的意见（岳政发〔2021〕2号）将该区域列为一般管控单元。本项目与其单元符合性分析详见下表。</w:t>
            </w:r>
          </w:p>
          <w:p>
            <w:pPr>
              <w:pStyle w:val="7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textAlignment w:val="auto"/>
              <w:rPr>
                <w:rFonts w:hint="eastAsia"/>
                <w:b/>
                <w:bCs/>
                <w:color w:val="FF0000"/>
                <w:sz w:val="21"/>
                <w:szCs w:val="21"/>
                <w:u w:val="single"/>
                <w:vertAlign w:val="baseline"/>
                <w:lang w:val="en-US" w:eastAsia="zh-CN"/>
              </w:rPr>
            </w:pPr>
            <w:r>
              <w:rPr>
                <w:rFonts w:hint="eastAsia"/>
                <w:b/>
                <w:bCs/>
                <w:color w:val="FF0000"/>
                <w:sz w:val="21"/>
                <w:szCs w:val="21"/>
                <w:u w:val="single"/>
                <w:vertAlign w:val="baseline"/>
                <w:lang w:val="en-US" w:eastAsia="zh-CN"/>
              </w:rPr>
              <w:t>表1-2           岳阳市“三线一单”生态环境分区要求</w:t>
            </w:r>
          </w:p>
          <w:tbl>
            <w:tblPr>
              <w:tblStyle w:val="33"/>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3578"/>
              <w:gridCol w:w="15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8" w:type="dxa"/>
                  <w:tcBorders>
                    <w:tl2br w:val="nil"/>
                    <w:tr2bl w:val="nil"/>
                  </w:tcBorders>
                </w:tcPr>
                <w:p>
                  <w:pPr>
                    <w:spacing w:beforeLines="0" w:afterLines="0"/>
                    <w:jc w:val="left"/>
                    <w:rPr>
                      <w:rFonts w:hint="eastAsia" w:ascii="宋体" w:hAnsi="宋体" w:eastAsia="宋体"/>
                      <w:b/>
                      <w:bCs/>
                      <w:color w:val="FF0000"/>
                      <w:sz w:val="21"/>
                      <w:szCs w:val="24"/>
                      <w:u w:val="single"/>
                    </w:rPr>
                  </w:pPr>
                  <w:r>
                    <w:rPr>
                      <w:rFonts w:hint="eastAsia" w:ascii="宋体" w:hAnsi="宋体" w:eastAsia="宋体"/>
                      <w:b/>
                      <w:bCs/>
                      <w:color w:val="FF0000"/>
                      <w:sz w:val="21"/>
                      <w:szCs w:val="24"/>
                      <w:u w:val="single"/>
                    </w:rPr>
                    <w:t>环境管控</w:t>
                  </w:r>
                </w:p>
                <w:p>
                  <w:pPr>
                    <w:pStyle w:val="79"/>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b/>
                      <w:bCs/>
                      <w:color w:val="FF0000"/>
                      <w:sz w:val="21"/>
                      <w:szCs w:val="21"/>
                      <w:u w:val="single"/>
                      <w:vertAlign w:val="baseline"/>
                      <w:lang w:val="en-US" w:eastAsia="zh-CN"/>
                    </w:rPr>
                  </w:pPr>
                  <w:r>
                    <w:rPr>
                      <w:rFonts w:hint="eastAsia" w:ascii="宋体" w:hAnsi="宋体" w:eastAsia="宋体"/>
                      <w:b/>
                      <w:bCs/>
                      <w:color w:val="FF0000"/>
                      <w:sz w:val="21"/>
                      <w:szCs w:val="24"/>
                      <w:u w:val="single"/>
                    </w:rPr>
                    <w:t>单元编码</w:t>
                  </w:r>
                </w:p>
              </w:tc>
              <w:tc>
                <w:tcPr>
                  <w:tcW w:w="4000" w:type="dxa"/>
                  <w:tcBorders>
                    <w:tl2br w:val="nil"/>
                    <w:tr2bl w:val="nil"/>
                  </w:tcBorders>
                </w:tcPr>
                <w:p>
                  <w:pPr>
                    <w:pStyle w:val="79"/>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b/>
                      <w:bCs/>
                      <w:color w:val="FF0000"/>
                      <w:sz w:val="21"/>
                      <w:szCs w:val="21"/>
                      <w:u w:val="single"/>
                      <w:vertAlign w:val="baseline"/>
                      <w:lang w:val="en-US" w:eastAsia="zh-CN"/>
                    </w:rPr>
                  </w:pPr>
                  <w:r>
                    <w:rPr>
                      <w:rFonts w:hint="eastAsia" w:ascii="宋体" w:hAnsi="宋体" w:eastAsia="宋体"/>
                      <w:b/>
                      <w:bCs/>
                      <w:color w:val="FF0000"/>
                      <w:sz w:val="21"/>
                      <w:szCs w:val="24"/>
                      <w:u w:val="single"/>
                    </w:rPr>
                    <w:t>单元名称</w:t>
                  </w:r>
                </w:p>
              </w:tc>
              <w:tc>
                <w:tcPr>
                  <w:tcW w:w="1749" w:type="dxa"/>
                  <w:tcBorders>
                    <w:tl2br w:val="nil"/>
                    <w:tr2bl w:val="nil"/>
                  </w:tcBorders>
                </w:tcPr>
                <w:p>
                  <w:pPr>
                    <w:spacing w:beforeLines="0" w:afterLines="0"/>
                    <w:jc w:val="left"/>
                    <w:rPr>
                      <w:rFonts w:hint="eastAsia" w:ascii="宋体" w:hAnsi="宋体" w:eastAsia="宋体"/>
                      <w:b/>
                      <w:bCs/>
                      <w:color w:val="FF0000"/>
                      <w:sz w:val="21"/>
                      <w:szCs w:val="24"/>
                      <w:u w:val="single"/>
                    </w:rPr>
                  </w:pPr>
                  <w:r>
                    <w:rPr>
                      <w:rFonts w:hint="eastAsia" w:ascii="宋体" w:hAnsi="宋体" w:eastAsia="宋体"/>
                      <w:b/>
                      <w:bCs/>
                      <w:color w:val="FF0000"/>
                      <w:sz w:val="21"/>
                      <w:szCs w:val="24"/>
                      <w:u w:val="single"/>
                    </w:rPr>
                    <w:t>主体功能</w:t>
                  </w:r>
                </w:p>
                <w:p>
                  <w:pPr>
                    <w:pStyle w:val="79"/>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b/>
                      <w:bCs/>
                      <w:color w:val="FF0000"/>
                      <w:sz w:val="21"/>
                      <w:szCs w:val="21"/>
                      <w:u w:val="single"/>
                      <w:vertAlign w:val="baseline"/>
                      <w:lang w:val="en-US" w:eastAsia="zh-CN"/>
                    </w:rPr>
                  </w:pPr>
                  <w:r>
                    <w:rPr>
                      <w:rFonts w:hint="eastAsia" w:ascii="宋体" w:hAnsi="宋体" w:eastAsia="宋体"/>
                      <w:b/>
                      <w:bCs/>
                      <w:color w:val="FF0000"/>
                      <w:sz w:val="21"/>
                      <w:szCs w:val="24"/>
                      <w:u w:val="single"/>
                    </w:rPr>
                    <w:t>定位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8" w:type="dxa"/>
                  <w:tcBorders>
                    <w:tl2br w:val="nil"/>
                    <w:tr2bl w:val="nil"/>
                  </w:tcBorders>
                </w:tcPr>
                <w:p>
                  <w:pPr>
                    <w:pStyle w:val="79"/>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eastAsia="FangSong_GB2312"/>
                      <w:b w:val="0"/>
                      <w:bCs w:val="0"/>
                      <w:color w:val="FF0000"/>
                      <w:sz w:val="21"/>
                      <w:szCs w:val="21"/>
                      <w:u w:val="single"/>
                      <w:vertAlign w:val="baseline"/>
                      <w:lang w:val="en-US" w:eastAsia="zh-CN"/>
                    </w:rPr>
                  </w:pPr>
                  <w:r>
                    <w:rPr>
                      <w:rFonts w:hint="eastAsia" w:ascii="FangSong_GB2312" w:hAnsi="FangSong_GB2312" w:eastAsia="FangSong_GB2312"/>
                      <w:b w:val="0"/>
                      <w:bCs w:val="0"/>
                      <w:color w:val="FF0000"/>
                      <w:sz w:val="21"/>
                      <w:szCs w:val="24"/>
                      <w:u w:val="single"/>
                    </w:rPr>
                    <w:t>ZH430</w:t>
                  </w:r>
                  <w:r>
                    <w:rPr>
                      <w:rFonts w:hint="eastAsia" w:ascii="FangSong_GB2312" w:hAnsi="FangSong_GB2312" w:eastAsia="FangSong_GB2312"/>
                      <w:b w:val="0"/>
                      <w:bCs w:val="0"/>
                      <w:color w:val="FF0000"/>
                      <w:sz w:val="21"/>
                      <w:szCs w:val="24"/>
                      <w:u w:val="single"/>
                      <w:lang w:val="en-US" w:eastAsia="zh-CN"/>
                    </w:rPr>
                    <w:t>62430002</w:t>
                  </w:r>
                </w:p>
              </w:tc>
              <w:tc>
                <w:tcPr>
                  <w:tcW w:w="4000" w:type="dxa"/>
                  <w:tcBorders>
                    <w:tl2br w:val="nil"/>
                    <w:tr2bl w:val="nil"/>
                  </w:tcBorders>
                </w:tcPr>
                <w:p>
                  <w:pPr>
                    <w:pStyle w:val="79"/>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b w:val="0"/>
                      <w:bCs w:val="0"/>
                      <w:color w:val="FF0000"/>
                      <w:sz w:val="21"/>
                      <w:szCs w:val="21"/>
                      <w:u w:val="single"/>
                      <w:vertAlign w:val="baseline"/>
                      <w:lang w:val="en-US" w:eastAsia="zh-CN"/>
                    </w:rPr>
                  </w:pPr>
                  <w:r>
                    <w:rPr>
                      <w:rFonts w:hint="eastAsia"/>
                      <w:b w:val="0"/>
                      <w:bCs w:val="0"/>
                      <w:color w:val="FF0000"/>
                      <w:sz w:val="21"/>
                      <w:szCs w:val="21"/>
                      <w:u w:val="single"/>
                      <w:vertAlign w:val="baseline"/>
                      <w:lang w:val="en-US" w:eastAsia="zh-CN"/>
                    </w:rPr>
                    <w:t>枫桥湖街道</w:t>
                  </w:r>
                </w:p>
              </w:tc>
              <w:tc>
                <w:tcPr>
                  <w:tcW w:w="1749" w:type="dxa"/>
                  <w:tcBorders>
                    <w:tl2br w:val="nil"/>
                    <w:tr2bl w:val="nil"/>
                  </w:tcBorders>
                </w:tcPr>
                <w:p>
                  <w:pPr>
                    <w:spacing w:beforeLines="0" w:afterLines="0"/>
                    <w:jc w:val="left"/>
                    <w:rPr>
                      <w:rFonts w:hint="default"/>
                      <w:b w:val="0"/>
                      <w:bCs w:val="0"/>
                      <w:color w:val="FF0000"/>
                      <w:sz w:val="21"/>
                      <w:szCs w:val="21"/>
                      <w:u w:val="single"/>
                      <w:vertAlign w:val="baseline"/>
                      <w:lang w:val="en-US" w:eastAsia="zh-CN"/>
                    </w:rPr>
                  </w:pPr>
                  <w:r>
                    <w:rPr>
                      <w:rFonts w:hint="eastAsia"/>
                      <w:color w:val="FF0000"/>
                      <w:u w:val="single"/>
                    </w:rPr>
                    <w:t>省级层面重点生态功能区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8" w:type="dxa"/>
                  <w:tcBorders>
                    <w:tl2br w:val="nil"/>
                    <w:tr2bl w:val="nil"/>
                  </w:tcBorders>
                </w:tcPr>
                <w:p>
                  <w:pPr>
                    <w:pStyle w:val="79"/>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宋体"/>
                      <w:b w:val="0"/>
                      <w:bCs w:val="0"/>
                      <w:color w:val="FF0000"/>
                      <w:sz w:val="21"/>
                      <w:szCs w:val="21"/>
                      <w:u w:val="single"/>
                      <w:vertAlign w:val="baseline"/>
                      <w:lang w:val="en-US" w:eastAsia="zh-CN"/>
                    </w:rPr>
                  </w:pPr>
                  <w:r>
                    <w:rPr>
                      <w:rFonts w:hint="eastAsia" w:ascii="Times New Roman" w:hAnsi="Times New Roman" w:eastAsia="宋体" w:cs="宋体"/>
                      <w:b w:val="0"/>
                      <w:bCs w:val="0"/>
                      <w:color w:val="FF0000"/>
                      <w:sz w:val="21"/>
                      <w:szCs w:val="21"/>
                      <w:u w:val="single"/>
                      <w:vertAlign w:val="baseline"/>
                      <w:lang w:val="en-US" w:eastAsia="zh-CN"/>
                    </w:rPr>
                    <w:t>空间布局约束</w:t>
                  </w:r>
                </w:p>
              </w:tc>
              <w:tc>
                <w:tcPr>
                  <w:tcW w:w="4000" w:type="dxa"/>
                  <w:tcBorders>
                    <w:tl2br w:val="nil"/>
                    <w:tr2bl w:val="nil"/>
                  </w:tcBorders>
                </w:tcPr>
                <w:p>
                  <w:pPr>
                    <w:pStyle w:val="79"/>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宋体"/>
                      <w:b w:val="0"/>
                      <w:bCs w:val="0"/>
                      <w:color w:val="FF0000"/>
                      <w:sz w:val="21"/>
                      <w:szCs w:val="21"/>
                      <w:u w:val="single"/>
                      <w:vertAlign w:val="baseline"/>
                      <w:lang w:val="en-US" w:eastAsia="zh-CN"/>
                    </w:rPr>
                  </w:pPr>
                  <w:r>
                    <w:rPr>
                      <w:rFonts w:hint="eastAsia" w:ascii="Times New Roman" w:hAnsi="Times New Roman" w:eastAsia="宋体" w:cs="宋体"/>
                      <w:b w:val="0"/>
                      <w:bCs w:val="0"/>
                      <w:color w:val="FF0000"/>
                      <w:sz w:val="21"/>
                      <w:szCs w:val="21"/>
                      <w:u w:val="single"/>
                      <w:vertAlign w:val="baseline"/>
                      <w:lang w:val="en-US" w:eastAsia="zh-CN"/>
                    </w:rPr>
                    <w:t>1.1 严格执行养殖业禁养区、限养区、适养区的划分规定，严格把关养殖项目审批，不得在禁养区、限养区新批任何畜禽养殖项目</w:t>
                  </w:r>
                </w:p>
                <w:p>
                  <w:pPr>
                    <w:pStyle w:val="79"/>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宋体"/>
                      <w:b w:val="0"/>
                      <w:bCs w:val="0"/>
                      <w:color w:val="FF0000"/>
                      <w:sz w:val="21"/>
                      <w:szCs w:val="21"/>
                      <w:u w:val="single"/>
                      <w:vertAlign w:val="baseline"/>
                      <w:lang w:val="en-US" w:eastAsia="zh-CN"/>
                    </w:rPr>
                  </w:pPr>
                  <w:r>
                    <w:rPr>
                      <w:rFonts w:hint="eastAsia" w:ascii="Times New Roman" w:hAnsi="Times New Roman" w:eastAsia="宋体" w:cs="宋体"/>
                      <w:b w:val="0"/>
                      <w:bCs w:val="0"/>
                      <w:color w:val="FF0000"/>
                      <w:sz w:val="21"/>
                      <w:szCs w:val="21"/>
                      <w:u w:val="single"/>
                      <w:vertAlign w:val="baseline"/>
                      <w:lang w:val="en-US" w:eastAsia="zh-CN"/>
                    </w:rPr>
                    <w:t>1.2 禁止露天焚烧垃圾和垃圾填埋，全面推行农村垃圾分类收集处理，逐步实现农村生活垃圾处理减量化、处置无害化、废物资源化</w:t>
                  </w:r>
                </w:p>
                <w:p>
                  <w:pPr>
                    <w:pStyle w:val="79"/>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宋体"/>
                      <w:b w:val="0"/>
                      <w:bCs w:val="0"/>
                      <w:color w:val="FF0000"/>
                      <w:sz w:val="21"/>
                      <w:szCs w:val="21"/>
                      <w:u w:val="single"/>
                      <w:vertAlign w:val="baseline"/>
                      <w:lang w:val="en-US" w:eastAsia="zh-CN"/>
                    </w:rPr>
                  </w:pPr>
                  <w:r>
                    <w:rPr>
                      <w:rFonts w:hint="eastAsia" w:ascii="Times New Roman" w:hAnsi="Times New Roman" w:eastAsia="宋体" w:cs="宋体"/>
                      <w:b w:val="0"/>
                      <w:bCs w:val="0"/>
                      <w:color w:val="FF0000"/>
                      <w:sz w:val="21"/>
                      <w:szCs w:val="21"/>
                      <w:u w:val="single"/>
                      <w:vertAlign w:val="baseline"/>
                      <w:lang w:val="en-US" w:eastAsia="zh-CN"/>
                    </w:rPr>
                    <w:t>1.3 禁止造成饮用水源保护区污染的活动，包括投肥养鱼、珍珠养殖、游泳、破坏植被等</w:t>
                  </w:r>
                </w:p>
              </w:tc>
              <w:tc>
                <w:tcPr>
                  <w:tcW w:w="1749" w:type="dxa"/>
                  <w:tcBorders>
                    <w:tl2br w:val="nil"/>
                    <w:tr2bl w:val="nil"/>
                  </w:tcBorders>
                </w:tcPr>
                <w:p>
                  <w:pPr>
                    <w:pStyle w:val="79"/>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宋体"/>
                      <w:b w:val="0"/>
                      <w:bCs w:val="0"/>
                      <w:color w:val="FF0000"/>
                      <w:sz w:val="21"/>
                      <w:szCs w:val="21"/>
                      <w:u w:val="single"/>
                      <w:vertAlign w:val="baseline"/>
                      <w:lang w:val="en-US" w:eastAsia="zh-CN"/>
                    </w:rPr>
                  </w:pPr>
                  <w:r>
                    <w:rPr>
                      <w:rFonts w:hint="eastAsia" w:ascii="Times New Roman" w:hAnsi="Times New Roman" w:eastAsia="宋体" w:cs="宋体"/>
                      <w:b w:val="0"/>
                      <w:bCs w:val="0"/>
                      <w:color w:val="FF0000"/>
                      <w:sz w:val="21"/>
                      <w:szCs w:val="21"/>
                      <w:u w:val="single"/>
                      <w:vertAlign w:val="baseline"/>
                      <w:lang w:val="en-US" w:eastAsia="zh-CN"/>
                    </w:rPr>
                    <w:t>本项目为人工湿地项目，不属于畜禽养殖、垃圾填埋、投肥养鱼等项目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8" w:type="dxa"/>
                  <w:tcBorders>
                    <w:tl2br w:val="nil"/>
                    <w:tr2bl w:val="nil"/>
                  </w:tcBorders>
                </w:tcPr>
                <w:p>
                  <w:pPr>
                    <w:spacing w:beforeLines="0" w:afterLines="0"/>
                    <w:jc w:val="left"/>
                    <w:rPr>
                      <w:rFonts w:hint="eastAsia" w:ascii="宋体" w:hAnsi="宋体" w:eastAsia="宋体"/>
                      <w:color w:val="FF0000"/>
                      <w:sz w:val="21"/>
                      <w:szCs w:val="24"/>
                      <w:u w:val="single"/>
                    </w:rPr>
                  </w:pPr>
                  <w:r>
                    <w:rPr>
                      <w:rFonts w:hint="eastAsia" w:ascii="宋体" w:hAnsi="宋体" w:eastAsia="宋体"/>
                      <w:color w:val="FF0000"/>
                      <w:sz w:val="21"/>
                      <w:szCs w:val="24"/>
                      <w:u w:val="single"/>
                    </w:rPr>
                    <w:t>污染物排</w:t>
                  </w:r>
                </w:p>
                <w:p>
                  <w:pPr>
                    <w:pStyle w:val="79"/>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b/>
                      <w:bCs/>
                      <w:color w:val="FF0000"/>
                      <w:sz w:val="21"/>
                      <w:szCs w:val="21"/>
                      <w:u w:val="single"/>
                      <w:vertAlign w:val="baseline"/>
                      <w:lang w:val="en-US" w:eastAsia="zh-CN"/>
                    </w:rPr>
                  </w:pPr>
                  <w:r>
                    <w:rPr>
                      <w:rFonts w:hint="eastAsia" w:ascii="宋体" w:hAnsi="宋体" w:eastAsia="宋体"/>
                      <w:color w:val="FF0000"/>
                      <w:sz w:val="21"/>
                      <w:szCs w:val="24"/>
                      <w:u w:val="single"/>
                    </w:rPr>
                    <w:t>放管控</w:t>
                  </w:r>
                </w:p>
              </w:tc>
              <w:tc>
                <w:tcPr>
                  <w:tcW w:w="4000" w:type="dxa"/>
                  <w:tcBorders>
                    <w:tl2br w:val="nil"/>
                    <w:tr2bl w:val="nil"/>
                  </w:tcBorders>
                </w:tcPr>
                <w:p>
                  <w:pPr>
                    <w:spacing w:beforeLines="0" w:afterLines="0"/>
                    <w:jc w:val="left"/>
                    <w:rPr>
                      <w:rFonts w:hint="default"/>
                      <w:b w:val="0"/>
                      <w:bCs w:val="0"/>
                      <w:color w:val="FF0000"/>
                      <w:sz w:val="21"/>
                      <w:szCs w:val="21"/>
                      <w:u w:val="single"/>
                      <w:vertAlign w:val="baseline"/>
                      <w:lang w:val="en-US" w:eastAsia="zh-CN"/>
                    </w:rPr>
                  </w:pPr>
                  <w:r>
                    <w:rPr>
                      <w:rFonts w:hint="default"/>
                      <w:b w:val="0"/>
                      <w:bCs w:val="0"/>
                      <w:color w:val="FF0000"/>
                      <w:sz w:val="21"/>
                      <w:szCs w:val="21"/>
                      <w:u w:val="single"/>
                      <w:vertAlign w:val="baseline"/>
                      <w:lang w:val="en-US" w:eastAsia="zh-CN"/>
                    </w:rPr>
                    <w:t>2.1 城市建成区内的施工工地（重点是市政工程、建筑工地和园林绿化工程等工地）按照绿色建筑施工要求，做到“六个 100%”。加大执法力度，对工地扬尘污染和渣土运输撒漏污染等行为“零容忍”，严查严管建筑工地、建筑垃圾处置工地、建筑垃圾消纳场扬尘污染问题，对车轮带泥、车身不洁、沿途撒漏、乱倾乱倒等造成路面及扬尘污染的违规行为依法严肃查处</w:t>
                  </w:r>
                </w:p>
                <w:p>
                  <w:pPr>
                    <w:spacing w:beforeLines="0" w:afterLines="0"/>
                    <w:jc w:val="left"/>
                    <w:rPr>
                      <w:rFonts w:hint="default"/>
                      <w:b w:val="0"/>
                      <w:bCs w:val="0"/>
                      <w:color w:val="FF0000"/>
                      <w:sz w:val="21"/>
                      <w:szCs w:val="21"/>
                      <w:u w:val="single"/>
                      <w:vertAlign w:val="baseline"/>
                      <w:lang w:val="en-US" w:eastAsia="zh-CN"/>
                    </w:rPr>
                  </w:pPr>
                  <w:r>
                    <w:rPr>
                      <w:rFonts w:hint="default"/>
                      <w:b w:val="0"/>
                      <w:bCs w:val="0"/>
                      <w:color w:val="FF0000"/>
                      <w:sz w:val="21"/>
                      <w:szCs w:val="21"/>
                      <w:u w:val="single"/>
                      <w:vertAlign w:val="baseline"/>
                      <w:lang w:val="en-US" w:eastAsia="zh-CN"/>
                    </w:rPr>
                    <w:t>2.2 加强化肥、农药、农膜污染防治，引导农民减少化肥、农药使用量，积极推广有机肥使用、生物农药、振频杀虫、诱蛾灯杀虫等生态农业技术，控制农业面源污染</w:t>
                  </w:r>
                </w:p>
                <w:p>
                  <w:pPr>
                    <w:spacing w:beforeLines="0" w:afterLines="0"/>
                    <w:jc w:val="left"/>
                    <w:rPr>
                      <w:rFonts w:hint="default"/>
                      <w:b w:val="0"/>
                      <w:bCs w:val="0"/>
                      <w:color w:val="FF0000"/>
                      <w:sz w:val="21"/>
                      <w:szCs w:val="21"/>
                      <w:u w:val="single"/>
                      <w:vertAlign w:val="baseline"/>
                      <w:lang w:val="en-US" w:eastAsia="zh-CN"/>
                    </w:rPr>
                  </w:pPr>
                  <w:r>
                    <w:rPr>
                      <w:rFonts w:hint="default"/>
                      <w:b w:val="0"/>
                      <w:bCs w:val="0"/>
                      <w:color w:val="FF0000"/>
                      <w:sz w:val="21"/>
                      <w:szCs w:val="21"/>
                      <w:u w:val="single"/>
                      <w:vertAlign w:val="baseline"/>
                      <w:lang w:val="en-US" w:eastAsia="zh-CN"/>
                    </w:rPr>
                    <w:t>2.3 强化配套，加快完善乡村两级垃圾处理基础设施，建设村（社区）垃圾定点收集池、垃圾堆积池、垃圾危险废物专用房屋（池）等基础设施，配备好垃圾车、保洁车等垃圾运输工具，农户配齐垃圾分类桶</w:t>
                  </w:r>
                </w:p>
                <w:p>
                  <w:pPr>
                    <w:spacing w:beforeLines="0" w:afterLines="0"/>
                    <w:jc w:val="left"/>
                    <w:rPr>
                      <w:rFonts w:hint="default"/>
                      <w:b w:val="0"/>
                      <w:bCs w:val="0"/>
                      <w:color w:val="FF0000"/>
                      <w:sz w:val="21"/>
                      <w:szCs w:val="21"/>
                      <w:u w:val="single"/>
                      <w:vertAlign w:val="baseline"/>
                      <w:lang w:val="en-US" w:eastAsia="zh-CN"/>
                    </w:rPr>
                  </w:pPr>
                  <w:r>
                    <w:rPr>
                      <w:rFonts w:hint="default"/>
                      <w:b w:val="0"/>
                      <w:bCs w:val="0"/>
                      <w:color w:val="FF0000"/>
                      <w:sz w:val="21"/>
                      <w:szCs w:val="21"/>
                      <w:u w:val="single"/>
                      <w:vertAlign w:val="baseline"/>
                      <w:lang w:val="en-US" w:eastAsia="zh-CN"/>
                    </w:rPr>
                    <w:t>2.4 分批次建好集镇污水处理设施，逐步解决集中生活区污水污染问题；加快建设三格、四格化粪池，解决分散户生活污水问题</w:t>
                  </w:r>
                </w:p>
                <w:p>
                  <w:pPr>
                    <w:spacing w:beforeLines="0" w:afterLines="0"/>
                    <w:jc w:val="left"/>
                    <w:rPr>
                      <w:rFonts w:hint="default"/>
                      <w:b w:val="0"/>
                      <w:bCs w:val="0"/>
                      <w:color w:val="FF0000"/>
                      <w:sz w:val="21"/>
                      <w:szCs w:val="21"/>
                      <w:u w:val="single"/>
                      <w:vertAlign w:val="baseline"/>
                      <w:lang w:val="en-US" w:eastAsia="zh-CN"/>
                    </w:rPr>
                  </w:pPr>
                  <w:r>
                    <w:rPr>
                      <w:rFonts w:hint="default"/>
                      <w:b w:val="0"/>
                      <w:bCs w:val="0"/>
                      <w:color w:val="FF0000"/>
                      <w:sz w:val="21"/>
                      <w:szCs w:val="21"/>
                      <w:u w:val="single"/>
                      <w:vertAlign w:val="baseline"/>
                      <w:lang w:val="en-US" w:eastAsia="zh-CN"/>
                    </w:rPr>
                    <w:t>2.5 严格规范兽药、饲料及饲料添加剂的生产和使用，从源头防止兽药、饲料添加剂中的有害成分通过畜禽养殖废弃物还田对土壤造成的污染</w:t>
                  </w:r>
                </w:p>
                <w:p>
                  <w:pPr>
                    <w:spacing w:beforeLines="0" w:afterLines="0"/>
                    <w:jc w:val="left"/>
                    <w:rPr>
                      <w:rFonts w:hint="default"/>
                      <w:b w:val="0"/>
                      <w:bCs w:val="0"/>
                      <w:color w:val="FF0000"/>
                      <w:sz w:val="21"/>
                      <w:szCs w:val="21"/>
                      <w:u w:val="single"/>
                      <w:vertAlign w:val="baseline"/>
                      <w:lang w:val="en-US" w:eastAsia="zh-CN"/>
                    </w:rPr>
                  </w:pPr>
                  <w:r>
                    <w:rPr>
                      <w:rFonts w:hint="default"/>
                      <w:b w:val="0"/>
                      <w:bCs w:val="0"/>
                      <w:color w:val="FF0000"/>
                      <w:sz w:val="21"/>
                      <w:szCs w:val="21"/>
                      <w:u w:val="single"/>
                      <w:vertAlign w:val="baseline"/>
                      <w:lang w:val="en-US" w:eastAsia="zh-CN"/>
                    </w:rPr>
                    <w:t>2.6 畜禽粪污污染整治应按照“干湿分离+雨污分流”的要求，采用干清粪工艺和粪污生物发酵处理利用模式处理粪污，须配套建设堆粪场、粪污水贮存池和铺设排污管道。干粪运至堆粪场好氧发酵，粪渣、尿、污水通过排污管道排入粪污水贮存池（或沼气池）厌氧发酵，贮存池内的粪污水不得向外排放，应就地或转运至其他农用地消纳，并签订粪污消纳协议</w:t>
                  </w:r>
                </w:p>
                <w:p>
                  <w:pPr>
                    <w:spacing w:beforeLines="0" w:afterLines="0"/>
                    <w:jc w:val="left"/>
                    <w:rPr>
                      <w:rFonts w:hint="default"/>
                      <w:b w:val="0"/>
                      <w:bCs w:val="0"/>
                      <w:color w:val="FF0000"/>
                      <w:sz w:val="21"/>
                      <w:szCs w:val="21"/>
                      <w:u w:val="single"/>
                      <w:vertAlign w:val="baseline"/>
                      <w:lang w:val="en-US" w:eastAsia="zh-CN"/>
                    </w:rPr>
                  </w:pPr>
                  <w:r>
                    <w:rPr>
                      <w:rFonts w:hint="default"/>
                      <w:b w:val="0"/>
                      <w:bCs w:val="0"/>
                      <w:color w:val="FF0000"/>
                      <w:sz w:val="21"/>
                      <w:szCs w:val="21"/>
                      <w:u w:val="single"/>
                      <w:vertAlign w:val="baseline"/>
                      <w:lang w:val="en-US" w:eastAsia="zh-CN"/>
                    </w:rPr>
                    <w:t>2.7 加强房屋建筑与市政工程施工现场扬尘环境监管，积极推进绿色施工，建设工程施工现场必须全封闭设置围挡墙，严禁敞开式作业，施工现场道路、作业区、生活区必须进行地面硬化。将施工扬尘污染控制情况纳入建筑企业信用管理系统，作为招投标的重要依据。渣土运输车辆全部采取密闭措施，对重点建筑施工现场安装视频，实施在线监管。推行道路机械化清扫等低尘作业方式。各种煤堆、料堆应实现封闭储存或建设防风抑尘设施</w:t>
                  </w:r>
                </w:p>
              </w:tc>
              <w:tc>
                <w:tcPr>
                  <w:tcW w:w="1749" w:type="dxa"/>
                  <w:tcBorders>
                    <w:tl2br w:val="nil"/>
                    <w:tr2bl w:val="nil"/>
                  </w:tcBorders>
                </w:tcPr>
                <w:p>
                  <w:pPr>
                    <w:pStyle w:val="79"/>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宋体" w:hAnsi="宋体"/>
                      <w:color w:val="FF0000"/>
                      <w:sz w:val="21"/>
                      <w:szCs w:val="24"/>
                      <w:u w:val="single"/>
                      <w:lang w:eastAsia="zh-CN"/>
                    </w:rPr>
                  </w:pPr>
                  <w:r>
                    <w:rPr>
                      <w:rFonts w:hint="eastAsia"/>
                      <w:b/>
                      <w:bCs/>
                      <w:color w:val="FF0000"/>
                      <w:sz w:val="21"/>
                      <w:szCs w:val="21"/>
                      <w:u w:val="single"/>
                      <w:vertAlign w:val="baseline"/>
                      <w:lang w:val="en-US" w:eastAsia="zh-CN"/>
                    </w:rPr>
                    <w:t>本项目不属于城市建成区，环评要求，项目在建设过程中不得</w:t>
                  </w:r>
                  <w:r>
                    <w:rPr>
                      <w:rFonts w:hint="eastAsia" w:ascii="宋体" w:hAnsi="宋体" w:eastAsia="宋体"/>
                      <w:color w:val="FF0000"/>
                      <w:sz w:val="21"/>
                      <w:szCs w:val="24"/>
                      <w:u w:val="single"/>
                    </w:rPr>
                    <w:t>倾倒土、石、尾矿、垃圾、废渣等固体废弃物</w:t>
                  </w:r>
                  <w:r>
                    <w:rPr>
                      <w:rFonts w:hint="eastAsia" w:ascii="宋体" w:hAnsi="宋体"/>
                      <w:color w:val="FF0000"/>
                      <w:sz w:val="21"/>
                      <w:szCs w:val="24"/>
                      <w:u w:val="single"/>
                      <w:lang w:eastAsia="zh-CN"/>
                    </w:rPr>
                    <w:t>。</w:t>
                  </w:r>
                </w:p>
                <w:p>
                  <w:pPr>
                    <w:pStyle w:val="79"/>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宋体" w:hAnsi="宋体"/>
                      <w:color w:val="FF0000"/>
                      <w:sz w:val="21"/>
                      <w:szCs w:val="24"/>
                      <w:u w:val="single"/>
                      <w:lang w:val="en-US" w:eastAsia="zh-CN"/>
                    </w:rPr>
                  </w:pPr>
                </w:p>
              </w:tc>
            </w:tr>
          </w:tbl>
          <w:p>
            <w:pPr>
              <w:pStyle w:val="79"/>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Cs w:val="21"/>
                <w:u w:val="none"/>
              </w:rPr>
            </w:pPr>
            <w:r>
              <w:rPr>
                <w:rFonts w:hint="eastAsia" w:cs="Times New Roman"/>
                <w:color w:val="FF0000"/>
                <w:sz w:val="24"/>
                <w:szCs w:val="24"/>
                <w:u w:val="single"/>
                <w:lang w:val="en-US" w:eastAsia="zh-CN"/>
              </w:rPr>
              <w:t>综上所述，本项目不属于城市建成区，环评要求，项目在建设过程中不得倾倒土、石、尾矿、垃圾、废渣等固体废弃物。</w:t>
            </w:r>
          </w:p>
        </w:tc>
      </w:tr>
    </w:tbl>
    <w:p>
      <w:pPr>
        <w:spacing w:line="360" w:lineRule="auto"/>
        <w:outlineLvl w:val="9"/>
        <w:rPr>
          <w:rFonts w:hint="default" w:ascii="Times New Roman" w:hAnsi="Times New Roman" w:eastAsia="宋体" w:cs="Times New Roman"/>
          <w:color w:val="auto"/>
          <w:sz w:val="30"/>
          <w:u w:val="none"/>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9"/>
        <w:jc w:val="center"/>
        <w:outlineLvl w:val="0"/>
        <w:rPr>
          <w:rFonts w:hint="default" w:ascii="Times New Roman" w:hAnsi="Times New Roman" w:eastAsia="宋体" w:cs="Times New Roman"/>
          <w:snapToGrid w:val="0"/>
          <w:color w:val="auto"/>
          <w:sz w:val="30"/>
          <w:szCs w:val="30"/>
          <w:u w:val="none"/>
        </w:rPr>
      </w:pPr>
      <w:bookmarkStart w:id="15" w:name="_Toc10107"/>
      <w:bookmarkStart w:id="16" w:name="_Toc22551"/>
      <w:bookmarkStart w:id="17" w:name="_Toc32417"/>
      <w:bookmarkStart w:id="18" w:name="_Toc18001"/>
      <w:bookmarkStart w:id="19" w:name="_Toc13395"/>
      <w:bookmarkStart w:id="20" w:name="_Toc7924"/>
      <w:r>
        <w:rPr>
          <w:rFonts w:hint="default" w:ascii="Times New Roman" w:hAnsi="Times New Roman" w:eastAsia="宋体" w:cs="Times New Roman"/>
          <w:snapToGrid w:val="0"/>
          <w:color w:val="auto"/>
          <w:sz w:val="30"/>
          <w:szCs w:val="30"/>
          <w:u w:val="none"/>
        </w:rPr>
        <w:t>二、建设内容</w:t>
      </w:r>
      <w:bookmarkEnd w:id="15"/>
      <w:bookmarkEnd w:id="16"/>
      <w:bookmarkEnd w:id="17"/>
      <w:bookmarkEnd w:id="18"/>
      <w:bookmarkEnd w:id="19"/>
      <w:bookmarkEnd w:id="20"/>
    </w:p>
    <w:tbl>
      <w:tblPr>
        <w:tblStyle w:val="32"/>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0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423" w:type="dxa"/>
            <w:noWrap w:val="0"/>
            <w:vAlign w:val="center"/>
          </w:tcPr>
          <w:p>
            <w:pPr>
              <w:adjustRightInd w:val="0"/>
              <w:snapToGrid w:val="0"/>
              <w:jc w:val="center"/>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kern w:val="0"/>
                <w:szCs w:val="21"/>
                <w:u w:val="none"/>
              </w:rPr>
              <w:t>地理位置</w:t>
            </w:r>
          </w:p>
        </w:tc>
        <w:tc>
          <w:tcPr>
            <w:tcW w:w="8099" w:type="dxa"/>
            <w:noWrap w:val="0"/>
            <w:vAlign w:val="center"/>
          </w:tcPr>
          <w:p>
            <w:pPr>
              <w:adjustRightInd w:val="0"/>
              <w:snapToGrid w:val="0"/>
              <w:spacing w:line="360" w:lineRule="auto"/>
              <w:ind w:firstLine="480" w:firstLineChars="200"/>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sz w:val="24"/>
                <w:u w:val="none"/>
                <w:lang w:val="en-US" w:eastAsia="zh-CN"/>
              </w:rPr>
              <w:t>湘阴县青山岛横岭湖团山围闸口人工湿地工程</w:t>
            </w:r>
            <w:r>
              <w:rPr>
                <w:rFonts w:hint="eastAsia" w:cs="Times New Roman"/>
                <w:color w:val="auto"/>
                <w:sz w:val="24"/>
                <w:u w:val="none"/>
                <w:lang w:val="en-US" w:eastAsia="zh-CN"/>
              </w:rPr>
              <w:t>位于</w:t>
            </w:r>
            <w:r>
              <w:rPr>
                <w:rFonts w:hint="default" w:ascii="Times New Roman" w:hAnsi="Times New Roman" w:eastAsia="宋体" w:cs="Times New Roman"/>
                <w:color w:val="auto"/>
                <w:sz w:val="24"/>
                <w:u w:val="none"/>
                <w:lang w:val="en-US" w:eastAsia="zh-CN"/>
              </w:rPr>
              <w:t>岳阳市湘阴县三塘镇青草湖村</w:t>
            </w:r>
            <w:r>
              <w:rPr>
                <w:rFonts w:hint="eastAsia" w:cs="Times New Roman"/>
                <w:color w:val="auto"/>
                <w:sz w:val="24"/>
                <w:u w:val="none"/>
                <w:lang w:val="en-US" w:eastAsia="zh-CN"/>
              </w:rPr>
              <w:t>，</w:t>
            </w:r>
            <w:r>
              <w:rPr>
                <w:rFonts w:hint="default" w:ascii="Times New Roman" w:hAnsi="Times New Roman" w:eastAsia="宋体" w:cs="Times New Roman"/>
                <w:color w:val="auto"/>
                <w:sz w:val="24"/>
                <w:u w:val="none"/>
                <w:lang w:val="en-US" w:eastAsia="zh-CN"/>
              </w:rPr>
              <w:t>建设地点中心坐标</w:t>
            </w:r>
            <w:r>
              <w:rPr>
                <w:rFonts w:hint="eastAsia" w:cs="Times New Roman"/>
                <w:color w:val="auto"/>
                <w:sz w:val="24"/>
                <w:u w:val="none"/>
                <w:lang w:val="en-US" w:eastAsia="zh-CN"/>
              </w:rPr>
              <w:t>为</w:t>
            </w:r>
            <w:r>
              <w:rPr>
                <w:rFonts w:hint="default" w:ascii="Times New Roman" w:hAnsi="Times New Roman" w:eastAsia="宋体" w:cs="Times New Roman"/>
                <w:color w:val="auto"/>
                <w:sz w:val="24"/>
                <w:u w:val="none"/>
                <w:lang w:val="en-US" w:eastAsia="zh-CN"/>
              </w:rPr>
              <w:t>112度50分32.46秒，28度52分4.98秒</w:t>
            </w:r>
            <w:r>
              <w:rPr>
                <w:rFonts w:hint="eastAsia" w:cs="Times New Roman"/>
                <w:color w:val="auto"/>
                <w:sz w:val="24"/>
                <w:u w:val="none"/>
                <w:lang w:val="en-US" w:eastAsia="zh-CN"/>
              </w:rPr>
              <w:t>，东侧为</w:t>
            </w:r>
            <w:r>
              <w:rPr>
                <w:rFonts w:hint="default" w:ascii="Times New Roman" w:hAnsi="Times New Roman" w:eastAsia="宋体" w:cs="Times New Roman"/>
                <w:color w:val="auto"/>
                <w:sz w:val="24"/>
                <w:u w:val="none"/>
                <w:lang w:val="en-US" w:eastAsia="zh-CN"/>
              </w:rPr>
              <w:t>青草湖村</w:t>
            </w:r>
            <w:r>
              <w:rPr>
                <w:rFonts w:hint="eastAsia" w:cs="Times New Roman"/>
                <w:color w:val="auto"/>
                <w:sz w:val="24"/>
                <w:u w:val="none"/>
                <w:lang w:val="en-US" w:eastAsia="zh-CN"/>
              </w:rPr>
              <w:t>上山村、南和西侧为青山岛防洪堤坝，北侧为</w:t>
            </w:r>
            <w:r>
              <w:rPr>
                <w:rFonts w:hint="default" w:ascii="Times New Roman" w:hAnsi="Times New Roman" w:eastAsia="宋体" w:cs="Times New Roman"/>
                <w:color w:val="auto"/>
                <w:sz w:val="24"/>
                <w:u w:val="none"/>
                <w:lang w:val="en-US" w:eastAsia="zh-CN"/>
              </w:rPr>
              <w:t>青草湖村</w:t>
            </w:r>
            <w:r>
              <w:rPr>
                <w:rFonts w:hint="eastAsia" w:cs="Times New Roman"/>
                <w:color w:val="auto"/>
                <w:sz w:val="24"/>
                <w:u w:val="none"/>
                <w:lang w:val="en-US" w:eastAsia="zh-CN"/>
              </w:rPr>
              <w:t>下山村</w:t>
            </w:r>
            <w:r>
              <w:rPr>
                <w:rFonts w:hint="default" w:ascii="Times New Roman" w:hAnsi="Times New Roman" w:eastAsia="宋体" w:cs="Times New Roman"/>
                <w:color w:val="auto"/>
                <w:sz w:val="24"/>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dxa"/>
            <w:noWrap w:val="0"/>
            <w:vAlign w:val="center"/>
          </w:tcPr>
          <w:p>
            <w:pPr>
              <w:adjustRightInd w:val="0"/>
              <w:snapToGrid w:val="0"/>
              <w:jc w:val="center"/>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kern w:val="0"/>
                <w:szCs w:val="21"/>
                <w:u w:val="none"/>
              </w:rPr>
              <w:t>项目组成及规模</w:t>
            </w:r>
          </w:p>
        </w:tc>
        <w:tc>
          <w:tcPr>
            <w:tcW w:w="8099" w:type="dxa"/>
            <w:noWrap w:val="0"/>
            <w:vAlign w:val="center"/>
          </w:tcPr>
          <w:p>
            <w:pPr>
              <w:adjustRightInd w:val="0"/>
              <w:snapToGrid w:val="0"/>
              <w:spacing w:line="360" w:lineRule="auto"/>
              <w:ind w:firstLine="482" w:firstLineChars="200"/>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（一）</w:t>
            </w:r>
            <w:r>
              <w:rPr>
                <w:rFonts w:hint="eastAsia" w:cs="Times New Roman"/>
                <w:b/>
                <w:bCs/>
                <w:color w:val="auto"/>
                <w:sz w:val="24"/>
                <w:u w:val="none"/>
                <w:lang w:val="en-US" w:eastAsia="zh-CN"/>
              </w:rPr>
              <w:t>项目由来及</w:t>
            </w:r>
            <w:r>
              <w:rPr>
                <w:rFonts w:hint="default" w:ascii="Times New Roman" w:hAnsi="Times New Roman" w:eastAsia="宋体" w:cs="Times New Roman"/>
                <w:b/>
                <w:bCs/>
                <w:color w:val="auto"/>
                <w:sz w:val="24"/>
                <w:u w:val="none"/>
                <w:lang w:val="en-US" w:eastAsia="zh-CN"/>
              </w:rPr>
              <w:t>必要性分析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eastAsia="宋体" w:cs="Times New Roman"/>
                <w:b/>
                <w:bCs/>
                <w:color w:val="auto"/>
                <w:sz w:val="24"/>
                <w:szCs w:val="24"/>
                <w:u w:val="none"/>
                <w:lang w:val="en-US" w:eastAsia="zh-CN"/>
              </w:rPr>
            </w:pPr>
            <w:r>
              <w:rPr>
                <w:rFonts w:hint="eastAsia" w:cs="Times New Roman"/>
                <w:b/>
                <w:bCs/>
                <w:color w:val="auto"/>
                <w:sz w:val="24"/>
                <w:szCs w:val="24"/>
                <w:u w:val="none"/>
                <w:lang w:val="en-US" w:eastAsia="zh-CN"/>
              </w:rPr>
              <w:t>1、项目由来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u w:val="none"/>
                <w:lang w:val="en-US" w:eastAsia="zh-CN"/>
              </w:rPr>
            </w:pPr>
            <w:r>
              <w:rPr>
                <w:rFonts w:hint="eastAsia" w:cs="Times New Roman"/>
                <w:color w:val="auto"/>
                <w:sz w:val="24"/>
                <w:szCs w:val="24"/>
                <w:u w:val="none"/>
                <w:lang w:val="en-US" w:eastAsia="zh-CN"/>
              </w:rPr>
              <w:t>党的十八大以来，党中央、国务院要求加强水污染防治和水生态环境保护。2015 年，国务院发布了《水污染防治行动计划》，2016 年发布了《国家长江经济带发展规划纲要》，2017 年、2018 年，生态环境部等部委先后印发《长江经济带生态环境保护规划》、《长江保护修复攻坚战行动计划》。2018 年 4 月 25 日，习近平总书记来到湖南省考察调研长江生态环境修复工作，把脉长江经济带建设。再次提出“要共抓大保护、不搞大开发，要把长江生态修复放在首位”。同年 6 月国务院发布《关于全面加强生态环境保护，坚决打好污染防治攻坚战的意见》。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u w:val="none"/>
                <w:lang w:val="en-US" w:eastAsia="zh-CN"/>
              </w:rPr>
            </w:pPr>
            <w:r>
              <w:rPr>
                <w:rFonts w:hint="eastAsia" w:cs="Times New Roman"/>
                <w:color w:val="auto"/>
                <w:sz w:val="24"/>
                <w:szCs w:val="24"/>
                <w:u w:val="none"/>
                <w:lang w:val="en-US" w:eastAsia="zh-CN"/>
              </w:rPr>
              <w:t>洞庭湖是中国第二大淡水湖，也是长江中游最重要的调蓄湖泊和湿地，被誉为“长江之肾”，洞庭湖是三湘儿女的“母亲湖”，也是国家重要生态安全屏障。为切实改善洞庭湖生态环境，加强洞庭湖水环境综合治理，2019 年，湖南省政府印发了《湖南省洞庭湖水环境综合治理规划实施方案（2018—2025 年）》。近年来洞庭湖水质持续好转，但总磷污染的问题并未得到根本改变，已成为影响洞庭湖水环境的突出短板。2021 年 6 月 21 日，湖南省政府发布蓝皮书——《2021年湖南生态文明建设报告》，其中提到的下一阶段重点任务之一就是推进洞庭湖总磷整治。要求抓好农村生活污水、农业面源污染治理，降低农药化肥施用强度，加强农药化肥施用管控，持续降低总磷污染物排放总量。加大湿地保护、湖滨河滨生态缓冲带建设等工作力度，切实提升环境自净能力。洞庭湖总磷污染控制与削减是落实《中华人民共和国长江保护法》的重要举措，是省委、省政府明确的重点工作，《湖南省“十四五”生态环境保护规划》把洞庭湖的生态保护与修复列为重点工作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u w:val="none"/>
                <w:lang w:val="en-US" w:eastAsia="zh-CN"/>
              </w:rPr>
            </w:pPr>
            <w:r>
              <w:rPr>
                <w:rFonts w:hint="eastAsia" w:cs="Times New Roman"/>
                <w:color w:val="auto"/>
                <w:sz w:val="24"/>
                <w:szCs w:val="24"/>
                <w:u w:val="none"/>
                <w:lang w:val="en-US" w:eastAsia="zh-CN"/>
              </w:rPr>
              <w:t>横岭湖位于湖南东北部的南洞庭湖与东洞庭湖交汇区，汇集了湘江、资江、沅水的全部来水及长江三口和澧水的大部分来水，是洞庭湖湿地生态系统的重要组成部分，横岭湖设有国控断面，横岭湖与东洞庭湖水质息息相关。2018-2021年10月横岭湖的水质常规监测结果表明，横岭湖总磷近年多数月份为Ⅳ类标准，甚至个别月份达Ⅴ类。本项目治理区域在横岭湖国控断面附近，项目的实施对横岭湖水质改善及东洞庭湖降磷具有一定的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color w:val="FF0000"/>
                <w:sz w:val="24"/>
                <w:szCs w:val="24"/>
                <w:u w:val="single"/>
                <w:lang w:val="en-US" w:eastAsia="zh-CN"/>
              </w:rPr>
            </w:pPr>
            <w:r>
              <w:rPr>
                <w:rFonts w:hint="default" w:cs="Times New Roman"/>
                <w:color w:val="FF0000"/>
                <w:sz w:val="24"/>
                <w:szCs w:val="24"/>
                <w:u w:val="single"/>
                <w:lang w:val="en-US" w:eastAsia="zh-CN"/>
              </w:rPr>
              <w:t>湖南洋沙湖投资控股集团有限公司</w:t>
            </w:r>
            <w:r>
              <w:rPr>
                <w:rFonts w:hint="eastAsia" w:cs="Times New Roman"/>
                <w:color w:val="FF0000"/>
                <w:sz w:val="24"/>
                <w:szCs w:val="24"/>
                <w:u w:val="single"/>
                <w:lang w:val="en-US" w:eastAsia="zh-CN"/>
              </w:rPr>
              <w:t>提出了</w:t>
            </w:r>
            <w:r>
              <w:rPr>
                <w:rFonts w:hint="default" w:ascii="Times New Roman" w:hAnsi="Times New Roman" w:eastAsia="宋体" w:cs="Times New Roman"/>
                <w:color w:val="FF0000"/>
                <w:sz w:val="24"/>
                <w:u w:val="single"/>
                <w:lang w:val="en-US" w:eastAsia="zh-CN"/>
              </w:rPr>
              <w:t>湘阴县青山岛横岭湖团山围闸口人工湿地工程</w:t>
            </w:r>
            <w:r>
              <w:rPr>
                <w:rFonts w:hint="eastAsia" w:cs="Times New Roman"/>
                <w:color w:val="FF0000"/>
                <w:sz w:val="24"/>
                <w:u w:val="single"/>
                <w:lang w:val="en-US" w:eastAsia="zh-CN"/>
              </w:rPr>
              <w:t>，并申请了中央生态环境资金。2021年1月，委托湖南省环境保护科学研究院编制了《</w:t>
            </w:r>
            <w:r>
              <w:rPr>
                <w:rFonts w:hint="default" w:ascii="Times New Roman" w:hAnsi="Times New Roman" w:eastAsia="宋体" w:cs="Times New Roman"/>
                <w:color w:val="FF0000"/>
                <w:sz w:val="24"/>
                <w:u w:val="single"/>
                <w:lang w:val="en-US" w:eastAsia="zh-CN"/>
              </w:rPr>
              <w:t>湘阴县青山岛横岭湖团山围闸口人工湿地工程</w:t>
            </w:r>
            <w:r>
              <w:rPr>
                <w:rFonts w:hint="eastAsia" w:cs="Times New Roman"/>
                <w:color w:val="FF0000"/>
                <w:sz w:val="24"/>
                <w:u w:val="single"/>
                <w:lang w:val="en-US" w:eastAsia="zh-CN"/>
              </w:rPr>
              <w:t>可行性研究报告》。2023年3月，委托湖南乙竹环境科技有限公司编制了《</w:t>
            </w:r>
            <w:r>
              <w:rPr>
                <w:rFonts w:hint="default" w:ascii="Times New Roman" w:hAnsi="Times New Roman" w:eastAsia="宋体" w:cs="Times New Roman"/>
                <w:color w:val="FF0000"/>
                <w:sz w:val="24"/>
                <w:u w:val="single"/>
                <w:lang w:val="en-US" w:eastAsia="zh-CN"/>
              </w:rPr>
              <w:t>湘阴县青山岛横岭湖团山围闸口人工湿地工程</w:t>
            </w:r>
            <w:r>
              <w:rPr>
                <w:rFonts w:hint="eastAsia" w:cs="Times New Roman"/>
                <w:color w:val="FF0000"/>
                <w:sz w:val="24"/>
                <w:u w:val="single"/>
                <w:lang w:val="en-US" w:eastAsia="zh-CN"/>
              </w:rPr>
              <w:t>初步设计》。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FF0000"/>
                <w:sz w:val="24"/>
                <w:szCs w:val="24"/>
                <w:u w:val="single"/>
                <w:lang w:val="en-US" w:eastAsia="zh-CN"/>
              </w:rPr>
            </w:pPr>
            <w:r>
              <w:rPr>
                <w:rFonts w:hint="eastAsia" w:cs="Times New Roman"/>
                <w:color w:val="FF0000"/>
                <w:sz w:val="24"/>
                <w:szCs w:val="24"/>
                <w:u w:val="single"/>
                <w:lang w:val="en-US" w:eastAsia="zh-CN"/>
              </w:rPr>
              <w:t>本项目不涉及国家公园、自然保护区、风景名胜区、世界文化和自然遗产地、海洋特别保护区、饮用水水源保护区等生态红线。本项目人工湿地包括植物布水塘（调节池）、表面流人工湿地、生态塘，植物布水塘（调节池）总容积149895.2m</w:t>
            </w:r>
            <w:r>
              <w:rPr>
                <w:rFonts w:hint="eastAsia" w:cs="Times New Roman"/>
                <w:color w:val="FF0000"/>
                <w:sz w:val="24"/>
                <w:szCs w:val="24"/>
                <w:u w:val="single"/>
                <w:vertAlign w:val="superscript"/>
                <w:lang w:val="en-US" w:eastAsia="zh-CN"/>
              </w:rPr>
              <w:t>3</w:t>
            </w:r>
            <w:r>
              <w:rPr>
                <w:rFonts w:hint="eastAsia" w:cs="Times New Roman"/>
                <w:color w:val="FF0000"/>
                <w:sz w:val="24"/>
                <w:szCs w:val="24"/>
                <w:u w:val="single"/>
                <w:lang w:val="en-US" w:eastAsia="zh-CN"/>
              </w:rPr>
              <w:t>（面积为57652m</w:t>
            </w:r>
            <w:r>
              <w:rPr>
                <w:rFonts w:hint="eastAsia" w:cs="Times New Roman"/>
                <w:color w:val="FF0000"/>
                <w:sz w:val="24"/>
                <w:szCs w:val="24"/>
                <w:u w:val="single"/>
                <w:vertAlign w:val="superscript"/>
                <w:lang w:val="en-US" w:eastAsia="zh-CN"/>
              </w:rPr>
              <w:t>2</w:t>
            </w:r>
            <w:r>
              <w:rPr>
                <w:rFonts w:hint="eastAsia" w:cs="Times New Roman"/>
                <w:color w:val="FF0000"/>
                <w:sz w:val="24"/>
                <w:szCs w:val="24"/>
                <w:u w:val="single"/>
                <w:lang w:val="en-US" w:eastAsia="zh-CN"/>
              </w:rPr>
              <w:t>、水深2.6m），表面流人工湿地总容积108000m</w:t>
            </w:r>
            <w:r>
              <w:rPr>
                <w:rFonts w:hint="eastAsia" w:cs="Times New Roman"/>
                <w:color w:val="FF0000"/>
                <w:sz w:val="24"/>
                <w:szCs w:val="24"/>
                <w:u w:val="single"/>
                <w:vertAlign w:val="superscript"/>
                <w:lang w:val="en-US" w:eastAsia="zh-CN"/>
              </w:rPr>
              <w:t>3</w:t>
            </w:r>
            <w:r>
              <w:rPr>
                <w:rFonts w:hint="eastAsia" w:cs="Times New Roman"/>
                <w:color w:val="FF0000"/>
                <w:sz w:val="24"/>
                <w:szCs w:val="24"/>
                <w:u w:val="single"/>
                <w:lang w:val="en-US" w:eastAsia="zh-CN"/>
              </w:rPr>
              <w:t>（面积为120000m</w:t>
            </w:r>
            <w:r>
              <w:rPr>
                <w:rFonts w:hint="eastAsia" w:cs="Times New Roman"/>
                <w:color w:val="FF0000"/>
                <w:sz w:val="24"/>
                <w:szCs w:val="24"/>
                <w:u w:val="single"/>
                <w:vertAlign w:val="superscript"/>
                <w:lang w:val="en-US" w:eastAsia="zh-CN"/>
              </w:rPr>
              <w:t>2</w:t>
            </w:r>
            <w:r>
              <w:rPr>
                <w:rFonts w:hint="eastAsia" w:cs="Times New Roman"/>
                <w:color w:val="FF0000"/>
                <w:sz w:val="24"/>
                <w:szCs w:val="24"/>
                <w:u w:val="single"/>
                <w:lang w:val="en-US" w:eastAsia="zh-CN"/>
              </w:rPr>
              <w:t>、水深0.9m），生态塘总容积</w:t>
            </w:r>
            <w:r>
              <w:rPr>
                <w:rFonts w:hint="eastAsia" w:ascii="Times New Roman" w:hAnsi="Times New Roman" w:eastAsia="宋体" w:cs="Times New Roman"/>
                <w:color w:val="FF0000"/>
                <w:sz w:val="24"/>
                <w:szCs w:val="24"/>
                <w:u w:val="single"/>
              </w:rPr>
              <w:t>61127</w:t>
            </w:r>
            <w:r>
              <w:rPr>
                <w:rFonts w:hint="eastAsia" w:cs="Times New Roman"/>
                <w:color w:val="FF0000"/>
                <w:sz w:val="24"/>
                <w:szCs w:val="24"/>
                <w:u w:val="single"/>
                <w:lang w:val="en-US" w:eastAsia="zh-CN"/>
              </w:rPr>
              <w:t>m</w:t>
            </w:r>
            <w:r>
              <w:rPr>
                <w:rFonts w:hint="eastAsia" w:cs="Times New Roman"/>
                <w:color w:val="FF0000"/>
                <w:sz w:val="24"/>
                <w:szCs w:val="24"/>
                <w:u w:val="single"/>
                <w:vertAlign w:val="superscript"/>
                <w:lang w:val="en-US" w:eastAsia="zh-CN"/>
              </w:rPr>
              <w:t>3</w:t>
            </w:r>
            <w:r>
              <w:rPr>
                <w:rFonts w:hint="eastAsia" w:cs="Times New Roman"/>
                <w:color w:val="FF0000"/>
                <w:sz w:val="24"/>
                <w:szCs w:val="24"/>
                <w:u w:val="single"/>
                <w:lang w:val="en-US" w:eastAsia="zh-CN"/>
              </w:rPr>
              <w:t>（面积为</w:t>
            </w:r>
            <w:r>
              <w:rPr>
                <w:rFonts w:hint="eastAsia" w:ascii="Times New Roman" w:hAnsi="Times New Roman" w:eastAsia="宋体" w:cs="Times New Roman"/>
                <w:color w:val="FF0000"/>
                <w:sz w:val="24"/>
                <w:szCs w:val="24"/>
                <w:u w:val="single"/>
              </w:rPr>
              <w:t>61127</w:t>
            </w:r>
            <w:r>
              <w:rPr>
                <w:rFonts w:hint="eastAsia" w:cs="Times New Roman"/>
                <w:color w:val="FF0000"/>
                <w:sz w:val="24"/>
                <w:szCs w:val="24"/>
                <w:u w:val="single"/>
                <w:lang w:val="en-US" w:eastAsia="zh-CN"/>
              </w:rPr>
              <w:t>m</w:t>
            </w:r>
            <w:r>
              <w:rPr>
                <w:rFonts w:hint="eastAsia" w:cs="Times New Roman"/>
                <w:color w:val="FF0000"/>
                <w:sz w:val="24"/>
                <w:szCs w:val="24"/>
                <w:u w:val="single"/>
                <w:vertAlign w:val="superscript"/>
                <w:lang w:val="en-US" w:eastAsia="zh-CN"/>
              </w:rPr>
              <w:t>2</w:t>
            </w:r>
            <w:r>
              <w:rPr>
                <w:rFonts w:hint="eastAsia" w:cs="Times New Roman"/>
                <w:color w:val="FF0000"/>
                <w:sz w:val="24"/>
                <w:szCs w:val="24"/>
                <w:u w:val="single"/>
                <w:lang w:val="en-US" w:eastAsia="zh-CN"/>
              </w:rPr>
              <w:t>、水深1m），总容积319022.2m</w:t>
            </w:r>
            <w:r>
              <w:rPr>
                <w:rFonts w:hint="eastAsia" w:cs="Times New Roman"/>
                <w:color w:val="FF0000"/>
                <w:sz w:val="24"/>
                <w:szCs w:val="24"/>
                <w:u w:val="single"/>
                <w:vertAlign w:val="superscript"/>
                <w:lang w:val="en-US" w:eastAsia="zh-CN"/>
              </w:rPr>
              <w:t>3</w:t>
            </w:r>
            <w:r>
              <w:rPr>
                <w:rFonts w:hint="eastAsia" w:cs="Times New Roman"/>
                <w:color w:val="FF0000"/>
                <w:sz w:val="24"/>
                <w:szCs w:val="24"/>
                <w:u w:val="single"/>
                <w:lang w:val="en-US" w:eastAsia="zh-CN"/>
              </w:rPr>
              <w:t>。根据《建设项目环境影响评价分类管理名录（2021年版）》，本项目属于“五十、社会事业与服务业——114、公园（含动物园、主题公园；不含城市公园、植物园、村庄公园）；人工湖、人工湿地”类，容积大于5万立方米，小于500万立方米，应编制环境影响报告表。湖南洋沙湖投资控股集团有限公司委托我司开展《湘阴县青山岛横岭湖团山围闸口人工湿地工程》环境影响评价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cs="Times New Roman"/>
                <w:b/>
                <w:bCs/>
                <w:color w:val="FF0000"/>
                <w:sz w:val="24"/>
                <w:szCs w:val="24"/>
                <w:u w:val="single"/>
                <w:lang w:val="en-US" w:eastAsia="zh-CN"/>
              </w:rPr>
            </w:pPr>
            <w:r>
              <w:rPr>
                <w:rFonts w:hint="eastAsia" w:cs="Times New Roman"/>
                <w:b/>
                <w:bCs/>
                <w:color w:val="FF0000"/>
                <w:sz w:val="24"/>
                <w:szCs w:val="24"/>
                <w:u w:val="single"/>
                <w:lang w:val="en-US" w:eastAsia="zh-CN"/>
              </w:rPr>
              <w:t>2、项目必要性分析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eastAsia" w:cs="Times New Roman"/>
                <w:color w:val="FF0000"/>
                <w:sz w:val="24"/>
                <w:szCs w:val="24"/>
                <w:u w:val="single"/>
                <w:lang w:val="en-US" w:eastAsia="zh-CN"/>
              </w:rPr>
              <w:t>1、</w:t>
            </w:r>
            <w:r>
              <w:rPr>
                <w:rFonts w:hint="default" w:ascii="Times New Roman" w:hAnsi="Times New Roman" w:eastAsia="宋体" w:cs="Times New Roman"/>
                <w:color w:val="FF0000"/>
                <w:sz w:val="24"/>
                <w:szCs w:val="24"/>
                <w:u w:val="single"/>
              </w:rPr>
              <w:t>是落实习近平生态文明思想的重要体现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default" w:ascii="Times New Roman" w:hAnsi="Times New Roman" w:eastAsia="宋体" w:cs="Times New Roman"/>
                <w:color w:val="FF0000"/>
                <w:sz w:val="24"/>
                <w:szCs w:val="24"/>
                <w:u w:val="single"/>
              </w:rPr>
              <w:t>党的十八大以来，习近平总书记从生态文明建设的整体视野提出“山水林田湖草是生命共同体”的论断，强调“统筹山水林田湖草系统治理”“全方位、全地域、全过程开展生态文明建设”。推进生态文明建设，需要符合生态的系统性，坚持系统思维、协同推进。“沙进人退”转为“绿进沙退”，各自为战转为全域治理，多头管理转为统筹协同，生态环境保护领域之所以发生历史性变革、取得历史性成就，一个重要原因就在于牢固树立、深入践行了“山水林田湖草是生命共同体”的系统思想。2018 年4 月25 日，习近平总书记来到湖南省考察调研长江生态环境修复工作，把脉长江经济带建设。再次提出“要共抓大保护、不搞大开发，要把长江生态修复放在首位”。本项目作为“洞庭湖区域山水林田湖草沙一体化保护和修复工程”的子项目，项目的建设是生态文明思想的重要体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eastAsia" w:cs="Times New Roman"/>
                <w:color w:val="FF0000"/>
                <w:sz w:val="24"/>
                <w:szCs w:val="24"/>
                <w:u w:val="single"/>
                <w:lang w:val="en-US" w:eastAsia="zh-CN"/>
              </w:rPr>
              <w:t>2、</w:t>
            </w:r>
            <w:r>
              <w:rPr>
                <w:rFonts w:hint="default" w:ascii="Times New Roman" w:hAnsi="Times New Roman" w:eastAsia="宋体" w:cs="Times New Roman"/>
                <w:color w:val="FF0000"/>
                <w:sz w:val="24"/>
                <w:szCs w:val="24"/>
                <w:u w:val="single"/>
              </w:rPr>
              <w:t>是东洞庭湖总磷削减的有效手段之一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default" w:ascii="Times New Roman" w:hAnsi="Times New Roman" w:eastAsia="宋体" w:cs="Times New Roman"/>
                <w:color w:val="FF0000"/>
                <w:sz w:val="24"/>
                <w:szCs w:val="24"/>
                <w:u w:val="single"/>
              </w:rPr>
              <w:t>洞庭湖在维系长江中下游流域江湖关系和生态平衡方面具有不可或缺的重要作用。近年来，通过各级各方面的共同努力，洞庭湖湖体水质持续好转，但总磷浓度下降幅度明显趋缓，总磷超标问题已成为影响洞庭湖水环境质量的突出短板。洞庭湖总磷污染控制与削减是落实《长江保护法》的重要举措，是省委、省政府明确的重点工作。本项目作为东洞庭湖滨带生态保护与修复项目的子项目之一，项目的实施能够一定程度少削减横岭湖总磷浓度，是东洞庭湖总磷削减的有效手段之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eastAsia" w:cs="Times New Roman"/>
                <w:color w:val="FF0000"/>
                <w:sz w:val="24"/>
                <w:szCs w:val="24"/>
                <w:u w:val="single"/>
                <w:lang w:val="en-US" w:eastAsia="zh-CN"/>
              </w:rPr>
              <w:t>3、</w:t>
            </w:r>
            <w:r>
              <w:rPr>
                <w:rFonts w:hint="default" w:ascii="Times New Roman" w:hAnsi="Times New Roman" w:eastAsia="宋体" w:cs="Times New Roman"/>
                <w:color w:val="FF0000"/>
                <w:sz w:val="24"/>
                <w:szCs w:val="24"/>
                <w:u w:val="single"/>
              </w:rPr>
              <w:t>是东洞庭湖生态湿地保护和改善洞庭湖生物栖息环境的需要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default" w:ascii="Times New Roman" w:hAnsi="Times New Roman" w:eastAsia="宋体" w:cs="Times New Roman"/>
                <w:color w:val="FF0000"/>
                <w:sz w:val="24"/>
                <w:szCs w:val="24"/>
                <w:u w:val="single"/>
              </w:rPr>
              <w:t>横岭湖自然保护区位于湖南东北部的南洞庭湖与东洞庭湖交汇区，是长江流域湿地生态系统以及洞庭湖湿地生态系统的重要组成部分，其水系和地貌有着独一无二的特征。横岭湖位于湘江与资江的交汇处，其汇集了湘江、资江、沅水的全部来水及长江三口和澧水的大部分来水，是西洞庭湖、南洞庭湖通向东洞庭湖的咽喉要道，是保护洞庭湖水系及生态系统的关键地区。横岭湖省级自然保护区湿地面积大，它不仅为人类的生产生活提供资源，更在抵御洪灾、调节径流、控制湿地污染和土壤侵蚀、促淤造陆等多方面发挥其它系统不可替代的“地球之肾”作用。目前洞庭湖已成为国际重要湿地，横岭湖自然保护区作为洞庭湖生态功能区的重要组成部分，加强其保护管理对保护洞庭湖生态系统的完整性、维持湿地生态系统的功能、保障人类福祉的实现具有十分重大而特殊的意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default" w:ascii="Times New Roman" w:hAnsi="Times New Roman" w:eastAsia="宋体" w:cs="Times New Roman"/>
                <w:color w:val="FF0000"/>
                <w:sz w:val="24"/>
                <w:szCs w:val="24"/>
                <w:u w:val="single"/>
              </w:rPr>
              <w:t>横岭湖省级自然保护区生态环境复杂，动、植物物种丰富，是许多濒危、珍稀迁徙水鸟的重要栖息地、繁殖地和中转站，珍稀鱼类动物也纷纷聚居于此。横岭湖是国家Ⅰ级重点保护动物中华秋沙鸭、青头潜鸭的主要越冬区，也是国家Ⅰ级重点保护动物长江江豚主要分布区，而且包括横岭湖在内的洞庭湖区的越冬白额雁的数量更是达到全球种群数量的50%以上，此处还分布有近10 年来洞庭湖数量最多的白鹤种群。可见，横岭湖保护区的生物种类不但数量众多，而且珍稀物种比例高，是洞庭湖重要的物种基因库，也是国家重点保护水生生物的栖息地，加强其保护管理对生物多样性保护、珍稀濒危物种及其栖息地保护具有极其重要的价值。</w:t>
            </w:r>
          </w:p>
          <w:p>
            <w:pPr>
              <w:adjustRightInd w:val="0"/>
              <w:snapToGrid w:val="0"/>
              <w:spacing w:line="360" w:lineRule="auto"/>
              <w:ind w:firstLine="482" w:firstLineChars="200"/>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（二）</w:t>
            </w:r>
            <w:r>
              <w:rPr>
                <w:rFonts w:hint="eastAsia" w:cs="Times New Roman"/>
                <w:b/>
                <w:bCs/>
                <w:color w:val="auto"/>
                <w:sz w:val="24"/>
                <w:u w:val="none"/>
                <w:lang w:val="en-US" w:eastAsia="zh-CN"/>
              </w:rPr>
              <w:t>横岭湖区域环境现状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湘阴横岭湖省级自然保护区（以下简称“横岭湖”或“保护区”）在地理上处于湖南东北部的南洞庭湖与东洞庭湖交汇区，在行政区域上位于岳阳市湘阴县境内，地理坐标介于东经112°38′~112°57′，北纬28°35′~29°03′之间，总面积4.3 万公顷，其中永久性陆地2.2 万公顷，洲滩0.6 万公顷，永久性水面1.5 万公顷。同时，横岭湖为西洞庭湖、南洞庭湖通往东洞庭湖的咽喉要道，是洞庭湖重要的行、蓄洪通道，它的生态环境状况直接影响到东洞庭湖的水质、蓄洪和行洪能力。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横岭湖省级自然保护区以保护洞庭湖区典型的自然湿地生态系统和珍稀动植物及其栖息地为主，保护自然景观和人文景观为辅，保护与适度开发利用相结合的湿地类型自然保护区。保护对象为区域内包括野生动植物在内的所有生物物种及由其构成的湿地生态系统、水域景观、地貌景观等。横岭湖地处洞庭湖腹地，相对封闭，这在客观上为保护湿地环境的生物资源提供有利条件。对外主要依靠水路交通，距县城20 千米。境内青山岛有简易机耕路4.5 千米，有硬化村道约20 千米，已建青山岛进出码头2 处。丰水期区行船巡护，枯水季节可行走洲滩中的出露小路。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none"/>
                <w:lang w:val="en-US" w:eastAsia="zh-CN" w:bidi="ar"/>
              </w:rPr>
            </w:pPr>
            <w:r>
              <w:rPr>
                <w:rFonts w:hint="eastAsia" w:ascii="Times New Roman" w:hAnsi="Times New Roman" w:eastAsia="宋体" w:cs="Times New Roman"/>
                <w:color w:val="auto"/>
                <w:kern w:val="0"/>
                <w:sz w:val="24"/>
                <w:szCs w:val="24"/>
                <w:u w:val="none"/>
                <w:lang w:val="en-US" w:eastAsia="zh-CN" w:bidi="ar"/>
              </w:rPr>
              <w:t>青山岛现有一个行政村，即青草湖村。目前岛上常住人口约400人，耕地面积1500 亩，水面养殖面积6000 亩，荒山6500 亩，年降水量1399 亳米，降水所形成的地表径流、种养殖业所产生的污水及部分居民的生活废水汇集沟渠。区域内无工业及加工业，污染来源主要为化肥污染、水产养殖尾水及居民生活污水等。青山岛为洞庭湖围垦区，区域内网沟渠湿地发达，岛内居民生活、农业生产及养殖业所生产的污水及污染物主要通过沟渠系统收集后进入垸内养殖鱼塘，经团山围闸口直接排入横岭湖，影响横岭湖及东洞庭湖水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u w:val="none"/>
                <w:lang w:val="en-US" w:eastAsia="zh-CN" w:bidi="ar"/>
              </w:rPr>
            </w:pPr>
            <w:r>
              <w:rPr>
                <w:rFonts w:hint="eastAsia" w:cs="Times New Roman"/>
                <w:b/>
                <w:bCs/>
                <w:color w:val="auto"/>
                <w:kern w:val="0"/>
                <w:sz w:val="24"/>
                <w:szCs w:val="24"/>
                <w:u w:val="none"/>
                <w:lang w:val="en-US" w:eastAsia="zh-CN" w:bidi="ar"/>
              </w:rPr>
              <w:t>（三）</w:t>
            </w:r>
            <w:r>
              <w:rPr>
                <w:rFonts w:hint="default" w:ascii="Times New Roman" w:hAnsi="Times New Roman" w:eastAsia="宋体" w:cs="Times New Roman"/>
                <w:b/>
                <w:bCs/>
                <w:color w:val="auto"/>
                <w:kern w:val="0"/>
                <w:sz w:val="24"/>
                <w:szCs w:val="24"/>
                <w:u w:val="none"/>
                <w:lang w:val="en-US" w:eastAsia="zh-CN" w:bidi="ar"/>
              </w:rPr>
              <w:t>主要生态环境问题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none"/>
                <w:lang w:val="en-US" w:eastAsia="zh-CN" w:bidi="ar"/>
              </w:rPr>
            </w:pPr>
            <w:r>
              <w:rPr>
                <w:rFonts w:hint="eastAsia" w:cs="Times New Roman"/>
                <w:color w:val="auto"/>
                <w:kern w:val="0"/>
                <w:sz w:val="24"/>
                <w:szCs w:val="24"/>
                <w:u w:val="none"/>
                <w:lang w:val="en-US" w:eastAsia="zh-CN" w:bidi="ar"/>
              </w:rPr>
              <w:t>1、</w:t>
            </w:r>
            <w:r>
              <w:rPr>
                <w:rFonts w:hint="default" w:ascii="Times New Roman" w:hAnsi="Times New Roman" w:eastAsia="宋体" w:cs="Times New Roman"/>
                <w:color w:val="auto"/>
                <w:kern w:val="0"/>
                <w:sz w:val="24"/>
                <w:szCs w:val="24"/>
                <w:u w:val="none"/>
                <w:lang w:val="en-US" w:eastAsia="zh-CN" w:bidi="ar"/>
              </w:rPr>
              <w:t>横岭湖自然栖息地水质不稳定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none"/>
                <w:lang w:val="en-US" w:eastAsia="zh-CN" w:bidi="ar"/>
              </w:rPr>
            </w:pPr>
            <w:r>
              <w:rPr>
                <w:rFonts w:hint="default" w:ascii="Times New Roman" w:hAnsi="Times New Roman" w:eastAsia="宋体" w:cs="Times New Roman"/>
                <w:color w:val="auto"/>
                <w:kern w:val="0"/>
                <w:sz w:val="24"/>
                <w:szCs w:val="24"/>
                <w:u w:val="none"/>
                <w:lang w:val="en-US" w:eastAsia="zh-CN" w:bidi="ar"/>
              </w:rPr>
              <w:t>通过横岭湖2018-2021 年10 月水质常规监测数据可知，虽横岭湖水质有所改善，但水质变化波动较大，2021 年仍有5 个月份水质处于地表水环境质量Ⅳ类标准，不能稳定达标Ⅲ类标准。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none"/>
                <w:lang w:val="en-US" w:eastAsia="zh-CN" w:bidi="ar"/>
              </w:rPr>
            </w:pPr>
            <w:r>
              <w:rPr>
                <w:rFonts w:hint="eastAsia" w:cs="Times New Roman"/>
                <w:color w:val="auto"/>
                <w:kern w:val="0"/>
                <w:sz w:val="24"/>
                <w:szCs w:val="24"/>
                <w:u w:val="none"/>
                <w:lang w:val="en-US" w:eastAsia="zh-CN" w:bidi="ar"/>
              </w:rPr>
              <w:t>2、</w:t>
            </w:r>
            <w:r>
              <w:rPr>
                <w:rFonts w:hint="default" w:ascii="Times New Roman" w:hAnsi="Times New Roman" w:eastAsia="宋体" w:cs="Times New Roman"/>
                <w:color w:val="auto"/>
                <w:kern w:val="0"/>
                <w:sz w:val="24"/>
                <w:szCs w:val="24"/>
                <w:u w:val="none"/>
                <w:lang w:val="en-US" w:eastAsia="zh-CN" w:bidi="ar"/>
              </w:rPr>
              <w:t>青山岛垸内鱼塘水质超标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none"/>
                <w:lang w:val="en-US" w:eastAsia="zh-CN" w:bidi="ar"/>
              </w:rPr>
            </w:pPr>
            <w:r>
              <w:rPr>
                <w:rFonts w:hint="default" w:ascii="Times New Roman" w:hAnsi="Times New Roman" w:eastAsia="宋体" w:cs="Times New Roman"/>
                <w:color w:val="auto"/>
                <w:kern w:val="0"/>
                <w:sz w:val="24"/>
                <w:szCs w:val="24"/>
                <w:u w:val="none"/>
                <w:lang w:val="en-US" w:eastAsia="zh-CN" w:bidi="ar"/>
              </w:rPr>
              <w:t>本次对垸内鱼塘水质检测结果表面垸内水域COD、总磷存在着不同程度的超标，说明岛上生态养殖以及居民的日常生产活动或多或少增加了水体的污染负荷。而垸内鱼塘水体最终通过团山围闸口排入横岭湖，直接影响横岭湖总磷浓度。</w:t>
            </w:r>
          </w:p>
          <w:p>
            <w:pPr>
              <w:adjustRightInd w:val="0"/>
              <w:snapToGrid w:val="0"/>
              <w:spacing w:line="360" w:lineRule="auto"/>
              <w:ind w:firstLine="482" w:firstLineChars="200"/>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w:t>
            </w:r>
            <w:r>
              <w:rPr>
                <w:rFonts w:hint="eastAsia" w:cs="Times New Roman"/>
                <w:b/>
                <w:bCs/>
                <w:color w:val="auto"/>
                <w:sz w:val="24"/>
                <w:u w:val="none"/>
                <w:lang w:val="en-US" w:eastAsia="zh-CN"/>
              </w:rPr>
              <w:t>四</w:t>
            </w:r>
            <w:r>
              <w:rPr>
                <w:rFonts w:hint="default" w:ascii="Times New Roman" w:hAnsi="Times New Roman" w:eastAsia="宋体" w:cs="Times New Roman"/>
                <w:b/>
                <w:bCs/>
                <w:color w:val="auto"/>
                <w:sz w:val="24"/>
                <w:u w:val="none"/>
                <w:lang w:val="en-US" w:eastAsia="zh-CN"/>
              </w:rPr>
              <w:t>）项目组成及规模</w:t>
            </w:r>
          </w:p>
          <w:p>
            <w:pPr>
              <w:adjustRightInd w:val="0"/>
              <w:snapToGrid w:val="0"/>
              <w:spacing w:line="360" w:lineRule="auto"/>
              <w:ind w:firstLine="480" w:firstLineChars="200"/>
              <w:rPr>
                <w:rFonts w:hint="eastAsia" w:ascii="Times New Roman" w:hAnsi="Times New Roman" w:eastAsia="宋体" w:cs="Times New Roman"/>
                <w:color w:val="auto"/>
                <w:sz w:val="24"/>
                <w:u w:val="none"/>
                <w:lang w:val="en-US" w:eastAsia="zh-CN"/>
              </w:rPr>
            </w:pPr>
            <w:r>
              <w:rPr>
                <w:rFonts w:hint="eastAsia" w:ascii="Times New Roman" w:hAnsi="Times New Roman" w:eastAsia="宋体" w:cs="Times New Roman"/>
                <w:color w:val="auto"/>
                <w:sz w:val="24"/>
                <w:u w:val="none"/>
                <w:lang w:val="en-US" w:eastAsia="zh-CN"/>
              </w:rPr>
              <w:t>采用表面流人工湿地工艺对青山岛垸内鱼塘尾水和农村生产生活污水进行净化，项目占地约358 亩，处理能力为20000m</w:t>
            </w:r>
            <w:r>
              <w:rPr>
                <w:rFonts w:hint="eastAsia" w:ascii="Times New Roman" w:hAnsi="Times New Roman" w:eastAsia="宋体" w:cs="Times New Roman"/>
                <w:color w:val="auto"/>
                <w:sz w:val="24"/>
                <w:u w:val="none"/>
                <w:vertAlign w:val="superscript"/>
                <w:lang w:val="en-US" w:eastAsia="zh-CN"/>
              </w:rPr>
              <w:t>3</w:t>
            </w:r>
            <w:r>
              <w:rPr>
                <w:rFonts w:hint="eastAsia" w:ascii="Times New Roman" w:hAnsi="Times New Roman" w:eastAsia="宋体" w:cs="Times New Roman"/>
                <w:color w:val="auto"/>
                <w:sz w:val="24"/>
                <w:u w:val="none"/>
                <w:lang w:val="en-US" w:eastAsia="zh-CN"/>
              </w:rPr>
              <w:t>/d。具体如下：</w:t>
            </w:r>
          </w:p>
          <w:p>
            <w:pPr>
              <w:adjustRightInd w:val="0"/>
              <w:snapToGrid w:val="0"/>
              <w:spacing w:line="360" w:lineRule="auto"/>
              <w:ind w:firstLine="480" w:firstLineChars="200"/>
              <w:rPr>
                <w:rFonts w:hint="eastAsia" w:ascii="Times New Roman" w:hAnsi="Times New Roman" w:eastAsia="宋体" w:cs="Times New Roman"/>
                <w:color w:val="auto"/>
                <w:sz w:val="24"/>
                <w:u w:val="none"/>
                <w:lang w:val="en-US" w:eastAsia="zh-CN"/>
              </w:rPr>
            </w:pPr>
            <w:r>
              <w:rPr>
                <w:rFonts w:hint="eastAsia" w:ascii="Times New Roman" w:hAnsi="Times New Roman" w:eastAsia="宋体" w:cs="Times New Roman"/>
                <w:color w:val="auto"/>
                <w:sz w:val="24"/>
                <w:u w:val="none"/>
                <w:lang w:val="en-US" w:eastAsia="zh-CN"/>
              </w:rPr>
              <w:t>1、人工湿地工程</w:t>
            </w:r>
          </w:p>
          <w:p>
            <w:pPr>
              <w:adjustRightInd w:val="0"/>
              <w:snapToGrid w:val="0"/>
              <w:spacing w:line="360" w:lineRule="auto"/>
              <w:ind w:firstLine="480" w:firstLineChars="200"/>
              <w:rPr>
                <w:rFonts w:hint="eastAsia" w:ascii="Times New Roman" w:hAnsi="Times New Roman" w:eastAsia="宋体" w:cs="Times New Roman"/>
                <w:color w:val="auto"/>
                <w:sz w:val="24"/>
                <w:u w:val="none"/>
                <w:lang w:val="en-US" w:eastAsia="zh-CN"/>
              </w:rPr>
            </w:pPr>
            <w:r>
              <w:rPr>
                <w:rFonts w:hint="eastAsia" w:ascii="Times New Roman" w:hAnsi="Times New Roman" w:eastAsia="宋体" w:cs="Times New Roman"/>
                <w:color w:val="auto"/>
                <w:sz w:val="24"/>
                <w:u w:val="none"/>
                <w:lang w:val="en-US" w:eastAsia="zh-CN"/>
              </w:rPr>
              <w:t>修建人工湿地对鱼塘尾水和居民生产生活污水进行处理，包括布水塘（调节池）、表面流人工湿地、生态塘（氧化塘），项目占地约358 亩；修建0.8km 退水渠，汛期区域鱼塘尾水可直接通过退水渠经团山围闸口排入横岭湖，有效保护人工湿地。</w:t>
            </w:r>
          </w:p>
          <w:p>
            <w:pPr>
              <w:adjustRightInd w:val="0"/>
              <w:snapToGrid w:val="0"/>
              <w:spacing w:line="360" w:lineRule="auto"/>
              <w:ind w:firstLine="480" w:firstLineChars="200"/>
              <w:rPr>
                <w:rFonts w:hint="eastAsia" w:ascii="Times New Roman" w:hAnsi="Times New Roman" w:eastAsia="宋体" w:cs="Times New Roman"/>
                <w:color w:val="auto"/>
                <w:sz w:val="24"/>
                <w:u w:val="none"/>
                <w:lang w:val="en-US" w:eastAsia="zh-CN"/>
              </w:rPr>
            </w:pPr>
            <w:r>
              <w:rPr>
                <w:rFonts w:hint="eastAsia" w:ascii="Times New Roman" w:hAnsi="Times New Roman" w:eastAsia="宋体" w:cs="Times New Roman"/>
                <w:color w:val="auto"/>
                <w:sz w:val="24"/>
                <w:u w:val="none"/>
                <w:lang w:val="en-US" w:eastAsia="zh-CN"/>
              </w:rPr>
              <w:t>2、尾水提升工程</w:t>
            </w:r>
          </w:p>
          <w:p>
            <w:pPr>
              <w:adjustRightInd w:val="0"/>
              <w:snapToGrid w:val="0"/>
              <w:spacing w:line="360" w:lineRule="auto"/>
              <w:ind w:firstLine="480" w:firstLineChars="200"/>
              <w:rPr>
                <w:rFonts w:hint="eastAsia" w:ascii="Times New Roman" w:hAnsi="Times New Roman" w:eastAsia="宋体" w:cs="Times New Roman"/>
                <w:color w:val="auto"/>
                <w:sz w:val="24"/>
                <w:u w:val="none"/>
                <w:lang w:val="en-US" w:eastAsia="zh-CN"/>
              </w:rPr>
            </w:pPr>
            <w:r>
              <w:rPr>
                <w:rFonts w:hint="eastAsia" w:ascii="Times New Roman" w:hAnsi="Times New Roman" w:eastAsia="宋体" w:cs="Times New Roman"/>
                <w:color w:val="auto"/>
                <w:sz w:val="24"/>
                <w:u w:val="none"/>
                <w:lang w:val="en-US" w:eastAsia="zh-CN"/>
              </w:rPr>
              <w:t>修建3.5km 回水管，配套建设3 座调节闸以及一座提升泵站，枯水期将人工湿地出水泵入上游鱼塘用作鱼塘生态补水。</w:t>
            </w:r>
          </w:p>
          <w:p>
            <w:pPr>
              <w:adjustRightInd w:val="0"/>
              <w:snapToGrid w:val="0"/>
              <w:spacing w:line="360" w:lineRule="auto"/>
              <w:ind w:firstLine="480" w:firstLineChars="200"/>
              <w:rPr>
                <w:rFonts w:hint="eastAsia" w:ascii="Times New Roman" w:hAnsi="Times New Roman" w:eastAsia="宋体" w:cs="Times New Roman"/>
                <w:color w:val="auto"/>
                <w:sz w:val="24"/>
                <w:u w:val="none"/>
                <w:lang w:val="en-US" w:eastAsia="zh-CN"/>
              </w:rPr>
            </w:pPr>
            <w:r>
              <w:rPr>
                <w:rFonts w:hint="eastAsia" w:ascii="Times New Roman" w:hAnsi="Times New Roman" w:eastAsia="宋体" w:cs="Times New Roman"/>
                <w:color w:val="auto"/>
                <w:sz w:val="24"/>
                <w:u w:val="none"/>
                <w:lang w:val="en-US" w:eastAsia="zh-CN"/>
              </w:rPr>
              <w:t>3、生态护坡工程</w:t>
            </w:r>
          </w:p>
          <w:p>
            <w:pPr>
              <w:adjustRightInd w:val="0"/>
              <w:snapToGrid w:val="0"/>
              <w:spacing w:line="360" w:lineRule="auto"/>
              <w:ind w:firstLine="480" w:firstLineChars="200"/>
              <w:rPr>
                <w:rFonts w:hint="default" w:ascii="Times New Roman" w:hAnsi="Times New Roman" w:eastAsia="宋体" w:cs="Times New Roman"/>
                <w:color w:val="auto"/>
                <w:sz w:val="24"/>
                <w:u w:val="none"/>
                <w:lang w:val="en-US" w:eastAsia="zh-CN"/>
              </w:rPr>
            </w:pPr>
            <w:r>
              <w:rPr>
                <w:rFonts w:hint="eastAsia" w:ascii="Times New Roman" w:hAnsi="Times New Roman" w:eastAsia="宋体" w:cs="Times New Roman"/>
                <w:color w:val="auto"/>
                <w:sz w:val="24"/>
                <w:u w:val="none"/>
                <w:lang w:val="en-US" w:eastAsia="zh-CN"/>
              </w:rPr>
              <w:t>在人工湿地和生态塘东侧区域修建生态护坡，铺设草皮护坡，长度0.88km。</w:t>
            </w:r>
          </w:p>
          <w:p>
            <w:pPr>
              <w:adjustRightInd w:val="0"/>
              <w:snapToGrid w:val="0"/>
              <w:spacing w:line="360" w:lineRule="auto"/>
              <w:ind w:firstLine="482" w:firstLineChars="200"/>
              <w:rPr>
                <w:rFonts w:hint="default" w:ascii="Times New Roman" w:hAnsi="Times New Roman" w:eastAsia="宋体" w:cs="Times New Roman"/>
                <w:b/>
                <w:color w:val="auto"/>
                <w:sz w:val="24"/>
                <w:u w:val="none"/>
                <w:lang w:val="en-US" w:eastAsia="zh-CN"/>
              </w:rPr>
            </w:pPr>
            <w:r>
              <w:rPr>
                <w:rFonts w:hint="eastAsia" w:cs="Times New Roman"/>
                <w:b/>
                <w:color w:val="auto"/>
                <w:sz w:val="24"/>
                <w:u w:val="none"/>
                <w:lang w:eastAsia="zh-CN"/>
              </w:rPr>
              <w:t>（</w:t>
            </w:r>
            <w:r>
              <w:rPr>
                <w:rFonts w:hint="eastAsia" w:cs="Times New Roman"/>
                <w:b/>
                <w:color w:val="auto"/>
                <w:sz w:val="24"/>
                <w:u w:val="none"/>
                <w:lang w:val="en-US" w:eastAsia="zh-CN"/>
              </w:rPr>
              <w:t>五</w:t>
            </w:r>
            <w:r>
              <w:rPr>
                <w:rFonts w:hint="eastAsia" w:cs="Times New Roman"/>
                <w:b/>
                <w:color w:val="auto"/>
                <w:sz w:val="24"/>
                <w:u w:val="none"/>
                <w:lang w:eastAsia="zh-CN"/>
              </w:rPr>
              <w:t>）</w:t>
            </w:r>
            <w:r>
              <w:rPr>
                <w:rFonts w:hint="default" w:ascii="Times New Roman" w:hAnsi="Times New Roman" w:eastAsia="宋体" w:cs="Times New Roman"/>
                <w:b/>
                <w:color w:val="auto"/>
                <w:sz w:val="24"/>
                <w:u w:val="none"/>
                <w:lang w:val="en-US" w:eastAsia="zh-CN"/>
              </w:rPr>
              <w:t>进出水水质标准</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1、设计流量</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根据实施方案中设计参数，本项目人工湿地湿地系统设计流量Q=20000m</w:t>
            </w:r>
            <w:r>
              <w:rPr>
                <w:rFonts w:hint="eastAsia" w:ascii="Times New Roman" w:hAnsi="Times New Roman" w:eastAsia="宋体" w:cs="Times New Roman"/>
                <w:color w:val="auto"/>
                <w:sz w:val="24"/>
                <w:szCs w:val="24"/>
                <w:u w:val="none"/>
                <w:vertAlign w:val="superscript"/>
              </w:rPr>
              <w:t>3</w:t>
            </w:r>
            <w:r>
              <w:rPr>
                <w:rFonts w:hint="eastAsia" w:ascii="Times New Roman" w:hAnsi="Times New Roman" w:eastAsia="宋体" w:cs="Times New Roman"/>
                <w:color w:val="auto"/>
                <w:sz w:val="24"/>
                <w:szCs w:val="24"/>
                <w:u w:val="none"/>
              </w:rPr>
              <w:t>/d。</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2、设计进、出水水质</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本项目人工湿地出水</w:t>
            </w:r>
            <w:r>
              <w:rPr>
                <w:rFonts w:hint="eastAsia" w:cs="Times New Roman"/>
                <w:color w:val="auto"/>
                <w:sz w:val="24"/>
                <w:szCs w:val="24"/>
                <w:u w:val="none"/>
                <w:lang w:val="en-US" w:eastAsia="zh-CN"/>
              </w:rPr>
              <w:t>通过提升泵站抽至上游鱼塘养殖，设计进出水水质如下</w:t>
            </w:r>
            <w:r>
              <w:rPr>
                <w:rFonts w:hint="eastAsia" w:ascii="Times New Roman" w:hAnsi="Times New Roman" w:eastAsia="宋体" w:cs="Times New Roman"/>
                <w:color w:val="auto"/>
                <w:sz w:val="24"/>
                <w:szCs w:val="24"/>
                <w:u w:val="none"/>
              </w:rPr>
              <w:t>。</w:t>
            </w:r>
          </w:p>
          <w:p>
            <w:pPr>
              <w:adjustRightInd w:val="0"/>
              <w:snapToGrid w:val="0"/>
              <w:spacing w:line="240" w:lineRule="auto"/>
              <w:rPr>
                <w:rFonts w:hint="default" w:ascii="Times New Roman" w:hAnsi="Times New Roman" w:eastAsia="宋体" w:cs="Times New Roman"/>
                <w:b/>
                <w:bCs/>
                <w:color w:val="auto"/>
                <w:sz w:val="24"/>
                <w:szCs w:val="24"/>
                <w:u w:val="none"/>
              </w:rPr>
            </w:pPr>
            <w:r>
              <w:rPr>
                <w:rFonts w:hint="default" w:ascii="Times New Roman" w:hAnsi="Times New Roman" w:eastAsia="宋体" w:cs="Times New Roman"/>
                <w:b/>
                <w:bCs/>
                <w:color w:val="auto"/>
                <w:sz w:val="24"/>
                <w:szCs w:val="24"/>
                <w:u w:val="none"/>
              </w:rPr>
              <w:t>表2-</w:t>
            </w:r>
            <w:r>
              <w:rPr>
                <w:rFonts w:hint="eastAsia" w:cs="Times New Roman"/>
                <w:b/>
                <w:bCs/>
                <w:color w:val="auto"/>
                <w:sz w:val="24"/>
                <w:szCs w:val="24"/>
                <w:u w:val="none"/>
                <w:lang w:val="en-US" w:eastAsia="zh-CN"/>
              </w:rPr>
              <w:t>1</w:t>
            </w:r>
            <w:r>
              <w:rPr>
                <w:rFonts w:hint="default" w:ascii="Times New Roman" w:hAnsi="Times New Roman" w:eastAsia="宋体" w:cs="Times New Roman"/>
                <w:b/>
                <w:bCs/>
                <w:color w:val="auto"/>
                <w:sz w:val="24"/>
                <w:szCs w:val="24"/>
                <w:u w:val="none"/>
              </w:rPr>
              <w:t xml:space="preserve">   </w:t>
            </w:r>
            <w:r>
              <w:rPr>
                <w:rFonts w:hint="eastAsia" w:cs="Times New Roman"/>
                <w:b/>
                <w:bCs/>
                <w:color w:val="auto"/>
                <w:sz w:val="24"/>
                <w:szCs w:val="24"/>
                <w:u w:val="none"/>
                <w:lang w:val="en-US" w:eastAsia="zh-CN"/>
              </w:rPr>
              <w:t xml:space="preserve">         </w:t>
            </w:r>
            <w:r>
              <w:rPr>
                <w:rFonts w:hint="default" w:ascii="Times New Roman" w:hAnsi="Times New Roman" w:eastAsia="宋体" w:cs="Times New Roman"/>
                <w:b/>
                <w:bCs/>
                <w:color w:val="auto"/>
                <w:sz w:val="24"/>
                <w:szCs w:val="24"/>
                <w:u w:val="none"/>
              </w:rPr>
              <w:t xml:space="preserve"> 本项目进出水水质一览表</w:t>
            </w:r>
            <w:r>
              <w:rPr>
                <w:rFonts w:hint="eastAsia" w:cs="Times New Roman"/>
                <w:b/>
                <w:bCs/>
                <w:color w:val="auto"/>
                <w:sz w:val="24"/>
                <w:szCs w:val="24"/>
                <w:u w:val="none"/>
                <w:lang w:val="en-US" w:eastAsia="zh-CN"/>
              </w:rPr>
              <w:t xml:space="preserve">     </w:t>
            </w:r>
            <w:r>
              <w:rPr>
                <w:rFonts w:hint="default" w:ascii="Times New Roman" w:hAnsi="Times New Roman" w:eastAsia="宋体" w:cs="Times New Roman"/>
                <w:b/>
                <w:bCs/>
                <w:color w:val="auto"/>
                <w:sz w:val="24"/>
                <w:szCs w:val="24"/>
                <w:u w:val="none"/>
              </w:rPr>
              <w:t xml:space="preserve">    单位:mg/L</w:t>
            </w:r>
          </w:p>
          <w:p>
            <w:pPr>
              <w:keepNext w:val="0"/>
              <w:keepLines w:val="0"/>
              <w:pageBreakBefore w:val="0"/>
              <w:widowControl w:val="0"/>
              <w:tabs>
                <w:tab w:val="left" w:pos="4065"/>
              </w:tabs>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color w:val="auto"/>
                <w:kern w:val="1"/>
                <w:sz w:val="24"/>
                <w:u w:val="none"/>
                <w:lang w:val="en-US" w:eastAsia="zh-CN"/>
              </w:rPr>
            </w:pPr>
            <w:r>
              <w:rPr>
                <w:u w:val="none"/>
              </w:rPr>
              <w:drawing>
                <wp:inline distT="0" distB="0" distL="114300" distR="114300">
                  <wp:extent cx="5002530" cy="880745"/>
                  <wp:effectExtent l="0" t="0" r="7620" b="1460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6"/>
                          <a:stretch>
                            <a:fillRect/>
                          </a:stretch>
                        </pic:blipFill>
                        <pic:spPr>
                          <a:xfrm>
                            <a:off x="0" y="0"/>
                            <a:ext cx="5002530" cy="880745"/>
                          </a:xfrm>
                          <a:prstGeom prst="rect">
                            <a:avLst/>
                          </a:prstGeom>
                          <a:noFill/>
                          <a:ln>
                            <a:noFill/>
                          </a:ln>
                        </pic:spPr>
                      </pic:pic>
                    </a:graphicData>
                  </a:graphic>
                </wp:inline>
              </w:drawing>
            </w:r>
          </w:p>
          <w:p>
            <w:pPr>
              <w:adjustRightInd w:val="0"/>
              <w:snapToGrid w:val="0"/>
              <w:spacing w:line="360" w:lineRule="auto"/>
              <w:ind w:firstLine="482" w:firstLineChars="200"/>
              <w:rPr>
                <w:rFonts w:hint="default" w:ascii="Times New Roman" w:hAnsi="Times New Roman" w:eastAsia="宋体" w:cs="Times New Roman"/>
                <w:b/>
                <w:color w:val="auto"/>
                <w:sz w:val="24"/>
                <w:u w:val="none"/>
              </w:rPr>
            </w:pPr>
            <w:r>
              <w:rPr>
                <w:rFonts w:hint="eastAsia" w:cs="Times New Roman"/>
                <w:b/>
                <w:color w:val="auto"/>
                <w:sz w:val="24"/>
                <w:u w:val="none"/>
                <w:lang w:val="en-US" w:eastAsia="zh-CN"/>
              </w:rPr>
              <w:t>（六）</w:t>
            </w:r>
            <w:r>
              <w:rPr>
                <w:rFonts w:hint="default" w:ascii="Times New Roman" w:hAnsi="Times New Roman" w:eastAsia="宋体" w:cs="Times New Roman"/>
                <w:b/>
                <w:color w:val="auto"/>
                <w:sz w:val="24"/>
                <w:u w:val="none"/>
              </w:rPr>
              <w:t>项目方案设计</w:t>
            </w:r>
          </w:p>
          <w:p>
            <w:pPr>
              <w:adjustRightInd w:val="0"/>
              <w:snapToGrid w:val="0"/>
              <w:spacing w:line="360" w:lineRule="auto"/>
              <w:ind w:firstLine="482" w:firstLineChars="200"/>
              <w:rPr>
                <w:rFonts w:hint="default" w:ascii="Times New Roman" w:hAnsi="Times New Roman" w:eastAsia="宋体" w:cs="Times New Roman"/>
                <w:b/>
                <w:color w:val="auto"/>
                <w:kern w:val="0"/>
                <w:sz w:val="24"/>
                <w:u w:val="none"/>
                <w:lang w:val="en-US" w:eastAsia="zh-CN"/>
              </w:rPr>
            </w:pPr>
            <w:r>
              <w:rPr>
                <w:rFonts w:hint="eastAsia" w:cs="Times New Roman"/>
                <w:b/>
                <w:color w:val="auto"/>
                <w:kern w:val="0"/>
                <w:sz w:val="24"/>
                <w:u w:val="none"/>
                <w:lang w:val="en-US" w:eastAsia="zh-CN"/>
              </w:rPr>
              <w:t>1、</w:t>
            </w:r>
            <w:r>
              <w:rPr>
                <w:rFonts w:hint="default" w:ascii="Times New Roman" w:hAnsi="Times New Roman" w:eastAsia="宋体" w:cs="Times New Roman"/>
                <w:b/>
                <w:color w:val="auto"/>
                <w:kern w:val="0"/>
                <w:sz w:val="24"/>
                <w:u w:val="none"/>
                <w:lang w:val="en-US" w:eastAsia="zh-CN"/>
              </w:rPr>
              <w:t>人工湿地工程</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cs="Times New Roman"/>
                <w:color w:val="auto"/>
                <w:sz w:val="24"/>
                <w:szCs w:val="24"/>
                <w:u w:val="none"/>
                <w:lang w:eastAsia="zh-CN"/>
              </w:rPr>
              <w:t>（</w:t>
            </w:r>
            <w:r>
              <w:rPr>
                <w:rFonts w:hint="eastAsia" w:cs="Times New Roman"/>
                <w:color w:val="auto"/>
                <w:sz w:val="24"/>
                <w:szCs w:val="24"/>
                <w:u w:val="none"/>
                <w:lang w:val="en-US" w:eastAsia="zh-CN"/>
              </w:rPr>
              <w:t>1</w:t>
            </w:r>
            <w:r>
              <w:rPr>
                <w:rFonts w:hint="eastAsia" w:cs="Times New Roman"/>
                <w:color w:val="auto"/>
                <w:sz w:val="24"/>
                <w:szCs w:val="24"/>
                <w:u w:val="none"/>
                <w:lang w:eastAsia="zh-CN"/>
              </w:rPr>
              <w:t>）</w:t>
            </w:r>
            <w:r>
              <w:rPr>
                <w:rFonts w:hint="eastAsia" w:ascii="Times New Roman" w:hAnsi="Times New Roman" w:eastAsia="宋体" w:cs="Times New Roman"/>
                <w:color w:val="auto"/>
                <w:sz w:val="24"/>
                <w:szCs w:val="24"/>
                <w:u w:val="none"/>
              </w:rPr>
              <w:t>工艺流程</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根据实施方案设计工艺，本项目人工湿地采用工艺为“植物布水塘（调节池）+表面流人工湿地+氧化塘”，深度净化水体的基础上，提高水体的自净力。</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u w:val="none"/>
              </w:rPr>
            </w:pPr>
          </w:p>
          <w:p>
            <w:pPr>
              <w:keepNext w:val="0"/>
              <w:keepLines w:val="0"/>
              <w:pageBreakBefore w:val="0"/>
              <w:widowControl w:val="0"/>
              <w:kinsoku/>
              <w:wordWrap/>
              <w:overflowPunct/>
              <w:topLinePunct w:val="0"/>
              <w:autoSpaceDE/>
              <w:autoSpaceDN/>
              <w:bidi w:val="0"/>
              <w:spacing w:line="360" w:lineRule="auto"/>
              <w:jc w:val="center"/>
              <w:textAlignment w:val="auto"/>
              <w:rPr>
                <w:rFonts w:hint="eastAsia" w:eastAsia="宋体"/>
                <w:b/>
                <w:bCs/>
                <w:color w:val="FF0000"/>
                <w:u w:val="single"/>
                <w:lang w:eastAsia="zh-CN"/>
              </w:rPr>
            </w:pPr>
            <w:r>
              <w:rPr>
                <w:rFonts w:hint="eastAsia" w:eastAsia="宋体"/>
                <w:b/>
                <w:bCs/>
                <w:color w:val="FF0000"/>
                <w:u w:val="single"/>
                <w:lang w:eastAsia="zh-CN"/>
              </w:rPr>
              <w:drawing>
                <wp:inline distT="0" distB="0" distL="114300" distR="114300">
                  <wp:extent cx="4829175" cy="7124700"/>
                  <wp:effectExtent l="0" t="0" r="9525" b="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7"/>
                          <a:stretch>
                            <a:fillRect/>
                          </a:stretch>
                        </pic:blipFill>
                        <pic:spPr>
                          <a:xfrm>
                            <a:off x="0" y="0"/>
                            <a:ext cx="4829175" cy="71247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360" w:lineRule="auto"/>
              <w:jc w:val="center"/>
              <w:textAlignment w:val="auto"/>
              <w:rPr>
                <w:rFonts w:hint="default" w:eastAsia="宋体"/>
                <w:b/>
                <w:bCs/>
                <w:color w:val="FF0000"/>
                <w:u w:val="single"/>
                <w:lang w:val="en-US" w:eastAsia="zh-CN"/>
              </w:rPr>
            </w:pPr>
            <w:r>
              <w:rPr>
                <w:rFonts w:hint="eastAsia"/>
                <w:b/>
                <w:bCs/>
                <w:color w:val="FF0000"/>
                <w:u w:val="single"/>
                <w:lang w:val="en-US" w:eastAsia="zh-CN"/>
              </w:rPr>
              <w:t>图1 工艺流程图</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u w:val="none"/>
              </w:rPr>
            </w:pP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FF0000"/>
                <w:sz w:val="24"/>
                <w:szCs w:val="24"/>
                <w:u w:val="single"/>
                <w:lang w:eastAsia="zh-CN"/>
              </w:rPr>
            </w:pPr>
            <w:r>
              <w:rPr>
                <w:rFonts w:hint="eastAsia" w:cs="Times New Roman"/>
                <w:color w:val="FF0000"/>
                <w:sz w:val="24"/>
                <w:szCs w:val="24"/>
                <w:u w:val="single"/>
                <w:lang w:eastAsia="zh-CN"/>
              </w:rPr>
              <w:t>（</w:t>
            </w:r>
            <w:r>
              <w:rPr>
                <w:rFonts w:hint="eastAsia" w:cs="Times New Roman"/>
                <w:color w:val="FF0000"/>
                <w:sz w:val="24"/>
                <w:szCs w:val="24"/>
                <w:u w:val="single"/>
                <w:lang w:val="en-US" w:eastAsia="zh-CN"/>
              </w:rPr>
              <w:t>2</w:t>
            </w:r>
            <w:r>
              <w:rPr>
                <w:rFonts w:hint="eastAsia" w:cs="Times New Roman"/>
                <w:color w:val="FF0000"/>
                <w:sz w:val="24"/>
                <w:szCs w:val="24"/>
                <w:u w:val="single"/>
                <w:lang w:eastAsia="zh-CN"/>
              </w:rPr>
              <w:t>）</w:t>
            </w:r>
            <w:r>
              <w:rPr>
                <w:rFonts w:hint="eastAsia" w:ascii="Times New Roman" w:hAnsi="Times New Roman" w:eastAsia="宋体" w:cs="Times New Roman"/>
                <w:color w:val="FF0000"/>
                <w:sz w:val="24"/>
                <w:szCs w:val="24"/>
                <w:u w:val="single"/>
              </w:rPr>
              <w:t>工艺</w:t>
            </w:r>
            <w:r>
              <w:rPr>
                <w:rFonts w:hint="eastAsia" w:cs="Times New Roman"/>
                <w:color w:val="FF0000"/>
                <w:sz w:val="24"/>
                <w:szCs w:val="24"/>
                <w:u w:val="single"/>
                <w:lang w:val="en-US" w:eastAsia="zh-CN"/>
              </w:rPr>
              <w:t>说明</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default" w:ascii="Times New Roman" w:hAnsi="Times New Roman" w:eastAsia="宋体" w:cs="Times New Roman"/>
                <w:color w:val="FF0000"/>
                <w:sz w:val="24"/>
                <w:szCs w:val="24"/>
                <w:u w:val="single"/>
              </w:rPr>
              <w:t>工程主要由布水塘、人工湿地、氧化塘、退水渠、回水渠等组成，人工湿地采用表面流的形式，工艺较简单。由于本项目人工湿地是利用天然水塘改造而成，故需根据水塘地形将表面流人工湿地分为多个湿地并联和串联的形式。流程简介如下：</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default" w:ascii="Times New Roman" w:hAnsi="Times New Roman" w:eastAsia="宋体" w:cs="Times New Roman"/>
                <w:color w:val="FF0000"/>
                <w:sz w:val="24"/>
                <w:szCs w:val="24"/>
                <w:u w:val="single"/>
              </w:rPr>
              <w:t>(1) 上游鱼塘尾水经过退水渠进入植物布水塘（调节池），在布水塘前端设置格栅用于去除进水中较大的悬浮物、漂浮物。通过布水塘的缓冲作用实现水质水量的均化，同时在设计过程中考虑到整个湿地的水力损失，特将植物布水塘液位高程提高，用以积蓄水力势能，使湿地最终排放水位得以提升。</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default" w:ascii="Times New Roman" w:hAnsi="Times New Roman" w:eastAsia="宋体" w:cs="Times New Roman"/>
                <w:color w:val="FF0000"/>
                <w:sz w:val="24"/>
                <w:szCs w:val="24"/>
                <w:u w:val="single"/>
              </w:rPr>
              <w:t>(2) 植物布水塘出水由布水管引入表面流人工湿地，利用水生植物的拦截、吸收和水生动物、微生物等的好氧、厌氧等协同作用，去除水中部分悬浮物、有机物、氮和总磷。</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default" w:ascii="Times New Roman" w:hAnsi="Times New Roman" w:eastAsia="宋体" w:cs="Times New Roman"/>
                <w:color w:val="FF0000"/>
                <w:sz w:val="24"/>
                <w:szCs w:val="24"/>
                <w:u w:val="single"/>
              </w:rPr>
              <w:t>(3) 表面流人工湿地出水最终进入生态塘，并经生态塘静置、均质后排入</w:t>
            </w:r>
            <w:r>
              <w:rPr>
                <w:rFonts w:hint="eastAsia" w:cs="Times New Roman"/>
                <w:color w:val="FF0000"/>
                <w:sz w:val="24"/>
                <w:szCs w:val="24"/>
                <w:u w:val="single"/>
                <w:lang w:val="en-US" w:eastAsia="zh-CN"/>
              </w:rPr>
              <w:t>退水渠</w:t>
            </w:r>
            <w:r>
              <w:rPr>
                <w:rFonts w:hint="default" w:ascii="Times New Roman" w:hAnsi="Times New Roman" w:eastAsia="宋体" w:cs="Times New Roman"/>
                <w:color w:val="FF0000"/>
                <w:sz w:val="24"/>
                <w:szCs w:val="24"/>
                <w:u w:val="single"/>
              </w:rPr>
              <w:t>。</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default" w:ascii="Times New Roman" w:hAnsi="Times New Roman" w:eastAsia="宋体" w:cs="Times New Roman"/>
                <w:color w:val="FF0000"/>
                <w:sz w:val="24"/>
                <w:szCs w:val="24"/>
                <w:u w:val="single"/>
              </w:rPr>
              <w:t>(</w:t>
            </w:r>
            <w:r>
              <w:rPr>
                <w:rFonts w:hint="eastAsia" w:cs="Times New Roman"/>
                <w:color w:val="FF0000"/>
                <w:sz w:val="24"/>
                <w:szCs w:val="24"/>
                <w:u w:val="single"/>
                <w:lang w:val="en-US" w:eastAsia="zh-CN"/>
              </w:rPr>
              <w:t>4</w:t>
            </w:r>
            <w:r>
              <w:rPr>
                <w:rFonts w:hint="default" w:ascii="Times New Roman" w:hAnsi="Times New Roman" w:eastAsia="宋体" w:cs="Times New Roman"/>
                <w:color w:val="FF0000"/>
                <w:sz w:val="24"/>
                <w:szCs w:val="24"/>
                <w:u w:val="single"/>
              </w:rPr>
              <w:t>) 经人工湿地处理后的尾水排入退水渠后</w:t>
            </w:r>
            <w:r>
              <w:rPr>
                <w:rFonts w:hint="eastAsia" w:cs="Times New Roman"/>
                <w:color w:val="FF0000"/>
                <w:sz w:val="24"/>
                <w:szCs w:val="24"/>
                <w:u w:val="single"/>
                <w:lang w:eastAsia="zh-CN"/>
              </w:rPr>
              <w:t>，</w:t>
            </w:r>
            <w:r>
              <w:rPr>
                <w:rFonts w:hint="default" w:ascii="Times New Roman" w:hAnsi="Times New Roman" w:eastAsia="宋体" w:cs="Times New Roman"/>
                <w:color w:val="FF0000"/>
                <w:sz w:val="24"/>
                <w:szCs w:val="24"/>
                <w:u w:val="single"/>
              </w:rPr>
              <w:t>可利用提升泵站将尾水通过回水管道泵入上游鱼塘，作为生态养殖补水。</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eastAsia" w:ascii="Times New Roman" w:hAnsi="Times New Roman" w:eastAsia="宋体" w:cs="Times New Roman"/>
                <w:b/>
                <w:bCs/>
                <w:color w:val="auto"/>
                <w:sz w:val="24"/>
                <w:szCs w:val="24"/>
                <w:u w:val="none"/>
                <w:lang w:val="en-US" w:eastAsia="zh-CN"/>
              </w:rPr>
            </w:pPr>
            <w:r>
              <w:rPr>
                <w:rFonts w:hint="eastAsia" w:cs="Times New Roman"/>
                <w:b/>
                <w:bCs/>
                <w:color w:val="auto"/>
                <w:sz w:val="24"/>
                <w:szCs w:val="24"/>
                <w:u w:val="none"/>
                <w:lang w:val="en-US" w:eastAsia="zh-CN"/>
              </w:rPr>
              <w:t>2、植物布水塘（调节池）</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上游鱼塘尾水经过湿地西侧的布水渠进入植物布水塘（调节池），在布水塘前端设置格栅用于去除进水中较大的悬浮物、漂浮物。通过布水塘的缓冲作用实现水质水量的均化。</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1设计参数</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(1) 设计流量：20000m</w:t>
            </w:r>
            <w:r>
              <w:rPr>
                <w:rFonts w:hint="eastAsia" w:ascii="Times New Roman" w:hAnsi="Times New Roman" w:eastAsia="宋体" w:cs="Times New Roman"/>
                <w:color w:val="auto"/>
                <w:sz w:val="24"/>
                <w:szCs w:val="24"/>
                <w:u w:val="none"/>
                <w:vertAlign w:val="superscript"/>
              </w:rPr>
              <w:t>3</w:t>
            </w:r>
            <w:r>
              <w:rPr>
                <w:rFonts w:hint="eastAsia" w:ascii="Times New Roman" w:hAnsi="Times New Roman" w:eastAsia="宋体" w:cs="Times New Roman"/>
                <w:color w:val="auto"/>
                <w:sz w:val="24"/>
                <w:szCs w:val="24"/>
                <w:u w:val="none"/>
              </w:rPr>
              <w:t>/d</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(2) 结构类型：原有池塘改造，土质坑塘</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(3) 平面尺寸：</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利用原有池塘改造，平面为不规则四边形，长约400m，最宽处约150m，高3.3m，总面积为57652m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(4) 设计有效水深：2.6m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(5) 水力停留时间：7.5d。</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2设备材料</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浮叶植物，菱角，种植面积14413m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，种植密度3 株/m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default" w:cs="Times New Roman"/>
                <w:b/>
                <w:bCs/>
                <w:color w:val="auto"/>
                <w:sz w:val="24"/>
                <w:szCs w:val="24"/>
                <w:u w:val="none"/>
                <w:lang w:val="en-US" w:eastAsia="zh-CN"/>
              </w:rPr>
            </w:pPr>
            <w:r>
              <w:rPr>
                <w:rFonts w:hint="eastAsia" w:cs="Times New Roman"/>
                <w:b/>
                <w:bCs/>
                <w:color w:val="auto"/>
                <w:sz w:val="24"/>
                <w:szCs w:val="24"/>
                <w:u w:val="none"/>
                <w:lang w:val="en-US" w:eastAsia="zh-CN"/>
              </w:rPr>
              <w:t>3、表面流人工湿地</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(1) 设计流量：20000m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rPr>
              <w:t>/d</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(2) 结构类型：原有池塘改造，土质坑塘</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(3) 平面尺寸：</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利用原有池塘改造，平面为不规则四边形，分三级湿地建设，单级湿地面积40000m</w:t>
            </w:r>
            <w:r>
              <w:rPr>
                <w:rFonts w:hint="default" w:ascii="Times New Roman" w:hAnsi="Times New Roman" w:eastAsia="宋体" w:cs="Times New Roman"/>
                <w:color w:val="auto"/>
                <w:sz w:val="24"/>
                <w:szCs w:val="24"/>
                <w:u w:val="none"/>
                <w:vertAlign w:val="superscript"/>
              </w:rPr>
              <w:t>2</w:t>
            </w:r>
            <w:r>
              <w:rPr>
                <w:rFonts w:hint="default" w:ascii="Times New Roman" w:hAnsi="Times New Roman" w:eastAsia="宋体" w:cs="Times New Roman"/>
                <w:color w:val="auto"/>
                <w:sz w:val="24"/>
                <w:szCs w:val="24"/>
                <w:u w:val="none"/>
              </w:rPr>
              <w:t>，总面积为120000m</w:t>
            </w:r>
            <w:r>
              <w:rPr>
                <w:rFonts w:hint="default" w:ascii="Times New Roman" w:hAnsi="Times New Roman" w:eastAsia="宋体" w:cs="Times New Roman"/>
                <w:color w:val="auto"/>
                <w:sz w:val="24"/>
                <w:szCs w:val="24"/>
                <w:u w:val="none"/>
                <w:vertAlign w:val="superscript"/>
              </w:rPr>
              <w:t>2</w:t>
            </w:r>
            <w:r>
              <w:rPr>
                <w:rFonts w:hint="default" w:ascii="Times New Roman" w:hAnsi="Times New Roman" w:eastAsia="宋体" w:cs="Times New Roman"/>
                <w:color w:val="auto"/>
                <w:sz w:val="24"/>
                <w:szCs w:val="24"/>
                <w:u w:val="none"/>
              </w:rPr>
              <w:t>；长约480m，最宽处约340m，最窄处约200m，高2.4m，。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(4) 设计平均水深：0.9m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(5) 水力停留时间：5.4d</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(6) 水力负荷：0.17m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rPr>
              <w:t>/（m</w:t>
            </w:r>
            <w:r>
              <w:rPr>
                <w:rFonts w:hint="default" w:ascii="Times New Roman" w:hAnsi="Times New Roman" w:eastAsia="宋体" w:cs="Times New Roman"/>
                <w:color w:val="auto"/>
                <w:sz w:val="24"/>
                <w:szCs w:val="24"/>
                <w:u w:val="none"/>
                <w:vertAlign w:val="superscript"/>
              </w:rPr>
              <w:t>2</w:t>
            </w:r>
            <w:r>
              <w:rPr>
                <w:rFonts w:hint="default" w:ascii="Times New Roman" w:hAnsi="Times New Roman" w:eastAsia="宋体" w:cs="Times New Roman"/>
                <w:color w:val="auto"/>
                <w:sz w:val="24"/>
                <w:szCs w:val="24"/>
                <w:u w:val="none"/>
              </w:rPr>
              <w:t>·d）</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(7) 有机物削减负荷：COD：0.67g/m</w:t>
            </w:r>
            <w:r>
              <w:rPr>
                <w:rFonts w:hint="default" w:ascii="Times New Roman" w:hAnsi="Times New Roman" w:eastAsia="宋体" w:cs="Times New Roman"/>
                <w:color w:val="auto"/>
                <w:sz w:val="24"/>
                <w:szCs w:val="24"/>
                <w:u w:val="none"/>
                <w:vertAlign w:val="superscript"/>
              </w:rPr>
              <w:t>2</w:t>
            </w:r>
            <w:r>
              <w:rPr>
                <w:rFonts w:hint="default" w:ascii="Times New Roman" w:hAnsi="Times New Roman" w:eastAsia="宋体" w:cs="Times New Roman"/>
                <w:color w:val="auto"/>
                <w:sz w:val="24"/>
                <w:szCs w:val="24"/>
                <w:u w:val="none"/>
              </w:rPr>
              <w:t>·d、TN：0.03g/m</w:t>
            </w:r>
            <w:r>
              <w:rPr>
                <w:rFonts w:hint="default" w:ascii="Times New Roman" w:hAnsi="Times New Roman" w:eastAsia="宋体" w:cs="Times New Roman"/>
                <w:color w:val="auto"/>
                <w:sz w:val="24"/>
                <w:szCs w:val="24"/>
                <w:u w:val="none"/>
                <w:vertAlign w:val="superscript"/>
              </w:rPr>
              <w:t>2</w:t>
            </w:r>
            <w:r>
              <w:rPr>
                <w:rFonts w:hint="default" w:ascii="Times New Roman" w:hAnsi="Times New Roman" w:eastAsia="宋体" w:cs="Times New Roman"/>
                <w:color w:val="auto"/>
                <w:sz w:val="24"/>
                <w:szCs w:val="24"/>
                <w:u w:val="none"/>
              </w:rPr>
              <w:t>·d、TP：0.012g/m</w:t>
            </w:r>
            <w:r>
              <w:rPr>
                <w:rFonts w:hint="default" w:ascii="Times New Roman" w:hAnsi="Times New Roman" w:eastAsia="宋体" w:cs="Times New Roman"/>
                <w:color w:val="auto"/>
                <w:sz w:val="24"/>
                <w:szCs w:val="24"/>
                <w:u w:val="none"/>
                <w:vertAlign w:val="superscript"/>
              </w:rPr>
              <w:t>2</w:t>
            </w:r>
            <w:r>
              <w:rPr>
                <w:rFonts w:hint="default" w:ascii="Times New Roman" w:hAnsi="Times New Roman" w:eastAsia="宋体" w:cs="Times New Roman"/>
                <w:color w:val="auto"/>
                <w:sz w:val="24"/>
                <w:szCs w:val="24"/>
                <w:u w:val="none"/>
              </w:rPr>
              <w:t>·d。</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default" w:cs="Times New Roman"/>
                <w:b/>
                <w:bCs/>
                <w:color w:val="auto"/>
                <w:sz w:val="24"/>
                <w:szCs w:val="24"/>
                <w:u w:val="none"/>
                <w:lang w:val="en-US" w:eastAsia="zh-CN"/>
              </w:rPr>
            </w:pPr>
            <w:r>
              <w:rPr>
                <w:rFonts w:hint="eastAsia" w:cs="Times New Roman"/>
                <w:b/>
                <w:bCs/>
                <w:color w:val="auto"/>
                <w:sz w:val="24"/>
                <w:szCs w:val="24"/>
                <w:u w:val="none"/>
                <w:lang w:val="en-US" w:eastAsia="zh-CN"/>
              </w:rPr>
              <w:t>4、人工湿地植物配置</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植物选择实行冷、暖种类结合，增加常绿种类，以实现植被多样性，并适应湖泊特定的生长环境，通过调查湘阴县水生植物种类及分布特点，选择种植除污效果好且适宜于湖泊生境特点的当地乡土水生植物。</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(1) 挺水植物</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芦苇：芦苇为多年水生或湿生的高大禾草，根状茎十分发达，为全球广泛分布的多型种。生于江河湖泽、池塘沟渠沿岸和低湿地，在南方地区表现为冬季枯萎休眠特性。其生长势强健，常配置应用于表流湿地系统中。</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香蒲：香蒲为香蒲科香蒲属的一个种，多年生水生或沼生草本植物。香蒲生于湖泊、池塘、沟渠、沼泽及河流缓流带。香蒲在湿地应用中，其对湿地系统生态功能的保护也是一个很重要的方面。由于香蒲植物根系发达，有利于净化水质，此外，香蒲还可以控制水土流失，促进土壤的发育和熟化，提高土壤中有机质及N、P、K 等的含量，因此被广泛应用于湿地系统中，丰富整个湿地系统的生物多样性芦苇的种植密度为25 丛/m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，2-3 芽/丛，约种植16000m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，40 万丛；香蒲的种植密度为25 株/m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，约种植16000m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，40 万株。</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(2) 浮水植物</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菱角：菱角为菱科、菱属一年生浮水水生草本植物。喜温暖湿润、阳光充足、不耐霜冻，菱稍能耐深水，适宜生长在土质松软肥沃的河湾、湖荡、池塘或活水河道。</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芡实：芡实为睡莲科芡属一年生水生草本植物，分布中国南北各省，生于池塘、湖沼中。芡实喜温暖、阳光充足，不耐寒也不耐旱。生长适宜温度为20-30℃，水深30-90 厘米。适宜在水面不宽，水流动性小，水源充足，能调节水位高低，便于排灌的池塘、水库、湖泊和大湖湖边。</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菱角的种植密度为3 株/m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，约种植26413m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，7.9 万株；芡实的种植密度为3 株/m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，约种植12000m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，3.6 万株；</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(3) 沉水植物</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金鱼藻：金鱼藻是金鱼藻科金鱼藻属、多年生草本的沉水性水生植物，别名细草、软草、鱼草。全株暗绿色。金鱼藻多年生长于小湖泊静水处，于池塘、水沟等处常见，是常见的沉水性湿地植物。</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苦草：苦草别称蓼萍草，扁草。为多年生无茎沉水草本，有匍匐茎。生于溪沟、河流、池塘、湖泊等环境之中。苦草能够吸收水体的N、P 等营养盐，有效地降低营养盐对水体造成的污染，对水体有一定的净化作用，是常用的沉水性湿地植物。金鱼藻的种植密度为8 丛/m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，5-6 株/丛，约种植8000m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，32 万株；苦草的种植密度为8 丛/m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，2-3 株/丛，约种植8000m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，19 万株。</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lang w:eastAsia="zh-CN"/>
              </w:rPr>
            </w:pPr>
            <w:r>
              <w:rPr>
                <w:rFonts w:hint="eastAsia" w:ascii="Times New Roman" w:hAnsi="Times New Roman" w:eastAsia="宋体" w:cs="Times New Roman"/>
                <w:color w:val="auto"/>
                <w:sz w:val="24"/>
                <w:szCs w:val="24"/>
                <w:u w:val="none"/>
              </w:rPr>
              <w:t>3、</w:t>
            </w:r>
            <w:r>
              <w:rPr>
                <w:rFonts w:hint="eastAsia" w:cs="Times New Roman"/>
                <w:color w:val="auto"/>
                <w:sz w:val="24"/>
                <w:szCs w:val="24"/>
                <w:u w:val="none"/>
                <w:lang w:val="en-US" w:eastAsia="zh-CN"/>
              </w:rPr>
              <w:t>工程量表</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cs="Times New Roman"/>
                <w:color w:val="auto"/>
                <w:sz w:val="24"/>
                <w:szCs w:val="24"/>
                <w:u w:val="none"/>
                <w:lang w:val="en-US" w:eastAsia="zh-CN"/>
              </w:rPr>
              <w:t>人工湿地区工程量</w:t>
            </w:r>
            <w:r>
              <w:rPr>
                <w:rFonts w:hint="eastAsia" w:ascii="Times New Roman" w:hAnsi="Times New Roman" w:eastAsia="宋体" w:cs="Times New Roman"/>
                <w:color w:val="auto"/>
                <w:sz w:val="24"/>
                <w:szCs w:val="24"/>
                <w:u w:val="none"/>
              </w:rPr>
              <w:t>见表</w:t>
            </w:r>
            <w:r>
              <w:rPr>
                <w:rFonts w:hint="eastAsia" w:cs="Times New Roman"/>
                <w:color w:val="auto"/>
                <w:sz w:val="24"/>
                <w:szCs w:val="24"/>
                <w:u w:val="none"/>
                <w:lang w:val="en-US" w:eastAsia="zh-CN"/>
              </w:rPr>
              <w:t>2-2</w:t>
            </w:r>
            <w:r>
              <w:rPr>
                <w:rFonts w:hint="eastAsia" w:ascii="Times New Roman" w:hAnsi="Times New Roman" w:eastAsia="宋体" w:cs="Times New Roman"/>
                <w:color w:val="auto"/>
                <w:sz w:val="24"/>
                <w:szCs w:val="24"/>
                <w:u w:val="none"/>
              </w:rPr>
              <w:t>。</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b/>
                <w:bCs/>
                <w:color w:val="auto"/>
                <w:sz w:val="21"/>
                <w:szCs w:val="21"/>
                <w:u w:val="none"/>
              </w:rPr>
            </w:pPr>
          </w:p>
          <w:p>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b/>
                <w:bCs/>
                <w:color w:val="FF0000"/>
                <w:sz w:val="21"/>
                <w:szCs w:val="21"/>
                <w:u w:val="single"/>
              </w:rPr>
            </w:pPr>
            <w:r>
              <w:rPr>
                <w:rFonts w:hint="eastAsia" w:ascii="Times New Roman" w:hAnsi="Times New Roman" w:eastAsia="宋体" w:cs="Times New Roman"/>
                <w:b/>
                <w:bCs/>
                <w:color w:val="FF0000"/>
                <w:sz w:val="21"/>
                <w:szCs w:val="21"/>
                <w:u w:val="single"/>
              </w:rPr>
              <w:t>表</w:t>
            </w:r>
            <w:r>
              <w:rPr>
                <w:rFonts w:hint="eastAsia" w:cs="Times New Roman"/>
                <w:b/>
                <w:bCs/>
                <w:color w:val="FF0000"/>
                <w:sz w:val="21"/>
                <w:szCs w:val="21"/>
                <w:u w:val="single"/>
                <w:lang w:val="en-US" w:eastAsia="zh-CN"/>
              </w:rPr>
              <w:t xml:space="preserve">2-2                  </w:t>
            </w:r>
            <w:r>
              <w:rPr>
                <w:rFonts w:hint="eastAsia" w:ascii="Times New Roman" w:hAnsi="Times New Roman" w:eastAsia="宋体" w:cs="Times New Roman"/>
                <w:b/>
                <w:bCs/>
                <w:color w:val="FF0000"/>
                <w:sz w:val="21"/>
                <w:szCs w:val="21"/>
                <w:u w:val="single"/>
              </w:rPr>
              <w:t xml:space="preserve"> </w:t>
            </w:r>
            <w:r>
              <w:rPr>
                <w:rFonts w:hint="eastAsia" w:cs="Times New Roman"/>
                <w:b/>
                <w:bCs/>
                <w:color w:val="FF0000"/>
                <w:sz w:val="21"/>
                <w:szCs w:val="21"/>
                <w:u w:val="single"/>
                <w:lang w:val="en-US" w:eastAsia="zh-CN"/>
              </w:rPr>
              <w:t>人工湿地工程量</w:t>
            </w:r>
            <w:r>
              <w:rPr>
                <w:rFonts w:hint="eastAsia" w:ascii="Times New Roman" w:hAnsi="Times New Roman" w:eastAsia="宋体" w:cs="Times New Roman"/>
                <w:b/>
                <w:bCs/>
                <w:color w:val="FF0000"/>
                <w:sz w:val="21"/>
                <w:szCs w:val="21"/>
                <w:u w:val="single"/>
              </w:rPr>
              <w:t>表</w:t>
            </w:r>
          </w:p>
          <w:p>
            <w:pPr>
              <w:keepNext w:val="0"/>
              <w:keepLines w:val="0"/>
              <w:pageBreakBefore w:val="0"/>
              <w:widowControl w:val="0"/>
              <w:kinsoku/>
              <w:wordWrap/>
              <w:overflowPunct/>
              <w:topLinePunct w:val="0"/>
              <w:autoSpaceDE/>
              <w:autoSpaceDN/>
              <w:bidi w:val="0"/>
              <w:spacing w:line="360" w:lineRule="auto"/>
              <w:jc w:val="left"/>
              <w:textAlignment w:val="auto"/>
              <w:rPr>
                <w:rFonts w:hint="default" w:ascii="Times New Roman" w:hAnsi="Times New Roman" w:eastAsia="宋体" w:cs="Times New Roman"/>
                <w:color w:val="auto"/>
                <w:sz w:val="24"/>
                <w:szCs w:val="24"/>
                <w:u w:val="none"/>
              </w:rPr>
            </w:pPr>
            <w:r>
              <w:drawing>
                <wp:inline distT="0" distB="0" distL="114300" distR="114300">
                  <wp:extent cx="4999355" cy="4944110"/>
                  <wp:effectExtent l="0" t="0" r="10795" b="889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8"/>
                          <a:stretch>
                            <a:fillRect/>
                          </a:stretch>
                        </pic:blipFill>
                        <pic:spPr>
                          <a:xfrm>
                            <a:off x="0" y="0"/>
                            <a:ext cx="4999355" cy="49441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default" w:cs="Times New Roman"/>
                <w:b/>
                <w:bCs/>
                <w:color w:val="auto"/>
                <w:sz w:val="24"/>
                <w:szCs w:val="24"/>
                <w:u w:val="none"/>
                <w:lang w:val="en-US" w:eastAsia="zh-CN"/>
              </w:rPr>
            </w:pPr>
            <w:r>
              <w:rPr>
                <w:rFonts w:hint="eastAsia" w:cs="Times New Roman"/>
                <w:b/>
                <w:bCs/>
                <w:color w:val="auto"/>
                <w:sz w:val="24"/>
                <w:szCs w:val="24"/>
                <w:u w:val="none"/>
                <w:lang w:val="en-US" w:eastAsia="zh-CN"/>
              </w:rPr>
              <w:t>5、生态塘</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表面流人工湿地出水最终进入生态塘，并经生态塘静置、均质后排入左侧的退水渠。</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1、设计参数</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(1) 设计流量：20000m</w:t>
            </w:r>
            <w:r>
              <w:rPr>
                <w:rFonts w:hint="eastAsia" w:ascii="Times New Roman" w:hAnsi="Times New Roman" w:eastAsia="宋体" w:cs="Times New Roman"/>
                <w:color w:val="auto"/>
                <w:sz w:val="24"/>
                <w:szCs w:val="24"/>
                <w:u w:val="none"/>
                <w:vertAlign w:val="superscript"/>
              </w:rPr>
              <w:t>3</w:t>
            </w:r>
            <w:r>
              <w:rPr>
                <w:rFonts w:hint="eastAsia" w:ascii="Times New Roman" w:hAnsi="Times New Roman" w:eastAsia="宋体" w:cs="Times New Roman"/>
                <w:color w:val="auto"/>
                <w:sz w:val="24"/>
                <w:szCs w:val="24"/>
                <w:u w:val="none"/>
              </w:rPr>
              <w:t>/d</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(2) 结构类型：原有池塘改造，土质坑塘</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(3) 平面尺寸：</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利用原有池塘改造，平面为不规则四边形，长约400m，最宽处约180m，高2.5m，总面积为61127m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(4) 设计有效水深：1.0m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(5) 水力停留时间：3.0d。</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2、设备材料</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挺水植物：芦苇，种植密度为10 丛/m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，2-3 芽/丛，种植面积2450m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；香蒲，种植密度为30 株/m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，种植面积2450m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浮水植物：菱角，种植密度为3 株/m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，种植面积2100m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；芡实，种植密度为0.5 株/m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，种植面积2100m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沉水植物：金鱼藻，种植密度为8 丛/m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，5-6 株/丛，种植面积11500m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；苦草，种植密度为8 丛/m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，2-3 株/丛，种植面积11500m</w:t>
            </w:r>
            <w:r>
              <w:rPr>
                <w:rFonts w:hint="eastAsia" w:ascii="Times New Roman" w:hAnsi="Times New Roman" w:eastAsia="宋体" w:cs="Times New Roman"/>
                <w:color w:val="auto"/>
                <w:sz w:val="24"/>
                <w:szCs w:val="24"/>
                <w:u w:val="none"/>
                <w:vertAlign w:val="superscript"/>
              </w:rPr>
              <w:t>2</w:t>
            </w:r>
            <w:r>
              <w:rPr>
                <w:rFonts w:hint="eastAsia" w:ascii="Times New Roman" w:hAnsi="Times New Roman" w:eastAsia="宋体" w:cs="Times New Roman"/>
                <w:color w:val="auto"/>
                <w:sz w:val="24"/>
                <w:szCs w:val="24"/>
                <w:u w:val="none"/>
              </w:rPr>
              <w:t>。</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eastAsia" w:ascii="Times New Roman" w:hAnsi="Times New Roman" w:eastAsia="宋体" w:cs="Times New Roman"/>
                <w:b/>
                <w:bCs/>
                <w:color w:val="auto"/>
                <w:sz w:val="24"/>
                <w:szCs w:val="24"/>
                <w:u w:val="none"/>
              </w:rPr>
            </w:pPr>
            <w:r>
              <w:rPr>
                <w:rFonts w:hint="eastAsia" w:ascii="Times New Roman" w:hAnsi="Times New Roman" w:eastAsia="宋体" w:cs="Times New Roman"/>
                <w:b/>
                <w:bCs/>
                <w:color w:val="auto"/>
                <w:sz w:val="24"/>
                <w:szCs w:val="24"/>
                <w:u w:val="none"/>
                <w:lang w:val="en-US" w:eastAsia="zh-CN"/>
              </w:rPr>
              <w:t>6、</w:t>
            </w:r>
            <w:r>
              <w:rPr>
                <w:rFonts w:hint="eastAsia" w:ascii="Times New Roman" w:hAnsi="Times New Roman" w:eastAsia="宋体" w:cs="Times New Roman"/>
                <w:b/>
                <w:bCs/>
                <w:color w:val="auto"/>
                <w:sz w:val="24"/>
                <w:szCs w:val="24"/>
                <w:u w:val="none"/>
              </w:rPr>
              <w:t>退水渠及调节闸</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退水渠一端连接布水塘并设调节闸，另一端连接团山围闸口。主要作用：</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cs="Times New Roman"/>
                <w:color w:val="auto"/>
                <w:sz w:val="24"/>
                <w:szCs w:val="24"/>
                <w:u w:val="none"/>
                <w:lang w:val="en-US" w:eastAsia="zh-CN"/>
              </w:rPr>
              <w:t>1.</w:t>
            </w:r>
            <w:r>
              <w:rPr>
                <w:rFonts w:hint="eastAsia" w:ascii="Times New Roman" w:hAnsi="Times New Roman" w:eastAsia="宋体" w:cs="Times New Roman"/>
                <w:color w:val="auto"/>
                <w:sz w:val="24"/>
                <w:szCs w:val="24"/>
                <w:u w:val="none"/>
              </w:rPr>
              <w:t>人工湿地出水最终排入退水渠，经团山围闸口排入横岭湖或经提升泵站泵至上游鱼塘；</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cs="Times New Roman"/>
                <w:color w:val="auto"/>
                <w:sz w:val="24"/>
                <w:szCs w:val="24"/>
                <w:u w:val="none"/>
                <w:lang w:val="en-US" w:eastAsia="zh-CN"/>
              </w:rPr>
              <w:t>2.</w:t>
            </w:r>
            <w:r>
              <w:rPr>
                <w:rFonts w:hint="eastAsia" w:ascii="Times New Roman" w:hAnsi="Times New Roman" w:eastAsia="宋体" w:cs="Times New Roman"/>
                <w:color w:val="auto"/>
                <w:sz w:val="24"/>
                <w:szCs w:val="24"/>
                <w:u w:val="none"/>
              </w:rPr>
              <w:t>退水渠一端连接布水塘并设有调节闸，调节闸设置在前端与植物布水塘入水口处，汛期可关闭调节闸，让鱼塘水不经过人工湿地，直接从退水渠排至横岭湖中，能有效保护人工湿地。</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调节闸采用铸铁机闸一体式闸门，该闸门具有外形美观、结构简单、安装方便、操作安全、启闭灵活、耐腐蚀性能强、磨擦力小、止水性能好、渗水量小，能承受较大的水压力、使用寿命长、维修费用低等优点。</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cs="Times New Roman"/>
                <w:color w:val="auto"/>
                <w:sz w:val="24"/>
                <w:szCs w:val="24"/>
                <w:u w:val="none"/>
                <w:lang w:val="en-US" w:eastAsia="zh-CN"/>
              </w:rPr>
              <w:t>1.</w:t>
            </w:r>
            <w:r>
              <w:rPr>
                <w:rFonts w:hint="eastAsia" w:ascii="Times New Roman" w:hAnsi="Times New Roman" w:eastAsia="宋体" w:cs="Times New Roman"/>
                <w:color w:val="auto"/>
                <w:sz w:val="24"/>
                <w:szCs w:val="24"/>
                <w:u w:val="none"/>
              </w:rPr>
              <w:t>设计参数</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(1) 设计长度：800m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(2) 结构类型：退水渠一侧为松木桩加固（靠近人工湿地及生态塘），另一侧采用浆砌石挡墙进行加固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(3) 规格尺寸：在原有沟渠基础上加高，浆砌石设计高度1.8m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(4) 水力坡度：1‰</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(5) 边坡坡度：垂直边坡</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(6) 压顶</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1) 尺寸：宽300mm、厚150mm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2) 材料：C20 混凝土</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(7)垫层</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1) 尺寸：宽1200mm、厚150mm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2) 材料：C20 混凝土</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2</w:t>
            </w:r>
            <w:r>
              <w:rPr>
                <w:rFonts w:hint="eastAsia" w:cs="Times New Roman"/>
                <w:color w:val="auto"/>
                <w:sz w:val="24"/>
                <w:szCs w:val="24"/>
                <w:u w:val="none"/>
                <w:lang w:val="en-US" w:eastAsia="zh-CN"/>
              </w:rPr>
              <w:t>.</w:t>
            </w:r>
            <w:r>
              <w:rPr>
                <w:rFonts w:hint="eastAsia" w:ascii="Times New Roman" w:hAnsi="Times New Roman" w:eastAsia="宋体" w:cs="Times New Roman"/>
                <w:color w:val="auto"/>
                <w:sz w:val="24"/>
                <w:szCs w:val="24"/>
                <w:u w:val="none"/>
              </w:rPr>
              <w:t>设备材料</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(1) 毛石、料石</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石料应质地坚实，强度不低于MU30，无风化裂缝；毛石中部厚度不小于200mm；料石厚度一般不小于200mm，污垢、水锈使用前应用水冲洗干净。</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(2) 水泥砂浆</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砂：用中砂，并通过5mm 筛孔。配制M7.5 以上砂浆，砂的含泥量不应超过5%；不得含有草根等杂物。</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(3) C20 混凝土</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粗骨料最大粒径不超过15mm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(4) 松木桩</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规格尺寸：ф150，L=2.5m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(5) 调节闸</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1) 闸门</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考虑到制造质量、成本控制的因素，闸门均采用铸铁钢闸门。通常情况下，这些闸门都能静水操作，但考虑到闸门布置和过水特点等因素，设计拟考虑最为极端的状态下均能将闸门开启作为选择手动启闭机动水操作的前提。钢闸门的制造和安装依照《水利水电工程钢闸门制造、安装及验收规范》(DL/T5018)的要求执行。</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设计拟对钢闸门采用喷锌防腐。平时闸门主要做刚性止水面涂油(橡皮止水钢闸门更换橡皮)和外表面涂漆维护以及启闭机移动部位润滑及外表面涂漆维护，必要时用临时措施将闸门提出门槽进行检修。</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设计水位为闸门结构设计最不利水位(外设计高水位，内低水位)，闸门闭门按照最不利工况动水启闭。</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尺寸：高2.0m、宽1.0m、厚度不低于5cm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材质：铸铁、配手动启闭机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2) 基座</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尺寸：高3.0m、宽1.4m（壁厚0.2m）、长0.6m、底部厚度不低于20cm材质：采用钢砼浇筑</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default" w:cs="Times New Roman"/>
                <w:b/>
                <w:bCs/>
                <w:color w:val="auto"/>
                <w:sz w:val="24"/>
                <w:szCs w:val="24"/>
                <w:u w:val="none"/>
                <w:lang w:val="en-US" w:eastAsia="zh-CN"/>
              </w:rPr>
            </w:pPr>
            <w:r>
              <w:rPr>
                <w:rFonts w:hint="eastAsia" w:cs="Times New Roman"/>
                <w:b/>
                <w:bCs/>
                <w:color w:val="auto"/>
                <w:sz w:val="24"/>
                <w:szCs w:val="24"/>
                <w:u w:val="none"/>
                <w:lang w:val="en-US" w:eastAsia="zh-CN"/>
              </w:rPr>
              <w:t>6、尾水提升工程</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lang w:val="en-US" w:eastAsia="zh-CN"/>
              </w:rPr>
              <w:t>1.</w:t>
            </w:r>
            <w:r>
              <w:rPr>
                <w:rFonts w:hint="eastAsia" w:ascii="Times New Roman" w:hAnsi="Times New Roman" w:eastAsia="宋体" w:cs="Times New Roman"/>
                <w:color w:val="auto"/>
                <w:sz w:val="24"/>
                <w:szCs w:val="24"/>
                <w:u w:val="none"/>
              </w:rPr>
              <w:t>提升泵站</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垸内养殖区水位由于养殖的需要，水深常年保持在1.5m 左右，除下雨水位涨了通过泵排出去外，其余时间水位基本恒定不变，水不与外界流通。为防止养殖尾水经湿地净化处理后形成死水，需要湿地末端建设</w:t>
            </w:r>
            <w:r>
              <w:rPr>
                <w:rFonts w:hint="eastAsia" w:ascii="Times New Roman" w:hAnsi="Times New Roman" w:eastAsia="宋体" w:cs="Times New Roman"/>
                <w:color w:val="FF0000"/>
                <w:sz w:val="24"/>
                <w:szCs w:val="24"/>
                <w:u w:val="single"/>
              </w:rPr>
              <w:t>1 座水循环提升泵站，提升泵站</w:t>
            </w:r>
            <w:r>
              <w:rPr>
                <w:rFonts w:hint="eastAsia" w:ascii="Times New Roman" w:hAnsi="Times New Roman" w:eastAsia="宋体" w:cs="Times New Roman"/>
                <w:color w:val="FF0000"/>
                <w:sz w:val="24"/>
                <w:szCs w:val="24"/>
                <w:u w:val="single"/>
                <w:lang w:val="en-US" w:eastAsia="zh-CN"/>
              </w:rPr>
              <w:t>位于人工湿地尾水生态塘的西南角，周边无居民。</w:t>
            </w:r>
            <w:r>
              <w:rPr>
                <w:rFonts w:hint="eastAsia" w:ascii="Times New Roman" w:hAnsi="Times New Roman" w:eastAsia="宋体" w:cs="Times New Roman"/>
                <w:color w:val="FF0000"/>
                <w:sz w:val="24"/>
                <w:szCs w:val="24"/>
                <w:u w:val="single"/>
              </w:rPr>
              <w:t>提升泵站</w:t>
            </w:r>
            <w:r>
              <w:rPr>
                <w:rFonts w:hint="eastAsia" w:ascii="Times New Roman" w:hAnsi="Times New Roman" w:eastAsia="宋体" w:cs="Times New Roman"/>
                <w:color w:val="FF0000"/>
                <w:sz w:val="24"/>
                <w:szCs w:val="24"/>
                <w:u w:val="single"/>
                <w:lang w:val="en-US" w:eastAsia="zh-CN"/>
              </w:rPr>
              <w:t>的功能为</w:t>
            </w:r>
            <w:r>
              <w:rPr>
                <w:rFonts w:hint="eastAsia" w:ascii="Times New Roman" w:hAnsi="Times New Roman" w:eastAsia="宋体" w:cs="Times New Roman"/>
                <w:color w:val="FF0000"/>
                <w:sz w:val="24"/>
                <w:szCs w:val="24"/>
                <w:u w:val="single"/>
              </w:rPr>
              <w:t>将湿地出水循环提升至养殖区前端，设计水量20000m</w:t>
            </w:r>
            <w:r>
              <w:rPr>
                <w:rFonts w:hint="eastAsia" w:ascii="Times New Roman" w:hAnsi="Times New Roman" w:eastAsia="宋体" w:cs="Times New Roman"/>
                <w:color w:val="FF0000"/>
                <w:sz w:val="24"/>
                <w:szCs w:val="24"/>
                <w:u w:val="single"/>
                <w:vertAlign w:val="superscript"/>
              </w:rPr>
              <w:t>3</w:t>
            </w:r>
            <w:r>
              <w:rPr>
                <w:rFonts w:hint="eastAsia" w:ascii="Times New Roman" w:hAnsi="Times New Roman" w:eastAsia="宋体" w:cs="Times New Roman"/>
                <w:color w:val="FF0000"/>
                <w:sz w:val="24"/>
                <w:szCs w:val="24"/>
                <w:u w:val="single"/>
              </w:rPr>
              <w:t>/d。</w:t>
            </w:r>
            <w:r>
              <w:rPr>
                <w:rFonts w:hint="eastAsia" w:cs="Times New Roman"/>
                <w:color w:val="FF0000"/>
                <w:sz w:val="24"/>
                <w:szCs w:val="24"/>
                <w:u w:val="single"/>
                <w:lang w:val="en-US" w:eastAsia="zh-CN"/>
              </w:rPr>
              <w:t>提升泵站坐标为：东经122°50′35.41″、北纬28°51′41.65″。</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(1) 泵房</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尺寸：7.0×3.5×4.8m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结构形式：地上砖混</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(2) 泵坑</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尺寸：6.4×5.0×4.6m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结构形式：地下钢砼</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(3) 格栅井</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尺寸：2.0×2.0×2.5m，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结构形式：地下钢砼</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lang w:val="en-US" w:eastAsia="zh-CN"/>
              </w:rPr>
            </w:pPr>
            <w:r>
              <w:rPr>
                <w:rFonts w:hint="eastAsia" w:cs="Times New Roman"/>
                <w:color w:val="FF0000"/>
                <w:sz w:val="24"/>
                <w:szCs w:val="24"/>
                <w:u w:val="single"/>
                <w:lang w:val="en-US" w:eastAsia="zh-CN"/>
              </w:rPr>
              <w:t>(4)提升泵</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r>
              <w:rPr>
                <w:rFonts w:hint="eastAsia" w:cs="Times New Roman"/>
                <w:color w:val="FF0000"/>
                <w:sz w:val="24"/>
                <w:szCs w:val="24"/>
                <w:u w:val="single"/>
                <w:lang w:val="en-US" w:eastAsia="zh-CN"/>
              </w:rPr>
              <w:t>提升泵站内有3个提升泵，2用1备，选用 WQ 型潜污泵，流量 Q=420m</w:t>
            </w:r>
            <w:r>
              <w:rPr>
                <w:rFonts w:hint="eastAsia" w:cs="Times New Roman"/>
                <w:color w:val="FF0000"/>
                <w:sz w:val="24"/>
                <w:szCs w:val="24"/>
                <w:u w:val="single"/>
                <w:vertAlign w:val="superscript"/>
                <w:lang w:val="en-US" w:eastAsia="zh-CN"/>
              </w:rPr>
              <w:t>3</w:t>
            </w:r>
            <w:r>
              <w:rPr>
                <w:rFonts w:hint="eastAsia" w:cs="Times New Roman"/>
                <w:color w:val="FF0000"/>
                <w:sz w:val="24"/>
                <w:szCs w:val="24"/>
                <w:u w:val="single"/>
                <w:lang w:val="en-US" w:eastAsia="zh-CN"/>
              </w:rPr>
              <w:t>/h，扬程 H=10m，功率 22kw，水泵出口直径 DN=250。</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cs="Times New Roman"/>
                <w:color w:val="auto"/>
                <w:sz w:val="24"/>
                <w:szCs w:val="24"/>
                <w:u w:val="none"/>
                <w:lang w:val="en-US" w:eastAsia="zh-CN"/>
              </w:rPr>
              <w:t>2.</w:t>
            </w:r>
            <w:r>
              <w:rPr>
                <w:rFonts w:hint="eastAsia" w:ascii="Times New Roman" w:hAnsi="Times New Roman" w:eastAsia="宋体" w:cs="Times New Roman"/>
                <w:color w:val="auto"/>
                <w:sz w:val="24"/>
                <w:szCs w:val="24"/>
                <w:u w:val="none"/>
              </w:rPr>
              <w:t>回水管及检查井</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退水渠出水有2 种去处，一是通过团山围闸口排入横岭湖；二是通过提升泵站回流至上游鱼塘，作为生态养殖补水。在鱼塘南侧建设回水管网，枯水期可将人工湿地出水通过泵至泵至上游鱼塘作为生态补水。</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因团山围闸口在回水管路径上，本项目回水管设计在泵房至团山围闸口段采用Q235B 螺旋缝焊接钢管，在团山围闸口至上游鱼塘段采用HDPE 高密度聚乙烯双壁波纹排水管。</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cs="Times New Roman"/>
                <w:color w:val="auto"/>
                <w:sz w:val="24"/>
                <w:szCs w:val="24"/>
                <w:u w:val="none"/>
                <w:lang w:val="en-US" w:eastAsia="zh-CN"/>
              </w:rPr>
              <w:t>（1）</w:t>
            </w:r>
            <w:r>
              <w:rPr>
                <w:rFonts w:hint="eastAsia" w:ascii="Times New Roman" w:hAnsi="Times New Roman" w:eastAsia="宋体" w:cs="Times New Roman"/>
                <w:color w:val="auto"/>
                <w:sz w:val="24"/>
                <w:szCs w:val="24"/>
                <w:u w:val="none"/>
              </w:rPr>
              <w:t>设计参数</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1) 回水管</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设计长度：焊接钢管193m，HDPE 管3250m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规格尺寸：焊接钢管D325×6、HDPE 管De300</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2) 排水检查井</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规格尺寸：ф700mm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结构形式：地下砖混结构</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排水检查井做法见标准图集20S515/22，排水检查井应做好渗漏措施；</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3) 消能井</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规格尺寸：2100mm×1000mm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结构形式：地下砖混结构</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cs="Times New Roman"/>
                <w:color w:val="auto"/>
                <w:sz w:val="24"/>
                <w:szCs w:val="24"/>
                <w:u w:val="none"/>
                <w:lang w:val="en-US" w:eastAsia="zh-CN"/>
              </w:rPr>
              <w:t>（2）</w:t>
            </w:r>
            <w:r>
              <w:rPr>
                <w:rFonts w:hint="eastAsia" w:ascii="Times New Roman" w:hAnsi="Times New Roman" w:eastAsia="宋体" w:cs="Times New Roman"/>
                <w:color w:val="auto"/>
                <w:sz w:val="24"/>
                <w:szCs w:val="24"/>
                <w:u w:val="none"/>
              </w:rPr>
              <w:t>设备材料</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管道支架：D325，镀锌钢材质</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法兰：压力等级为1.6MPa，Q235B 材质</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default" w:cs="Times New Roman"/>
                <w:b/>
                <w:bCs/>
                <w:color w:val="auto"/>
                <w:sz w:val="24"/>
                <w:szCs w:val="24"/>
                <w:u w:val="none"/>
                <w:lang w:val="en-US" w:eastAsia="zh-CN"/>
              </w:rPr>
            </w:pPr>
            <w:r>
              <w:rPr>
                <w:rFonts w:hint="eastAsia" w:cs="Times New Roman"/>
                <w:b/>
                <w:bCs/>
                <w:color w:val="auto"/>
                <w:sz w:val="24"/>
                <w:szCs w:val="24"/>
                <w:u w:val="none"/>
                <w:lang w:val="en-US" w:eastAsia="zh-CN"/>
              </w:rPr>
              <w:t>7、生态护坡</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本项目人工湿地选址处现状为天然鱼塘，东侧现有土质堤岸以及一条土路。</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本次计划在人工湿地和生态塘东侧区域修建生态护坡，铺设马尼拉草皮，长度0.88km，生态护坡工程未超出原有矢量红线范围。</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本项目生态护坡组成由人工湿地至原始道路依次为护栏、草皮护坡、青砖道路、乔、灌、草皮护坡。生态护坡示意图如下：</w:t>
            </w:r>
          </w:p>
          <w:p>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b/>
                <w:bCs/>
                <w:color w:val="auto"/>
                <w:sz w:val="24"/>
                <w:szCs w:val="24"/>
                <w:u w:val="none"/>
              </w:rPr>
            </w:pPr>
            <w:r>
              <w:rPr>
                <w:rFonts w:hint="eastAsia" w:ascii="Times New Roman" w:hAnsi="Times New Roman" w:eastAsia="宋体" w:cs="Times New Roman"/>
                <w:b/>
                <w:bCs/>
                <w:color w:val="auto"/>
                <w:sz w:val="24"/>
                <w:szCs w:val="24"/>
                <w:u w:val="none"/>
              </w:rPr>
              <w:drawing>
                <wp:inline distT="0" distB="0" distL="114300" distR="114300">
                  <wp:extent cx="4999990" cy="2192020"/>
                  <wp:effectExtent l="0" t="0" r="10160" b="1778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9"/>
                          <a:stretch>
                            <a:fillRect/>
                          </a:stretch>
                        </pic:blipFill>
                        <pic:spPr>
                          <a:xfrm>
                            <a:off x="0" y="0"/>
                            <a:ext cx="4999990" cy="21920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图2</w:t>
            </w:r>
            <w:r>
              <w:rPr>
                <w:rFonts w:hint="eastAsia" w:ascii="Times New Roman" w:hAnsi="Times New Roman" w:eastAsia="宋体" w:cs="Times New Roman"/>
                <w:b/>
                <w:bCs/>
                <w:color w:val="auto"/>
                <w:sz w:val="24"/>
                <w:szCs w:val="24"/>
                <w:u w:val="none"/>
              </w:rPr>
              <w:t>生态护坡示意图</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1、设计参数</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(1) 草皮护坡</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设计长度：880m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草皮种类：马尼拉草皮</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规格尺寸：400×400mm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(2) 灌木</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灌木种类：红花继木</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规格尺寸：高80-100cm、蓬径60-80cm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种植方式：混种，三株灌木配一株乔木</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灌木种类：小叶女贞</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规格尺寸：高80-100cm、冠幅120-150cm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种植方式：混种，三株灌木配一株乔木</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灌木种类：红叶石楠</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规格尺寸：高80-100cm、冠幅60-80cm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种植方式：混种，三株灌木配一株乔木</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(3) 乔木</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乔木种类：香樟</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规格尺寸：高700-750cm、冠幅500-550cm、胸径15-17cm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种植方式：乔木之间间隔5m 种植</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乔木种类：碧桃</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规格尺寸：高240-270cm、冠幅100-130cm、地径7-8cm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种植方式：乔木之间间隔5m 种植</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乔木种类：桂花</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规格尺寸：高210-240cm、冠幅180-210cm、胸径径8-10cm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种植方式：乔木之间间隔5m 种植</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(4) 道路</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设计尺寸：宽2m，长880m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道路类型：透水砖路面，级配碎石+C20 混凝土路基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透水砖规格：100x200x30mm，水泥混凝土</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(5) 护栏</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设计尺寸：高1.1m，长880m</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护栏类型：镀锌钢方管，原木漆上色+C25 混凝土底座</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方管规格：120×120×5mm（立柱） 60×60×3mm（其他）</w:t>
            </w:r>
          </w:p>
          <w:p>
            <w:pPr>
              <w:adjustRightInd w:val="0"/>
              <w:snapToGrid w:val="0"/>
              <w:spacing w:line="360" w:lineRule="auto"/>
              <w:ind w:firstLine="482" w:firstLineChars="200"/>
              <w:rPr>
                <w:rFonts w:hint="default" w:ascii="Times New Roman" w:hAnsi="Times New Roman" w:eastAsia="宋体" w:cs="Times New Roman"/>
                <w:b/>
                <w:color w:val="FF0000"/>
                <w:sz w:val="24"/>
                <w:u w:val="single"/>
                <w:lang w:val="en-US" w:eastAsia="zh-CN"/>
              </w:rPr>
            </w:pPr>
            <w:r>
              <w:rPr>
                <w:rFonts w:hint="eastAsia" w:cs="Times New Roman"/>
                <w:b/>
                <w:color w:val="FF0000"/>
                <w:sz w:val="24"/>
                <w:u w:val="single"/>
                <w:lang w:val="en-US" w:eastAsia="zh-CN"/>
              </w:rPr>
              <w:t>（六）</w:t>
            </w:r>
            <w:r>
              <w:rPr>
                <w:rFonts w:hint="default" w:ascii="Times New Roman" w:hAnsi="Times New Roman" w:eastAsia="宋体" w:cs="Times New Roman"/>
                <w:b/>
                <w:color w:val="FF0000"/>
                <w:sz w:val="24"/>
                <w:u w:val="single"/>
              </w:rPr>
              <w:t>项目</w:t>
            </w:r>
            <w:r>
              <w:rPr>
                <w:rFonts w:hint="eastAsia" w:ascii="Times New Roman" w:hAnsi="Times New Roman" w:eastAsia="宋体" w:cs="Times New Roman"/>
                <w:b/>
                <w:color w:val="FF0000"/>
                <w:sz w:val="24"/>
                <w:u w:val="single"/>
                <w:lang w:val="en-US" w:eastAsia="zh-CN"/>
              </w:rPr>
              <w:t>维护管理工作</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FF0000"/>
                <w:sz w:val="24"/>
                <w:szCs w:val="24"/>
                <w:u w:val="single"/>
                <w:lang w:val="en-US" w:eastAsia="zh-CN"/>
              </w:rPr>
            </w:pPr>
            <w:r>
              <w:rPr>
                <w:rFonts w:hint="eastAsia" w:ascii="Times New Roman" w:hAnsi="Times New Roman" w:eastAsia="宋体" w:cs="Times New Roman"/>
                <w:color w:val="FF0000"/>
                <w:sz w:val="24"/>
                <w:szCs w:val="24"/>
                <w:u w:val="single"/>
                <w:lang w:val="en-US" w:eastAsia="zh-CN"/>
              </w:rPr>
              <w:t>根据本项目可行性研究报告和初步设计，项目维护管理工作如下：</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default" w:ascii="Times New Roman" w:hAnsi="Times New Roman" w:eastAsia="宋体" w:cs="Times New Roman"/>
                <w:b/>
                <w:bCs/>
                <w:color w:val="FF0000"/>
                <w:sz w:val="24"/>
                <w:szCs w:val="24"/>
                <w:u w:val="single"/>
                <w:lang w:val="en-US" w:eastAsia="zh-CN"/>
              </w:rPr>
            </w:pPr>
            <w:r>
              <w:rPr>
                <w:rFonts w:hint="default" w:ascii="Times New Roman" w:hAnsi="Times New Roman" w:eastAsia="宋体" w:cs="Times New Roman"/>
                <w:b/>
                <w:bCs/>
                <w:color w:val="FF0000"/>
                <w:sz w:val="24"/>
                <w:szCs w:val="24"/>
                <w:u w:val="single"/>
                <w:lang w:val="en-US" w:eastAsia="zh-CN"/>
              </w:rPr>
              <w:t>1、引排水系统的运行维护宜采用周期性分区方式巡视，每周不少于 1 次，巡视应包括下列内容：</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(1) 检查管道沿线的明漏或地面塌陷情况，对不能满足输水要求和存在安全隐患的管道，应有计划地进行修复和更新改造，管道的维护应符合《城镇排水管道维护安全技术规程》CJJ6 的相关规定；</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(2) 检查渠道沿线的明漏或地面塌陷情况，渠道的维护应符合《城镇排水管渠与泵站运行、维护及安全技术规程》CJJ68 的相关规定；</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(3) 检查井盖、标志装置等管网附件的缺损情况，及时更换与维修；</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(4) 检查各类阀门、设施井等的损坏和堆压情况，出现损坏及时更换与维修，出现堆压及时清理；</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(5) 检查管道周围环境变化情况和影响管网及其附属设施安全的活动。</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default" w:ascii="Times New Roman" w:hAnsi="Times New Roman" w:eastAsia="宋体" w:cs="Times New Roman"/>
                <w:b/>
                <w:bCs/>
                <w:color w:val="FF0000"/>
                <w:sz w:val="24"/>
                <w:szCs w:val="24"/>
                <w:u w:val="single"/>
                <w:lang w:val="en-US" w:eastAsia="zh-CN"/>
              </w:rPr>
            </w:pPr>
            <w:r>
              <w:rPr>
                <w:rFonts w:hint="default" w:ascii="Times New Roman" w:hAnsi="Times New Roman" w:eastAsia="宋体" w:cs="Times New Roman"/>
                <w:b/>
                <w:bCs/>
                <w:color w:val="FF0000"/>
                <w:sz w:val="24"/>
                <w:szCs w:val="24"/>
                <w:u w:val="single"/>
                <w:lang w:val="en-US" w:eastAsia="zh-CN"/>
              </w:rPr>
              <w:t>2、集布水及排空系统的运行与维护应符合以下要求：</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(1) 每日巡视集布水系统，采用人工或机械清理系统内的杂物和积泥，保持填料表面平整，保证集布水系统正常运行和布水均匀；</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(2) 每周检查集布水系统内的管道、渠道等破损、腐蚀情况，确保管道通畅，阀门、闸门运行正常，做好管道、阀门除锈、除垢、润滑及防腐工作，避免出现漏水现象；</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w:t>
            </w:r>
            <w:r>
              <w:rPr>
                <w:rFonts w:hint="eastAsia" w:ascii="Times New Roman" w:hAnsi="Times New Roman" w:eastAsia="宋体" w:cs="Times New Roman"/>
                <w:color w:val="FF0000"/>
                <w:sz w:val="24"/>
                <w:szCs w:val="24"/>
                <w:u w:val="single"/>
                <w:lang w:val="en-US" w:eastAsia="zh-CN"/>
              </w:rPr>
              <w:t>3</w:t>
            </w:r>
            <w:r>
              <w:rPr>
                <w:rFonts w:hint="default" w:ascii="Times New Roman" w:hAnsi="Times New Roman" w:eastAsia="宋体" w:cs="Times New Roman"/>
                <w:color w:val="FF0000"/>
                <w:sz w:val="24"/>
                <w:szCs w:val="24"/>
                <w:u w:val="single"/>
                <w:lang w:val="en-US" w:eastAsia="zh-CN"/>
              </w:rPr>
              <w:t>) 检查或清理集布水系统时宜减少或暂停进水，清理前做好充分的人力、物力、照明、通风及安全措施准备，尽量缩短停水时间，确保安全；</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default" w:ascii="Times New Roman" w:hAnsi="Times New Roman" w:eastAsia="宋体" w:cs="Times New Roman"/>
                <w:b/>
                <w:bCs/>
                <w:color w:val="FF0000"/>
                <w:sz w:val="24"/>
                <w:szCs w:val="24"/>
                <w:u w:val="single"/>
                <w:lang w:val="en-US" w:eastAsia="zh-CN"/>
              </w:rPr>
            </w:pPr>
            <w:r>
              <w:rPr>
                <w:rFonts w:hint="default" w:ascii="Times New Roman" w:hAnsi="Times New Roman" w:eastAsia="宋体" w:cs="Times New Roman"/>
                <w:b/>
                <w:bCs/>
                <w:color w:val="FF0000"/>
                <w:sz w:val="24"/>
                <w:szCs w:val="24"/>
                <w:u w:val="single"/>
                <w:lang w:val="en-US" w:eastAsia="zh-CN"/>
              </w:rPr>
              <w:t>3、人工湿地植物的管护应符合以下要求：</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(1) 宜每月巡视人工湿地植物长势，并做好记录与分析，监测与记录人工湿地主体内水生植物的种类、密度、株高以及植物的根系长度、宽幅等，为人工湿地运行和维护提供参考依据；</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(2) 应根据植物的不同生长期进行管理，如果湿地植物出现死亡缺株，应及时补植，达到设计要求；</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(3) 湿地植物病虫害防治应采取预防为主、治疗为辅的方针，应优先采用物理、生物方法防治病虫害，尽量少用化学农药；</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(4) 湿地运行期间应及时清理人工湿地内杂草和枯枝落叶，防止腐烂；可通过抬高湿地水位、人工拔除等方式抑制杂草生长；秋冬季节，对植物做好防冻措施或及时收割，并且加强消防措施；</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(5) 湿地如出现水绵泛滥，应及时清理；</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(6) 湿地植物应及时修剪或收割，并满足以下条件：</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1) 应定期收割植物，每年收割 1 次，植物的收割宜在生长后期，可以提高氮和磷去除率；收割时不得破坏填料表面；</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2) 表面流人工湿地、生态滞留塘具备降水条件时应先降低水位，待表层干燥后再收割，避免工人操作时破坏人工湿地土壤；不具备降水条件时可采用工具船或人工收割；</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3) 沉水植物、浮水植物密度过大时，应适时进行人工或机械收割，达到设计密度要求，沉水植物收割至水面下 10cm~20cm 为宜；</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default" w:ascii="Times New Roman" w:hAnsi="Times New Roman" w:eastAsia="宋体" w:cs="Times New Roman"/>
                <w:color w:val="FF0000"/>
                <w:sz w:val="24"/>
                <w:szCs w:val="24"/>
                <w:u w:val="single"/>
              </w:rPr>
              <w:t>4) 应及时修剪枯黄、枯死和倒伏水生植物，疏除弱枝弱株，达到通风透光，保证植物生长质量；</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default" w:ascii="Times New Roman" w:hAnsi="Times New Roman" w:eastAsia="宋体" w:cs="Times New Roman"/>
                <w:color w:val="FF0000"/>
                <w:sz w:val="24"/>
                <w:szCs w:val="24"/>
                <w:u w:val="single"/>
              </w:rPr>
              <w:t>5) 收割植物应妥善处置，宜交由再生资源回收公司进行处理和利用，严禁在人工湿地内焚烧植物。</w:t>
            </w:r>
          </w:p>
          <w:p>
            <w:pPr>
              <w:keepNext w:val="0"/>
              <w:keepLines w:val="0"/>
              <w:pageBreakBefore w:val="0"/>
              <w:widowControl w:val="0"/>
              <w:numPr>
                <w:ilvl w:val="0"/>
                <w:numId w:val="2"/>
              </w:numPr>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default" w:ascii="Times New Roman" w:hAnsi="Times New Roman" w:eastAsia="宋体" w:cs="Times New Roman"/>
                <w:color w:val="FF0000"/>
                <w:sz w:val="24"/>
                <w:szCs w:val="24"/>
                <w:u w:val="single"/>
              </w:rPr>
              <w:t>植物养护标准参照《园林绿化养护标准》CJJ/T287 中的有关规定。</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default" w:ascii="Times New Roman" w:hAnsi="Times New Roman" w:eastAsia="宋体" w:cs="Times New Roman"/>
                <w:color w:val="FF0000"/>
                <w:sz w:val="24"/>
                <w:szCs w:val="24"/>
                <w:u w:val="single"/>
              </w:rPr>
              <w:t>4、低温环境处理措施：</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default" w:ascii="Times New Roman" w:hAnsi="Times New Roman" w:eastAsia="宋体" w:cs="Times New Roman"/>
                <w:color w:val="FF0000"/>
                <w:sz w:val="24"/>
                <w:szCs w:val="24"/>
                <w:u w:val="single"/>
              </w:rPr>
              <w:t>(1) 在保证消防安全、水质不恶化的前提下，植物收割后可采用将收割的植物就地覆盖方式对湿地表面保温；</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default" w:ascii="Times New Roman" w:hAnsi="Times New Roman" w:eastAsia="宋体" w:cs="Times New Roman"/>
                <w:color w:val="FF0000"/>
                <w:sz w:val="24"/>
                <w:szCs w:val="24"/>
                <w:u w:val="single"/>
              </w:rPr>
              <w:t>(2) 将湿地水位提升 5cm~10cm，待人工湿地表层结冰后，降低运行水位至常水位，利用表面冰层对湿地保温。植物收割时可保留 20cm~30cm 直立残茎，以支持冰层；</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default" w:ascii="Times New Roman" w:hAnsi="Times New Roman" w:eastAsia="宋体" w:cs="Times New Roman"/>
                <w:color w:val="FF0000"/>
                <w:sz w:val="24"/>
                <w:szCs w:val="24"/>
                <w:u w:val="single"/>
              </w:rPr>
              <w:t>(3) 适当抬高人工湿地水位，延长水力停留时间；极寒天气时，应降低运行水位，在冰层和水面间形成空气隔绝层，达到保温效果；</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default" w:ascii="Times New Roman" w:hAnsi="Times New Roman" w:eastAsia="宋体" w:cs="Times New Roman"/>
                <w:color w:val="FF0000"/>
                <w:sz w:val="24"/>
                <w:szCs w:val="24"/>
                <w:u w:val="single"/>
              </w:rPr>
              <w:t>(4) 低温运行时应对进出水管（渠）采取防冻保温措施；</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default" w:ascii="Times New Roman" w:hAnsi="Times New Roman" w:eastAsia="宋体" w:cs="Times New Roman"/>
                <w:color w:val="FF0000"/>
                <w:sz w:val="24"/>
                <w:szCs w:val="24"/>
                <w:u w:val="single"/>
              </w:rPr>
              <w:t>(5) 植物收割应预留表面覆盖空间和设施。</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sz w:val="24"/>
                <w:szCs w:val="24"/>
                <w:u w:val="single"/>
              </w:rPr>
            </w:pPr>
            <w:r>
              <w:rPr>
                <w:rFonts w:hint="default" w:ascii="Times New Roman" w:hAnsi="Times New Roman" w:eastAsia="宋体" w:cs="Times New Roman"/>
                <w:color w:val="FF0000"/>
                <w:sz w:val="24"/>
                <w:szCs w:val="24"/>
                <w:u w:val="single"/>
              </w:rPr>
              <w:t>人工湿地低温运行期间可适当降低水力负荷，并维持稳定的进水流量。当人工湿地采取潮汐流方式运行时，两次潮汐时间不宜超过 24h，避免湿地在低温时段处于落干状态。</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11" w:hRule="atLeast"/>
          <w:jc w:val="center"/>
        </w:trPr>
        <w:tc>
          <w:tcPr>
            <w:tcW w:w="423" w:type="dxa"/>
            <w:noWrap w:val="0"/>
            <w:vAlign w:val="center"/>
          </w:tcPr>
          <w:p>
            <w:pPr>
              <w:adjustRightInd w:val="0"/>
              <w:snapToGrid w:val="0"/>
              <w:jc w:val="center"/>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kern w:val="0"/>
                <w:szCs w:val="21"/>
                <w:u w:val="none"/>
              </w:rPr>
              <w:t>总平面及现场布置</w:t>
            </w:r>
          </w:p>
        </w:tc>
        <w:tc>
          <w:tcPr>
            <w:tcW w:w="8099" w:type="dxa"/>
            <w:noWrap w:val="0"/>
            <w:vAlign w:val="center"/>
          </w:tcPr>
          <w:p>
            <w:pPr>
              <w:adjustRightInd w:val="0"/>
              <w:snapToGrid w:val="0"/>
              <w:spacing w:line="360" w:lineRule="auto"/>
              <w:ind w:firstLine="482" w:firstLineChars="200"/>
              <w:rPr>
                <w:rFonts w:hint="default" w:ascii="Times New Roman" w:hAnsi="Times New Roman" w:eastAsia="宋体" w:cs="Times New Roman"/>
                <w:color w:val="auto"/>
                <w:kern w:val="0"/>
                <w:sz w:val="24"/>
                <w:u w:val="none"/>
              </w:rPr>
            </w:pPr>
            <w:r>
              <w:rPr>
                <w:rFonts w:hint="default" w:ascii="Times New Roman" w:hAnsi="Times New Roman" w:eastAsia="宋体" w:cs="Times New Roman"/>
                <w:b/>
                <w:bCs/>
                <w:color w:val="auto"/>
                <w:kern w:val="0"/>
                <w:sz w:val="24"/>
                <w:u w:val="none"/>
                <w:lang w:val="en-US" w:eastAsia="zh-CN"/>
              </w:rPr>
              <w:t>1、主体工程总平面布置</w:t>
            </w:r>
          </w:p>
          <w:p>
            <w:pPr>
              <w:adjustRightInd w:val="0"/>
              <w:snapToGrid w:val="0"/>
              <w:spacing w:line="360" w:lineRule="auto"/>
              <w:ind w:firstLine="480" w:firstLineChars="200"/>
              <w:rPr>
                <w:rFonts w:hint="eastAsia" w:ascii="Times New Roman" w:hAnsi="Times New Roman" w:eastAsia="宋体" w:cs="Times New Roman"/>
                <w:color w:val="auto"/>
                <w:sz w:val="24"/>
                <w:u w:val="none"/>
                <w:lang w:val="en-US" w:eastAsia="zh-CN"/>
              </w:rPr>
            </w:pPr>
            <w:r>
              <w:rPr>
                <w:rFonts w:hint="eastAsia" w:ascii="Times New Roman" w:hAnsi="Times New Roman" w:eastAsia="宋体" w:cs="Times New Roman"/>
                <w:color w:val="auto"/>
                <w:sz w:val="24"/>
                <w:u w:val="none"/>
                <w:lang w:val="en-US" w:eastAsia="zh-CN"/>
              </w:rPr>
              <w:t>人工湿地系统的植物布水塘布置在湿地最前端，便于接受前端的鱼塘养殖尾水；生态塘布置在湿地的末端，湿地出水通过溢流渠进入生态塘；</w:t>
            </w:r>
          </w:p>
          <w:p>
            <w:pPr>
              <w:adjustRightInd w:val="0"/>
              <w:snapToGrid w:val="0"/>
              <w:spacing w:line="360" w:lineRule="auto"/>
              <w:ind w:firstLine="480" w:firstLineChars="200"/>
              <w:rPr>
                <w:rFonts w:hint="default" w:ascii="Times New Roman" w:hAnsi="Times New Roman" w:eastAsia="宋体" w:cs="Times New Roman"/>
                <w:color w:val="auto"/>
                <w:sz w:val="24"/>
                <w:u w:val="none"/>
                <w:lang w:val="en-US" w:eastAsia="zh-CN"/>
              </w:rPr>
            </w:pPr>
            <w:r>
              <w:rPr>
                <w:rFonts w:hint="eastAsia" w:ascii="Times New Roman" w:hAnsi="Times New Roman" w:eastAsia="宋体" w:cs="Times New Roman"/>
                <w:color w:val="auto"/>
                <w:sz w:val="24"/>
                <w:u w:val="none"/>
                <w:lang w:val="en-US" w:eastAsia="zh-CN"/>
              </w:rPr>
              <w:t>生态塘出水通过渠道自流进入退水渠。与湿地配套建设的提升泵站布置在退水渠末端团山围闸口附近。</w:t>
            </w:r>
          </w:p>
          <w:p>
            <w:pPr>
              <w:adjustRightInd w:val="0"/>
              <w:snapToGrid w:val="0"/>
              <w:spacing w:line="360" w:lineRule="auto"/>
              <w:ind w:firstLine="420" w:firstLineChars="200"/>
              <w:rPr>
                <w:rFonts w:hint="default" w:ascii="Times New Roman" w:hAnsi="Times New Roman" w:eastAsia="宋体" w:cs="Times New Roman"/>
                <w:color w:val="auto"/>
                <w:kern w:val="0"/>
                <w:sz w:val="24"/>
                <w:u w:val="none"/>
                <w:lang w:val="en-US" w:eastAsia="zh-CN"/>
              </w:rPr>
            </w:pPr>
            <w:r>
              <w:rPr>
                <w:u w:val="none"/>
              </w:rPr>
              <w:drawing>
                <wp:inline distT="0" distB="0" distL="114300" distR="114300">
                  <wp:extent cx="5004435" cy="2955290"/>
                  <wp:effectExtent l="0" t="0" r="5715" b="1651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0"/>
                          <a:stretch>
                            <a:fillRect/>
                          </a:stretch>
                        </pic:blipFill>
                        <pic:spPr>
                          <a:xfrm>
                            <a:off x="0" y="0"/>
                            <a:ext cx="5004435" cy="2955290"/>
                          </a:xfrm>
                          <a:prstGeom prst="rect">
                            <a:avLst/>
                          </a:prstGeom>
                          <a:noFill/>
                          <a:ln>
                            <a:noFill/>
                          </a:ln>
                        </pic:spPr>
                      </pic:pic>
                    </a:graphicData>
                  </a:graphic>
                </wp:inline>
              </w:drawing>
            </w:r>
          </w:p>
          <w:p>
            <w:pPr>
              <w:adjustRightInd w:val="0"/>
              <w:snapToGrid w:val="0"/>
              <w:spacing w:line="360" w:lineRule="auto"/>
              <w:ind w:firstLine="482" w:firstLineChars="200"/>
              <w:rPr>
                <w:rFonts w:hint="default" w:ascii="Times New Roman" w:hAnsi="Times New Roman" w:eastAsia="宋体" w:cs="Times New Roman"/>
                <w:color w:val="auto"/>
                <w:kern w:val="0"/>
                <w:sz w:val="24"/>
                <w:u w:val="none"/>
                <w:lang w:val="en-US" w:eastAsia="zh-CN"/>
              </w:rPr>
            </w:pPr>
            <w:r>
              <w:rPr>
                <w:rFonts w:hint="eastAsia" w:cs="Times New Roman"/>
                <w:b/>
                <w:bCs/>
                <w:color w:val="auto"/>
                <w:kern w:val="0"/>
                <w:sz w:val="24"/>
                <w:u w:val="none"/>
                <w:lang w:val="en-US" w:eastAsia="zh-CN"/>
              </w:rPr>
              <w:t>2</w:t>
            </w:r>
            <w:r>
              <w:rPr>
                <w:rFonts w:hint="default" w:ascii="Times New Roman" w:hAnsi="Times New Roman" w:eastAsia="宋体" w:cs="Times New Roman"/>
                <w:b/>
                <w:bCs/>
                <w:color w:val="auto"/>
                <w:kern w:val="0"/>
                <w:sz w:val="24"/>
                <w:u w:val="none"/>
                <w:lang w:val="en-US" w:eastAsia="zh-CN"/>
              </w:rPr>
              <w:t>、工程施工布置</w:t>
            </w:r>
          </w:p>
          <w:p>
            <w:pPr>
              <w:adjustRightInd w:val="0"/>
              <w:spacing w:line="360" w:lineRule="auto"/>
              <w:ind w:firstLine="480" w:firstLineChars="200"/>
              <w:rPr>
                <w:rFonts w:hint="default" w:ascii="Times New Roman" w:hAnsi="Times New Roman" w:eastAsia="宋体" w:cs="Times New Roman"/>
                <w:bCs/>
                <w:color w:val="auto"/>
                <w:sz w:val="24"/>
                <w:szCs w:val="24"/>
                <w:u w:val="none"/>
              </w:rPr>
            </w:pPr>
            <w:r>
              <w:rPr>
                <w:rFonts w:hint="default" w:ascii="Times New Roman" w:hAnsi="Times New Roman" w:eastAsia="宋体" w:cs="Times New Roman"/>
                <w:bCs/>
                <w:color w:val="auto"/>
                <w:sz w:val="24"/>
                <w:szCs w:val="24"/>
                <w:u w:val="none"/>
              </w:rPr>
              <w:t>（1）供电</w:t>
            </w:r>
          </w:p>
          <w:p>
            <w:pPr>
              <w:adjustRightInd w:val="0"/>
              <w:spacing w:line="360" w:lineRule="auto"/>
              <w:ind w:firstLine="480" w:firstLineChars="200"/>
              <w:rPr>
                <w:rFonts w:hint="default" w:ascii="Times New Roman" w:hAnsi="Times New Roman" w:eastAsia="宋体" w:cs="Times New Roman"/>
                <w:bCs/>
                <w:color w:val="auto"/>
                <w:sz w:val="24"/>
                <w:szCs w:val="24"/>
                <w:u w:val="none"/>
              </w:rPr>
            </w:pPr>
            <w:r>
              <w:rPr>
                <w:rFonts w:hint="default" w:ascii="Times New Roman" w:hAnsi="Times New Roman" w:eastAsia="宋体" w:cs="Times New Roman"/>
                <w:bCs/>
                <w:color w:val="auto"/>
                <w:sz w:val="24"/>
                <w:szCs w:val="24"/>
                <w:u w:val="none"/>
              </w:rPr>
              <w:t>本项目供电采用</w:t>
            </w:r>
            <w:r>
              <w:rPr>
                <w:rFonts w:hint="default" w:ascii="Times New Roman" w:hAnsi="Times New Roman" w:eastAsia="宋体" w:cs="Times New Roman"/>
                <w:bCs/>
                <w:color w:val="auto"/>
                <w:sz w:val="24"/>
                <w:szCs w:val="24"/>
                <w:u w:val="none"/>
                <w:lang w:val="en-US" w:eastAsia="zh-CN"/>
              </w:rPr>
              <w:t>国家电网</w:t>
            </w:r>
            <w:r>
              <w:rPr>
                <w:rFonts w:hint="default" w:ascii="Times New Roman" w:hAnsi="Times New Roman" w:eastAsia="宋体" w:cs="Times New Roman"/>
                <w:bCs/>
                <w:color w:val="auto"/>
                <w:sz w:val="24"/>
                <w:szCs w:val="24"/>
                <w:u w:val="none"/>
              </w:rPr>
              <w:t>供电，能满足项目施工期、营运期用电需求。</w:t>
            </w:r>
          </w:p>
          <w:p>
            <w:pPr>
              <w:adjustRightInd w:val="0"/>
              <w:spacing w:line="360" w:lineRule="auto"/>
              <w:ind w:firstLine="480" w:firstLineChars="200"/>
              <w:rPr>
                <w:rFonts w:hint="default" w:ascii="Times New Roman" w:hAnsi="Times New Roman" w:eastAsia="宋体" w:cs="Times New Roman"/>
                <w:bCs/>
                <w:color w:val="auto"/>
                <w:sz w:val="24"/>
                <w:szCs w:val="24"/>
                <w:u w:val="none"/>
              </w:rPr>
            </w:pPr>
            <w:r>
              <w:rPr>
                <w:rFonts w:hint="default" w:ascii="Times New Roman" w:hAnsi="Times New Roman" w:eastAsia="宋体" w:cs="Times New Roman"/>
                <w:bCs/>
                <w:color w:val="auto"/>
                <w:sz w:val="24"/>
                <w:szCs w:val="24"/>
                <w:u w:val="none"/>
              </w:rPr>
              <w:t>（2）供水</w:t>
            </w:r>
          </w:p>
          <w:p>
            <w:pPr>
              <w:adjustRightInd w:val="0"/>
              <w:spacing w:line="360" w:lineRule="auto"/>
              <w:ind w:firstLine="480" w:firstLineChars="200"/>
              <w:rPr>
                <w:rFonts w:hint="default" w:ascii="Times New Roman" w:hAnsi="Times New Roman" w:eastAsia="宋体" w:cs="Times New Roman"/>
                <w:bCs/>
                <w:color w:val="auto"/>
                <w:sz w:val="24"/>
                <w:szCs w:val="24"/>
                <w:u w:val="none"/>
              </w:rPr>
            </w:pPr>
            <w:r>
              <w:rPr>
                <w:rFonts w:hint="default" w:ascii="Times New Roman" w:hAnsi="Times New Roman" w:eastAsia="宋体" w:cs="Times New Roman"/>
                <w:bCs/>
                <w:color w:val="auto"/>
                <w:sz w:val="24"/>
                <w:szCs w:val="24"/>
                <w:u w:val="none"/>
              </w:rPr>
              <w:t>项目生活用水采用自来水。</w:t>
            </w:r>
          </w:p>
          <w:p>
            <w:pPr>
              <w:spacing w:line="360" w:lineRule="auto"/>
              <w:ind w:firstLine="480" w:firstLineChars="200"/>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（3）施工营地等临时辅助工程</w:t>
            </w:r>
          </w:p>
          <w:p>
            <w:pPr>
              <w:spacing w:line="360" w:lineRule="auto"/>
              <w:ind w:firstLine="480" w:firstLineChars="200"/>
              <w:rPr>
                <w:rFonts w:hint="default" w:ascii="Times New Roman" w:hAnsi="Times New Roman" w:eastAsia="宋体" w:cs="Times New Roman"/>
                <w:color w:val="auto"/>
                <w:kern w:val="0"/>
                <w:sz w:val="24"/>
                <w:szCs w:val="24"/>
                <w:u w:val="none"/>
                <w:lang w:val="en-US" w:eastAsia="zh-CN"/>
              </w:rPr>
            </w:pPr>
            <w:r>
              <w:rPr>
                <w:rFonts w:hint="eastAsia" w:ascii="宋体" w:hAnsi="宋体" w:eastAsia="宋体"/>
                <w:sz w:val="24"/>
                <w:szCs w:val="24"/>
                <w:u w:val="none"/>
              </w:rPr>
              <w:t>根据施工总体部署，所有施工内容分部较为集中，</w:t>
            </w:r>
            <w:r>
              <w:rPr>
                <w:rFonts w:hint="eastAsia" w:ascii="宋体" w:hAnsi="宋体" w:eastAsia="宋体"/>
                <w:sz w:val="24"/>
                <w:szCs w:val="24"/>
                <w:u w:val="none"/>
                <w:lang w:val="en-US" w:eastAsia="zh-CN"/>
              </w:rPr>
              <w:t>岛上有大量闲置民房可以租赁。拟在项目区中心位置（青草湖村上山片区）租赁</w:t>
            </w:r>
            <w:r>
              <w:rPr>
                <w:rFonts w:hint="eastAsia" w:ascii="宋体" w:hAnsi="宋体" w:eastAsia="宋体"/>
                <w:sz w:val="24"/>
                <w:szCs w:val="24"/>
                <w:u w:val="none"/>
              </w:rPr>
              <w:t>民用房做为本项目的项目部</w:t>
            </w:r>
            <w:r>
              <w:rPr>
                <w:rFonts w:hint="eastAsia" w:ascii="宋体" w:hAnsi="宋体" w:eastAsia="宋体"/>
                <w:sz w:val="24"/>
                <w:szCs w:val="24"/>
                <w:u w:val="none"/>
                <w:lang w:eastAsia="zh-CN"/>
              </w:rPr>
              <w:t>。</w:t>
            </w:r>
          </w:p>
          <w:p>
            <w:pPr>
              <w:jc w:val="center"/>
              <w:rPr>
                <w:rFonts w:hint="default" w:ascii="Times New Roman" w:hAnsi="Times New Roman" w:eastAsia="宋体" w:cs="Times New Roman"/>
                <w:color w:val="auto"/>
                <w:kern w:val="0"/>
                <w:sz w:val="24"/>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23" w:type="dxa"/>
            <w:noWrap w:val="0"/>
            <w:vAlign w:val="center"/>
          </w:tcPr>
          <w:p>
            <w:pPr>
              <w:adjustRightInd w:val="0"/>
              <w:snapToGrid w:val="0"/>
              <w:spacing w:line="360" w:lineRule="auto"/>
              <w:jc w:val="center"/>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kern w:val="0"/>
                <w:szCs w:val="21"/>
                <w:u w:val="none"/>
              </w:rPr>
              <w:t>施工方案</w:t>
            </w:r>
          </w:p>
        </w:tc>
        <w:tc>
          <w:tcPr>
            <w:tcW w:w="8099" w:type="dxa"/>
            <w:noWrap w:val="0"/>
            <w:vAlign w:val="center"/>
          </w:tcPr>
          <w:p>
            <w:pPr>
              <w:adjustRightInd w:val="0"/>
              <w:snapToGrid w:val="0"/>
              <w:spacing w:line="360" w:lineRule="auto"/>
              <w:ind w:firstLine="506" w:firstLineChars="200"/>
              <w:rPr>
                <w:rFonts w:hint="default" w:ascii="Times New Roman" w:hAnsi="Times New Roman" w:eastAsia="宋体" w:cs="Times New Roman"/>
                <w:b/>
                <w:bCs/>
                <w:color w:val="auto"/>
                <w:spacing w:val="6"/>
                <w:sz w:val="24"/>
                <w:u w:val="none"/>
              </w:rPr>
            </w:pPr>
            <w:r>
              <w:rPr>
                <w:rFonts w:hint="default" w:ascii="Times New Roman" w:hAnsi="Times New Roman" w:eastAsia="宋体" w:cs="Times New Roman"/>
                <w:b/>
                <w:bCs/>
                <w:color w:val="auto"/>
                <w:spacing w:val="6"/>
                <w:sz w:val="24"/>
                <w:u w:val="none"/>
              </w:rPr>
              <w:t>一、施工工艺</w:t>
            </w:r>
          </w:p>
          <w:p>
            <w:pPr>
              <w:adjustRightInd w:val="0"/>
              <w:snapToGrid w:val="0"/>
              <w:spacing w:line="360" w:lineRule="auto"/>
              <w:ind w:firstLine="506" w:firstLineChars="200"/>
              <w:rPr>
                <w:rFonts w:hint="default" w:ascii="Times New Roman" w:hAnsi="Times New Roman" w:eastAsia="宋体" w:cs="Times New Roman"/>
                <w:b/>
                <w:bCs w:val="0"/>
                <w:color w:val="auto"/>
                <w:spacing w:val="6"/>
                <w:sz w:val="24"/>
                <w:u w:val="none"/>
              </w:rPr>
            </w:pPr>
            <w:r>
              <w:rPr>
                <w:rFonts w:hint="eastAsia" w:cs="Times New Roman"/>
                <w:b/>
                <w:bCs w:val="0"/>
                <w:color w:val="auto"/>
                <w:spacing w:val="6"/>
                <w:sz w:val="24"/>
                <w:u w:val="none"/>
                <w:lang w:eastAsia="zh-CN"/>
              </w:rPr>
              <w:t>（</w:t>
            </w:r>
            <w:r>
              <w:rPr>
                <w:rFonts w:hint="eastAsia" w:ascii="Times New Roman" w:hAnsi="Times New Roman" w:eastAsia="宋体" w:cs="Times New Roman"/>
                <w:b/>
                <w:bCs w:val="0"/>
                <w:color w:val="auto"/>
                <w:sz w:val="24"/>
                <w:szCs w:val="24"/>
                <w:u w:val="none"/>
                <w:lang w:val="en-US" w:eastAsia="zh-CN"/>
              </w:rPr>
              <w:t>一</w:t>
            </w:r>
            <w:r>
              <w:rPr>
                <w:rFonts w:hint="eastAsia" w:cs="Times New Roman"/>
                <w:b/>
                <w:bCs w:val="0"/>
                <w:color w:val="auto"/>
                <w:spacing w:val="6"/>
                <w:sz w:val="24"/>
                <w:u w:val="none"/>
                <w:lang w:eastAsia="zh-CN"/>
              </w:rPr>
              <w:t>）</w:t>
            </w:r>
            <w:r>
              <w:rPr>
                <w:rFonts w:hint="default" w:ascii="Times New Roman" w:hAnsi="Times New Roman" w:eastAsia="宋体" w:cs="Times New Roman"/>
                <w:b/>
                <w:bCs w:val="0"/>
                <w:color w:val="auto"/>
                <w:spacing w:val="6"/>
                <w:sz w:val="24"/>
                <w:u w:val="none"/>
              </w:rPr>
              <w:t>湿地工程工艺流程如下所述：</w:t>
            </w:r>
          </w:p>
          <w:p>
            <w:pPr>
              <w:pStyle w:val="11"/>
              <w:adjustRightInd w:val="0"/>
              <w:snapToGrid w:val="0"/>
              <w:spacing w:line="360" w:lineRule="auto"/>
              <w:jc w:val="left"/>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一）施工前准备</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1、技术准备</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开工前由技术负责人组织项目经理部全体人员学习编制依据一览表所列施工规范的主要条文，熟悉标准图集，审查施工图纸，在项目经理部内进行各专业的图纸会审，将问题汇总后为正式图纸会审做准备。</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进行施工组织设计交底和讨论，落实施工组织设计对工程质量、安全、进度的各项要求，同时进行施工技术交底。对工程的重要部分组织、编制分项工程的详细施工方案。</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 根据工程需要准备相应的技术资料，工程中所用到的施工规范、规程、标准图集、预算定额及当地建设行政主管部门的有关工程建设文件等，按专业分发到各专业施工班组，主要条文及条款由主任工程师向班组进行交底。</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(4) 仪器仪表：工程中所用的测量仪器、仪表均应检验、校准，并应有专人负责管理、维护。</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(5) 外加剂、特殊材料、器械订货的准备及培训。</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(6) 与建设单位办理有关技术资料的交接手续，做好定位座标点、水准点的引入及标高、控制点的复核工作。</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2、生产准备</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施工现场准备</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搞好三通一平，清除现场障碍物。</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搭建各种生产和生活临时设施。</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 悬挂各种标牌：五牌一图、安全警示、工地纪律、安全标语、环保宣传、企业文化宣传等。</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4) 组织办理民工暂住证、务工证，上岗证等，从事炊事工作的人员必须进行健康检查，办理卫生许可证。</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5) 组织劳动力，材料，机械设备按计划进场。</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3、劳动力组织准备</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建立精干的工作队组</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根据采用的施工组织方式，确定合理的劳动组织，建立相应的专业或混合工作队组。</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集结施工力量，组织劳动力进场</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按照开工日期和劳动力需要量计划，组织工人进场，安排好职工生活，并进行安全、防火和文明施工等教育。</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 做好职工入场教育工作</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为落实施工计划和技术责任制，应按管理系统逐级进行交底。交底内容通常包括：工程施工进度计划和月、句作业计划；各项安全技术措施降低成本措施和质量保证措施；质量标准和验收规范要求；以及设计变更和技术核定事项等，都应详细交底，必要时进行现场示范；同时健全各项规章制度，加强遵纪守法教育。</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4、机械设备进场准备</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根据施工组织设计中需用量计划以及施工进度要求，组织施工机械、设备和工具进场，按照规定地点存放，并进行相应的保养和试运转等工作。</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仪器设备的购置、验收、流转应按规定程序控制。相关检验仪器、设备需进行校验、复核。</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5、施工用电准备</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线路截面选择供电线路采用三相五线制，分两路布线。</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总配电盘设漏电保护器、断流器、接地保护。</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 临时用电线路沿工程施工外围架设，在施工用电集中区处留设施工用电配电盘。</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6、施工用水准备</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本工程施工地点用水量较小，现场施工用水拟就近从居民家中或公用水井点接入现场临时储水池，基本可以满足生产需要；</w:t>
            </w:r>
          </w:p>
          <w:p>
            <w:pPr>
              <w:pStyle w:val="11"/>
              <w:adjustRightInd w:val="0"/>
              <w:snapToGrid w:val="0"/>
              <w:spacing w:line="360" w:lineRule="auto"/>
              <w:jc w:val="left"/>
              <w:rPr>
                <w:rFonts w:hint="eastAsia" w:ascii="Times New Roman" w:hAnsi="Times New Roman" w:eastAsia="宋体" w:cs="Times New Roman"/>
                <w:color w:val="FF0000"/>
                <w:sz w:val="24"/>
                <w:szCs w:val="24"/>
                <w:u w:val="single"/>
                <w:lang w:val="en-US" w:eastAsia="zh-CN"/>
              </w:rPr>
            </w:pPr>
            <w:r>
              <w:rPr>
                <w:rFonts w:hint="eastAsia" w:ascii="Times New Roman" w:hAnsi="Times New Roman" w:eastAsia="宋体" w:cs="Times New Roman"/>
                <w:color w:val="FF0000"/>
                <w:sz w:val="24"/>
                <w:szCs w:val="24"/>
                <w:u w:val="single"/>
                <w:lang w:val="en-US" w:eastAsia="zh-CN"/>
              </w:rPr>
              <w:t>7、天然建筑材料</w:t>
            </w:r>
          </w:p>
          <w:p>
            <w:pPr>
              <w:pStyle w:val="11"/>
              <w:adjustRightInd w:val="0"/>
              <w:snapToGrid w:val="0"/>
              <w:spacing w:line="360" w:lineRule="auto"/>
              <w:jc w:val="left"/>
              <w:rPr>
                <w:rFonts w:hint="default" w:ascii="Times New Roman" w:hAnsi="Times New Roman" w:eastAsia="宋体" w:cs="Times New Roman"/>
                <w:color w:val="FF0000"/>
                <w:sz w:val="24"/>
                <w:szCs w:val="24"/>
                <w:u w:val="single"/>
                <w:lang w:val="en-US" w:eastAsia="zh-CN"/>
              </w:rPr>
            </w:pPr>
            <w:r>
              <w:rPr>
                <w:rFonts w:hint="eastAsia" w:ascii="Times New Roman" w:hAnsi="Times New Roman" w:eastAsia="宋体" w:cs="Times New Roman"/>
                <w:color w:val="FF0000"/>
                <w:sz w:val="24"/>
                <w:szCs w:val="24"/>
                <w:u w:val="single"/>
                <w:lang w:val="en-US" w:eastAsia="zh-CN"/>
              </w:rPr>
              <w:t>根据本工程的实际情况，青山岛境内所需水泥、砂、卵石料及其他材料采购等均须从附近建材市场采购，然后通过码头运输至岛上，平均运距 10km。材料运输涉多次水陆转运，施工前要做好详细的设备、材料进场计划，并严格按材料进场计划安排材料提前进场，避免因材料进场不及时影响工程按期建成投产。预计用到天然建筑材料10万吨。</w:t>
            </w:r>
          </w:p>
          <w:p>
            <w:pPr>
              <w:pStyle w:val="11"/>
              <w:adjustRightInd w:val="0"/>
              <w:snapToGrid w:val="0"/>
              <w:spacing w:line="360" w:lineRule="auto"/>
              <w:jc w:val="left"/>
              <w:rPr>
                <w:rFonts w:hint="eastAsia" w:ascii="Times New Roman" w:hAnsi="Times New Roman" w:eastAsia="宋体" w:cs="Times New Roman"/>
                <w:color w:val="FF0000"/>
                <w:sz w:val="24"/>
                <w:szCs w:val="24"/>
                <w:u w:val="single"/>
                <w:lang w:val="en-US" w:eastAsia="zh-CN"/>
              </w:rPr>
            </w:pPr>
            <w:r>
              <w:rPr>
                <w:rFonts w:hint="eastAsia" w:ascii="Times New Roman" w:hAnsi="Times New Roman" w:eastAsia="宋体" w:cs="Times New Roman"/>
                <w:color w:val="FF0000"/>
                <w:sz w:val="24"/>
                <w:szCs w:val="24"/>
                <w:u w:val="single"/>
                <w:lang w:val="en-US" w:eastAsia="zh-CN"/>
              </w:rPr>
              <w:t>8、砾砂石料</w:t>
            </w:r>
          </w:p>
          <w:p>
            <w:pPr>
              <w:pStyle w:val="11"/>
              <w:adjustRightInd w:val="0"/>
              <w:snapToGrid w:val="0"/>
              <w:spacing w:line="360" w:lineRule="auto"/>
              <w:jc w:val="left"/>
              <w:rPr>
                <w:rFonts w:hint="eastAsia" w:ascii="Times New Roman" w:hAnsi="Times New Roman" w:eastAsia="宋体" w:cs="Times New Roman"/>
                <w:color w:val="FF0000"/>
                <w:sz w:val="24"/>
                <w:szCs w:val="24"/>
                <w:u w:val="single"/>
                <w:lang w:val="en-US" w:eastAsia="zh-CN"/>
              </w:rPr>
            </w:pPr>
            <w:r>
              <w:rPr>
                <w:rFonts w:hint="eastAsia" w:ascii="Times New Roman" w:hAnsi="Times New Roman" w:eastAsia="宋体" w:cs="Times New Roman"/>
                <w:color w:val="FF0000"/>
                <w:sz w:val="24"/>
                <w:szCs w:val="24"/>
                <w:u w:val="single"/>
                <w:lang w:val="en-US" w:eastAsia="zh-CN"/>
              </w:rPr>
              <w:t>工程区内砂砾料主要来源于对岸屈原区营田砂石场供应点，有大量商品砂砾石料场，该处砾石料质量较好，建议就近购买解决。其成分主要为石英、长石矿物，含少量云母片状矿物，含泥量较高，质量一般，需冲洗，水路运输方便，运距约 10km。预计用到砾砂石料5万吨。</w:t>
            </w:r>
          </w:p>
          <w:p>
            <w:pPr>
              <w:pStyle w:val="11"/>
              <w:adjustRightInd w:val="0"/>
              <w:snapToGrid w:val="0"/>
              <w:spacing w:line="360" w:lineRule="auto"/>
              <w:jc w:val="left"/>
              <w:rPr>
                <w:rFonts w:hint="eastAsia" w:ascii="Times New Roman" w:hAnsi="Times New Roman" w:eastAsia="宋体" w:cs="Times New Roman"/>
                <w:color w:val="FF0000"/>
                <w:sz w:val="24"/>
                <w:szCs w:val="24"/>
                <w:u w:val="single"/>
                <w:lang w:val="en-US" w:eastAsia="zh-CN"/>
              </w:rPr>
            </w:pPr>
            <w:r>
              <w:rPr>
                <w:rFonts w:hint="eastAsia" w:ascii="Times New Roman" w:hAnsi="Times New Roman" w:eastAsia="宋体" w:cs="Times New Roman"/>
                <w:color w:val="FF0000"/>
                <w:sz w:val="24"/>
                <w:szCs w:val="24"/>
                <w:u w:val="single"/>
                <w:lang w:val="en-US" w:eastAsia="zh-CN"/>
              </w:rPr>
              <w:t>9、块石</w:t>
            </w:r>
          </w:p>
          <w:p>
            <w:pPr>
              <w:pStyle w:val="11"/>
              <w:adjustRightInd w:val="0"/>
              <w:snapToGrid w:val="0"/>
              <w:spacing w:line="360" w:lineRule="auto"/>
              <w:jc w:val="left"/>
              <w:rPr>
                <w:rFonts w:hint="eastAsia" w:ascii="Times New Roman" w:hAnsi="Times New Roman" w:eastAsia="宋体" w:cs="Times New Roman"/>
                <w:color w:val="FF0000"/>
                <w:sz w:val="24"/>
                <w:szCs w:val="24"/>
                <w:u w:val="single"/>
                <w:lang w:val="en-US" w:eastAsia="zh-CN"/>
              </w:rPr>
            </w:pPr>
            <w:r>
              <w:rPr>
                <w:rFonts w:hint="eastAsia" w:ascii="Times New Roman" w:hAnsi="Times New Roman" w:eastAsia="宋体" w:cs="Times New Roman"/>
                <w:color w:val="FF0000"/>
                <w:sz w:val="24"/>
                <w:szCs w:val="24"/>
                <w:u w:val="single"/>
                <w:lang w:val="en-US" w:eastAsia="zh-CN"/>
              </w:rPr>
              <w:t>工程区无基岩裸露，场地区附近无块石料可采，经调查工程区周边块石料场位于汨罗川山坪镇。石料为燕山期片麻状细粒二云二长花岗岩，坚硬、新鲜，抗风化能力强，成型成块率高，岩块抗压强度大于 20～50Mpa，产地面积约 0.02km</w:t>
            </w:r>
            <w:r>
              <w:rPr>
                <w:rFonts w:hint="eastAsia" w:ascii="Times New Roman" w:hAnsi="Times New Roman" w:eastAsia="宋体" w:cs="Times New Roman"/>
                <w:color w:val="FF0000"/>
                <w:sz w:val="24"/>
                <w:szCs w:val="24"/>
                <w:u w:val="single"/>
                <w:vertAlign w:val="superscript"/>
                <w:lang w:val="en-US" w:eastAsia="zh-CN"/>
              </w:rPr>
              <w:t>2</w:t>
            </w:r>
            <w:r>
              <w:rPr>
                <w:rFonts w:hint="eastAsia" w:ascii="Times New Roman" w:hAnsi="Times New Roman" w:eastAsia="宋体" w:cs="Times New Roman"/>
                <w:color w:val="FF0000"/>
                <w:sz w:val="24"/>
                <w:szCs w:val="24"/>
                <w:u w:val="single"/>
                <w:lang w:val="en-US" w:eastAsia="zh-CN"/>
              </w:rPr>
              <w:t>，平均无用层 0.5m，有用层平均厚度 6.0m，调查储量 12×104m</w:t>
            </w:r>
            <w:r>
              <w:rPr>
                <w:rFonts w:hint="eastAsia" w:ascii="Times New Roman" w:hAnsi="Times New Roman" w:eastAsia="宋体" w:cs="Times New Roman"/>
                <w:color w:val="FF0000"/>
                <w:sz w:val="24"/>
                <w:szCs w:val="24"/>
                <w:u w:val="single"/>
                <w:vertAlign w:val="superscript"/>
                <w:lang w:val="en-US" w:eastAsia="zh-CN"/>
              </w:rPr>
              <w:t>3</w:t>
            </w:r>
            <w:r>
              <w:rPr>
                <w:rFonts w:hint="eastAsia" w:ascii="Times New Roman" w:hAnsi="Times New Roman" w:eastAsia="宋体" w:cs="Times New Roman"/>
                <w:color w:val="FF0000"/>
                <w:sz w:val="24"/>
                <w:szCs w:val="24"/>
                <w:u w:val="single"/>
                <w:lang w:val="en-US" w:eastAsia="zh-CN"/>
              </w:rPr>
              <w:t>，可满足设计要求。至工程区运距较远，约 50km。需经公路转水运才能到达工程区。预计用到块石6万吨。</w:t>
            </w:r>
          </w:p>
          <w:p>
            <w:pPr>
              <w:pStyle w:val="11"/>
              <w:adjustRightInd w:val="0"/>
              <w:snapToGrid w:val="0"/>
              <w:spacing w:line="360" w:lineRule="auto"/>
              <w:jc w:val="left"/>
              <w:rPr>
                <w:rFonts w:hint="default" w:ascii="Times New Roman" w:hAnsi="Times New Roman" w:eastAsia="宋体" w:cs="Times New Roman"/>
                <w:b/>
                <w:bCs/>
                <w:color w:val="auto"/>
                <w:sz w:val="24"/>
                <w:szCs w:val="24"/>
                <w:u w:val="none"/>
                <w:lang w:val="en-US" w:eastAsia="zh-CN"/>
              </w:rPr>
            </w:pPr>
            <w:r>
              <w:rPr>
                <w:rFonts w:hint="eastAsia" w:cs="Times New Roman"/>
                <w:b/>
                <w:bCs/>
                <w:color w:val="auto"/>
                <w:sz w:val="24"/>
                <w:szCs w:val="24"/>
                <w:u w:val="none"/>
                <w:lang w:val="en-US" w:eastAsia="zh-CN"/>
              </w:rPr>
              <w:t>二</w:t>
            </w:r>
            <w:r>
              <w:rPr>
                <w:rFonts w:hint="eastAsia" w:ascii="Times New Roman" w:hAnsi="Times New Roman" w:eastAsia="宋体" w:cs="Times New Roman"/>
                <w:b/>
                <w:bCs/>
                <w:color w:val="auto"/>
                <w:sz w:val="24"/>
                <w:szCs w:val="24"/>
                <w:u w:val="none"/>
                <w:lang w:val="en-US" w:eastAsia="zh-CN"/>
              </w:rPr>
              <w:t>）施工</w:t>
            </w:r>
            <w:r>
              <w:rPr>
                <w:rFonts w:hint="eastAsia" w:cs="Times New Roman"/>
                <w:b/>
                <w:bCs/>
                <w:color w:val="auto"/>
                <w:sz w:val="24"/>
                <w:szCs w:val="24"/>
                <w:u w:val="none"/>
                <w:lang w:val="en-US" w:eastAsia="zh-CN"/>
              </w:rPr>
              <w:t>要求及方法</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人工湿地植物种植要求及方法</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1、植移种植</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清表、清理、地形处理施工</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岸坡平整、清理，地形和周围环境保持一致，整成科坟形等，清除碎石及杂草杂物。</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种植土质要求</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水生植物种植土厚度&gt;30cm 若受现场地条件限制，可实与质监单位商定</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种植土的表层应整洁，所含石砾中粒径大于3cm 的不超过10%，粒径小于2.5cm 不得超过20%，杂物不应超过10%;土块粒径≤2cm。</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 在耕翻中，若发现土质不符合要求，必须换合格工。换土后应压实，使密实度达80%以上，以免因沉降产生坑洼。</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 苗木规格</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具体苗木品种规格见设计“工程量表”</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本项目水生植物系统包括沉水植物系统、浮水植物系统、获水植物系统</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(4) 苗木质量</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所有植物必须健康、新鲜、无病虫害、无缺乏矿物质症壮，生长旺盛而不老化</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在种植时必须尽量保留原有的自然生长冠形。</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 植物的包装、运输：按本地园林市场常规处理，保证苗木质量。</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(5) 种植</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施工工艺流程</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泄水一测量放线一基底处理一绿化种植一放水。</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种植方法</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根据设计图纸进行定点放线，规划种植区域。</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换水、浮叶植物散苗：根据不同种类分布的设计位置，将根物散发至规定种植的位置，对此图纸，方可进行下步施工。</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 换水植物种植前对土壤进行搂平耙细等清理后，用工具现掏出种植穴，</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种植穴的大小根据所种植的挺水作物根系/土球的大小和形状来定，标准为植物放下去后不无根。种植时应注意苗木的丰满一面或主要观赏面应朝主要视线方面。</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根据设计密度进行种植。</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4 沉水植物种植过程类似农田插积，用柱线作为参照，以确保密度的控制及美观效果。</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(6) 具体实施要求</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种植地被时，应按品字形种植，确保覆盖地表，且植物带边缘轮廓种植密度应大于规定密度，以利形成流畅的边线使相临两种植物的过渡自然。</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客土喷播前浇水混润坡面，将泥炭、腐殖土、草纤维、缓释营养肥料等混合材料经过专用机械的搅拌后喷播在铁丝网上，厚度为2 一8m。由于基质水分丧失会造成基质厚度不够，一般要求喷射厚度为设计厚度的125%。绿化种植应在其他主体工程完成后进行。</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 种植植物时，发现电缆、管道、障碍物等要停止操作，及时与有关部门协商解决。</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(7) 土壤基肥</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施工中为了政良上壤弥补绿地士壤肥力不足，使植物恢复生长后能尽快见效需要对植彻施足基肥。按照目前园林施工要求，施工可以进用经3%过磷酸钙加上4%的尿素堆沤且充分腐熟后的堆逛蘑菇肥或木居作为土壤基肥使用，不得采用市面上油性很大垃圾肥。</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草本种植地用量在7.5kg/m</w:t>
            </w:r>
            <w:r>
              <w:rPr>
                <w:rFonts w:hint="eastAsia" w:ascii="Times New Roman" w:hAnsi="Times New Roman" w:eastAsia="宋体" w:cs="Times New Roman"/>
                <w:color w:val="auto"/>
                <w:sz w:val="24"/>
                <w:szCs w:val="24"/>
                <w:u w:val="none"/>
                <w:vertAlign w:val="superscript"/>
                <w:lang w:val="en-US" w:eastAsia="zh-CN"/>
              </w:rPr>
              <w:t>2</w:t>
            </w:r>
            <w:r>
              <w:rPr>
                <w:rFonts w:hint="eastAsia" w:ascii="Times New Roman" w:hAnsi="Times New Roman" w:eastAsia="宋体" w:cs="Times New Roman"/>
                <w:color w:val="auto"/>
                <w:sz w:val="24"/>
                <w:szCs w:val="24"/>
                <w:u w:val="none"/>
                <w:lang w:val="en-US" w:eastAsia="zh-CN"/>
              </w:rPr>
              <w:t xml:space="preserve"> 左右。其他桥木基肥施用量受苗木品种、施工季节、土壤情况等因素影响。</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因项目地域差异，具体用量以当地规范为准。施肥后应进行次约30cm 深的翻耕，使肥与土充分混匀，做到肥上相融，起到既提高土壤养分，又使士壤疏格通气的良好作用。</w:t>
            </w:r>
          </w:p>
          <w:p>
            <w:pPr>
              <w:pStyle w:val="11"/>
              <w:adjustRightInd w:val="0"/>
              <w:snapToGrid w:val="0"/>
              <w:spacing w:line="360" w:lineRule="auto"/>
              <w:jc w:val="left"/>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三）浆砌石边坡施工技术要求及方法</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1、材料准备</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一般用毛石、料石。石料应质地坚实，强度不低于MU30，岩种应符合设计要求，无风化、裂缝；毛石中部厚度不小于200mm；料石厚度一般不小于200mm，料石的加工细度应符合设计要求，污垢、水锈使用前应用水冲洗干净。</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砂：用中砂，并通过5mm 筛孔。配制M7.5（含M7.5）以上砂浆，砂的含泥量不应超过5%；不得含有草根等杂物。</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2、主要机具</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大铲、瓦刀、手锤、手凿、线坠、角尺、水平尺、皮数杆、勾缝条、手推胶轮车等。</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3、作业条件</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根据图纸要求，做好测量放线工作，调协水准基点桩和立好皮数杆。有坡度要求的砌体，立好坡度门架。</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基槽清扫后，放好轴线、边线、其他尺寸位置线，并复核标高。</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毛石应按城要数量堆放于砌长部位附近；料石应按规格和数量在砌筑前组织人员集中加工，按不同规格分类堆放、堆码，以备使用。</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选择好施工机械，包括垂直运输、水平运输、和料石安装等小型机械，尽量减轻人工搬运的笨重体力劳动，以提高工效。</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砌筑砂浆应根据设计要求和现场实际材料情况，由施工员确定施工配合比。</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4、工艺流程</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砌毛石应根据基础的中心线放出里外边线，挂线分皮卧砌，每皮高约300-400mm。砌筑方法采用铺浆法。用较大的平毛石，先砌转角处、交接处，再向中间砌筑。砌前应先度摆，使石料大小搭配，大面平放朝下，外露表面要平齐，斜口朝内，逐块卧砌坐浆，使砂浆饱满。石块间较大的空隙应先堵塞砂浆，后用碎石嵌实。严禁先填塞小石块后灌浆的做法。灰缝宽度一般制在20-30mm 左右，铺灰厚度40-50mm。</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砌筑时，石块上下皮应互相错缝，内外交错搭砌，避免出现重缝、干缝、空缝和孔洞，同时应注意摆放石块，以免砌体承重后发生错位、劈裂、外鼓等现象。如砌筑时毛石的形状和大小不一，难以每皮砌平，亦可采取不分皮砌法，每隔一定高度大体砌平。</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为增强墙身的横向力，毛石每0.7m</w:t>
            </w:r>
            <w:r>
              <w:rPr>
                <w:rFonts w:hint="eastAsia" w:ascii="Times New Roman" w:hAnsi="Times New Roman" w:eastAsia="宋体" w:cs="Times New Roman"/>
                <w:color w:val="auto"/>
                <w:sz w:val="24"/>
                <w:szCs w:val="24"/>
                <w:u w:val="none"/>
                <w:vertAlign w:val="superscript"/>
                <w:lang w:val="en-US" w:eastAsia="zh-CN"/>
              </w:rPr>
              <w:t>2</w:t>
            </w:r>
            <w:r>
              <w:rPr>
                <w:rFonts w:hint="eastAsia" w:ascii="Times New Roman" w:hAnsi="Times New Roman" w:eastAsia="宋体" w:cs="Times New Roman"/>
                <w:color w:val="auto"/>
                <w:sz w:val="24"/>
                <w:szCs w:val="24"/>
                <w:u w:val="none"/>
                <w:lang w:val="en-US" w:eastAsia="zh-CN"/>
              </w:rPr>
              <w:t xml:space="preserve"> 面至少应设置拉结石，并应均匀分布，相互错开，在同皮内的中距不应大于2m，搭接长度不应小于15cm。在转角及交接处应用较大和较规整的垛石相互搭砌，并同时砌筑，必要时设置钢筋结条。如不能同时砌筑，应留阶梯形斜槎，其高度不应超过1.2m 不得留锯齿形直槎。毛石每日砌筑高度不应超过1.2m，正常气温下，停歇4h 后可继续垒砌。每砌3-4 层应大致找平一次，中途停工时，石块缝隙内应填满砂浆，但该层上表面须待继续砌筑时再铺砂浆。砌至设计高度时，应使用平整的大石块压顶并用水泥砂浆全面找平。料石的砌筑方法与混凝土砌块基本相同，砌筑形式有全顺、丁顺叠砌丁顺组砌等方式，第一皮及每个楼层的最上一皮丁砌。组砌前应按石料及灰缝平均厚度计算层数，立皮数杆。砌筑时，上下皮应错缝搭接；砌体转角交接处，石块应相互搭接。料石宜用“铺浆法”砌浆，铺浆厚度20-30mm，垂直缝填满砂浆并插捣至溢出为止。灰缝厚度为10-20mm。如在墙转角或交接处石块搭砌有困难时，则应每隔1.0-1.5m 高度设置钢筋网或钢筋拉结条。</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石墙勾缝应保持砌合的自然缝，一般采用平缝或凸缝。勾缝前应先剔缝，将灰浆刮深20-30mm，墙面用水湿润，再用1：1.5-3.0 水泥砂浆勾缝。缝条应均匀一致，深浅相同，十字、丁字形搭接处应平整通顺。</w:t>
            </w:r>
          </w:p>
          <w:p>
            <w:pPr>
              <w:adjustRightInd w:val="0"/>
              <w:snapToGrid w:val="0"/>
              <w:spacing w:line="360" w:lineRule="auto"/>
              <w:ind w:firstLine="482" w:firstLineChars="200"/>
              <w:rPr>
                <w:rFonts w:hint="default" w:ascii="Times New Roman" w:hAnsi="Times New Roman" w:eastAsia="宋体" w:cs="Times New Roman"/>
                <w:b/>
                <w:bCs/>
                <w:color w:val="auto"/>
                <w:sz w:val="24"/>
                <w:u w:val="none"/>
                <w:lang w:val="en-US" w:eastAsia="zh-CN"/>
              </w:rPr>
            </w:pPr>
            <w:r>
              <w:rPr>
                <w:rFonts w:hint="eastAsia" w:ascii="Times New Roman" w:hAnsi="Times New Roman" w:eastAsia="宋体" w:cs="Times New Roman"/>
                <w:b/>
                <w:bCs/>
                <w:color w:val="auto"/>
                <w:sz w:val="24"/>
                <w:u w:val="none"/>
                <w:lang w:eastAsia="zh-CN"/>
              </w:rPr>
              <w:t>（</w:t>
            </w:r>
            <w:r>
              <w:rPr>
                <w:rFonts w:hint="eastAsia" w:cs="Times New Roman"/>
                <w:b/>
                <w:bCs/>
                <w:color w:val="auto"/>
                <w:sz w:val="24"/>
                <w:u w:val="none"/>
                <w:lang w:val="en-US" w:eastAsia="zh-CN"/>
              </w:rPr>
              <w:t>二</w:t>
            </w:r>
            <w:r>
              <w:rPr>
                <w:rFonts w:hint="eastAsia" w:ascii="Times New Roman" w:hAnsi="Times New Roman" w:eastAsia="宋体" w:cs="Times New Roman"/>
                <w:b/>
                <w:bCs/>
                <w:color w:val="auto"/>
                <w:sz w:val="24"/>
                <w:u w:val="none"/>
                <w:lang w:eastAsia="zh-CN"/>
              </w:rPr>
              <w:t>）</w:t>
            </w:r>
            <w:r>
              <w:rPr>
                <w:rFonts w:hint="eastAsia" w:ascii="Times New Roman" w:hAnsi="Times New Roman" w:eastAsia="宋体" w:cs="Times New Roman"/>
                <w:b/>
                <w:bCs/>
                <w:color w:val="auto"/>
                <w:sz w:val="24"/>
                <w:u w:val="none"/>
                <w:lang w:val="en-US" w:eastAsia="zh-CN"/>
              </w:rPr>
              <w:t>泵张</w:t>
            </w:r>
            <w:r>
              <w:rPr>
                <w:rFonts w:hint="eastAsia" w:ascii="Times New Roman" w:hAnsi="Times New Roman" w:eastAsia="宋体" w:cs="Times New Roman"/>
                <w:b/>
                <w:bCs/>
                <w:color w:val="auto"/>
                <w:sz w:val="24"/>
                <w:u w:val="none"/>
              </w:rPr>
              <w:t>围堰</w:t>
            </w:r>
            <w:r>
              <w:rPr>
                <w:rFonts w:hint="eastAsia" w:ascii="Times New Roman" w:hAnsi="Times New Roman" w:eastAsia="宋体" w:cs="Times New Roman"/>
                <w:b/>
                <w:bCs/>
                <w:color w:val="auto"/>
                <w:sz w:val="24"/>
                <w:u w:val="none"/>
                <w:lang w:val="en-US" w:eastAsia="zh-CN"/>
              </w:rPr>
              <w:t>施工方式</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本次设计施工期选择在枯水期10 月至3 月施工。工程项目中只有新建泵站需修建围堰进行施工。</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（1）围堰设计</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工程项目中只有新建泵站需修建围堰进行施工。由于项目泵站选址地位置有限，本次泵站拟建设位置位于生态塘内，为保证安全，本次围堰顶部高程取生态塘塘底高程24.5m 加塘水生植物种植施工水位0.5m，加超高0.5m，即25.5m。</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围堰为枯水期施工临时挡水围堰，选用均质粘土围堰，高度约2.0～2.5m，</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设计堰顶宽3.0m，围堰顶高程25.5m；内坡比1:2.0，外坡比1:2.0。临水面铺设塑料彩条布作为防水层，围堰施工采用反铲挖机结合人工填筑，就近利用开挖土，</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人工铺设彩条布，完工后采用挖机拆除。基坑排水采用污水泵抽排。其余实施区域临时排水均采用污水泵抽排。</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(2)基坑排水</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本工程枯水时段施工区段内塘水位较浅，各施工部位大部分有较厚的老土保护，低洼部位则修建临时施工围堰保护，基坑内积水及渗水可采用小功率、低扬程水泵排入附近鱼塘。工程项目中只有新建泵站需要围堰进行施工，施工期排除基坑积水，采用4 台7.5KW 污水泵24h 排干，经常性排水利用初期排水设备。</w:t>
            </w:r>
          </w:p>
          <w:p>
            <w:pPr>
              <w:pStyle w:val="11"/>
              <w:adjustRightInd w:val="0"/>
              <w:snapToGrid w:val="0"/>
              <w:spacing w:line="360" w:lineRule="auto"/>
              <w:jc w:val="left"/>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w:t>
            </w:r>
            <w:r>
              <w:rPr>
                <w:rFonts w:hint="eastAsia" w:cs="Times New Roman"/>
                <w:b/>
                <w:bCs/>
                <w:color w:val="auto"/>
                <w:sz w:val="24"/>
                <w:szCs w:val="24"/>
                <w:u w:val="none"/>
                <w:lang w:val="en-US" w:eastAsia="zh-CN"/>
              </w:rPr>
              <w:t>三</w:t>
            </w:r>
            <w:r>
              <w:rPr>
                <w:rFonts w:hint="eastAsia" w:ascii="Times New Roman" w:hAnsi="Times New Roman" w:eastAsia="宋体" w:cs="Times New Roman"/>
                <w:b/>
                <w:bCs/>
                <w:color w:val="auto"/>
                <w:sz w:val="24"/>
                <w:szCs w:val="24"/>
                <w:u w:val="none"/>
                <w:lang w:val="en-US" w:eastAsia="zh-CN"/>
              </w:rPr>
              <w:t>）</w:t>
            </w:r>
            <w:r>
              <w:rPr>
                <w:rFonts w:hint="eastAsia" w:cs="Times New Roman"/>
                <w:b/>
                <w:bCs/>
                <w:color w:val="auto"/>
                <w:sz w:val="24"/>
                <w:szCs w:val="24"/>
                <w:u w:val="none"/>
                <w:lang w:val="en-US" w:eastAsia="zh-CN"/>
              </w:rPr>
              <w:t>配水管网</w:t>
            </w:r>
            <w:r>
              <w:rPr>
                <w:rFonts w:hint="eastAsia" w:ascii="Times New Roman" w:hAnsi="Times New Roman" w:eastAsia="宋体" w:cs="Times New Roman"/>
                <w:b/>
                <w:bCs/>
                <w:color w:val="auto"/>
                <w:sz w:val="24"/>
                <w:szCs w:val="24"/>
                <w:u w:val="none"/>
                <w:lang w:val="en-US" w:eastAsia="zh-CN"/>
              </w:rPr>
              <w:t>施工技术方法及要求</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1、施工技术方法</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管道基础</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在土壤耐压强度较高、地下水位较低处(如干燥的粘土、砂质粘土等)，未曾扰动的天然地基上可不设基础。在地基较差，在岩石或半岩石层地基中，采用砂基础，需在管底下铺砂(厚度为150-200mm)找平夯实.</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如遇新填土上的管槽、应换土分层夯实，密实度达95%，管底部垫300mm粗砂，密实度要求干容重达16kg/m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，管道两侧用粗砂均匀回填，分层夯实至管顶后，用素土回填至设计地面高程.</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 遇有松软土层、流砂性土壤、有机土或体积含湿量变沟槽开挖时。应注意沟槽边坡的稳定性，有放坡条件的应按要求作好放坡，无放坡条件的则应做好沟槽壁的支撑，同时采用分段挑槽开挖；施工时要特别注意避免施工过程中塌方，确保施工人员的安全。</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 沟槽开挖可以用机械或人工开挖，挖土方时，槽底需预留0.2-0.3m 厚的土层，在铺管子(不需要管基时)、或铺设管基前，由人工清除整平，严禁扰动槽底土壤，如发生超挖，严禁用土回填，可采用天然级配的砂石或卵石回填。</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4) 槽底不得受水浸泡，当沟槽位于地下水位以下时，要做好排水工作.</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 沟槽回填</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管道回填土不得含有砖、石等杂物，管周各部位的密实度必须按要求分层回填夯实。车行道路下的埋地管道覆土深度不得小于0.7m，若不能满足，埋地管须加套管或进行加固处理。</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2、施工技术要求</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排水管道均采用明挖铺设，排水管道施工原则上应按照从下游往上游的顺序进行。在沟槽开挖前，施工单位应对施工范围内的现状下游排水接入点的已建管线进行复核，查明接入口与排出口标高是否与设计一致，如有出入应通知设计单位进行相应调整。</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HDPE 排水管下管前必须逐节进行外观检查，不符合产品标准者严禁下管。HDPE 排水管施工采用管道敷设到位后再砌筑检查井的顺序进行。化的土壤时，应进一步深挖，以便能提供足够的稳固基础垫层，在施工中深挖包括偶尔进行的深挖，均采用砂卵石回填至管基底，回填砂卵石的密实度要求不小于0.97 或作打桩处理。</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4) 在管沟底部有地下水或沟底土壤有流砂趋势时，要用适当的方法进行排水，直到管道装完后，应及时检查验收并回填至设计地面标高。</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开挖沟槽</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沟槽开挖前应充分了解开挖地段的土质、地下水、管道直径、埋设深度、地面构筑物等情况，根据实际情况来确定沟槽形式，开挖深度确定沟槽形式。</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沟槽边坡度由施工单位根据现场土质、沟槽深度、地下水的情况确定，</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沟槽开挖时。应注意沟槽边坡的稳定性，有放坡条件的应按要求作好放坡，无放坡条件的则应做好沟槽壁的支撑，同时采用分段挑槽开挖；施工时要特别注意避免施工过程中塌方，确保施工人员的安全。</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 沟槽开挖可以用机械或人工开挖，挖土方时，槽底需预留0.2-0.3m 厚的土层，在铺管子(不需要管基时)、或铺设管基前，由人工清除整平，严禁扰动槽底土壤，如发生超挖，严禁用土回填，可采用天然级配的砂石或卵石回填。</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4) 槽底不得受水浸泡，当沟槽位于地下水位以下时，要做好排水工作.</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 沟槽回填</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管道回填土不得含有砖、石等杂物，管周各部位的密实度必须按要求分层回填夯实。车行道路下的埋地管道覆土深度不得小于0.7m，若不能满足，埋地管须加套管或进行加固处理。</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2、施工技术要求</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排水管道均采用明挖铺设，排水管道施工原则上应按照从下游往上游的顺序进行。在沟槽开挖前，施工单位应对施工范围内的现状下游排水接入点的已建管线进行复核，查明接入口与排出口标高是否与设计一致，如有出入应通知设计单位进行相应调整。</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HDPE 排水管下管前必须逐节进行外观检查，不符合产品标准者严禁下管。HDPE 排水管施工采用管道敷设到位后再砌筑检查井的顺序进行。</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3、施工验收</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污水管道施工完毕应做闭水实验，实验合格后再回填，回填方式及闭水实验均应达到《埋地聚乙烯排水管管道工程技术规程》CECS164：2004 及《给水排水管道工程施工及验收规范》GB50268-2008 的要求，管道回填至设计高程后，应对HDPE 管进行变形检验。</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其余未尽事宜按照《给水排水管道工程施工及验收规范》GB50268-2008、《非金属管道工程施工质量验收规范》、《埋地聚乙烯排水管管道工程技术规程》CECS164：2004 以及现行国家市政规范、规程等相关施工及验收规范执行。</w:t>
            </w:r>
          </w:p>
          <w:p>
            <w:pPr>
              <w:pStyle w:val="11"/>
              <w:adjustRightInd w:val="0"/>
              <w:snapToGrid w:val="0"/>
              <w:spacing w:line="360" w:lineRule="auto"/>
              <w:jc w:val="left"/>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w:t>
            </w:r>
            <w:r>
              <w:rPr>
                <w:rFonts w:hint="eastAsia" w:cs="Times New Roman"/>
                <w:b/>
                <w:bCs/>
                <w:color w:val="auto"/>
                <w:sz w:val="24"/>
                <w:szCs w:val="24"/>
                <w:u w:val="none"/>
                <w:lang w:val="en-US" w:eastAsia="zh-CN"/>
              </w:rPr>
              <w:t>四</w:t>
            </w:r>
            <w:r>
              <w:rPr>
                <w:rFonts w:hint="eastAsia" w:ascii="Times New Roman" w:hAnsi="Times New Roman" w:eastAsia="宋体" w:cs="Times New Roman"/>
                <w:b/>
                <w:bCs/>
                <w:color w:val="auto"/>
                <w:sz w:val="24"/>
                <w:szCs w:val="24"/>
                <w:u w:val="none"/>
                <w:lang w:val="en-US" w:eastAsia="zh-CN"/>
              </w:rPr>
              <w:t>）生态护坡植物施工技术及要求</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1、施工方法</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草皮护坡施工</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场地的准备：草皮护造完成后。形和条件很难再行改变。高质量的草皮护应在铺设前对场进行处理</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土层的厚质：草皮护被植物的报系80%布在40cm 以上的土层中，且50%以上是在表以下20cm 的范围内，所以最后不小于30cm，在小于30cm 的地方应加降土层。</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土地的平整与耕翻：这一工序的目的是为草皮护植的根系生长创造条件。</w:t>
            </w:r>
            <w:r>
              <w:rPr>
                <w:rFonts w:hint="eastAsia" w:cs="Times New Roman"/>
                <w:color w:val="auto"/>
                <w:sz w:val="24"/>
                <w:szCs w:val="24"/>
                <w:u w:val="none"/>
                <w:lang w:val="en-US" w:eastAsia="zh-CN"/>
              </w:rPr>
              <w:t>步骤</w:t>
            </w:r>
            <w:r>
              <w:rPr>
                <w:rFonts w:hint="eastAsia" w:ascii="Times New Roman" w:hAnsi="Times New Roman" w:eastAsia="宋体" w:cs="Times New Roman"/>
                <w:color w:val="auto"/>
                <w:sz w:val="24"/>
                <w:szCs w:val="24"/>
                <w:u w:val="none"/>
                <w:lang w:val="en-US" w:eastAsia="zh-CN"/>
              </w:rPr>
              <w:t>如下：</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a. 杂草与杂物的清除：在种草前应彻底消灭多年生杂草，并把瓦，石砾等杂物全部清出场地外。瓦砾等杂物多的土层应用10mm×10mm 的网筛过一遍，以确保杂物除净。</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b. 初步平整。范基肥及耕翻：清除杂草、杂物的地面上应初步作一次起高填低的平整，平整后施基肥，然后普遍进行一次耕。</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c. 更换杂土与最后的平垫在耕翻过程中，若发现局部地段土质欠或混杂的杂土过多，则应换，在换土或耕相后应灌一次透水或液压2 遍。</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草皮护坡种植施工：草皮护坡排水水说施敷设完成。土面已经整体耕细，就可以进行草皮护植的种植施工。</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选定草源，要求草生长势强，府皮离，而有足够大的面积为草源。</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铲草皮，先把草皮切成平等条状，然后按需切成块，草块大小根据运输方法及操作是否方便而定，大致为45×30cm，60×30cm，30×12cm 等，草块的厚度为3~5cm。</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 草皮的铺裁方法，无铺裁法，草皮紧连，不留院，相互铺缘。草皮的需要量和草皮面积相同。</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 草皮的养护管理：草皮长成后，还要进行经常性的养护管理，才能保证率皮护发景观长久的特续下去。草皮护的养护管理工作主要包括：灌水、范肥、修勇、除杂草等环节</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灌溉：草皮生长季节内，草皮与环境均处于不断变化之中，水又是协调土壤肥力和改善小气候的中心环节，浇灌不能按某个固定的模式实施。</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施肥：草皮植物主要叶片生长，所以氮肥更为重要，在建造草皮是应施基肥，建成后在生长季节需施追肥。在生长季节每月或2 个月应追一次肥。这样可以增加枝叶密度，提高耐踩性。</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 修剪：修剪时草皮养护的重点。修剪能控制草皮的高度，促进分蘖，增加叶片密度，抑制杂草生长，使草皮平整美观。</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4 除杂草：杂草的入侵会严重影响草皮质量，除去杂草是草皮养护中必不可少的一环。最基本的方法是合理管理，促进目的草生长，对杂草可人工挑除，还可用化学除草剂。</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5 通气：即在草皮上扎孔打洞，目的是改善根系通气状况，调节土壤水分含量，利于调高施肥效果，一般要求50 穴/平方米，穴间距15×5cm，穴径1.5~3.5cm，穴深8cm 左右。草皮承受较大负荷或经常负荷的作用，土壤板结，可采用草皮垂直修剪机，用铣刀挖出宽1.5~2.0cm、间距25cm、深约18cm 的沟，在沟内填入多孔材料，吧挖出来的泥土翻过来，并把剩余泥土运走，施用高效肥料，加强肥水管理，草皮能很快生长复壮。</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苗木种植施工</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苗木规格具体要求：</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高度（H）：指苗木经过常规处理后的自然高度，干高之具明显主干树种之干高（如棕榈植物），具单一主干的乔木要求尽量保留顶端生长点。苗木选择时应满足苗木高度范围，并有上限和下限苗木的区分，以便造景时进行高低错落的搭配。</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胸径（Φ）：指乔木距离地面1.2 米高的平均直径。选择苗木时，下限不能小于清单下限，上限不宜超过清单上限3cm（主景树可达5cm）。</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冠幅（W）：指苗木经过常规处理后的枝冠正投影的正交直径平均值。在保证苗木移植成活和满足交通运输的前提下，应尽量保留苗木的原有冠幅，以利于绿化效果尽快体现。</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土球：乔木土球直径大小应为树木胸径的6-8 倍，特型特大树应2 米以上的土球。</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土坨大小要求：</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土坨：指苗木移植过程中为保证成活和迅速复壮，而在原栽植地围绕苗木根系取的土球，确定土坨直径的方法（起坨）土坨的大小应依据上图视树种和苗木</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具体生长状况及种植季节而定。苗木清单中不作具体规定，以确保成活为标准。</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 种植树穴要求：</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 在栽苗木之前应以所定的灰点为中心沿四周向下挖穴，种植穴的大小依土球规格及根系情况而定，带土球的应为土球直径的1.5 倍，栽裸根苗的穴应保证根系充分舒展，穴的深度一般比土球高度稍深10~20cm，穴的形状一般为圆形，但必须保证上下口径大小一致。</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 当遇到种植池小于所种乔木土球时，应先进行乔木种植再进行硬景施工。</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4) 种植要求：</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种植乔木时，应根据人的最佳观赏点及乔木本身的阴阳面来调整乔木的种植面。将乔木的最佳观赏面正对人的最佳观赏点，同时尽量使乔木种植后的阴阳面与乔木本身的阴阳面保持吻合，以植物尽快恢复生长。</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5) 支撑要求：</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为了使种植好的苗木不因土壤沉降或风力的影响而发生歪斜，我们需对刚完成种植尚未浇定根水的苗木进行支撑处理，不同类型的苗木可采用不同的支撑手法，如小乔木单干支撑、中乔木横木支撑、大乔木三角拉线支撑。</w:t>
            </w:r>
          </w:p>
          <w:p>
            <w:pPr>
              <w:pStyle w:val="11"/>
              <w:adjustRightInd w:val="0"/>
              <w:snapToGrid w:val="0"/>
              <w:spacing w:line="360" w:lineRule="auto"/>
              <w:jc w:val="left"/>
              <w:rPr>
                <w:rFonts w:hint="eastAsia" w:ascii="Times New Roman" w:hAnsi="Times New Roman" w:eastAsia="宋体" w:cs="Times New Roman"/>
                <w:b/>
                <w:bCs/>
                <w:color w:val="auto"/>
                <w:sz w:val="24"/>
                <w:szCs w:val="24"/>
                <w:u w:val="none"/>
                <w:lang w:val="en-US" w:eastAsia="zh-CN"/>
              </w:rPr>
            </w:pPr>
            <w:r>
              <w:rPr>
                <w:rFonts w:hint="eastAsia" w:cs="Times New Roman"/>
                <w:b/>
                <w:bCs/>
                <w:color w:val="auto"/>
                <w:sz w:val="24"/>
                <w:szCs w:val="24"/>
                <w:u w:val="none"/>
                <w:lang w:val="en-US" w:eastAsia="zh-CN"/>
              </w:rPr>
              <w:t>（五）</w:t>
            </w:r>
            <w:r>
              <w:rPr>
                <w:rFonts w:hint="eastAsia" w:ascii="Times New Roman" w:hAnsi="Times New Roman" w:eastAsia="宋体" w:cs="Times New Roman"/>
                <w:b/>
                <w:bCs/>
                <w:color w:val="auto"/>
                <w:sz w:val="24"/>
                <w:szCs w:val="24"/>
                <w:u w:val="none"/>
                <w:lang w:val="en-US" w:eastAsia="zh-CN"/>
              </w:rPr>
              <w:t>土方施工</w:t>
            </w:r>
          </w:p>
          <w:p>
            <w:pPr>
              <w:pStyle w:val="11"/>
              <w:adjustRightInd w:val="0"/>
              <w:snapToGrid w:val="0"/>
              <w:spacing w:line="360" w:lineRule="auto"/>
              <w:jc w:val="left"/>
              <w:rPr>
                <w:rFonts w:hint="default"/>
                <w:color w:val="FF0000"/>
                <w:u w:val="single"/>
                <w:lang w:val="en-US" w:eastAsia="zh-CN"/>
              </w:rPr>
            </w:pPr>
            <w:r>
              <w:rPr>
                <w:rFonts w:hint="eastAsia" w:cs="Times New Roman"/>
                <w:color w:val="FF0000"/>
                <w:sz w:val="24"/>
                <w:szCs w:val="24"/>
                <w:u w:val="single"/>
                <w:lang w:val="en-US" w:eastAsia="zh-CN"/>
              </w:rPr>
              <w:t>根据本项目初步设计，项目总挖方为9079.8m</w:t>
            </w:r>
            <w:r>
              <w:rPr>
                <w:rFonts w:hint="eastAsia" w:cs="Times New Roman"/>
                <w:color w:val="FF0000"/>
                <w:sz w:val="24"/>
                <w:szCs w:val="24"/>
                <w:u w:val="single"/>
                <w:vertAlign w:val="superscript"/>
                <w:lang w:val="en-US" w:eastAsia="zh-CN"/>
              </w:rPr>
              <w:t>3</w:t>
            </w:r>
            <w:r>
              <w:rPr>
                <w:rFonts w:hint="eastAsia" w:cs="Times New Roman"/>
                <w:color w:val="FF0000"/>
                <w:sz w:val="24"/>
                <w:szCs w:val="24"/>
                <w:u w:val="single"/>
                <w:lang w:val="en-US" w:eastAsia="zh-CN"/>
              </w:rPr>
              <w:t>，其中人工湿地挖方3700.4m</w:t>
            </w:r>
            <w:r>
              <w:rPr>
                <w:rFonts w:hint="eastAsia" w:cs="Times New Roman"/>
                <w:color w:val="FF0000"/>
                <w:sz w:val="24"/>
                <w:szCs w:val="24"/>
                <w:u w:val="single"/>
                <w:vertAlign w:val="superscript"/>
                <w:lang w:val="en-US" w:eastAsia="zh-CN"/>
              </w:rPr>
              <w:t>3</w:t>
            </w:r>
            <w:r>
              <w:rPr>
                <w:rFonts w:hint="eastAsia" w:cs="Times New Roman"/>
                <w:color w:val="FF0000"/>
                <w:sz w:val="24"/>
                <w:szCs w:val="24"/>
                <w:u w:val="single"/>
                <w:lang w:val="en-US" w:eastAsia="zh-CN"/>
              </w:rPr>
              <w:t>、退水渠挖方2128m</w:t>
            </w:r>
            <w:r>
              <w:rPr>
                <w:rFonts w:hint="eastAsia" w:cs="Times New Roman"/>
                <w:color w:val="FF0000"/>
                <w:sz w:val="24"/>
                <w:szCs w:val="24"/>
                <w:u w:val="single"/>
                <w:vertAlign w:val="superscript"/>
                <w:lang w:val="en-US" w:eastAsia="zh-CN"/>
              </w:rPr>
              <w:t>3</w:t>
            </w:r>
            <w:r>
              <w:rPr>
                <w:rFonts w:hint="eastAsia" w:cs="Times New Roman"/>
                <w:color w:val="FF0000"/>
                <w:sz w:val="24"/>
                <w:szCs w:val="24"/>
                <w:u w:val="single"/>
                <w:lang w:val="en-US" w:eastAsia="zh-CN"/>
              </w:rPr>
              <w:t>、生态护坡挖方3251.4m</w:t>
            </w:r>
            <w:r>
              <w:rPr>
                <w:rFonts w:hint="eastAsia" w:cs="Times New Roman"/>
                <w:color w:val="FF0000"/>
                <w:sz w:val="24"/>
                <w:szCs w:val="24"/>
                <w:u w:val="single"/>
                <w:vertAlign w:val="superscript"/>
                <w:lang w:val="en-US" w:eastAsia="zh-CN"/>
              </w:rPr>
              <w:t>3</w:t>
            </w:r>
            <w:r>
              <w:rPr>
                <w:rFonts w:hint="eastAsia" w:cs="Times New Roman"/>
                <w:color w:val="FF0000"/>
                <w:sz w:val="24"/>
                <w:szCs w:val="24"/>
                <w:u w:val="single"/>
                <w:lang w:val="en-US" w:eastAsia="zh-CN"/>
              </w:rPr>
              <w:t>；总填方为9468.9m</w:t>
            </w:r>
            <w:r>
              <w:rPr>
                <w:rFonts w:hint="eastAsia" w:cs="Times New Roman"/>
                <w:color w:val="FF0000"/>
                <w:sz w:val="24"/>
                <w:szCs w:val="24"/>
                <w:u w:val="single"/>
                <w:vertAlign w:val="superscript"/>
                <w:lang w:val="en-US" w:eastAsia="zh-CN"/>
              </w:rPr>
              <w:t>3</w:t>
            </w:r>
            <w:r>
              <w:rPr>
                <w:rFonts w:hint="eastAsia" w:cs="Times New Roman"/>
                <w:color w:val="FF0000"/>
                <w:sz w:val="24"/>
                <w:szCs w:val="24"/>
                <w:u w:val="single"/>
                <w:lang w:val="en-US" w:eastAsia="zh-CN"/>
              </w:rPr>
              <w:t>，其中人工湿地填方6068.1m</w:t>
            </w:r>
            <w:r>
              <w:rPr>
                <w:rFonts w:hint="eastAsia" w:cs="Times New Roman"/>
                <w:color w:val="FF0000"/>
                <w:sz w:val="24"/>
                <w:szCs w:val="24"/>
                <w:u w:val="single"/>
                <w:vertAlign w:val="superscript"/>
                <w:lang w:val="en-US" w:eastAsia="zh-CN"/>
              </w:rPr>
              <w:t>3</w:t>
            </w:r>
            <w:r>
              <w:rPr>
                <w:rFonts w:hint="eastAsia" w:cs="Times New Roman"/>
                <w:color w:val="FF0000"/>
                <w:sz w:val="24"/>
                <w:szCs w:val="24"/>
                <w:u w:val="single"/>
                <w:lang w:val="en-US" w:eastAsia="zh-CN"/>
              </w:rPr>
              <w:t>、退水渠填方976m</w:t>
            </w:r>
            <w:r>
              <w:rPr>
                <w:rFonts w:hint="eastAsia" w:cs="Times New Roman"/>
                <w:color w:val="FF0000"/>
                <w:sz w:val="24"/>
                <w:szCs w:val="24"/>
                <w:u w:val="single"/>
                <w:vertAlign w:val="superscript"/>
                <w:lang w:val="en-US" w:eastAsia="zh-CN"/>
              </w:rPr>
              <w:t>3</w:t>
            </w:r>
            <w:r>
              <w:rPr>
                <w:rFonts w:hint="eastAsia" w:cs="Times New Roman"/>
                <w:color w:val="FF0000"/>
                <w:sz w:val="24"/>
                <w:szCs w:val="24"/>
                <w:u w:val="single"/>
                <w:lang w:val="en-US" w:eastAsia="zh-CN"/>
              </w:rPr>
              <w:t>、生态护坡填方2424.8m</w:t>
            </w:r>
            <w:r>
              <w:rPr>
                <w:rFonts w:hint="eastAsia" w:cs="Times New Roman"/>
                <w:color w:val="FF0000"/>
                <w:sz w:val="24"/>
                <w:szCs w:val="24"/>
                <w:u w:val="single"/>
                <w:vertAlign w:val="superscript"/>
                <w:lang w:val="en-US" w:eastAsia="zh-CN"/>
              </w:rPr>
              <w:t>3</w:t>
            </w:r>
            <w:r>
              <w:rPr>
                <w:rFonts w:hint="eastAsia" w:cs="Times New Roman"/>
                <w:color w:val="FF0000"/>
                <w:sz w:val="24"/>
                <w:szCs w:val="24"/>
                <w:u w:val="single"/>
                <w:vertAlign w:val="baseline"/>
                <w:lang w:val="en-US" w:eastAsia="zh-CN"/>
              </w:rPr>
              <w:t>。需取土389.1</w:t>
            </w:r>
            <w:r>
              <w:rPr>
                <w:rFonts w:hint="eastAsia" w:cs="Times New Roman"/>
                <w:color w:val="FF0000"/>
                <w:sz w:val="24"/>
                <w:szCs w:val="24"/>
                <w:u w:val="single"/>
                <w:lang w:val="en-US" w:eastAsia="zh-CN"/>
              </w:rPr>
              <w:t>m</w:t>
            </w:r>
            <w:r>
              <w:rPr>
                <w:rFonts w:hint="eastAsia" w:cs="Times New Roman"/>
                <w:color w:val="FF0000"/>
                <w:sz w:val="24"/>
                <w:szCs w:val="24"/>
                <w:u w:val="single"/>
                <w:vertAlign w:val="superscript"/>
                <w:lang w:val="en-US" w:eastAsia="zh-CN"/>
              </w:rPr>
              <w:t>3</w:t>
            </w:r>
            <w:r>
              <w:rPr>
                <w:rFonts w:hint="eastAsia" w:cs="Times New Roman"/>
                <w:color w:val="FF0000"/>
                <w:sz w:val="24"/>
                <w:szCs w:val="24"/>
                <w:u w:val="single"/>
                <w:vertAlign w:val="baseline"/>
                <w:lang w:val="en-US" w:eastAsia="zh-CN"/>
              </w:rPr>
              <w:t>，根据本项目初步设计方案，本项目取土来源为岛内荒山取土。本环评要求，不得在防洪提外、自然保护区、生态红线范围内范围内取土。无弃土外运。</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针对项目工程量大小、施工技术复杂程度以及工程战线的特点，采用招投标的方法确定有类似工程施工经验和资质施工单位进行施工。本工程施工以机械化为主，人工为辅。</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（1）基坑开挖施工</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由于本工程土方开挖量小、运距短，主要采用1m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 xml:space="preserve"> 反铲挖掘机挖装，机械开挖至设计深度以上0.3~0.5m 的部分采用人工开挖。开挖利用土料就近堆置于塘边坡处，可做生态护坡修筑土料，开挖土料需搭盖雨棚或编织布遮盖，防止雨水浸渗及其他杂质混入土料中而影响回填用土料质量。</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（2）基础处理</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泵站、隔水墙、闸门基础均需落于未扰动的原状土上，基槽平整完后，组织相关单位验槽并确认基槽达到设计要求后，方可进行泵站、闸门基础浇筑及隔水墙土方回填施工。如遇土质不良，需用较好压密特性的土进行压实或夯实，形成良好的持力层。</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（3）生态护坡、隔水墙土方填筑施工</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1）填筑材料要求：需要粘土、粉质粘土或含碎石的粉质粘土，黏粒含量为10%～35%，塑性指数为10～20，且不得含植物根茎、砖瓦垃圾等杂物；设计含水率20%～25%，干容重不应小于1.5g/m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，内摩擦角不小于15°；禁止填筑含淤泥、自然含水率高或黏粒含量过多的粘土、冻土块、杂填土、水稳定性差的膨胀土、分散性土等。</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2）填筑要求：</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①隔水墙填筑时应按水平分层从低处开始逐层填筑，不得顺坡铺填。分层作业面的最小长度不得小于100m。作业面应分层统一铺土，统一碾压，严禁出现界沟；</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②相邻施工段的作业面宜均衡上升，若段与段之间不可避免出现高差时，应以斜坡面相接；</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③铺料作业应符合下列要求：a.应按设计要求将土料铺至规定部位，严禁将砂（砾）料或其他透水材料与粘性土料混杂，填筑土料中的杂质应予清除；b.采用轻中型机械碾压时，一次铺料厚度为30cm，土块直径不应大于10cm。</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④压实作业应符合下列要求：a.上下层的分段接缝位置应错开；b.碾压施工应符合下列要求：碾压机械行走方向应平行于轴线；分段、分片碾压，相邻作业面的搭接碾压宽度，平行堤轴线方向不应小于0.5m，垂直轴线方向不应小于2m；机械碾压应控制行车速度，以不超过下列规定为宜：平碾为2km/h，振动碾为2km/h，铲运机为2 档；机械碾压不到位的部位，应辅以夯具夯实，采用2.8KW蛙式打夯机结合人工夯实，压实度不小于0.91。</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⑤填筑标准应符合下列要求（必须同时满足）：a.填筑标准按压实度确定，压实度应不小于0.91；b.填筑干密度应不小于1.50g/cm³</w:t>
            </w:r>
          </w:p>
          <w:p>
            <w:pPr>
              <w:pStyle w:val="11"/>
              <w:adjustRightInd w:val="0"/>
              <w:snapToGrid w:val="0"/>
              <w:spacing w:line="360" w:lineRule="auto"/>
              <w:jc w:val="left"/>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⑥其他事项：本技术要求未提及的，实际施工时以施工图设计为准。</w:t>
            </w:r>
          </w:p>
          <w:p>
            <w:pPr>
              <w:adjustRightInd w:val="0"/>
              <w:snapToGrid w:val="0"/>
              <w:spacing w:line="360" w:lineRule="auto"/>
              <w:ind w:firstLine="482" w:firstLineChars="200"/>
              <w:rPr>
                <w:rFonts w:hint="default" w:ascii="Times New Roman" w:hAnsi="Times New Roman" w:eastAsia="宋体" w:cs="Times New Roman"/>
                <w:b/>
                <w:bCs/>
                <w:color w:val="auto"/>
                <w:sz w:val="24"/>
                <w:u w:val="none"/>
              </w:rPr>
            </w:pPr>
            <w:r>
              <w:rPr>
                <w:rFonts w:hint="eastAsia" w:cs="Times New Roman"/>
                <w:b/>
                <w:bCs/>
                <w:color w:val="auto"/>
                <w:sz w:val="24"/>
                <w:u w:val="none"/>
                <w:lang w:val="en-US" w:eastAsia="zh-CN"/>
              </w:rPr>
              <w:t>二</w:t>
            </w:r>
            <w:r>
              <w:rPr>
                <w:rFonts w:hint="default" w:ascii="Times New Roman" w:hAnsi="Times New Roman" w:eastAsia="宋体" w:cs="Times New Roman"/>
                <w:b/>
                <w:bCs/>
                <w:color w:val="auto"/>
                <w:sz w:val="24"/>
                <w:u w:val="none"/>
              </w:rPr>
              <w:t>、建设周期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u w:val="none"/>
                <w:lang w:eastAsia="zh-CN"/>
              </w:rPr>
            </w:pPr>
            <w:r>
              <w:rPr>
                <w:rFonts w:hint="default" w:ascii="Times New Roman" w:hAnsi="Times New Roman" w:eastAsia="宋体" w:cs="Times New Roman"/>
                <w:color w:val="auto"/>
                <w:kern w:val="2"/>
                <w:sz w:val="24"/>
                <w:szCs w:val="24"/>
                <w:u w:val="none"/>
                <w:lang w:val="en-US" w:eastAsia="zh-CN" w:bidi="ar-SA"/>
              </w:rPr>
              <w:t>本工程总工期</w:t>
            </w:r>
            <w:r>
              <w:rPr>
                <w:rFonts w:hint="eastAsia" w:cs="Times New Roman"/>
                <w:color w:val="auto"/>
                <w:kern w:val="2"/>
                <w:sz w:val="24"/>
                <w:szCs w:val="24"/>
                <w:u w:val="none"/>
                <w:lang w:val="en-US" w:eastAsia="zh-CN" w:bidi="ar-SA"/>
              </w:rPr>
              <w:t>23</w:t>
            </w:r>
            <w:r>
              <w:rPr>
                <w:rFonts w:hint="default" w:ascii="Times New Roman" w:hAnsi="Times New Roman" w:eastAsia="宋体" w:cs="Times New Roman"/>
                <w:color w:val="auto"/>
                <w:kern w:val="2"/>
                <w:sz w:val="24"/>
                <w:szCs w:val="24"/>
                <w:u w:val="none"/>
                <w:lang w:val="en-US" w:eastAsia="zh-CN" w:bidi="ar-SA"/>
              </w:rPr>
              <w:t>个月，主体工程计划2023年</w:t>
            </w:r>
            <w:r>
              <w:rPr>
                <w:rFonts w:hint="eastAsia" w:cs="Times New Roman"/>
                <w:color w:val="auto"/>
                <w:kern w:val="2"/>
                <w:sz w:val="24"/>
                <w:szCs w:val="24"/>
                <w:u w:val="none"/>
                <w:lang w:val="en-US" w:eastAsia="zh-CN" w:bidi="ar-SA"/>
              </w:rPr>
              <w:t>12</w:t>
            </w:r>
            <w:r>
              <w:rPr>
                <w:rFonts w:hint="default" w:ascii="Times New Roman" w:hAnsi="Times New Roman" w:eastAsia="宋体" w:cs="Times New Roman"/>
                <w:color w:val="auto"/>
                <w:kern w:val="2"/>
                <w:sz w:val="24"/>
                <w:szCs w:val="24"/>
                <w:u w:val="none"/>
                <w:lang w:val="en-US" w:eastAsia="zh-CN" w:bidi="ar-SA"/>
              </w:rPr>
              <w:t>月开始施工，至202</w:t>
            </w:r>
            <w:r>
              <w:rPr>
                <w:rFonts w:hint="eastAsia" w:cs="Times New Roman"/>
                <w:color w:val="auto"/>
                <w:kern w:val="2"/>
                <w:sz w:val="24"/>
                <w:szCs w:val="24"/>
                <w:u w:val="none"/>
                <w:lang w:val="en-US" w:eastAsia="zh-CN" w:bidi="ar-SA"/>
              </w:rPr>
              <w:t>5</w:t>
            </w:r>
            <w:r>
              <w:rPr>
                <w:rFonts w:hint="default" w:ascii="Times New Roman" w:hAnsi="Times New Roman" w:eastAsia="宋体" w:cs="Times New Roman"/>
                <w:color w:val="auto"/>
                <w:kern w:val="2"/>
                <w:sz w:val="24"/>
                <w:szCs w:val="24"/>
                <w:u w:val="none"/>
                <w:lang w:val="en-US" w:eastAsia="zh-CN" w:bidi="ar-SA"/>
              </w:rPr>
              <w:t>年</w:t>
            </w:r>
            <w:r>
              <w:rPr>
                <w:rFonts w:hint="eastAsia" w:cs="Times New Roman"/>
                <w:color w:val="auto"/>
                <w:kern w:val="2"/>
                <w:sz w:val="24"/>
                <w:szCs w:val="24"/>
                <w:u w:val="none"/>
                <w:lang w:val="en-US" w:eastAsia="zh-CN" w:bidi="ar-SA"/>
              </w:rPr>
              <w:t>11</w:t>
            </w:r>
            <w:r>
              <w:rPr>
                <w:rFonts w:hint="default" w:ascii="Times New Roman" w:hAnsi="Times New Roman" w:eastAsia="宋体" w:cs="Times New Roman"/>
                <w:color w:val="auto"/>
                <w:kern w:val="2"/>
                <w:sz w:val="24"/>
                <w:szCs w:val="24"/>
                <w:u w:val="none"/>
                <w:lang w:val="en-US" w:eastAsia="zh-CN" w:bidi="ar-SA"/>
              </w:rPr>
              <w:t>月底完工。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423" w:type="dxa"/>
            <w:noWrap w:val="0"/>
            <w:vAlign w:val="center"/>
          </w:tcPr>
          <w:p>
            <w:pPr>
              <w:adjustRightInd w:val="0"/>
              <w:snapToGrid w:val="0"/>
              <w:spacing w:line="360" w:lineRule="auto"/>
              <w:jc w:val="center"/>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kern w:val="0"/>
                <w:szCs w:val="21"/>
                <w:u w:val="none"/>
              </w:rPr>
              <w:t>其他</w:t>
            </w:r>
          </w:p>
        </w:tc>
        <w:tc>
          <w:tcPr>
            <w:tcW w:w="8099" w:type="dxa"/>
            <w:noWrap w:val="0"/>
            <w:vAlign w:val="center"/>
          </w:tcPr>
          <w:p>
            <w:pPr>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sz w:val="24"/>
                <w:szCs w:val="24"/>
                <w:u w:val="none"/>
                <w:lang w:eastAsia="zh-CN"/>
              </w:rPr>
              <w:t>无</w:t>
            </w:r>
          </w:p>
        </w:tc>
      </w:tr>
    </w:tbl>
    <w:p>
      <w:pPr>
        <w:pStyle w:val="29"/>
        <w:jc w:val="center"/>
        <w:outlineLvl w:val="0"/>
        <w:rPr>
          <w:rFonts w:hint="default" w:ascii="Times New Roman" w:hAnsi="Times New Roman" w:eastAsia="宋体" w:cs="Times New Roman"/>
          <w:snapToGrid w:val="0"/>
          <w:color w:val="auto"/>
          <w:sz w:val="30"/>
          <w:szCs w:val="30"/>
          <w:u w:val="none"/>
        </w:rPr>
      </w:pPr>
      <w:r>
        <w:rPr>
          <w:rFonts w:hint="default" w:ascii="Times New Roman" w:hAnsi="Times New Roman" w:eastAsia="宋体" w:cs="Times New Roman"/>
          <w:b/>
          <w:bCs/>
          <w:color w:val="auto"/>
          <w:u w:val="none"/>
        </w:rPr>
        <w:br w:type="page"/>
      </w:r>
      <w:bookmarkStart w:id="21" w:name="_Toc16824"/>
      <w:bookmarkStart w:id="22" w:name="_Toc10267"/>
      <w:bookmarkStart w:id="23" w:name="_Toc4731"/>
      <w:bookmarkStart w:id="24" w:name="_Toc8471"/>
      <w:bookmarkStart w:id="25" w:name="_Toc18639"/>
      <w:bookmarkStart w:id="26" w:name="_Toc21260"/>
      <w:r>
        <w:rPr>
          <w:rFonts w:hint="default" w:ascii="Times New Roman" w:hAnsi="Times New Roman" w:eastAsia="宋体" w:cs="Times New Roman"/>
          <w:snapToGrid w:val="0"/>
          <w:color w:val="auto"/>
          <w:sz w:val="30"/>
          <w:szCs w:val="30"/>
          <w:u w:val="none"/>
        </w:rPr>
        <w:t>三、生态环境现状、保护目标及评价标准</w:t>
      </w:r>
      <w:bookmarkEnd w:id="21"/>
      <w:bookmarkEnd w:id="22"/>
      <w:bookmarkEnd w:id="23"/>
      <w:bookmarkEnd w:id="24"/>
      <w:bookmarkEnd w:id="25"/>
      <w:bookmarkEnd w:id="26"/>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0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2" w:hRule="atLeast"/>
          <w:jc w:val="center"/>
        </w:trPr>
        <w:tc>
          <w:tcPr>
            <w:tcW w:w="353" w:type="pct"/>
            <w:noWrap w:val="0"/>
            <w:vAlign w:val="center"/>
          </w:tcPr>
          <w:p>
            <w:pPr>
              <w:adjustRightInd w:val="0"/>
              <w:snapToGrid w:val="0"/>
              <w:jc w:val="center"/>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kern w:val="0"/>
                <w:szCs w:val="21"/>
                <w:u w:val="none"/>
              </w:rPr>
              <w:t>生态环境现状</w:t>
            </w:r>
          </w:p>
        </w:tc>
        <w:tc>
          <w:tcPr>
            <w:tcW w:w="464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u w:val="none"/>
              </w:rPr>
            </w:pPr>
            <w:r>
              <w:rPr>
                <w:rFonts w:hint="default" w:ascii="Times New Roman" w:hAnsi="Times New Roman" w:eastAsia="宋体" w:cs="Times New Roman"/>
                <w:b/>
                <w:bCs/>
                <w:color w:val="auto"/>
                <w:sz w:val="24"/>
                <w:u w:val="none"/>
                <w:lang w:val="en-US" w:eastAsia="zh-CN"/>
              </w:rPr>
              <w:t>1、</w:t>
            </w:r>
            <w:r>
              <w:rPr>
                <w:rFonts w:hint="default" w:ascii="Times New Roman" w:hAnsi="Times New Roman" w:eastAsia="宋体" w:cs="Times New Roman"/>
                <w:b/>
                <w:bCs/>
                <w:color w:val="auto"/>
                <w:sz w:val="24"/>
                <w:u w:val="none"/>
              </w:rPr>
              <w:t>生态环境现状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eastAsia="zh-CN"/>
              </w:rPr>
              <w:t>①</w:t>
            </w:r>
            <w:r>
              <w:rPr>
                <w:rFonts w:hint="default" w:ascii="Times New Roman" w:hAnsi="Times New Roman" w:eastAsia="宋体" w:cs="Times New Roman"/>
                <w:color w:val="auto"/>
                <w:sz w:val="24"/>
                <w:u w:val="none"/>
              </w:rPr>
              <w:t>主体功能区划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根据《湖南省主体功能区规划》</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湘政发</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2012</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39号</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，本项目所在区域属于国家重点开发区域，是承接长株潭经济辐射、促进两型产业发展的重要区域，支撑我省经济发展的重要区域性中心城市和新型工业化基地。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lang w:eastAsia="zh-CN"/>
              </w:rPr>
              <w:t>②生态功能区划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lang w:eastAsia="zh-CN"/>
              </w:rPr>
              <w:t>根据《全国生态功能区划》，全国生态功能区划包括生态功能区242个，其中生态调节功能区148个、产品提供功能区63个，人居保障功能区31个。本项目所在区域不属于水源涵养、生物多样性保护、土壤保持和防风固沙区等生态功能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lang w:eastAsia="zh-CN"/>
              </w:rPr>
              <w:t>③生态环境现状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lang w:eastAsia="zh-CN"/>
              </w:rPr>
              <w:t>根据实地调查统计，评价区域的野生动物种类较少，只有常见的蛇、蛙、鼠及常见鸟类，没有特别珍稀保护动物，评价区没有国家保护的珍贵动物物种分布。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lang w:eastAsia="zh-CN"/>
              </w:rPr>
              <w:t>本项目所在流域现状及影响区域的水生生物现状：本项目所在流域无珍稀水生动植物栖息。区域内以中、小型经济鱼类为主；浮游动物则以枝角类和桡足类的种类较多；浮游植物</w:t>
            </w:r>
            <w:r>
              <w:rPr>
                <w:rFonts w:hint="default" w:ascii="Times New Roman" w:hAnsi="Times New Roman" w:eastAsia="宋体" w:cs="Times New Roman"/>
                <w:color w:val="auto"/>
                <w:sz w:val="24"/>
                <w:u w:val="none"/>
                <w:lang w:val="en-US" w:eastAsia="zh-CN"/>
              </w:rPr>
              <w:t>主要为</w:t>
            </w:r>
            <w:r>
              <w:rPr>
                <w:rFonts w:hint="default" w:ascii="Times New Roman" w:hAnsi="Times New Roman" w:eastAsia="宋体" w:cs="Times New Roman"/>
                <w:color w:val="auto"/>
                <w:sz w:val="24"/>
                <w:u w:val="none"/>
                <w:lang w:eastAsia="zh-CN"/>
              </w:rPr>
              <w:t>蓝藻门的束丝藻属、假鱼腥藻属等；底栖动物主要为克拉泊水丝蚓、摇蚊等。</w:t>
            </w:r>
          </w:p>
          <w:p>
            <w:pPr>
              <w:adjustRightInd w:val="0"/>
              <w:snapToGrid w:val="0"/>
              <w:spacing w:line="360" w:lineRule="auto"/>
              <w:ind w:firstLine="482" w:firstLineChars="200"/>
              <w:jc w:val="left"/>
              <w:rPr>
                <w:rFonts w:hint="default" w:ascii="Times New Roman" w:hAnsi="Times New Roman" w:eastAsia="宋体" w:cs="Times New Roman"/>
                <w:b/>
                <w:snapToGrid w:val="0"/>
                <w:color w:val="auto"/>
                <w:kern w:val="0"/>
                <w:sz w:val="24"/>
                <w:u w:val="none"/>
              </w:rPr>
            </w:pPr>
            <w:r>
              <w:rPr>
                <w:rFonts w:hint="default" w:ascii="Times New Roman" w:hAnsi="Times New Roman" w:eastAsia="宋体" w:cs="Times New Roman"/>
                <w:b/>
                <w:snapToGrid w:val="0"/>
                <w:color w:val="auto"/>
                <w:kern w:val="0"/>
                <w:sz w:val="24"/>
                <w:u w:val="none"/>
                <w:lang w:val="en-US" w:eastAsia="zh-CN"/>
              </w:rPr>
              <w:t>2</w:t>
            </w:r>
            <w:r>
              <w:rPr>
                <w:rFonts w:hint="default" w:ascii="Times New Roman" w:hAnsi="Times New Roman" w:eastAsia="宋体" w:cs="Times New Roman"/>
                <w:b/>
                <w:snapToGrid w:val="0"/>
                <w:color w:val="auto"/>
                <w:kern w:val="0"/>
                <w:sz w:val="24"/>
                <w:u w:val="none"/>
              </w:rPr>
              <w:t>、环境空气</w:t>
            </w:r>
          </w:p>
          <w:p>
            <w:pPr>
              <w:spacing w:line="360" w:lineRule="auto"/>
              <w:ind w:firstLine="480" w:firstLineChars="200"/>
              <w:rPr>
                <w:rFonts w:hint="default" w:ascii="Times New Roman" w:hAnsi="Times New Roman" w:eastAsia="宋体" w:cs="Times New Roman"/>
                <w:color w:val="auto"/>
                <w:sz w:val="24"/>
                <w:szCs w:val="21"/>
                <w:u w:val="none"/>
              </w:rPr>
            </w:pPr>
            <w:r>
              <w:rPr>
                <w:rFonts w:hint="default" w:ascii="Times New Roman" w:hAnsi="Times New Roman" w:eastAsia="宋体" w:cs="Times New Roman"/>
                <w:color w:val="auto"/>
                <w:sz w:val="24"/>
                <w:szCs w:val="21"/>
                <w:u w:val="none"/>
              </w:rPr>
              <w:t>1）空气质量达标区判定</w:t>
            </w:r>
          </w:p>
          <w:p>
            <w:pPr>
              <w:autoSpaceDE w:val="0"/>
              <w:autoSpaceDN w:val="0"/>
              <w:adjustRightInd w:val="0"/>
              <w:spacing w:line="360" w:lineRule="auto"/>
              <w:ind w:firstLine="420" w:firstLineChars="200"/>
              <w:rPr>
                <w:rFonts w:ascii="Times New Roman" w:hAnsi="Times New Roman"/>
                <w:kern w:val="0"/>
                <w:szCs w:val="21"/>
                <w:u w:val="none"/>
              </w:rPr>
            </w:pPr>
            <w:r>
              <w:rPr>
                <w:rFonts w:hint="eastAsia" w:ascii="Times New Roman" w:hAnsi="Times New Roman"/>
                <w:kern w:val="0"/>
                <w:szCs w:val="21"/>
                <w:u w:val="none"/>
              </w:rPr>
              <w:t>结合《环境影响评价技术导则—大气环境》（</w:t>
            </w:r>
            <w:r>
              <w:rPr>
                <w:rFonts w:ascii="Times New Roman" w:hAnsi="Times New Roman"/>
                <w:kern w:val="0"/>
                <w:szCs w:val="21"/>
                <w:u w:val="none"/>
              </w:rPr>
              <w:t>HJ2.2-2018</w:t>
            </w:r>
            <w:r>
              <w:rPr>
                <w:rFonts w:hint="eastAsia" w:ascii="Times New Roman" w:hAnsi="Times New Roman"/>
                <w:kern w:val="0"/>
                <w:szCs w:val="21"/>
                <w:u w:val="none"/>
              </w:rPr>
              <w:t>）中“</w:t>
            </w:r>
            <w:r>
              <w:rPr>
                <w:rFonts w:ascii="Times New Roman" w:hAnsi="Times New Roman"/>
                <w:kern w:val="0"/>
                <w:szCs w:val="21"/>
                <w:u w:val="none"/>
              </w:rPr>
              <w:t xml:space="preserve">6.2.1 </w:t>
            </w:r>
            <w:r>
              <w:rPr>
                <w:rFonts w:hint="eastAsia" w:ascii="Times New Roman" w:hAnsi="Times New Roman"/>
                <w:kern w:val="0"/>
                <w:szCs w:val="21"/>
                <w:u w:val="none"/>
              </w:rPr>
              <w:t>对项目所在区域达标判定，优先采用国家或地方生态环境主管部门公开发布的评价基准年环境质量公告或环境质量报告中数据或结论”。根据湘阴县环境保护监测站</w:t>
            </w:r>
            <w:r>
              <w:rPr>
                <w:rFonts w:ascii="Times New Roman" w:hAnsi="Times New Roman"/>
                <w:kern w:val="0"/>
                <w:szCs w:val="21"/>
                <w:u w:val="none"/>
              </w:rPr>
              <w:t>202</w:t>
            </w:r>
            <w:r>
              <w:rPr>
                <w:rFonts w:hint="eastAsia" w:ascii="Times New Roman" w:hAnsi="Times New Roman"/>
                <w:kern w:val="0"/>
                <w:szCs w:val="21"/>
                <w:u w:val="none"/>
              </w:rPr>
              <w:t>2年空气质量现状公报的数据，数据统计如下表。</w:t>
            </w:r>
          </w:p>
          <w:p>
            <w:pPr>
              <w:autoSpaceDE w:val="0"/>
              <w:autoSpaceDN w:val="0"/>
              <w:adjustRightInd w:val="0"/>
              <w:spacing w:line="240" w:lineRule="auto"/>
              <w:jc w:val="both"/>
              <w:rPr>
                <w:rFonts w:ascii="Times New Roman" w:hAnsi="Times New Roman"/>
                <w:b/>
                <w:kern w:val="0"/>
                <w:szCs w:val="21"/>
                <w:u w:val="none"/>
              </w:rPr>
            </w:pPr>
            <w:r>
              <w:rPr>
                <w:rFonts w:ascii="Times New Roman" w:hAnsi="Times New Roman"/>
                <w:b/>
                <w:kern w:val="0"/>
                <w:szCs w:val="21"/>
                <w:u w:val="none"/>
              </w:rPr>
              <w:t xml:space="preserve">表3-1  </w:t>
            </w:r>
            <w:r>
              <w:rPr>
                <w:rFonts w:hint="eastAsia"/>
                <w:b/>
                <w:kern w:val="0"/>
                <w:szCs w:val="21"/>
                <w:u w:val="none"/>
                <w:lang w:val="en-US" w:eastAsia="zh-CN"/>
              </w:rPr>
              <w:t xml:space="preserve">                     </w:t>
            </w:r>
            <w:r>
              <w:rPr>
                <w:rFonts w:ascii="Times New Roman" w:hAnsi="Times New Roman"/>
                <w:b/>
                <w:kern w:val="0"/>
                <w:szCs w:val="21"/>
                <w:u w:val="none"/>
              </w:rPr>
              <w:t xml:space="preserve">区域空气质量现状评价表 </w:t>
            </w:r>
            <w:r>
              <w:rPr>
                <w:rFonts w:hint="eastAsia"/>
                <w:b/>
                <w:kern w:val="0"/>
                <w:szCs w:val="21"/>
                <w:u w:val="none"/>
                <w:lang w:val="en-US" w:eastAsia="zh-CN"/>
              </w:rPr>
              <w:t xml:space="preserve">           </w:t>
            </w:r>
            <w:r>
              <w:rPr>
                <w:rFonts w:ascii="Times New Roman" w:hAnsi="Times New Roman"/>
                <w:b/>
                <w:kern w:val="0"/>
                <w:szCs w:val="21"/>
                <w:u w:val="none"/>
              </w:rPr>
              <w:t xml:space="preserve">  单位：μg/m</w:t>
            </w:r>
            <w:r>
              <w:rPr>
                <w:rFonts w:ascii="Times New Roman" w:hAnsi="Times New Roman"/>
                <w:b/>
                <w:kern w:val="0"/>
                <w:szCs w:val="21"/>
                <w:u w:val="none"/>
                <w:vertAlign w:val="superscript"/>
              </w:rPr>
              <w:t>3</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570"/>
              <w:gridCol w:w="828"/>
              <w:gridCol w:w="1158"/>
              <w:gridCol w:w="1144"/>
              <w:gridCol w:w="857"/>
              <w:gridCol w:w="932"/>
              <w:gridCol w:w="6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dxa"/>
                  <w:tcBorders>
                    <w:top w:val="single" w:color="auto" w:sz="12" w:space="0"/>
                    <w:left w:val="single" w:color="auto" w:sz="12"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评价因子</w:t>
                  </w:r>
                </w:p>
              </w:tc>
              <w:tc>
                <w:tcPr>
                  <w:tcW w:w="1621"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评价时段</w:t>
                  </w:r>
                </w:p>
              </w:tc>
              <w:tc>
                <w:tcPr>
                  <w:tcW w:w="846"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百分位</w:t>
                  </w:r>
                </w:p>
              </w:tc>
              <w:tc>
                <w:tcPr>
                  <w:tcW w:w="1159"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现状浓度（μg/m</w:t>
                  </w:r>
                  <w:r>
                    <w:rPr>
                      <w:rFonts w:ascii="Times New Roman" w:hAnsi="Times New Roman"/>
                      <w:kern w:val="2"/>
                      <w:sz w:val="21"/>
                      <w:szCs w:val="21"/>
                      <w:u w:val="none"/>
                      <w:vertAlign w:val="superscript"/>
                    </w:rPr>
                    <w:t>3</w:t>
                  </w:r>
                  <w:r>
                    <w:rPr>
                      <w:rFonts w:ascii="Times New Roman" w:hAnsi="Times New Roman"/>
                      <w:kern w:val="2"/>
                      <w:sz w:val="21"/>
                      <w:szCs w:val="21"/>
                      <w:u w:val="none"/>
                    </w:rPr>
                    <w:t>）</w:t>
                  </w:r>
                </w:p>
              </w:tc>
              <w:tc>
                <w:tcPr>
                  <w:tcW w:w="1077"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标准值（μg/m</w:t>
                  </w:r>
                  <w:r>
                    <w:rPr>
                      <w:rFonts w:ascii="Times New Roman" w:hAnsi="Times New Roman"/>
                      <w:kern w:val="2"/>
                      <w:sz w:val="21"/>
                      <w:szCs w:val="21"/>
                      <w:u w:val="none"/>
                      <w:vertAlign w:val="superscript"/>
                    </w:rPr>
                    <w:t>3</w:t>
                  </w:r>
                  <w:r>
                    <w:rPr>
                      <w:rFonts w:ascii="Times New Roman" w:hAnsi="Times New Roman"/>
                      <w:kern w:val="2"/>
                      <w:sz w:val="21"/>
                      <w:szCs w:val="21"/>
                      <w:u w:val="none"/>
                    </w:rPr>
                    <w:t>）</w:t>
                  </w:r>
                </w:p>
              </w:tc>
              <w:tc>
                <w:tcPr>
                  <w:tcW w:w="859"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占标率（%）</w:t>
                  </w:r>
                </w:p>
              </w:tc>
              <w:tc>
                <w:tcPr>
                  <w:tcW w:w="955" w:type="dxa"/>
                  <w:tcBorders>
                    <w:top w:val="single" w:color="auto" w:sz="12"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达标情况</w:t>
                  </w:r>
                </w:p>
              </w:tc>
              <w:tc>
                <w:tcPr>
                  <w:tcW w:w="679" w:type="dxa"/>
                  <w:tcBorders>
                    <w:top w:val="single" w:color="auto" w:sz="12" w:space="0"/>
                    <w:left w:val="single" w:color="auto" w:sz="4" w:space="0"/>
                    <w:bottom w:val="single" w:color="auto" w:sz="4" w:space="0"/>
                    <w:right w:val="single" w:color="auto" w:sz="12"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超标倍数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SO</w:t>
                  </w:r>
                  <w:r>
                    <w:rPr>
                      <w:rFonts w:ascii="Times New Roman" w:hAnsi="Times New Roman"/>
                      <w:kern w:val="2"/>
                      <w:sz w:val="21"/>
                      <w:szCs w:val="21"/>
                      <w:u w:val="none"/>
                      <w:vertAlign w:val="subscript"/>
                    </w:rPr>
                    <w:t>2</w:t>
                  </w:r>
                </w:p>
              </w:tc>
              <w:tc>
                <w:tcPr>
                  <w:tcW w:w="16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年平均浓度</w:t>
                  </w:r>
                </w:p>
              </w:tc>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w:t>
                  </w:r>
                </w:p>
              </w:tc>
              <w:tc>
                <w:tcPr>
                  <w:tcW w:w="11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sz w:val="21"/>
                      <w:szCs w:val="21"/>
                      <w:u w:val="none"/>
                    </w:rPr>
                    <w:t>5</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60</w:t>
                  </w: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sz w:val="21"/>
                      <w:szCs w:val="21"/>
                      <w:u w:val="none"/>
                    </w:rPr>
                    <w:t>8.4</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达标</w:t>
                  </w:r>
                </w:p>
              </w:tc>
              <w:tc>
                <w:tcPr>
                  <w:tcW w:w="679" w:type="dxa"/>
                  <w:tcBorders>
                    <w:top w:val="single" w:color="auto" w:sz="4" w:space="0"/>
                    <w:left w:val="single" w:color="auto" w:sz="4" w:space="0"/>
                    <w:bottom w:val="single" w:color="auto" w:sz="4" w:space="0"/>
                    <w:right w:val="single" w:color="auto" w:sz="12"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NO</w:t>
                  </w:r>
                  <w:r>
                    <w:rPr>
                      <w:rFonts w:ascii="Times New Roman" w:hAnsi="Times New Roman"/>
                      <w:kern w:val="2"/>
                      <w:sz w:val="21"/>
                      <w:szCs w:val="21"/>
                      <w:u w:val="none"/>
                      <w:vertAlign w:val="subscript"/>
                    </w:rPr>
                    <w:t>2</w:t>
                  </w:r>
                </w:p>
              </w:tc>
              <w:tc>
                <w:tcPr>
                  <w:tcW w:w="16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年平均浓度</w:t>
                  </w:r>
                </w:p>
              </w:tc>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w:t>
                  </w:r>
                </w:p>
              </w:tc>
              <w:tc>
                <w:tcPr>
                  <w:tcW w:w="11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sz w:val="21"/>
                      <w:szCs w:val="21"/>
                      <w:u w:val="none"/>
                    </w:rPr>
                    <w:t>19</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40</w:t>
                  </w: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sz w:val="21"/>
                      <w:szCs w:val="21"/>
                      <w:u w:val="none"/>
                    </w:rPr>
                    <w:t>47.2</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达标</w:t>
                  </w:r>
                </w:p>
              </w:tc>
              <w:tc>
                <w:tcPr>
                  <w:tcW w:w="679" w:type="dxa"/>
                  <w:tcBorders>
                    <w:top w:val="single" w:color="auto" w:sz="4" w:space="0"/>
                    <w:left w:val="single" w:color="auto" w:sz="4" w:space="0"/>
                    <w:bottom w:val="single" w:color="auto" w:sz="4" w:space="0"/>
                    <w:right w:val="single" w:color="auto" w:sz="12"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PM</w:t>
                  </w:r>
                  <w:r>
                    <w:rPr>
                      <w:rFonts w:ascii="Times New Roman" w:hAnsi="Times New Roman"/>
                      <w:kern w:val="2"/>
                      <w:sz w:val="21"/>
                      <w:szCs w:val="21"/>
                      <w:u w:val="none"/>
                      <w:vertAlign w:val="subscript"/>
                    </w:rPr>
                    <w:t>10</w:t>
                  </w:r>
                </w:p>
              </w:tc>
              <w:tc>
                <w:tcPr>
                  <w:tcW w:w="16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年平均浓度</w:t>
                  </w:r>
                </w:p>
              </w:tc>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w:t>
                  </w:r>
                </w:p>
              </w:tc>
              <w:tc>
                <w:tcPr>
                  <w:tcW w:w="11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sz w:val="21"/>
                      <w:szCs w:val="21"/>
                      <w:u w:val="none"/>
                    </w:rPr>
                    <w:t>48</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70</w:t>
                  </w: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sz w:val="21"/>
                      <w:szCs w:val="21"/>
                      <w:u w:val="none"/>
                    </w:rPr>
                    <w:t>68.9</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达标</w:t>
                  </w:r>
                </w:p>
              </w:tc>
              <w:tc>
                <w:tcPr>
                  <w:tcW w:w="679" w:type="dxa"/>
                  <w:tcBorders>
                    <w:top w:val="single" w:color="auto" w:sz="4" w:space="0"/>
                    <w:left w:val="single" w:color="auto" w:sz="4" w:space="0"/>
                    <w:bottom w:val="single" w:color="auto" w:sz="4" w:space="0"/>
                    <w:right w:val="single" w:color="auto" w:sz="12"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PM</w:t>
                  </w:r>
                  <w:r>
                    <w:rPr>
                      <w:rFonts w:ascii="Times New Roman" w:hAnsi="Times New Roman"/>
                      <w:kern w:val="2"/>
                      <w:sz w:val="21"/>
                      <w:szCs w:val="21"/>
                      <w:u w:val="none"/>
                      <w:vertAlign w:val="subscript"/>
                    </w:rPr>
                    <w:t>2.5</w:t>
                  </w:r>
                </w:p>
              </w:tc>
              <w:tc>
                <w:tcPr>
                  <w:tcW w:w="16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年平均浓度</w:t>
                  </w:r>
                </w:p>
              </w:tc>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w:t>
                  </w:r>
                </w:p>
              </w:tc>
              <w:tc>
                <w:tcPr>
                  <w:tcW w:w="11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sz w:val="21"/>
                      <w:szCs w:val="21"/>
                      <w:u w:val="none"/>
                    </w:rPr>
                    <w:t>34</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35</w:t>
                  </w: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sz w:val="21"/>
                      <w:szCs w:val="21"/>
                      <w:u w:val="none"/>
                    </w:rPr>
                    <w:t>95.9</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达标</w:t>
                  </w:r>
                </w:p>
              </w:tc>
              <w:tc>
                <w:tcPr>
                  <w:tcW w:w="679" w:type="dxa"/>
                  <w:tcBorders>
                    <w:top w:val="single" w:color="auto" w:sz="4" w:space="0"/>
                    <w:left w:val="single" w:color="auto" w:sz="4" w:space="0"/>
                    <w:bottom w:val="single" w:color="auto" w:sz="4" w:space="0"/>
                    <w:right w:val="single" w:color="auto" w:sz="12"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CO</w:t>
                  </w:r>
                </w:p>
              </w:tc>
              <w:tc>
                <w:tcPr>
                  <w:tcW w:w="162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百分位上日平均</w:t>
                  </w:r>
                </w:p>
              </w:tc>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95</w:t>
                  </w:r>
                </w:p>
              </w:tc>
              <w:tc>
                <w:tcPr>
                  <w:tcW w:w="11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sz w:val="21"/>
                      <w:szCs w:val="21"/>
                      <w:u w:val="none"/>
                    </w:rPr>
                    <w:t>800</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4000</w:t>
                  </w: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sz w:val="21"/>
                      <w:szCs w:val="21"/>
                      <w:u w:val="none"/>
                    </w:rPr>
                    <w:t>20</w:t>
                  </w:r>
                </w:p>
              </w:tc>
              <w:tc>
                <w:tcPr>
                  <w:tcW w:w="95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达标</w:t>
                  </w:r>
                </w:p>
              </w:tc>
              <w:tc>
                <w:tcPr>
                  <w:tcW w:w="679" w:type="dxa"/>
                  <w:tcBorders>
                    <w:top w:val="single" w:color="auto" w:sz="4" w:space="0"/>
                    <w:left w:val="single" w:color="auto" w:sz="4" w:space="0"/>
                    <w:bottom w:val="single" w:color="auto" w:sz="4" w:space="0"/>
                    <w:right w:val="single" w:color="auto" w:sz="12"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dxa"/>
                  <w:tcBorders>
                    <w:top w:val="single" w:color="auto" w:sz="4" w:space="0"/>
                    <w:left w:val="single" w:color="auto" w:sz="12" w:space="0"/>
                    <w:bottom w:val="single" w:color="auto" w:sz="12"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O</w:t>
                  </w:r>
                  <w:r>
                    <w:rPr>
                      <w:rFonts w:ascii="Times New Roman" w:hAnsi="Times New Roman"/>
                      <w:kern w:val="2"/>
                      <w:sz w:val="21"/>
                      <w:szCs w:val="21"/>
                      <w:u w:val="none"/>
                      <w:vertAlign w:val="subscript"/>
                    </w:rPr>
                    <w:t>3</w:t>
                  </w:r>
                </w:p>
              </w:tc>
              <w:tc>
                <w:tcPr>
                  <w:tcW w:w="1621"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百分位上8h平均质量浓度</w:t>
                  </w:r>
                </w:p>
              </w:tc>
              <w:tc>
                <w:tcPr>
                  <w:tcW w:w="846"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90</w:t>
                  </w:r>
                </w:p>
              </w:tc>
              <w:tc>
                <w:tcPr>
                  <w:tcW w:w="1159"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sz w:val="21"/>
                      <w:szCs w:val="21"/>
                      <w:u w:val="none"/>
                    </w:rPr>
                    <w:t>155</w:t>
                  </w:r>
                </w:p>
              </w:tc>
              <w:tc>
                <w:tcPr>
                  <w:tcW w:w="1077"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160</w:t>
                  </w:r>
                </w:p>
              </w:tc>
              <w:tc>
                <w:tcPr>
                  <w:tcW w:w="859"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sz w:val="21"/>
                      <w:szCs w:val="21"/>
                      <w:u w:val="none"/>
                    </w:rPr>
                    <w:t>96.9</w:t>
                  </w:r>
                </w:p>
              </w:tc>
              <w:tc>
                <w:tcPr>
                  <w:tcW w:w="955"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达标</w:t>
                  </w:r>
                </w:p>
              </w:tc>
              <w:tc>
                <w:tcPr>
                  <w:tcW w:w="679" w:type="dxa"/>
                  <w:tcBorders>
                    <w:top w:val="single" w:color="auto" w:sz="4" w:space="0"/>
                    <w:left w:val="single" w:color="auto" w:sz="4" w:space="0"/>
                    <w:bottom w:val="single" w:color="auto" w:sz="12" w:space="0"/>
                    <w:right w:val="single" w:color="auto" w:sz="12" w:space="0"/>
                  </w:tcBorders>
                  <w:shd w:val="clear" w:color="auto" w:fill="auto"/>
                  <w:vAlign w:val="center"/>
                </w:tcPr>
                <w:p>
                  <w:pPr>
                    <w:pStyle w:val="29"/>
                    <w:widowControl w:val="0"/>
                    <w:spacing w:before="0" w:beforeAutospacing="0" w:after="0" w:afterAutospacing="0"/>
                    <w:jc w:val="center"/>
                    <w:rPr>
                      <w:rFonts w:ascii="Times New Roman" w:hAnsi="Times New Roman"/>
                      <w:sz w:val="21"/>
                      <w:szCs w:val="21"/>
                      <w:u w:val="none"/>
                    </w:rPr>
                  </w:pPr>
                  <w:r>
                    <w:rPr>
                      <w:rFonts w:ascii="Times New Roman" w:hAnsi="Times New Roman"/>
                      <w:kern w:val="2"/>
                      <w:sz w:val="21"/>
                      <w:szCs w:val="21"/>
                      <w:u w:val="none"/>
                    </w:rPr>
                    <w:t>/</w:t>
                  </w:r>
                </w:p>
              </w:tc>
            </w:tr>
          </w:tbl>
          <w:p>
            <w:pPr>
              <w:autoSpaceDE w:val="0"/>
              <w:autoSpaceDN w:val="0"/>
              <w:spacing w:line="360" w:lineRule="auto"/>
              <w:ind w:firstLine="420" w:firstLineChars="200"/>
              <w:rPr>
                <w:rFonts w:ascii="Times New Roman" w:hAnsi="Times New Roman"/>
                <w:kern w:val="0"/>
                <w:szCs w:val="21"/>
                <w:u w:val="none"/>
              </w:rPr>
            </w:pPr>
            <w:r>
              <w:rPr>
                <w:rFonts w:ascii="Times New Roman" w:hAnsi="Times New Roman"/>
                <w:kern w:val="0"/>
                <w:szCs w:val="21"/>
                <w:u w:val="none"/>
              </w:rPr>
              <w:t>根据《环境影响评价技术导则 大气环境》（HJ2.2-2018）6.4.1.1——“城市环境空气质量达标情况评价指标为SO</w:t>
            </w:r>
            <w:r>
              <w:rPr>
                <w:rFonts w:ascii="Times New Roman" w:hAnsi="Times New Roman"/>
                <w:kern w:val="0"/>
                <w:szCs w:val="21"/>
                <w:u w:val="none"/>
                <w:vertAlign w:val="subscript"/>
              </w:rPr>
              <w:t>2</w:t>
            </w:r>
            <w:r>
              <w:rPr>
                <w:rFonts w:ascii="Times New Roman" w:hAnsi="Times New Roman"/>
                <w:kern w:val="0"/>
                <w:szCs w:val="21"/>
                <w:u w:val="none"/>
              </w:rPr>
              <w:t>、NO</w:t>
            </w:r>
            <w:r>
              <w:rPr>
                <w:rFonts w:ascii="Times New Roman" w:hAnsi="Times New Roman"/>
                <w:kern w:val="0"/>
                <w:szCs w:val="21"/>
                <w:u w:val="none"/>
                <w:vertAlign w:val="subscript"/>
              </w:rPr>
              <w:t>2</w:t>
            </w:r>
            <w:r>
              <w:rPr>
                <w:rFonts w:ascii="Times New Roman" w:hAnsi="Times New Roman"/>
                <w:kern w:val="0"/>
                <w:szCs w:val="21"/>
                <w:u w:val="none"/>
              </w:rPr>
              <w:t>、PM</w:t>
            </w:r>
            <w:r>
              <w:rPr>
                <w:rFonts w:ascii="Times New Roman" w:hAnsi="Times New Roman"/>
                <w:kern w:val="0"/>
                <w:szCs w:val="21"/>
                <w:u w:val="none"/>
                <w:vertAlign w:val="subscript"/>
              </w:rPr>
              <w:t>10</w:t>
            </w:r>
            <w:r>
              <w:rPr>
                <w:rFonts w:ascii="Times New Roman" w:hAnsi="Times New Roman"/>
                <w:kern w:val="0"/>
                <w:szCs w:val="21"/>
                <w:u w:val="none"/>
              </w:rPr>
              <w:t>、PM</w:t>
            </w:r>
            <w:r>
              <w:rPr>
                <w:rFonts w:ascii="Times New Roman" w:hAnsi="Times New Roman"/>
                <w:kern w:val="0"/>
                <w:szCs w:val="21"/>
                <w:u w:val="none"/>
                <w:vertAlign w:val="subscript"/>
              </w:rPr>
              <w:t>2.5</w:t>
            </w:r>
            <w:r>
              <w:rPr>
                <w:rFonts w:ascii="Times New Roman" w:hAnsi="Times New Roman"/>
                <w:kern w:val="0"/>
                <w:szCs w:val="21"/>
                <w:u w:val="none"/>
              </w:rPr>
              <w:t>、CO和O</w:t>
            </w:r>
            <w:r>
              <w:rPr>
                <w:rFonts w:ascii="Times New Roman" w:hAnsi="Times New Roman"/>
                <w:kern w:val="0"/>
                <w:szCs w:val="21"/>
                <w:u w:val="none"/>
                <w:vertAlign w:val="subscript"/>
              </w:rPr>
              <w:t>3</w:t>
            </w:r>
            <w:r>
              <w:rPr>
                <w:rFonts w:ascii="Times New Roman" w:hAnsi="Times New Roman"/>
                <w:kern w:val="0"/>
                <w:szCs w:val="21"/>
                <w:u w:val="none"/>
              </w:rPr>
              <w:t>，六项污染物全部达标即为城市环境空气质量达标”；6.4.1.3——“采用HJ663中各评价项目的年评价指标进行判定。年评价指标中的平均浓度和相应百分位数24h平均或8h平均质量浓度满足GB3095中浓度限值要求的即为达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kern w:val="0"/>
                <w:szCs w:val="21"/>
                <w:u w:val="none"/>
                <w:lang w:eastAsia="zh-CN"/>
              </w:rPr>
            </w:pPr>
            <w:r>
              <w:rPr>
                <w:rFonts w:ascii="Times New Roman" w:hAnsi="Times New Roman"/>
                <w:kern w:val="0"/>
                <w:szCs w:val="21"/>
                <w:u w:val="none"/>
              </w:rPr>
              <w:t>根据表3.2-1监测数据可知，</w:t>
            </w:r>
            <w:r>
              <w:rPr>
                <w:rFonts w:hint="eastAsia" w:ascii="Times New Roman" w:hAnsi="Times New Roman"/>
                <w:kern w:val="0"/>
                <w:szCs w:val="21"/>
                <w:u w:val="none"/>
              </w:rPr>
              <w:t>湘阴县</w:t>
            </w:r>
            <w:r>
              <w:rPr>
                <w:rFonts w:ascii="Times New Roman" w:hAnsi="Times New Roman"/>
                <w:kern w:val="0"/>
                <w:szCs w:val="21"/>
                <w:u w:val="none"/>
              </w:rPr>
              <w:t>SO</w:t>
            </w:r>
            <w:r>
              <w:rPr>
                <w:rFonts w:ascii="Times New Roman" w:hAnsi="Times New Roman"/>
                <w:kern w:val="0"/>
                <w:szCs w:val="21"/>
                <w:u w:val="none"/>
                <w:vertAlign w:val="subscript"/>
              </w:rPr>
              <w:t>2</w:t>
            </w:r>
            <w:r>
              <w:rPr>
                <w:rFonts w:ascii="Times New Roman" w:hAnsi="Times New Roman"/>
                <w:kern w:val="0"/>
                <w:szCs w:val="21"/>
                <w:u w:val="none"/>
              </w:rPr>
              <w:t>、NO</w:t>
            </w:r>
            <w:r>
              <w:rPr>
                <w:rFonts w:ascii="Times New Roman" w:hAnsi="Times New Roman"/>
                <w:kern w:val="0"/>
                <w:szCs w:val="21"/>
                <w:u w:val="none"/>
                <w:vertAlign w:val="subscript"/>
              </w:rPr>
              <w:t>2</w:t>
            </w:r>
            <w:r>
              <w:rPr>
                <w:rFonts w:ascii="Times New Roman" w:hAnsi="Times New Roman"/>
                <w:kern w:val="0"/>
                <w:szCs w:val="21"/>
                <w:u w:val="none"/>
              </w:rPr>
              <w:t>、PM</w:t>
            </w:r>
            <w:r>
              <w:rPr>
                <w:rFonts w:ascii="Times New Roman" w:hAnsi="Times New Roman"/>
                <w:kern w:val="0"/>
                <w:szCs w:val="21"/>
                <w:u w:val="none"/>
                <w:vertAlign w:val="subscript"/>
              </w:rPr>
              <w:t>10</w:t>
            </w:r>
            <w:r>
              <w:rPr>
                <w:rFonts w:ascii="Times New Roman" w:hAnsi="Times New Roman"/>
                <w:kern w:val="0"/>
                <w:szCs w:val="21"/>
                <w:u w:val="none"/>
              </w:rPr>
              <w:t>、PM</w:t>
            </w:r>
            <w:r>
              <w:rPr>
                <w:rFonts w:ascii="Times New Roman" w:hAnsi="Times New Roman"/>
                <w:kern w:val="0"/>
                <w:szCs w:val="21"/>
                <w:u w:val="none"/>
                <w:vertAlign w:val="subscript"/>
              </w:rPr>
              <w:t>2.5</w:t>
            </w:r>
            <w:r>
              <w:rPr>
                <w:rFonts w:ascii="Times New Roman" w:hAnsi="Times New Roman"/>
                <w:kern w:val="0"/>
                <w:szCs w:val="21"/>
                <w:u w:val="none"/>
              </w:rPr>
              <w:t>、CO和O</w:t>
            </w:r>
            <w:r>
              <w:rPr>
                <w:rFonts w:ascii="Times New Roman" w:hAnsi="Times New Roman"/>
                <w:kern w:val="0"/>
                <w:szCs w:val="21"/>
                <w:u w:val="none"/>
                <w:vertAlign w:val="subscript"/>
              </w:rPr>
              <w:t>3</w:t>
            </w:r>
            <w:r>
              <w:rPr>
                <w:rFonts w:ascii="Times New Roman" w:hAnsi="Times New Roman"/>
                <w:kern w:val="0"/>
                <w:szCs w:val="21"/>
                <w:u w:val="none"/>
              </w:rPr>
              <w:t>六项污染物全部达《环境空气质量标准》（GB3095-2012）及修改单中的二级标准，由此判定202</w:t>
            </w:r>
            <w:r>
              <w:rPr>
                <w:rFonts w:hint="eastAsia" w:ascii="Times New Roman" w:hAnsi="Times New Roman"/>
                <w:kern w:val="0"/>
                <w:szCs w:val="21"/>
                <w:u w:val="none"/>
              </w:rPr>
              <w:t>2</w:t>
            </w:r>
            <w:r>
              <w:rPr>
                <w:rFonts w:ascii="Times New Roman" w:hAnsi="Times New Roman"/>
                <w:kern w:val="0"/>
                <w:szCs w:val="21"/>
                <w:u w:val="none"/>
              </w:rPr>
              <w:t>年</w:t>
            </w:r>
            <w:r>
              <w:rPr>
                <w:rFonts w:hint="eastAsia" w:ascii="Times New Roman" w:hAnsi="Times New Roman"/>
                <w:kern w:val="0"/>
                <w:szCs w:val="21"/>
                <w:u w:val="none"/>
              </w:rPr>
              <w:t>湘阴县</w:t>
            </w:r>
            <w:r>
              <w:rPr>
                <w:rFonts w:ascii="Times New Roman" w:hAnsi="Times New Roman"/>
                <w:kern w:val="0"/>
                <w:szCs w:val="21"/>
                <w:u w:val="none"/>
              </w:rPr>
              <w:t>的城市环境空气质量达标，环境空气质量较好</w:t>
            </w:r>
            <w:r>
              <w:rPr>
                <w:rFonts w:hint="eastAsia"/>
                <w:kern w:val="0"/>
                <w:szCs w:val="21"/>
                <w:u w:val="none"/>
                <w:lang w:eastAsia="zh-CN"/>
              </w:rPr>
              <w:t>。</w:t>
            </w:r>
          </w:p>
          <w:p>
            <w:pPr>
              <w:spacing w:line="360" w:lineRule="auto"/>
              <w:ind w:firstLine="480" w:firstLineChars="200"/>
              <w:rPr>
                <w:rFonts w:hint="default" w:ascii="Times New Roman" w:hAnsi="Times New Roman" w:eastAsia="宋体" w:cs="Times New Roman"/>
                <w:color w:val="auto"/>
                <w:sz w:val="24"/>
                <w:szCs w:val="21"/>
                <w:u w:val="single"/>
              </w:rPr>
            </w:pPr>
            <w:r>
              <w:rPr>
                <w:rFonts w:hint="default" w:ascii="Times New Roman" w:hAnsi="Times New Roman" w:eastAsia="宋体" w:cs="Times New Roman"/>
                <w:color w:val="auto"/>
                <w:sz w:val="24"/>
                <w:szCs w:val="21"/>
                <w:u w:val="single"/>
              </w:rPr>
              <w:t>2）特征污染物环质量现状评价</w:t>
            </w:r>
          </w:p>
          <w:p>
            <w:pPr>
              <w:spacing w:line="360" w:lineRule="auto"/>
              <w:ind w:firstLine="480" w:firstLineChars="200"/>
              <w:rPr>
                <w:rFonts w:hint="default" w:ascii="Times New Roman" w:hAnsi="Times New Roman" w:eastAsia="宋体" w:cs="Times New Roman"/>
                <w:color w:val="auto"/>
                <w:kern w:val="0"/>
                <w:sz w:val="24"/>
                <w:szCs w:val="20"/>
                <w:u w:val="single"/>
              </w:rPr>
            </w:pPr>
            <w:r>
              <w:rPr>
                <w:rFonts w:hint="default" w:ascii="Times New Roman" w:hAnsi="Times New Roman" w:eastAsia="宋体" w:cs="Times New Roman"/>
                <w:color w:val="auto"/>
                <w:kern w:val="0"/>
                <w:sz w:val="24"/>
                <w:szCs w:val="20"/>
                <w:u w:val="single"/>
                <w:lang w:val="en-US" w:eastAsia="zh-CN"/>
              </w:rPr>
              <w:t>建设单位于202</w:t>
            </w:r>
            <w:r>
              <w:rPr>
                <w:rFonts w:hint="eastAsia" w:cs="Times New Roman"/>
                <w:color w:val="auto"/>
                <w:kern w:val="0"/>
                <w:sz w:val="24"/>
                <w:szCs w:val="20"/>
                <w:u w:val="single"/>
                <w:lang w:val="en-US" w:eastAsia="zh-CN"/>
              </w:rPr>
              <w:t>3</w:t>
            </w:r>
            <w:r>
              <w:rPr>
                <w:rFonts w:hint="default" w:ascii="Times New Roman" w:hAnsi="Times New Roman" w:eastAsia="宋体" w:cs="Times New Roman"/>
                <w:color w:val="auto"/>
                <w:kern w:val="0"/>
                <w:sz w:val="24"/>
                <w:szCs w:val="20"/>
                <w:u w:val="single"/>
                <w:lang w:val="en-US" w:eastAsia="zh-CN"/>
              </w:rPr>
              <w:t>年</w:t>
            </w:r>
            <w:r>
              <w:rPr>
                <w:rFonts w:hint="eastAsia" w:cs="Times New Roman"/>
                <w:color w:val="auto"/>
                <w:kern w:val="0"/>
                <w:sz w:val="24"/>
                <w:szCs w:val="20"/>
                <w:u w:val="single"/>
                <w:lang w:val="en-US" w:eastAsia="zh-CN"/>
              </w:rPr>
              <w:t>8</w:t>
            </w:r>
            <w:r>
              <w:rPr>
                <w:rFonts w:hint="default" w:ascii="Times New Roman" w:hAnsi="Times New Roman" w:eastAsia="宋体" w:cs="Times New Roman"/>
                <w:color w:val="auto"/>
                <w:kern w:val="0"/>
                <w:sz w:val="24"/>
                <w:szCs w:val="20"/>
                <w:u w:val="single"/>
                <w:lang w:val="en-US" w:eastAsia="zh-CN"/>
              </w:rPr>
              <w:t>月23日</w:t>
            </w:r>
            <w:r>
              <w:rPr>
                <w:rFonts w:hint="eastAsia" w:cs="Times New Roman"/>
                <w:color w:val="auto"/>
                <w:kern w:val="0"/>
                <w:sz w:val="24"/>
                <w:szCs w:val="20"/>
                <w:u w:val="single"/>
                <w:lang w:val="en-US" w:eastAsia="zh-CN"/>
              </w:rPr>
              <w:t>~8月25日</w:t>
            </w:r>
            <w:r>
              <w:rPr>
                <w:rFonts w:hint="default" w:ascii="Times New Roman" w:hAnsi="Times New Roman" w:eastAsia="宋体" w:cs="Times New Roman"/>
                <w:color w:val="auto"/>
                <w:kern w:val="0"/>
                <w:sz w:val="24"/>
                <w:szCs w:val="20"/>
                <w:u w:val="single"/>
                <w:lang w:val="en-US" w:eastAsia="zh-CN"/>
              </w:rPr>
              <w:t>，委托湖南汨江检测有限公司对青草湖村上山片区的NH</w:t>
            </w:r>
            <w:r>
              <w:rPr>
                <w:rFonts w:hint="default" w:ascii="Times New Roman" w:hAnsi="Times New Roman" w:eastAsia="宋体" w:cs="Times New Roman"/>
                <w:color w:val="auto"/>
                <w:kern w:val="0"/>
                <w:sz w:val="24"/>
                <w:szCs w:val="20"/>
                <w:u w:val="single"/>
                <w:vertAlign w:val="subscript"/>
                <w:lang w:val="en-US" w:eastAsia="zh-CN"/>
              </w:rPr>
              <w:t>3</w:t>
            </w:r>
            <w:r>
              <w:rPr>
                <w:rFonts w:hint="default" w:ascii="Times New Roman" w:hAnsi="Times New Roman" w:eastAsia="宋体" w:cs="Times New Roman"/>
                <w:color w:val="auto"/>
                <w:kern w:val="0"/>
                <w:sz w:val="24"/>
                <w:szCs w:val="20"/>
                <w:u w:val="single"/>
                <w:lang w:val="en-US" w:eastAsia="zh-CN"/>
              </w:rPr>
              <w:t>、H</w:t>
            </w:r>
            <w:r>
              <w:rPr>
                <w:rFonts w:hint="default" w:ascii="Times New Roman" w:hAnsi="Times New Roman" w:eastAsia="宋体" w:cs="Times New Roman"/>
                <w:color w:val="auto"/>
                <w:kern w:val="0"/>
                <w:sz w:val="24"/>
                <w:szCs w:val="20"/>
                <w:u w:val="single"/>
                <w:vertAlign w:val="subscript"/>
                <w:lang w:val="en-US" w:eastAsia="zh-CN"/>
              </w:rPr>
              <w:t>2</w:t>
            </w:r>
            <w:r>
              <w:rPr>
                <w:rFonts w:hint="default" w:ascii="Times New Roman" w:hAnsi="Times New Roman" w:eastAsia="宋体" w:cs="Times New Roman"/>
                <w:color w:val="auto"/>
                <w:kern w:val="0"/>
                <w:sz w:val="24"/>
                <w:szCs w:val="20"/>
                <w:u w:val="single"/>
                <w:lang w:val="en-US" w:eastAsia="zh-CN"/>
              </w:rPr>
              <w:t>S、臭气浓度进行了现状监测。</w:t>
            </w:r>
          </w:p>
          <w:p>
            <w:pPr>
              <w:spacing w:line="360" w:lineRule="auto"/>
              <w:ind w:firstLine="480" w:firstLineChars="200"/>
              <w:rPr>
                <w:rFonts w:hint="default" w:ascii="Times New Roman" w:hAnsi="Times New Roman" w:eastAsia="宋体" w:cs="Times New Roman"/>
                <w:color w:val="auto"/>
                <w:sz w:val="24"/>
                <w:szCs w:val="21"/>
                <w:u w:val="single"/>
              </w:rPr>
            </w:pPr>
            <w:r>
              <w:rPr>
                <w:rFonts w:hint="default" w:ascii="Times New Roman" w:hAnsi="Times New Roman" w:eastAsia="宋体" w:cs="Times New Roman"/>
                <w:color w:val="auto"/>
                <w:sz w:val="24"/>
                <w:szCs w:val="21"/>
                <w:u w:val="single"/>
              </w:rPr>
              <w:t>具体监测和布点情况见表3-2。</w:t>
            </w:r>
          </w:p>
          <w:p>
            <w:pPr>
              <w:adjustRightInd w:val="0"/>
              <w:snapToGrid w:val="0"/>
              <w:rPr>
                <w:rFonts w:hint="default" w:ascii="Times New Roman" w:hAnsi="Times New Roman" w:eastAsia="宋体" w:cs="Times New Roman"/>
                <w:b/>
                <w:color w:val="auto"/>
                <w:szCs w:val="21"/>
                <w:u w:val="single"/>
              </w:rPr>
            </w:pPr>
            <w:r>
              <w:rPr>
                <w:rFonts w:hint="default" w:ascii="Times New Roman" w:hAnsi="Times New Roman" w:eastAsia="宋体" w:cs="Times New Roman"/>
                <w:b/>
                <w:color w:val="auto"/>
                <w:szCs w:val="21"/>
                <w:u w:val="single"/>
              </w:rPr>
              <w:t>表3-2              其他污染物补充监测点位基本信息</w:t>
            </w:r>
          </w:p>
          <w:tbl>
            <w:tblPr>
              <w:tblStyle w:val="32"/>
              <w:tblW w:w="498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9"/>
              <w:gridCol w:w="748"/>
              <w:gridCol w:w="754"/>
              <w:gridCol w:w="1611"/>
              <w:gridCol w:w="963"/>
              <w:gridCol w:w="1557"/>
              <w:gridCol w:w="12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1" w:hRule="atLeast"/>
                <w:tblHeader/>
              </w:trPr>
              <w:tc>
                <w:tcPr>
                  <w:tcW w:w="619" w:type="pct"/>
                  <w:vMerge w:val="restart"/>
                  <w:noWrap w:val="0"/>
                  <w:vAlign w:val="center"/>
                </w:tcPr>
                <w:p>
                  <w:pPr>
                    <w:adjustRightInd w:val="0"/>
                    <w:snapToGrid w:val="0"/>
                    <w:jc w:val="center"/>
                    <w:rPr>
                      <w:rFonts w:hint="default" w:ascii="Times New Roman" w:hAnsi="Times New Roman" w:eastAsia="宋体" w:cs="Times New Roman"/>
                      <w:b/>
                      <w:color w:val="auto"/>
                      <w:szCs w:val="21"/>
                      <w:u w:val="single"/>
                    </w:rPr>
                  </w:pPr>
                  <w:r>
                    <w:rPr>
                      <w:rFonts w:hint="default" w:ascii="Times New Roman" w:hAnsi="Times New Roman" w:eastAsia="宋体" w:cs="Times New Roman"/>
                      <w:b/>
                      <w:color w:val="auto"/>
                      <w:szCs w:val="21"/>
                      <w:u w:val="single"/>
                    </w:rPr>
                    <w:t>监测点名称</w:t>
                  </w:r>
                </w:p>
              </w:tc>
              <w:tc>
                <w:tcPr>
                  <w:tcW w:w="958" w:type="pct"/>
                  <w:gridSpan w:val="2"/>
                  <w:noWrap w:val="0"/>
                  <w:vAlign w:val="center"/>
                </w:tcPr>
                <w:p>
                  <w:pPr>
                    <w:adjustRightInd w:val="0"/>
                    <w:snapToGrid w:val="0"/>
                    <w:jc w:val="center"/>
                    <w:rPr>
                      <w:rFonts w:hint="default" w:ascii="Times New Roman" w:hAnsi="Times New Roman" w:eastAsia="宋体" w:cs="Times New Roman"/>
                      <w:b/>
                      <w:color w:val="auto"/>
                      <w:szCs w:val="21"/>
                      <w:u w:val="single"/>
                    </w:rPr>
                  </w:pPr>
                  <w:r>
                    <w:rPr>
                      <w:rFonts w:hint="default" w:ascii="Times New Roman" w:hAnsi="Times New Roman" w:eastAsia="宋体" w:cs="Times New Roman"/>
                      <w:b/>
                      <w:color w:val="auto"/>
                      <w:szCs w:val="21"/>
                      <w:u w:val="single"/>
                    </w:rPr>
                    <w:t>监测点坐标</w:t>
                  </w:r>
                  <w:r>
                    <w:rPr>
                      <w:rFonts w:hint="default" w:ascii="Times New Roman" w:hAnsi="Times New Roman" w:eastAsia="宋体" w:cs="Times New Roman"/>
                      <w:b/>
                      <w:color w:val="auto"/>
                      <w:szCs w:val="21"/>
                      <w:u w:val="single"/>
                    </w:rPr>
                    <w:cr/>
                  </w:r>
                  <w:r>
                    <w:rPr>
                      <w:rFonts w:hint="default" w:ascii="Times New Roman" w:hAnsi="Times New Roman" w:eastAsia="宋体" w:cs="Times New Roman"/>
                      <w:b/>
                      <w:color w:val="auto"/>
                      <w:szCs w:val="21"/>
                      <w:u w:val="single"/>
                    </w:rPr>
                    <w:t>m</w:t>
                  </w:r>
                </w:p>
              </w:tc>
              <w:tc>
                <w:tcPr>
                  <w:tcW w:w="1028" w:type="pct"/>
                  <w:vMerge w:val="restart"/>
                  <w:noWrap w:val="0"/>
                  <w:vAlign w:val="center"/>
                </w:tcPr>
                <w:p>
                  <w:pPr>
                    <w:adjustRightInd w:val="0"/>
                    <w:snapToGrid w:val="0"/>
                    <w:jc w:val="center"/>
                    <w:rPr>
                      <w:rFonts w:hint="default" w:ascii="Times New Roman" w:hAnsi="Times New Roman" w:eastAsia="宋体" w:cs="Times New Roman"/>
                      <w:b/>
                      <w:color w:val="auto"/>
                      <w:szCs w:val="21"/>
                      <w:u w:val="single"/>
                    </w:rPr>
                  </w:pPr>
                  <w:r>
                    <w:rPr>
                      <w:rFonts w:hint="default" w:ascii="Times New Roman" w:hAnsi="Times New Roman" w:eastAsia="宋体" w:cs="Times New Roman"/>
                      <w:b/>
                      <w:color w:val="auto"/>
                      <w:szCs w:val="21"/>
                      <w:u w:val="single"/>
                    </w:rPr>
                    <w:t>监测因子</w:t>
                  </w:r>
                </w:p>
              </w:tc>
              <w:tc>
                <w:tcPr>
                  <w:tcW w:w="614" w:type="pct"/>
                  <w:vMerge w:val="restart"/>
                  <w:noWrap w:val="0"/>
                  <w:vAlign w:val="center"/>
                </w:tcPr>
                <w:p>
                  <w:pPr>
                    <w:adjustRightInd w:val="0"/>
                    <w:snapToGrid w:val="0"/>
                    <w:jc w:val="center"/>
                    <w:rPr>
                      <w:rFonts w:hint="default" w:ascii="Times New Roman" w:hAnsi="Times New Roman" w:eastAsia="宋体" w:cs="Times New Roman"/>
                      <w:b/>
                      <w:color w:val="auto"/>
                      <w:szCs w:val="21"/>
                      <w:u w:val="single"/>
                    </w:rPr>
                  </w:pPr>
                  <w:r>
                    <w:rPr>
                      <w:rFonts w:hint="default" w:ascii="Times New Roman" w:hAnsi="Times New Roman" w:eastAsia="宋体" w:cs="Times New Roman"/>
                      <w:b/>
                      <w:color w:val="auto"/>
                      <w:szCs w:val="21"/>
                      <w:u w:val="single"/>
                    </w:rPr>
                    <w:t>相对厂址方位</w:t>
                  </w:r>
                </w:p>
              </w:tc>
              <w:tc>
                <w:tcPr>
                  <w:tcW w:w="993" w:type="pct"/>
                  <w:vMerge w:val="restart"/>
                  <w:noWrap w:val="0"/>
                  <w:vAlign w:val="center"/>
                </w:tcPr>
                <w:p>
                  <w:pPr>
                    <w:adjustRightInd w:val="0"/>
                    <w:snapToGrid w:val="0"/>
                    <w:jc w:val="center"/>
                    <w:rPr>
                      <w:rFonts w:hint="default" w:ascii="Times New Roman" w:hAnsi="Times New Roman" w:eastAsia="宋体" w:cs="Times New Roman"/>
                      <w:b/>
                      <w:color w:val="auto"/>
                      <w:szCs w:val="21"/>
                      <w:u w:val="single"/>
                    </w:rPr>
                  </w:pPr>
                  <w:r>
                    <w:rPr>
                      <w:rFonts w:hint="default" w:ascii="Times New Roman" w:hAnsi="Times New Roman" w:eastAsia="宋体" w:cs="Times New Roman"/>
                      <w:b/>
                      <w:color w:val="auto"/>
                      <w:szCs w:val="21"/>
                      <w:u w:val="single"/>
                    </w:rPr>
                    <w:t>相对厂界距离/m</w:t>
                  </w:r>
                </w:p>
              </w:tc>
              <w:tc>
                <w:tcPr>
                  <w:tcW w:w="785" w:type="pct"/>
                  <w:vMerge w:val="restart"/>
                  <w:noWrap w:val="0"/>
                  <w:vAlign w:val="center"/>
                </w:tcPr>
                <w:p>
                  <w:pPr>
                    <w:adjustRightInd w:val="0"/>
                    <w:snapToGrid w:val="0"/>
                    <w:jc w:val="center"/>
                    <w:rPr>
                      <w:rFonts w:hint="default" w:ascii="Times New Roman" w:hAnsi="Times New Roman" w:eastAsia="宋体" w:cs="Times New Roman"/>
                      <w:b/>
                      <w:color w:val="auto"/>
                      <w:szCs w:val="21"/>
                      <w:u w:val="single"/>
                    </w:rPr>
                  </w:pPr>
                  <w:r>
                    <w:rPr>
                      <w:rFonts w:hint="default" w:ascii="Times New Roman" w:hAnsi="Times New Roman" w:eastAsia="宋体" w:cs="Times New Roman"/>
                      <w:b/>
                      <w:color w:val="auto"/>
                      <w:szCs w:val="21"/>
                      <w:u w:val="single"/>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 w:hRule="atLeast"/>
                <w:tblHeader/>
              </w:trPr>
              <w:tc>
                <w:tcPr>
                  <w:tcW w:w="619" w:type="pct"/>
                  <w:vMerge w:val="continue"/>
                  <w:noWrap w:val="0"/>
                  <w:vAlign w:val="center"/>
                </w:tcPr>
                <w:p>
                  <w:pPr>
                    <w:adjustRightInd w:val="0"/>
                    <w:snapToGrid w:val="0"/>
                    <w:jc w:val="center"/>
                    <w:rPr>
                      <w:rFonts w:hint="default" w:ascii="Times New Roman" w:hAnsi="Times New Roman" w:eastAsia="宋体" w:cs="Times New Roman"/>
                      <w:b/>
                      <w:color w:val="auto"/>
                      <w:szCs w:val="21"/>
                      <w:u w:val="single"/>
                    </w:rPr>
                  </w:pPr>
                </w:p>
              </w:tc>
              <w:tc>
                <w:tcPr>
                  <w:tcW w:w="477" w:type="pct"/>
                  <w:noWrap w:val="0"/>
                  <w:vAlign w:val="center"/>
                </w:tcPr>
                <w:p>
                  <w:pPr>
                    <w:adjustRightInd w:val="0"/>
                    <w:snapToGrid w:val="0"/>
                    <w:jc w:val="center"/>
                    <w:rPr>
                      <w:rFonts w:hint="default" w:ascii="Times New Roman" w:hAnsi="Times New Roman" w:eastAsia="宋体" w:cs="Times New Roman"/>
                      <w:b/>
                      <w:color w:val="auto"/>
                      <w:szCs w:val="21"/>
                      <w:u w:val="single"/>
                    </w:rPr>
                  </w:pPr>
                  <w:r>
                    <w:rPr>
                      <w:rFonts w:hint="default" w:ascii="Times New Roman" w:hAnsi="Times New Roman" w:eastAsia="宋体" w:cs="Times New Roman"/>
                      <w:b/>
                      <w:color w:val="auto"/>
                      <w:szCs w:val="21"/>
                      <w:u w:val="single"/>
                    </w:rPr>
                    <w:t>X</w:t>
                  </w:r>
                </w:p>
              </w:tc>
              <w:tc>
                <w:tcPr>
                  <w:tcW w:w="481" w:type="pct"/>
                  <w:noWrap w:val="0"/>
                  <w:vAlign w:val="center"/>
                </w:tcPr>
                <w:p>
                  <w:pPr>
                    <w:adjustRightInd w:val="0"/>
                    <w:snapToGrid w:val="0"/>
                    <w:jc w:val="center"/>
                    <w:rPr>
                      <w:rFonts w:hint="default" w:ascii="Times New Roman" w:hAnsi="Times New Roman" w:eastAsia="宋体" w:cs="Times New Roman"/>
                      <w:b/>
                      <w:color w:val="auto"/>
                      <w:szCs w:val="21"/>
                      <w:u w:val="single"/>
                    </w:rPr>
                  </w:pPr>
                  <w:r>
                    <w:rPr>
                      <w:rFonts w:hint="default" w:ascii="Times New Roman" w:hAnsi="Times New Roman" w:eastAsia="宋体" w:cs="Times New Roman"/>
                      <w:b/>
                      <w:color w:val="auto"/>
                      <w:szCs w:val="21"/>
                      <w:u w:val="single"/>
                    </w:rPr>
                    <w:t>Y</w:t>
                  </w:r>
                  <w:r>
                    <w:rPr>
                      <w:rFonts w:hint="default" w:ascii="Times New Roman" w:hAnsi="Times New Roman" w:eastAsia="宋体" w:cs="Times New Roman"/>
                      <w:b/>
                      <w:color w:val="auto"/>
                      <w:szCs w:val="21"/>
                      <w:u w:val="single"/>
                    </w:rPr>
                    <w:cr/>
                  </w:r>
                </w:p>
              </w:tc>
              <w:tc>
                <w:tcPr>
                  <w:tcW w:w="1028" w:type="pct"/>
                  <w:vMerge w:val="continue"/>
                  <w:noWrap w:val="0"/>
                  <w:vAlign w:val="center"/>
                </w:tcPr>
                <w:p>
                  <w:pPr>
                    <w:adjustRightInd w:val="0"/>
                    <w:snapToGrid w:val="0"/>
                    <w:jc w:val="center"/>
                    <w:rPr>
                      <w:rFonts w:hint="default" w:ascii="Times New Roman" w:hAnsi="Times New Roman" w:eastAsia="宋体" w:cs="Times New Roman"/>
                      <w:b/>
                      <w:color w:val="auto"/>
                      <w:szCs w:val="21"/>
                      <w:u w:val="single"/>
                    </w:rPr>
                  </w:pPr>
                </w:p>
              </w:tc>
              <w:tc>
                <w:tcPr>
                  <w:tcW w:w="614" w:type="pct"/>
                  <w:vMerge w:val="continue"/>
                  <w:noWrap w:val="0"/>
                  <w:vAlign w:val="center"/>
                </w:tcPr>
                <w:p>
                  <w:pPr>
                    <w:adjustRightInd w:val="0"/>
                    <w:snapToGrid w:val="0"/>
                    <w:jc w:val="center"/>
                    <w:rPr>
                      <w:rFonts w:hint="default" w:ascii="Times New Roman" w:hAnsi="Times New Roman" w:eastAsia="宋体" w:cs="Times New Roman"/>
                      <w:b/>
                      <w:color w:val="auto"/>
                      <w:szCs w:val="21"/>
                      <w:u w:val="single"/>
                    </w:rPr>
                  </w:pPr>
                </w:p>
              </w:tc>
              <w:tc>
                <w:tcPr>
                  <w:tcW w:w="993" w:type="pct"/>
                  <w:vMerge w:val="continue"/>
                  <w:noWrap w:val="0"/>
                  <w:vAlign w:val="center"/>
                </w:tcPr>
                <w:p>
                  <w:pPr>
                    <w:adjustRightInd w:val="0"/>
                    <w:snapToGrid w:val="0"/>
                    <w:jc w:val="center"/>
                    <w:rPr>
                      <w:rFonts w:hint="default" w:ascii="Times New Roman" w:hAnsi="Times New Roman" w:eastAsia="宋体" w:cs="Times New Roman"/>
                      <w:b/>
                      <w:color w:val="auto"/>
                      <w:szCs w:val="21"/>
                      <w:u w:val="single"/>
                    </w:rPr>
                  </w:pPr>
                </w:p>
              </w:tc>
              <w:tc>
                <w:tcPr>
                  <w:tcW w:w="785" w:type="pct"/>
                  <w:vMerge w:val="continue"/>
                  <w:noWrap w:val="0"/>
                  <w:vAlign w:val="center"/>
                </w:tcPr>
                <w:p>
                  <w:pPr>
                    <w:adjustRightInd w:val="0"/>
                    <w:snapToGrid w:val="0"/>
                    <w:jc w:val="center"/>
                    <w:rPr>
                      <w:rFonts w:hint="default" w:ascii="Times New Roman" w:hAnsi="Times New Roman" w:eastAsia="宋体" w:cs="Times New Roman"/>
                      <w:b/>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19" w:type="pct"/>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rPr>
                    <w:t>S1</w:t>
                  </w:r>
                  <w:r>
                    <w:rPr>
                      <w:rFonts w:hint="default" w:ascii="Times New Roman" w:hAnsi="Times New Roman" w:eastAsia="宋体" w:cs="Times New Roman"/>
                      <w:color w:val="auto"/>
                      <w:szCs w:val="21"/>
                      <w:u w:val="single"/>
                      <w:lang w:val="en-US" w:eastAsia="zh-CN"/>
                    </w:rPr>
                    <w:t>青草湖村上山片区</w:t>
                  </w:r>
                </w:p>
              </w:tc>
              <w:tc>
                <w:tcPr>
                  <w:tcW w:w="477" w:type="pct"/>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8</w:t>
                  </w:r>
                  <w:r>
                    <w:rPr>
                      <w:rFonts w:hint="default" w:ascii="Times New Roman" w:hAnsi="Times New Roman" w:eastAsia="宋体" w:cs="Times New Roman"/>
                      <w:color w:val="auto"/>
                      <w:szCs w:val="21"/>
                      <w:u w:val="single"/>
                      <w:lang w:val="en-US" w:eastAsia="zh-CN"/>
                    </w:rPr>
                    <w:t>0</w:t>
                  </w:r>
                </w:p>
              </w:tc>
              <w:tc>
                <w:tcPr>
                  <w:tcW w:w="481" w:type="pct"/>
                  <w:noWrap w:val="0"/>
                  <w:vAlign w:val="center"/>
                </w:tcPr>
                <w:p>
                  <w:pPr>
                    <w:adjustRightInd w:val="0"/>
                    <w:snapToGrid w:val="0"/>
                    <w:jc w:val="center"/>
                    <w:rPr>
                      <w:rFonts w:hint="default" w:ascii="Times New Roman" w:hAnsi="Times New Roman" w:eastAsia="宋体" w:cs="Times New Roman"/>
                      <w:color w:val="auto"/>
                      <w:szCs w:val="21"/>
                      <w:u w:val="single"/>
                      <w:lang w:eastAsia="zh-CN"/>
                    </w:rPr>
                  </w:pPr>
                  <w:r>
                    <w:rPr>
                      <w:rFonts w:hint="default" w:ascii="Times New Roman" w:hAnsi="Times New Roman" w:eastAsia="宋体" w:cs="Times New Roman"/>
                      <w:color w:val="auto"/>
                      <w:szCs w:val="21"/>
                      <w:u w:val="single"/>
                      <w:lang w:val="en-US" w:eastAsia="zh-CN"/>
                    </w:rPr>
                    <w:t>0</w:t>
                  </w:r>
                </w:p>
              </w:tc>
              <w:tc>
                <w:tcPr>
                  <w:tcW w:w="1028" w:type="pct"/>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臭气浓度、NH</w:t>
                  </w:r>
                  <w:r>
                    <w:rPr>
                      <w:rFonts w:hint="default" w:ascii="Times New Roman" w:hAnsi="Times New Roman" w:eastAsia="宋体" w:cs="Times New Roman"/>
                      <w:color w:val="auto"/>
                      <w:szCs w:val="21"/>
                      <w:u w:val="single"/>
                      <w:vertAlign w:val="subscript"/>
                      <w:lang w:val="en-US" w:eastAsia="zh-CN"/>
                    </w:rPr>
                    <w:t>3</w:t>
                  </w:r>
                  <w:r>
                    <w:rPr>
                      <w:rFonts w:hint="default" w:ascii="Times New Roman" w:hAnsi="Times New Roman" w:eastAsia="宋体" w:cs="Times New Roman"/>
                      <w:color w:val="auto"/>
                      <w:szCs w:val="21"/>
                      <w:u w:val="single"/>
                      <w:lang w:val="en-US" w:eastAsia="zh-CN"/>
                    </w:rPr>
                    <w:t>、H</w:t>
                  </w:r>
                  <w:r>
                    <w:rPr>
                      <w:rFonts w:hint="default" w:ascii="Times New Roman" w:hAnsi="Times New Roman" w:eastAsia="宋体" w:cs="Times New Roman"/>
                      <w:color w:val="auto"/>
                      <w:szCs w:val="21"/>
                      <w:u w:val="single"/>
                      <w:vertAlign w:val="subscript"/>
                      <w:lang w:val="en-US" w:eastAsia="zh-CN"/>
                    </w:rPr>
                    <w:t>2</w:t>
                  </w:r>
                  <w:r>
                    <w:rPr>
                      <w:rFonts w:hint="default" w:ascii="Times New Roman" w:hAnsi="Times New Roman" w:eastAsia="宋体" w:cs="Times New Roman"/>
                      <w:color w:val="auto"/>
                      <w:szCs w:val="21"/>
                      <w:u w:val="single"/>
                      <w:lang w:val="en-US" w:eastAsia="zh-CN"/>
                    </w:rPr>
                    <w:t>S</w:t>
                  </w:r>
                </w:p>
              </w:tc>
              <w:tc>
                <w:tcPr>
                  <w:tcW w:w="614" w:type="pct"/>
                  <w:noWrap w:val="0"/>
                  <w:vAlign w:val="center"/>
                </w:tcPr>
                <w:p>
                  <w:pPr>
                    <w:adjustRightInd w:val="0"/>
                    <w:snapToGrid w:val="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东侧</w:t>
                  </w:r>
                </w:p>
              </w:tc>
              <w:tc>
                <w:tcPr>
                  <w:tcW w:w="993" w:type="pct"/>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8</w:t>
                  </w:r>
                  <w:r>
                    <w:rPr>
                      <w:rFonts w:hint="default" w:ascii="Times New Roman" w:hAnsi="Times New Roman" w:eastAsia="宋体" w:cs="Times New Roman"/>
                      <w:color w:val="auto"/>
                      <w:szCs w:val="21"/>
                      <w:u w:val="single"/>
                      <w:lang w:val="en-US" w:eastAsia="zh-CN"/>
                    </w:rPr>
                    <w:t>0</w:t>
                  </w:r>
                </w:p>
              </w:tc>
              <w:tc>
                <w:tcPr>
                  <w:tcW w:w="785" w:type="pct"/>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实测</w:t>
                  </w:r>
                </w:p>
              </w:tc>
            </w:tr>
          </w:tbl>
          <w:p>
            <w:pPr>
              <w:spacing w:line="360" w:lineRule="auto"/>
              <w:ind w:firstLine="480" w:firstLineChars="200"/>
              <w:rPr>
                <w:rFonts w:hint="default" w:ascii="Times New Roman" w:hAnsi="Times New Roman" w:eastAsia="宋体" w:cs="Times New Roman"/>
                <w:color w:val="auto"/>
                <w:sz w:val="24"/>
                <w:szCs w:val="21"/>
                <w:u w:val="single"/>
              </w:rPr>
            </w:pPr>
            <w:r>
              <w:rPr>
                <w:rFonts w:hint="default" w:ascii="Times New Roman" w:hAnsi="Times New Roman" w:eastAsia="宋体" w:cs="Times New Roman"/>
                <w:color w:val="auto"/>
                <w:sz w:val="24"/>
                <w:szCs w:val="21"/>
                <w:u w:val="single"/>
              </w:rPr>
              <w:t>环境空气质量监测结果</w:t>
            </w:r>
          </w:p>
          <w:p>
            <w:pPr>
              <w:adjustRightInd w:val="0"/>
              <w:snapToGrid w:val="0"/>
              <w:rPr>
                <w:rFonts w:hint="default" w:ascii="Times New Roman" w:hAnsi="Times New Roman" w:eastAsia="宋体" w:cs="Times New Roman"/>
                <w:b/>
                <w:color w:val="auto"/>
                <w:szCs w:val="21"/>
                <w:u w:val="single"/>
              </w:rPr>
            </w:pPr>
            <w:r>
              <w:rPr>
                <w:rFonts w:hint="default" w:ascii="Times New Roman" w:hAnsi="Times New Roman" w:eastAsia="宋体" w:cs="Times New Roman"/>
                <w:b/>
                <w:color w:val="auto"/>
                <w:szCs w:val="21"/>
                <w:u w:val="single"/>
              </w:rPr>
              <w:t>表3-3           其他污染物补充监测监测频次一览表</w:t>
            </w:r>
          </w:p>
          <w:tbl>
            <w:tblPr>
              <w:tblStyle w:val="32"/>
              <w:tblW w:w="78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852"/>
              <w:gridCol w:w="828"/>
              <w:gridCol w:w="1244"/>
              <w:gridCol w:w="810"/>
              <w:gridCol w:w="1139"/>
              <w:gridCol w:w="665"/>
              <w:gridCol w:w="7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noWrap w:val="0"/>
                  <w:vAlign w:val="center"/>
                </w:tcPr>
                <w:p>
                  <w:pPr>
                    <w:adjustRightInd w:val="0"/>
                    <w:snapToGrid w:val="0"/>
                    <w:jc w:val="center"/>
                    <w:rPr>
                      <w:rFonts w:hint="default" w:ascii="Times New Roman" w:hAnsi="Times New Roman" w:eastAsia="宋体" w:cs="Times New Roman"/>
                      <w:b/>
                      <w:bCs/>
                      <w:color w:val="auto"/>
                      <w:szCs w:val="21"/>
                      <w:u w:val="single"/>
                    </w:rPr>
                  </w:pPr>
                  <w:r>
                    <w:rPr>
                      <w:rFonts w:hint="default" w:ascii="Times New Roman" w:hAnsi="Times New Roman" w:eastAsia="宋体" w:cs="Times New Roman"/>
                      <w:b/>
                      <w:bCs/>
                      <w:color w:val="auto"/>
                      <w:szCs w:val="21"/>
                      <w:u w:val="single"/>
                    </w:rPr>
                    <w:t>点位</w:t>
                  </w:r>
                </w:p>
              </w:tc>
              <w:tc>
                <w:tcPr>
                  <w:tcW w:w="852" w:type="dxa"/>
                  <w:noWrap w:val="0"/>
                  <w:vAlign w:val="center"/>
                </w:tcPr>
                <w:p>
                  <w:pPr>
                    <w:adjustRightInd w:val="0"/>
                    <w:snapToGrid w:val="0"/>
                    <w:jc w:val="center"/>
                    <w:rPr>
                      <w:rFonts w:hint="default" w:ascii="Times New Roman" w:hAnsi="Times New Roman" w:eastAsia="宋体" w:cs="Times New Roman"/>
                      <w:b/>
                      <w:bCs/>
                      <w:color w:val="auto"/>
                      <w:szCs w:val="21"/>
                      <w:u w:val="single"/>
                      <w:lang w:val="en-US" w:eastAsia="zh-CN"/>
                    </w:rPr>
                  </w:pPr>
                  <w:r>
                    <w:rPr>
                      <w:rFonts w:hint="default" w:ascii="Times New Roman" w:hAnsi="Times New Roman" w:eastAsia="宋体" w:cs="Times New Roman"/>
                      <w:b/>
                      <w:bCs/>
                      <w:color w:val="auto"/>
                      <w:szCs w:val="21"/>
                      <w:u w:val="single"/>
                      <w:lang w:val="en-US" w:eastAsia="zh-CN"/>
                    </w:rPr>
                    <w:t>污染物</w:t>
                  </w:r>
                </w:p>
              </w:tc>
              <w:tc>
                <w:tcPr>
                  <w:tcW w:w="828" w:type="dxa"/>
                  <w:noWrap w:val="0"/>
                  <w:vAlign w:val="center"/>
                </w:tcPr>
                <w:p>
                  <w:pPr>
                    <w:adjustRightInd w:val="0"/>
                    <w:snapToGrid w:val="0"/>
                    <w:jc w:val="center"/>
                    <w:rPr>
                      <w:rFonts w:hint="default" w:ascii="Times New Roman" w:hAnsi="Times New Roman" w:eastAsia="宋体" w:cs="Times New Roman"/>
                      <w:b/>
                      <w:bCs/>
                      <w:color w:val="auto"/>
                      <w:kern w:val="2"/>
                      <w:sz w:val="21"/>
                      <w:szCs w:val="21"/>
                      <w:u w:val="single"/>
                      <w:lang w:val="en-US" w:eastAsia="zh-CN" w:bidi="ar-SA"/>
                    </w:rPr>
                  </w:pPr>
                  <w:r>
                    <w:rPr>
                      <w:rFonts w:hint="default" w:ascii="Times New Roman" w:hAnsi="Times New Roman" w:eastAsia="宋体" w:cs="Times New Roman"/>
                      <w:b/>
                      <w:bCs/>
                      <w:color w:val="auto"/>
                      <w:szCs w:val="21"/>
                      <w:u w:val="single"/>
                      <w:lang w:val="en-US" w:eastAsia="zh-CN"/>
                    </w:rPr>
                    <w:t>评价标准</w:t>
                  </w:r>
                </w:p>
              </w:tc>
              <w:tc>
                <w:tcPr>
                  <w:tcW w:w="1244" w:type="dxa"/>
                  <w:noWrap w:val="0"/>
                  <w:vAlign w:val="center"/>
                </w:tcPr>
                <w:p>
                  <w:pPr>
                    <w:adjustRightInd w:val="0"/>
                    <w:snapToGrid w:val="0"/>
                    <w:jc w:val="center"/>
                    <w:rPr>
                      <w:rFonts w:hint="default" w:ascii="Times New Roman" w:hAnsi="Times New Roman" w:eastAsia="宋体" w:cs="Times New Roman"/>
                      <w:b/>
                      <w:bCs/>
                      <w:color w:val="auto"/>
                      <w:kern w:val="2"/>
                      <w:sz w:val="21"/>
                      <w:szCs w:val="21"/>
                      <w:u w:val="single"/>
                      <w:lang w:val="en-US" w:eastAsia="zh-CN" w:bidi="ar-SA"/>
                    </w:rPr>
                  </w:pPr>
                  <w:r>
                    <w:rPr>
                      <w:rFonts w:hint="default" w:ascii="Times New Roman" w:hAnsi="Times New Roman" w:eastAsia="宋体" w:cs="Times New Roman"/>
                      <w:b/>
                      <w:bCs/>
                      <w:color w:val="auto"/>
                      <w:szCs w:val="21"/>
                      <w:u w:val="single"/>
                      <w:lang w:val="en-US" w:eastAsia="zh-CN"/>
                    </w:rPr>
                    <w:t>监测浓度范围</w:t>
                  </w:r>
                </w:p>
              </w:tc>
              <w:tc>
                <w:tcPr>
                  <w:tcW w:w="810" w:type="dxa"/>
                  <w:noWrap w:val="0"/>
                  <w:vAlign w:val="center"/>
                </w:tcPr>
                <w:p>
                  <w:pPr>
                    <w:adjustRightInd w:val="0"/>
                    <w:snapToGrid w:val="0"/>
                    <w:jc w:val="center"/>
                    <w:rPr>
                      <w:rFonts w:hint="default" w:ascii="Times New Roman" w:hAnsi="Times New Roman" w:eastAsia="宋体" w:cs="Times New Roman"/>
                      <w:b/>
                      <w:bCs/>
                      <w:color w:val="auto"/>
                      <w:szCs w:val="21"/>
                      <w:u w:val="single"/>
                      <w:lang w:val="en-US" w:eastAsia="zh-CN"/>
                    </w:rPr>
                  </w:pPr>
                  <w:r>
                    <w:rPr>
                      <w:rFonts w:hint="eastAsia" w:cs="Times New Roman"/>
                      <w:b/>
                      <w:bCs/>
                      <w:color w:val="auto"/>
                      <w:szCs w:val="21"/>
                      <w:u w:val="single"/>
                      <w:lang w:val="en-US" w:eastAsia="zh-CN"/>
                    </w:rPr>
                    <w:t>单位</w:t>
                  </w:r>
                </w:p>
              </w:tc>
              <w:tc>
                <w:tcPr>
                  <w:tcW w:w="1139" w:type="dxa"/>
                  <w:noWrap w:val="0"/>
                  <w:vAlign w:val="center"/>
                </w:tcPr>
                <w:p>
                  <w:pPr>
                    <w:adjustRightInd w:val="0"/>
                    <w:snapToGrid w:val="0"/>
                    <w:jc w:val="center"/>
                    <w:rPr>
                      <w:rFonts w:hint="default" w:ascii="Times New Roman" w:hAnsi="Times New Roman" w:eastAsia="宋体" w:cs="Times New Roman"/>
                      <w:b/>
                      <w:bCs/>
                      <w:color w:val="auto"/>
                      <w:szCs w:val="21"/>
                      <w:u w:val="single"/>
                      <w:lang w:val="en-US" w:eastAsia="zh-CN"/>
                    </w:rPr>
                  </w:pPr>
                  <w:r>
                    <w:rPr>
                      <w:rFonts w:hint="default" w:ascii="Times New Roman" w:hAnsi="Times New Roman" w:eastAsia="宋体" w:cs="Times New Roman"/>
                      <w:b/>
                      <w:bCs/>
                      <w:color w:val="auto"/>
                      <w:szCs w:val="21"/>
                      <w:u w:val="single"/>
                    </w:rPr>
                    <w:t>最大</w:t>
                  </w:r>
                  <w:r>
                    <w:rPr>
                      <w:rFonts w:hint="default" w:ascii="Times New Roman" w:hAnsi="Times New Roman" w:eastAsia="宋体" w:cs="Times New Roman"/>
                      <w:b/>
                      <w:bCs/>
                      <w:color w:val="auto"/>
                      <w:szCs w:val="21"/>
                      <w:u w:val="single"/>
                      <w:lang w:val="en-US" w:eastAsia="zh-CN"/>
                    </w:rPr>
                    <w:t>浓度占标率</w:t>
                  </w:r>
                </w:p>
              </w:tc>
              <w:tc>
                <w:tcPr>
                  <w:tcW w:w="665" w:type="dxa"/>
                  <w:noWrap w:val="0"/>
                  <w:vAlign w:val="center"/>
                </w:tcPr>
                <w:p>
                  <w:pPr>
                    <w:adjustRightInd w:val="0"/>
                    <w:snapToGrid w:val="0"/>
                    <w:jc w:val="center"/>
                    <w:rPr>
                      <w:rFonts w:hint="default" w:ascii="Times New Roman" w:hAnsi="Times New Roman" w:eastAsia="宋体" w:cs="Times New Roman"/>
                      <w:b/>
                      <w:bCs/>
                      <w:color w:val="auto"/>
                      <w:szCs w:val="21"/>
                      <w:u w:val="single"/>
                      <w:lang w:eastAsia="zh-CN"/>
                    </w:rPr>
                  </w:pPr>
                  <w:r>
                    <w:rPr>
                      <w:rFonts w:hint="default" w:ascii="Times New Roman" w:hAnsi="Times New Roman" w:eastAsia="宋体" w:cs="Times New Roman"/>
                      <w:b/>
                      <w:bCs/>
                      <w:color w:val="auto"/>
                      <w:szCs w:val="21"/>
                      <w:u w:val="single"/>
                      <w:lang w:val="en-US" w:eastAsia="zh-CN"/>
                    </w:rPr>
                    <w:t>超标率</w:t>
                  </w:r>
                </w:p>
              </w:tc>
              <w:tc>
                <w:tcPr>
                  <w:tcW w:w="784" w:type="dxa"/>
                  <w:noWrap w:val="0"/>
                  <w:vAlign w:val="center"/>
                </w:tcPr>
                <w:p>
                  <w:pPr>
                    <w:adjustRightInd w:val="0"/>
                    <w:snapToGrid w:val="0"/>
                    <w:jc w:val="center"/>
                    <w:rPr>
                      <w:rFonts w:hint="default" w:ascii="Times New Roman" w:hAnsi="Times New Roman" w:eastAsia="宋体" w:cs="Times New Roman"/>
                      <w:b/>
                      <w:bCs/>
                      <w:color w:val="auto"/>
                      <w:szCs w:val="21"/>
                      <w:u w:val="single"/>
                      <w:lang w:eastAsia="zh-CN"/>
                    </w:rPr>
                  </w:pPr>
                  <w:r>
                    <w:rPr>
                      <w:rFonts w:hint="default" w:ascii="Times New Roman" w:hAnsi="Times New Roman" w:eastAsia="宋体" w:cs="Times New Roman"/>
                      <w:b/>
                      <w:bCs/>
                      <w:color w:val="auto"/>
                      <w:szCs w:val="21"/>
                      <w:u w:val="single"/>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restart"/>
                  <w:noWrap w:val="0"/>
                  <w:vAlign w:val="center"/>
                </w:tcPr>
                <w:p>
                  <w:pPr>
                    <w:adjustRightInd w:val="0"/>
                    <w:snapToGrid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Cs w:val="21"/>
                      <w:u w:val="single"/>
                    </w:rPr>
                    <w:t>S1</w:t>
                  </w:r>
                  <w:r>
                    <w:rPr>
                      <w:rFonts w:hint="default" w:ascii="Times New Roman" w:hAnsi="Times New Roman" w:eastAsia="宋体" w:cs="Times New Roman"/>
                      <w:color w:val="auto"/>
                      <w:szCs w:val="21"/>
                      <w:u w:val="single"/>
                      <w:lang w:val="en-US" w:eastAsia="zh-CN"/>
                    </w:rPr>
                    <w:t>青草湖村上山片区</w:t>
                  </w:r>
                </w:p>
              </w:tc>
              <w:tc>
                <w:tcPr>
                  <w:tcW w:w="852"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臭气浓度</w:t>
                  </w:r>
                </w:p>
              </w:tc>
              <w:tc>
                <w:tcPr>
                  <w:tcW w:w="828" w:type="dxa"/>
                  <w:noWrap w:val="0"/>
                  <w:vAlign w:val="center"/>
                </w:tcPr>
                <w:p>
                  <w:pPr>
                    <w:adjustRightInd w:val="0"/>
                    <w:snapToGrid w:val="0"/>
                    <w:jc w:val="center"/>
                    <w:rPr>
                      <w:rFonts w:hint="default" w:ascii="Times New Roman" w:hAnsi="Times New Roman" w:eastAsia="宋体" w:cs="Times New Roman"/>
                      <w:color w:val="auto"/>
                      <w:kern w:val="2"/>
                      <w:sz w:val="21"/>
                      <w:szCs w:val="21"/>
                      <w:u w:val="single"/>
                      <w:lang w:val="en-US" w:eastAsia="zh-CN" w:bidi="ar-SA"/>
                    </w:rPr>
                  </w:pPr>
                  <w:r>
                    <w:rPr>
                      <w:rFonts w:hint="eastAsia" w:cs="Times New Roman"/>
                      <w:color w:val="auto"/>
                      <w:szCs w:val="21"/>
                      <w:u w:val="single"/>
                      <w:lang w:val="en-US" w:eastAsia="zh-CN"/>
                    </w:rPr>
                    <w:t>/</w:t>
                  </w:r>
                </w:p>
              </w:tc>
              <w:tc>
                <w:tcPr>
                  <w:tcW w:w="1244" w:type="dxa"/>
                  <w:noWrap w:val="0"/>
                  <w:vAlign w:val="center"/>
                </w:tcPr>
                <w:p>
                  <w:pPr>
                    <w:adjustRightInd w:val="0"/>
                    <w:snapToGrid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Cs w:val="21"/>
                      <w:u w:val="single"/>
                      <w:lang w:val="en-US" w:eastAsia="zh-CN"/>
                    </w:rPr>
                    <w:t>＜10</w:t>
                  </w:r>
                </w:p>
              </w:tc>
              <w:tc>
                <w:tcPr>
                  <w:tcW w:w="810"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无量纲</w:t>
                  </w:r>
                </w:p>
              </w:tc>
              <w:tc>
                <w:tcPr>
                  <w:tcW w:w="1139"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w:t>
                  </w:r>
                </w:p>
              </w:tc>
              <w:tc>
                <w:tcPr>
                  <w:tcW w:w="665"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0</w:t>
                  </w:r>
                </w:p>
              </w:tc>
              <w:tc>
                <w:tcPr>
                  <w:tcW w:w="784" w:type="dxa"/>
                  <w:noWrap w:val="0"/>
                  <w:vAlign w:val="center"/>
                </w:tcPr>
                <w:p>
                  <w:pPr>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rPr>
                  </w:pPr>
                </w:p>
              </w:tc>
              <w:tc>
                <w:tcPr>
                  <w:tcW w:w="852"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NH</w:t>
                  </w:r>
                  <w:r>
                    <w:rPr>
                      <w:rFonts w:hint="default" w:ascii="Times New Roman" w:hAnsi="Times New Roman" w:eastAsia="宋体" w:cs="Times New Roman"/>
                      <w:color w:val="auto"/>
                      <w:szCs w:val="21"/>
                      <w:u w:val="single"/>
                      <w:vertAlign w:val="subscript"/>
                      <w:lang w:val="en-US" w:eastAsia="zh-CN"/>
                    </w:rPr>
                    <w:t>3</w:t>
                  </w:r>
                </w:p>
              </w:tc>
              <w:tc>
                <w:tcPr>
                  <w:tcW w:w="828" w:type="dxa"/>
                  <w:noWrap w:val="0"/>
                  <w:vAlign w:val="center"/>
                </w:tcPr>
                <w:p>
                  <w:pPr>
                    <w:adjustRightInd w:val="0"/>
                    <w:snapToGrid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Cs w:val="21"/>
                      <w:u w:val="single"/>
                      <w:lang w:val="en-US" w:eastAsia="zh-CN"/>
                    </w:rPr>
                    <w:t>200</w:t>
                  </w:r>
                </w:p>
              </w:tc>
              <w:tc>
                <w:tcPr>
                  <w:tcW w:w="1244" w:type="dxa"/>
                  <w:noWrap w:val="0"/>
                  <w:vAlign w:val="center"/>
                </w:tcPr>
                <w:p>
                  <w:pPr>
                    <w:adjustRightInd w:val="0"/>
                    <w:snapToGrid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szCs w:val="21"/>
                      <w:u w:val="single"/>
                      <w:lang w:val="en-US" w:eastAsia="zh-CN"/>
                    </w:rPr>
                    <w:t>70~80</w:t>
                  </w:r>
                </w:p>
              </w:tc>
              <w:tc>
                <w:tcPr>
                  <w:tcW w:w="810" w:type="dxa"/>
                  <w:noWrap w:val="0"/>
                  <w:vAlign w:val="center"/>
                </w:tcPr>
                <w:p>
                  <w:pPr>
                    <w:jc w:val="center"/>
                    <w:rPr>
                      <w:rFonts w:hint="default" w:ascii="宋体" w:hAnsi="Times New Roman" w:eastAsia="宋体" w:cs="Times New Roman"/>
                      <w:b w:val="0"/>
                      <w:bCs/>
                      <w:kern w:val="2"/>
                      <w:sz w:val="21"/>
                      <w:szCs w:val="21"/>
                      <w:lang w:val="en-US" w:eastAsia="zh-CN" w:bidi="ar-SA"/>
                    </w:rPr>
                  </w:pPr>
                  <w:r>
                    <w:rPr>
                      <w:rFonts w:ascii="Times New Roman" w:hAnsi="Times New Roman"/>
                      <w:b w:val="0"/>
                      <w:bCs/>
                      <w:kern w:val="0"/>
                      <w:szCs w:val="21"/>
                      <w:u w:val="none"/>
                    </w:rPr>
                    <w:t>μ</w:t>
                  </w:r>
                  <w:r>
                    <w:rPr>
                      <w:rFonts w:hint="default" w:ascii="Times New Roman" w:hAnsi="Times New Roman" w:eastAsia="宋体" w:cs="Times New Roman"/>
                      <w:b w:val="0"/>
                      <w:bCs/>
                      <w:color w:val="auto"/>
                      <w:kern w:val="0"/>
                      <w:sz w:val="21"/>
                      <w:szCs w:val="21"/>
                    </w:rPr>
                    <w:t>g/m</w:t>
                  </w:r>
                  <w:r>
                    <w:rPr>
                      <w:rFonts w:hint="default" w:ascii="Times New Roman" w:hAnsi="Times New Roman" w:eastAsia="宋体" w:cs="Times New Roman"/>
                      <w:b w:val="0"/>
                      <w:bCs/>
                      <w:color w:val="auto"/>
                      <w:kern w:val="0"/>
                      <w:sz w:val="21"/>
                      <w:szCs w:val="21"/>
                      <w:vertAlign w:val="superscript"/>
                    </w:rPr>
                    <w:t>3</w:t>
                  </w:r>
                </w:p>
              </w:tc>
              <w:tc>
                <w:tcPr>
                  <w:tcW w:w="1139"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eastAsia" w:cs="Times New Roman"/>
                      <w:color w:val="auto"/>
                      <w:szCs w:val="21"/>
                      <w:u w:val="single"/>
                      <w:lang w:val="en-US" w:eastAsia="zh-CN"/>
                    </w:rPr>
                    <w:t>40</w:t>
                  </w:r>
                </w:p>
              </w:tc>
              <w:tc>
                <w:tcPr>
                  <w:tcW w:w="665"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0</w:t>
                  </w:r>
                </w:p>
              </w:tc>
              <w:tc>
                <w:tcPr>
                  <w:tcW w:w="784" w:type="dxa"/>
                  <w:noWrap w:val="0"/>
                  <w:vAlign w:val="center"/>
                </w:tcPr>
                <w:p>
                  <w:pPr>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rPr>
                  </w:pPr>
                </w:p>
              </w:tc>
              <w:tc>
                <w:tcPr>
                  <w:tcW w:w="852"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H</w:t>
                  </w:r>
                  <w:r>
                    <w:rPr>
                      <w:rFonts w:hint="default" w:ascii="Times New Roman" w:hAnsi="Times New Roman" w:eastAsia="宋体" w:cs="Times New Roman"/>
                      <w:color w:val="auto"/>
                      <w:szCs w:val="21"/>
                      <w:u w:val="single"/>
                      <w:vertAlign w:val="subscript"/>
                      <w:lang w:val="en-US" w:eastAsia="zh-CN"/>
                    </w:rPr>
                    <w:t>2</w:t>
                  </w:r>
                  <w:r>
                    <w:rPr>
                      <w:rFonts w:hint="default" w:ascii="Times New Roman" w:hAnsi="Times New Roman" w:eastAsia="宋体" w:cs="Times New Roman"/>
                      <w:color w:val="auto"/>
                      <w:szCs w:val="21"/>
                      <w:u w:val="single"/>
                      <w:lang w:val="en-US" w:eastAsia="zh-CN"/>
                    </w:rPr>
                    <w:t>S</w:t>
                  </w:r>
                </w:p>
              </w:tc>
              <w:tc>
                <w:tcPr>
                  <w:tcW w:w="828" w:type="dxa"/>
                  <w:noWrap w:val="0"/>
                  <w:vAlign w:val="center"/>
                </w:tcPr>
                <w:p>
                  <w:pPr>
                    <w:adjustRightInd w:val="0"/>
                    <w:snapToGrid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Cs w:val="21"/>
                      <w:u w:val="single"/>
                      <w:lang w:val="en-US" w:eastAsia="zh-CN"/>
                    </w:rPr>
                    <w:t>10</w:t>
                  </w:r>
                </w:p>
              </w:tc>
              <w:tc>
                <w:tcPr>
                  <w:tcW w:w="1244" w:type="dxa"/>
                  <w:noWrap w:val="0"/>
                  <w:vAlign w:val="center"/>
                </w:tcPr>
                <w:p>
                  <w:pPr>
                    <w:adjustRightInd w:val="0"/>
                    <w:snapToGrid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Cs w:val="21"/>
                      <w:u w:val="single"/>
                      <w:lang w:val="en-US" w:eastAsia="zh-CN"/>
                    </w:rPr>
                    <w:t>1（ND）</w:t>
                  </w:r>
                </w:p>
              </w:tc>
              <w:tc>
                <w:tcPr>
                  <w:tcW w:w="810" w:type="dxa"/>
                  <w:noWrap w:val="0"/>
                  <w:vAlign w:val="center"/>
                </w:tcPr>
                <w:p>
                  <w:pPr>
                    <w:jc w:val="center"/>
                    <w:rPr>
                      <w:rFonts w:hint="default" w:ascii="宋体" w:hAnsi="Times New Roman" w:eastAsia="宋体" w:cs="Times New Roman"/>
                      <w:b w:val="0"/>
                      <w:bCs/>
                      <w:kern w:val="2"/>
                      <w:sz w:val="21"/>
                      <w:szCs w:val="21"/>
                      <w:lang w:val="en-US" w:eastAsia="zh-CN" w:bidi="ar-SA"/>
                    </w:rPr>
                  </w:pPr>
                  <w:r>
                    <w:rPr>
                      <w:rFonts w:ascii="Times New Roman" w:hAnsi="Times New Roman"/>
                      <w:b w:val="0"/>
                      <w:bCs/>
                      <w:kern w:val="0"/>
                      <w:szCs w:val="21"/>
                      <w:u w:val="none"/>
                    </w:rPr>
                    <w:t>μ</w:t>
                  </w:r>
                  <w:r>
                    <w:rPr>
                      <w:rFonts w:hint="default" w:ascii="Times New Roman" w:hAnsi="Times New Roman" w:eastAsia="宋体" w:cs="Times New Roman"/>
                      <w:b w:val="0"/>
                      <w:bCs/>
                      <w:color w:val="auto"/>
                      <w:kern w:val="0"/>
                      <w:sz w:val="21"/>
                      <w:szCs w:val="21"/>
                    </w:rPr>
                    <w:t>g/m</w:t>
                  </w:r>
                  <w:r>
                    <w:rPr>
                      <w:rFonts w:hint="default" w:ascii="Times New Roman" w:hAnsi="Times New Roman" w:eastAsia="宋体" w:cs="Times New Roman"/>
                      <w:b w:val="0"/>
                      <w:bCs/>
                      <w:color w:val="auto"/>
                      <w:kern w:val="0"/>
                      <w:sz w:val="21"/>
                      <w:szCs w:val="21"/>
                      <w:vertAlign w:val="superscript"/>
                    </w:rPr>
                    <w:t>3</w:t>
                  </w:r>
                </w:p>
              </w:tc>
              <w:tc>
                <w:tcPr>
                  <w:tcW w:w="1139"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w:t>
                  </w:r>
                </w:p>
              </w:tc>
              <w:tc>
                <w:tcPr>
                  <w:tcW w:w="665"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0</w:t>
                  </w:r>
                </w:p>
              </w:tc>
              <w:tc>
                <w:tcPr>
                  <w:tcW w:w="784" w:type="dxa"/>
                  <w:noWrap w:val="0"/>
                  <w:vAlign w:val="center"/>
                </w:tcPr>
                <w:p>
                  <w:pPr>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lang w:val="en-US" w:eastAsia="zh-CN"/>
                    </w:rPr>
                    <w:t>达标</w:t>
                  </w:r>
                </w:p>
              </w:tc>
            </w:tr>
          </w:tbl>
          <w:p>
            <w:pPr>
              <w:spacing w:line="360" w:lineRule="auto"/>
              <w:ind w:firstLine="480" w:firstLineChars="200"/>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rPr>
              <w:t>根据湖南汨江检测有限公司于20</w:t>
            </w:r>
            <w:r>
              <w:rPr>
                <w:rFonts w:hint="default" w:ascii="Times New Roman" w:hAnsi="Times New Roman" w:eastAsia="宋体" w:cs="Times New Roman"/>
                <w:color w:val="auto"/>
                <w:sz w:val="24"/>
                <w:szCs w:val="24"/>
                <w:u w:val="single"/>
                <w:lang w:val="en-US" w:eastAsia="zh-CN"/>
              </w:rPr>
              <w:t>2</w:t>
            </w:r>
            <w:r>
              <w:rPr>
                <w:rFonts w:hint="eastAsia" w:cs="Times New Roman"/>
                <w:color w:val="auto"/>
                <w:sz w:val="24"/>
                <w:szCs w:val="24"/>
                <w:u w:val="single"/>
                <w:lang w:val="en-US" w:eastAsia="zh-CN"/>
              </w:rPr>
              <w:t>3</w:t>
            </w:r>
            <w:r>
              <w:rPr>
                <w:rFonts w:hint="default" w:ascii="Times New Roman" w:hAnsi="Times New Roman" w:eastAsia="宋体" w:cs="Times New Roman"/>
                <w:color w:val="auto"/>
                <w:sz w:val="24"/>
                <w:szCs w:val="24"/>
                <w:u w:val="single"/>
              </w:rPr>
              <w:t>年</w:t>
            </w:r>
            <w:r>
              <w:rPr>
                <w:rFonts w:hint="eastAsia" w:cs="Times New Roman"/>
                <w:color w:val="auto"/>
                <w:sz w:val="24"/>
                <w:szCs w:val="24"/>
                <w:u w:val="single"/>
                <w:lang w:val="en-US" w:eastAsia="zh-CN"/>
              </w:rPr>
              <w:t>8</w:t>
            </w:r>
            <w:r>
              <w:rPr>
                <w:rFonts w:hint="default" w:ascii="Times New Roman" w:hAnsi="Times New Roman" w:eastAsia="宋体" w:cs="Times New Roman"/>
                <w:color w:val="auto"/>
                <w:sz w:val="24"/>
                <w:szCs w:val="24"/>
                <w:u w:val="single"/>
              </w:rPr>
              <w:t>月</w:t>
            </w:r>
            <w:r>
              <w:rPr>
                <w:rFonts w:hint="eastAsia" w:cs="Times New Roman"/>
                <w:color w:val="auto"/>
                <w:sz w:val="24"/>
                <w:szCs w:val="24"/>
                <w:u w:val="single"/>
                <w:lang w:val="en-US" w:eastAsia="zh-CN"/>
              </w:rPr>
              <w:t>23</w:t>
            </w:r>
            <w:r>
              <w:rPr>
                <w:rFonts w:hint="default" w:ascii="Times New Roman" w:hAnsi="Times New Roman" w:eastAsia="宋体" w:cs="Times New Roman"/>
                <w:color w:val="auto"/>
                <w:sz w:val="24"/>
                <w:szCs w:val="24"/>
                <w:u w:val="single"/>
              </w:rPr>
              <w:t>日至20</w:t>
            </w:r>
            <w:r>
              <w:rPr>
                <w:rFonts w:hint="default" w:ascii="Times New Roman" w:hAnsi="Times New Roman" w:eastAsia="宋体" w:cs="Times New Roman"/>
                <w:color w:val="auto"/>
                <w:sz w:val="24"/>
                <w:szCs w:val="24"/>
                <w:u w:val="single"/>
                <w:lang w:val="en-US" w:eastAsia="zh-CN"/>
              </w:rPr>
              <w:t>2</w:t>
            </w:r>
            <w:r>
              <w:rPr>
                <w:rFonts w:hint="eastAsia" w:cs="Times New Roman"/>
                <w:color w:val="auto"/>
                <w:sz w:val="24"/>
                <w:szCs w:val="24"/>
                <w:u w:val="single"/>
                <w:lang w:val="en-US" w:eastAsia="zh-CN"/>
              </w:rPr>
              <w:t>3</w:t>
            </w:r>
            <w:r>
              <w:rPr>
                <w:rFonts w:hint="default" w:ascii="Times New Roman" w:hAnsi="Times New Roman" w:eastAsia="宋体" w:cs="Times New Roman"/>
                <w:color w:val="auto"/>
                <w:sz w:val="24"/>
                <w:szCs w:val="24"/>
                <w:u w:val="single"/>
              </w:rPr>
              <w:t>年</w:t>
            </w:r>
            <w:r>
              <w:rPr>
                <w:rFonts w:hint="eastAsia" w:cs="Times New Roman"/>
                <w:color w:val="auto"/>
                <w:sz w:val="24"/>
                <w:szCs w:val="24"/>
                <w:u w:val="single"/>
                <w:lang w:val="en-US" w:eastAsia="zh-CN"/>
              </w:rPr>
              <w:t>8</w:t>
            </w:r>
            <w:r>
              <w:rPr>
                <w:rFonts w:hint="default" w:ascii="Times New Roman" w:hAnsi="Times New Roman" w:eastAsia="宋体" w:cs="Times New Roman"/>
                <w:color w:val="auto"/>
                <w:sz w:val="24"/>
                <w:szCs w:val="24"/>
                <w:u w:val="single"/>
              </w:rPr>
              <w:t>月</w:t>
            </w:r>
            <w:r>
              <w:rPr>
                <w:rFonts w:hint="eastAsia" w:cs="Times New Roman"/>
                <w:color w:val="auto"/>
                <w:sz w:val="24"/>
                <w:szCs w:val="24"/>
                <w:u w:val="single"/>
                <w:lang w:val="en-US" w:eastAsia="zh-CN"/>
              </w:rPr>
              <w:t>25</w:t>
            </w:r>
            <w:r>
              <w:rPr>
                <w:rFonts w:hint="default" w:ascii="Times New Roman" w:hAnsi="Times New Roman" w:eastAsia="宋体" w:cs="Times New Roman"/>
                <w:color w:val="auto"/>
                <w:sz w:val="24"/>
                <w:szCs w:val="24"/>
                <w:u w:val="single"/>
              </w:rPr>
              <w:t>日对</w:t>
            </w:r>
            <w:r>
              <w:rPr>
                <w:rFonts w:hint="default" w:ascii="Times New Roman" w:hAnsi="Times New Roman" w:eastAsia="宋体" w:cs="Times New Roman"/>
                <w:color w:val="auto"/>
                <w:sz w:val="24"/>
                <w:szCs w:val="24"/>
                <w:u w:val="single"/>
                <w:lang w:val="en-US" w:eastAsia="zh-CN"/>
              </w:rPr>
              <w:t>青草湖村上山片区</w:t>
            </w:r>
            <w:r>
              <w:rPr>
                <w:rFonts w:hint="default" w:ascii="Times New Roman" w:hAnsi="Times New Roman" w:eastAsia="宋体" w:cs="Times New Roman"/>
                <w:color w:val="auto"/>
                <w:sz w:val="24"/>
                <w:szCs w:val="24"/>
                <w:u w:val="single"/>
              </w:rPr>
              <w:t>的环境空气监测数据，监测结果表明：项目所在区域的NH</w:t>
            </w:r>
            <w:r>
              <w:rPr>
                <w:rFonts w:hint="default" w:ascii="Times New Roman" w:hAnsi="Times New Roman" w:eastAsia="宋体" w:cs="Times New Roman"/>
                <w:color w:val="auto"/>
                <w:sz w:val="24"/>
                <w:szCs w:val="24"/>
                <w:u w:val="single"/>
                <w:vertAlign w:val="subscript"/>
              </w:rPr>
              <w:t>3</w:t>
            </w:r>
            <w:r>
              <w:rPr>
                <w:rFonts w:hint="default" w:ascii="Times New Roman" w:hAnsi="Times New Roman" w:eastAsia="宋体" w:cs="Times New Roman"/>
                <w:color w:val="auto"/>
                <w:sz w:val="24"/>
                <w:szCs w:val="24"/>
                <w:u w:val="single"/>
                <w:lang w:eastAsia="zh-CN"/>
              </w:rPr>
              <w:t>、</w:t>
            </w:r>
            <w:r>
              <w:rPr>
                <w:rFonts w:hint="default" w:ascii="Times New Roman" w:hAnsi="Times New Roman" w:eastAsia="宋体" w:cs="Times New Roman"/>
                <w:color w:val="auto"/>
                <w:sz w:val="24"/>
                <w:szCs w:val="24"/>
                <w:u w:val="single"/>
              </w:rPr>
              <w:t>H</w:t>
            </w:r>
            <w:r>
              <w:rPr>
                <w:rFonts w:hint="default" w:ascii="Times New Roman" w:hAnsi="Times New Roman" w:eastAsia="宋体" w:cs="Times New Roman"/>
                <w:color w:val="auto"/>
                <w:sz w:val="24"/>
                <w:szCs w:val="24"/>
                <w:u w:val="single"/>
                <w:vertAlign w:val="subscript"/>
              </w:rPr>
              <w:t>2</w:t>
            </w:r>
            <w:r>
              <w:rPr>
                <w:rFonts w:hint="default" w:ascii="Times New Roman" w:hAnsi="Times New Roman" w:eastAsia="宋体" w:cs="Times New Roman"/>
                <w:color w:val="auto"/>
                <w:sz w:val="24"/>
                <w:szCs w:val="24"/>
                <w:u w:val="single"/>
              </w:rPr>
              <w:t>S监测浓度均符合</w:t>
            </w:r>
            <w:r>
              <w:rPr>
                <w:rFonts w:hint="default" w:ascii="Times New Roman" w:hAnsi="Times New Roman" w:eastAsia="宋体" w:cs="Times New Roman"/>
                <w:color w:val="auto"/>
                <w:sz w:val="24"/>
                <w:szCs w:val="24"/>
                <w:u w:val="single"/>
                <w:lang w:eastAsia="zh-CN"/>
              </w:rPr>
              <w:t>《</w:t>
            </w:r>
            <w:r>
              <w:rPr>
                <w:rFonts w:hint="default" w:ascii="Times New Roman" w:hAnsi="Times New Roman" w:eastAsia="宋体" w:cs="Times New Roman"/>
                <w:color w:val="auto"/>
                <w:sz w:val="24"/>
                <w:szCs w:val="24"/>
                <w:u w:val="single"/>
                <w:lang w:val="en-US" w:eastAsia="zh-CN"/>
              </w:rPr>
              <w:t>环境影响评价技术导则 大气环境</w:t>
            </w:r>
            <w:r>
              <w:rPr>
                <w:rFonts w:hint="default" w:ascii="Times New Roman" w:hAnsi="Times New Roman" w:eastAsia="宋体" w:cs="Times New Roman"/>
                <w:color w:val="auto"/>
                <w:sz w:val="24"/>
                <w:szCs w:val="24"/>
                <w:u w:val="single"/>
                <w:lang w:eastAsia="zh-CN"/>
              </w:rPr>
              <w:t>》（</w:t>
            </w:r>
            <w:r>
              <w:rPr>
                <w:rFonts w:hint="default" w:ascii="Times New Roman" w:hAnsi="Times New Roman" w:eastAsia="宋体" w:cs="Times New Roman"/>
                <w:color w:val="auto"/>
                <w:sz w:val="24"/>
                <w:szCs w:val="24"/>
                <w:u w:val="single"/>
                <w:lang w:val="en-US" w:eastAsia="zh-CN"/>
              </w:rPr>
              <w:t>HJ2.2-2018</w:t>
            </w:r>
            <w:r>
              <w:rPr>
                <w:rFonts w:hint="default" w:ascii="Times New Roman" w:hAnsi="Times New Roman" w:eastAsia="宋体" w:cs="Times New Roman"/>
                <w:color w:val="auto"/>
                <w:sz w:val="24"/>
                <w:szCs w:val="24"/>
                <w:u w:val="single"/>
                <w:lang w:eastAsia="zh-CN"/>
              </w:rPr>
              <w:t>）</w:t>
            </w:r>
            <w:r>
              <w:rPr>
                <w:rFonts w:hint="default" w:ascii="Times New Roman" w:hAnsi="Times New Roman" w:eastAsia="宋体" w:cs="Times New Roman"/>
                <w:color w:val="auto"/>
                <w:sz w:val="24"/>
                <w:szCs w:val="24"/>
                <w:u w:val="single"/>
                <w:lang w:val="en-US" w:eastAsia="zh-CN"/>
              </w:rPr>
              <w:t>附录D相关要求。</w:t>
            </w:r>
          </w:p>
          <w:p>
            <w:pPr>
              <w:spacing w:line="360" w:lineRule="auto"/>
              <w:ind w:firstLine="482" w:firstLineChars="200"/>
              <w:rPr>
                <w:rFonts w:hint="default" w:ascii="Times New Roman" w:hAnsi="Times New Roman" w:eastAsia="宋体" w:cs="Times New Roman"/>
                <w:b/>
                <w:bCs/>
                <w:color w:val="auto"/>
                <w:sz w:val="24"/>
                <w:u w:val="single"/>
              </w:rPr>
            </w:pPr>
            <w:r>
              <w:rPr>
                <w:rFonts w:hint="default" w:ascii="Times New Roman" w:hAnsi="Times New Roman" w:eastAsia="宋体" w:cs="Times New Roman"/>
                <w:b/>
                <w:bCs/>
                <w:color w:val="auto"/>
                <w:sz w:val="24"/>
                <w:u w:val="single"/>
                <w:lang w:val="en-US" w:eastAsia="zh-CN"/>
              </w:rPr>
              <w:t>3</w:t>
            </w:r>
            <w:r>
              <w:rPr>
                <w:rFonts w:hint="default" w:ascii="Times New Roman" w:hAnsi="Times New Roman" w:eastAsia="宋体" w:cs="Times New Roman"/>
                <w:b/>
                <w:bCs/>
                <w:color w:val="auto"/>
                <w:sz w:val="24"/>
                <w:u w:val="single"/>
              </w:rPr>
              <w:t>、声环境</w:t>
            </w:r>
          </w:p>
          <w:p>
            <w:pPr>
              <w:pStyle w:val="91"/>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本项目声环境现状监测，由建设单位委托</w:t>
            </w:r>
            <w:r>
              <w:rPr>
                <w:rFonts w:hint="default" w:ascii="Times New Roman" w:hAnsi="Times New Roman" w:eastAsia="宋体" w:cs="Times New Roman"/>
                <w:color w:val="auto"/>
                <w:sz w:val="24"/>
                <w:szCs w:val="21"/>
                <w:u w:val="single"/>
              </w:rPr>
              <w:t>湖南汨江检测有限公司</w:t>
            </w:r>
            <w:r>
              <w:rPr>
                <w:rFonts w:hint="default" w:ascii="Times New Roman" w:hAnsi="Times New Roman" w:eastAsia="宋体" w:cs="Times New Roman"/>
                <w:color w:val="auto"/>
                <w:highlight w:val="none"/>
                <w:u w:val="single"/>
                <w:lang w:val="en-US" w:eastAsia="zh-CN"/>
              </w:rPr>
              <w:t>进行的实测。</w:t>
            </w:r>
          </w:p>
          <w:p>
            <w:pPr>
              <w:pStyle w:val="91"/>
              <w:keepNext w:val="0"/>
              <w:keepLines w:val="0"/>
              <w:numPr>
                <w:ilvl w:val="0"/>
                <w:numId w:val="0"/>
              </w:numPr>
              <w:suppressLineNumbers w:val="0"/>
              <w:spacing w:before="0" w:beforeAutospacing="0" w:after="0" w:afterAutospacing="0"/>
              <w:ind w:leftChars="200" w:right="0" w:rightChars="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（1）监测点布设</w:t>
            </w:r>
          </w:p>
          <w:p>
            <w:pPr>
              <w:pStyle w:val="91"/>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在项目周围共设置</w:t>
            </w:r>
            <w:r>
              <w:rPr>
                <w:rFonts w:hint="eastAsia" w:cs="Times New Roman"/>
                <w:color w:val="auto"/>
                <w:highlight w:val="none"/>
                <w:u w:val="single"/>
                <w:lang w:val="en-US" w:eastAsia="zh-CN"/>
              </w:rPr>
              <w:t>4</w:t>
            </w:r>
            <w:r>
              <w:rPr>
                <w:rFonts w:hint="default" w:ascii="Times New Roman" w:hAnsi="Times New Roman" w:eastAsia="宋体" w:cs="Times New Roman"/>
                <w:color w:val="auto"/>
                <w:highlight w:val="none"/>
                <w:u w:val="single"/>
                <w:lang w:val="en-US" w:eastAsia="zh-CN"/>
              </w:rPr>
              <w:t>个监测点，在N1青草湖村上山片区1</w:t>
            </w:r>
            <w:r>
              <w:rPr>
                <w:rFonts w:hint="eastAsia" w:cs="Times New Roman"/>
                <w:color w:val="auto"/>
                <w:highlight w:val="none"/>
                <w:u w:val="single"/>
                <w:lang w:val="en-US" w:eastAsia="zh-CN"/>
              </w:rPr>
              <w:t>、</w:t>
            </w:r>
            <w:r>
              <w:rPr>
                <w:rFonts w:hint="default" w:ascii="Times New Roman" w:hAnsi="Times New Roman" w:eastAsia="宋体" w:cs="Times New Roman"/>
                <w:color w:val="auto"/>
                <w:highlight w:val="none"/>
                <w:u w:val="single"/>
                <w:lang w:val="en-US" w:eastAsia="zh-CN"/>
              </w:rPr>
              <w:t>N2青草湖村上山片区2</w:t>
            </w:r>
            <w:r>
              <w:rPr>
                <w:rFonts w:hint="eastAsia" w:cs="Times New Roman"/>
                <w:color w:val="auto"/>
                <w:highlight w:val="none"/>
                <w:u w:val="single"/>
                <w:lang w:val="en-US" w:eastAsia="zh-CN"/>
              </w:rPr>
              <w:t>、</w:t>
            </w:r>
            <w:r>
              <w:rPr>
                <w:rFonts w:hint="default" w:ascii="Times New Roman" w:hAnsi="Times New Roman" w:eastAsia="宋体" w:cs="Times New Roman"/>
                <w:color w:val="auto"/>
                <w:highlight w:val="none"/>
                <w:u w:val="single"/>
                <w:lang w:val="en-US" w:eastAsia="zh-CN"/>
              </w:rPr>
              <w:t>N3青草湖村上山片区3</w:t>
            </w:r>
            <w:r>
              <w:rPr>
                <w:rFonts w:hint="eastAsia" w:cs="Times New Roman"/>
                <w:color w:val="auto"/>
                <w:highlight w:val="none"/>
                <w:u w:val="single"/>
                <w:lang w:val="en-US" w:eastAsia="zh-CN"/>
              </w:rPr>
              <w:t>、</w:t>
            </w:r>
            <w:r>
              <w:rPr>
                <w:rFonts w:hint="default" w:ascii="Times New Roman" w:hAnsi="Times New Roman" w:eastAsia="宋体" w:cs="Times New Roman"/>
                <w:color w:val="auto"/>
                <w:highlight w:val="none"/>
                <w:u w:val="single"/>
                <w:lang w:val="en-US" w:eastAsia="zh-CN"/>
              </w:rPr>
              <w:t>N4青草湖村下山片区各设1个点位。</w:t>
            </w:r>
          </w:p>
          <w:p>
            <w:pPr>
              <w:pStyle w:val="91"/>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（2）检测项目</w:t>
            </w:r>
          </w:p>
          <w:p>
            <w:pPr>
              <w:pStyle w:val="91"/>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连续等效A声级</w:t>
            </w:r>
          </w:p>
          <w:p>
            <w:pPr>
              <w:pStyle w:val="91"/>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（3）监测时间及频率</w:t>
            </w:r>
          </w:p>
          <w:p>
            <w:pPr>
              <w:pStyle w:val="91"/>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202</w:t>
            </w:r>
            <w:r>
              <w:rPr>
                <w:rFonts w:hint="eastAsia" w:cs="Times New Roman"/>
                <w:color w:val="auto"/>
                <w:highlight w:val="none"/>
                <w:u w:val="single"/>
                <w:lang w:val="en-US" w:eastAsia="zh-CN"/>
              </w:rPr>
              <w:t>3</w:t>
            </w:r>
            <w:r>
              <w:rPr>
                <w:rFonts w:hint="default" w:ascii="Times New Roman" w:hAnsi="Times New Roman" w:eastAsia="宋体" w:cs="Times New Roman"/>
                <w:color w:val="auto"/>
                <w:highlight w:val="none"/>
                <w:u w:val="single"/>
                <w:lang w:val="en-US" w:eastAsia="zh-CN"/>
              </w:rPr>
              <w:t>年</w:t>
            </w:r>
            <w:r>
              <w:rPr>
                <w:rFonts w:hint="eastAsia" w:cs="Times New Roman"/>
                <w:color w:val="auto"/>
                <w:highlight w:val="none"/>
                <w:u w:val="single"/>
                <w:lang w:val="en-US" w:eastAsia="zh-CN"/>
              </w:rPr>
              <w:t>8</w:t>
            </w:r>
            <w:r>
              <w:rPr>
                <w:rFonts w:hint="default" w:ascii="Times New Roman" w:hAnsi="Times New Roman" w:eastAsia="宋体" w:cs="Times New Roman"/>
                <w:color w:val="auto"/>
                <w:highlight w:val="none"/>
                <w:u w:val="single"/>
                <w:lang w:val="en-US" w:eastAsia="zh-CN"/>
              </w:rPr>
              <w:t>月</w:t>
            </w:r>
            <w:r>
              <w:rPr>
                <w:rFonts w:hint="eastAsia" w:cs="Times New Roman"/>
                <w:color w:val="auto"/>
                <w:highlight w:val="none"/>
                <w:u w:val="single"/>
                <w:lang w:val="en-US" w:eastAsia="zh-CN"/>
              </w:rPr>
              <w:t>2</w:t>
            </w:r>
            <w:r>
              <w:rPr>
                <w:rFonts w:hint="default" w:ascii="Times New Roman" w:hAnsi="Times New Roman" w:eastAsia="宋体" w:cs="Times New Roman"/>
                <w:color w:val="auto"/>
                <w:highlight w:val="none"/>
                <w:u w:val="single"/>
                <w:lang w:val="en-US" w:eastAsia="zh-CN"/>
              </w:rPr>
              <w:t>3日监测1天，每天昼、夜各监测一次。</w:t>
            </w:r>
          </w:p>
          <w:p>
            <w:pPr>
              <w:pStyle w:val="91"/>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（4）监测分析方法</w:t>
            </w:r>
          </w:p>
          <w:p>
            <w:pPr>
              <w:pStyle w:val="91"/>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按照《声环境质量标准》（GB3096-2008）中有关规定监测分析。</w:t>
            </w:r>
          </w:p>
          <w:p>
            <w:pPr>
              <w:pStyle w:val="91"/>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（5）评价标准</w:t>
            </w:r>
          </w:p>
          <w:p>
            <w:pPr>
              <w:pStyle w:val="91"/>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《声环境质量标准》（GB3096-2008）中2类标准。</w:t>
            </w:r>
          </w:p>
          <w:p>
            <w:pPr>
              <w:pStyle w:val="91"/>
              <w:keepNext w:val="0"/>
              <w:keepLines w:val="0"/>
              <w:numPr>
                <w:ilvl w:val="0"/>
                <w:numId w:val="3"/>
              </w:numPr>
              <w:suppressLineNumbers w:val="0"/>
              <w:spacing w:before="0" w:beforeAutospacing="0" w:after="0" w:afterAutospacing="0"/>
              <w:ind w:left="0" w:right="0"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监测结果及评价</w:t>
            </w:r>
          </w:p>
          <w:p>
            <w:pPr>
              <w:pStyle w:val="91"/>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项目区声环境现状监测结果及评价见下表。</w:t>
            </w:r>
          </w:p>
          <w:p>
            <w:pPr>
              <w:pStyle w:val="90"/>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表3-4                 声环境监测结果</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2410"/>
              <w:gridCol w:w="994"/>
              <w:gridCol w:w="1333"/>
              <w:gridCol w:w="964"/>
              <w:gridCol w:w="11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40" w:type="pct"/>
                  <w:vMerge w:val="restart"/>
                  <w:tcBorders>
                    <w:tl2br w:val="nil"/>
                    <w:tr2bl w:val="nil"/>
                  </w:tcBorders>
                  <w:noWrap w:val="0"/>
                  <w:vAlign w:val="center"/>
                </w:tcPr>
                <w:p>
                  <w:pPr>
                    <w:widowControl/>
                    <w:jc w:val="center"/>
                    <w:textAlignment w:val="center"/>
                    <w:rPr>
                      <w:rFonts w:hint="default" w:ascii="Times New Roman" w:hAnsi="Times New Roman" w:eastAsia="宋体" w:cs="Times New Roman"/>
                      <w:b/>
                      <w:bCs/>
                      <w:szCs w:val="21"/>
                      <w:u w:val="single"/>
                      <w:lang w:val="en-US" w:eastAsia="zh-CN"/>
                    </w:rPr>
                  </w:pPr>
                  <w:r>
                    <w:rPr>
                      <w:rFonts w:hint="default" w:ascii="Times New Roman" w:hAnsi="Times New Roman" w:eastAsia="宋体" w:cs="Times New Roman"/>
                      <w:b/>
                      <w:bCs/>
                      <w:szCs w:val="21"/>
                      <w:u w:val="single"/>
                      <w:lang w:val="en-US" w:eastAsia="zh-CN"/>
                    </w:rPr>
                    <w:t>采样时间</w:t>
                  </w:r>
                </w:p>
              </w:tc>
              <w:tc>
                <w:tcPr>
                  <w:tcW w:w="1535" w:type="pct"/>
                  <w:vMerge w:val="restart"/>
                  <w:tcBorders>
                    <w:tl2br w:val="nil"/>
                    <w:tr2bl w:val="nil"/>
                  </w:tcBorders>
                  <w:noWrap w:val="0"/>
                  <w:vAlign w:val="center"/>
                </w:tcPr>
                <w:p>
                  <w:pPr>
                    <w:widowControl/>
                    <w:jc w:val="center"/>
                    <w:textAlignment w:val="center"/>
                    <w:rPr>
                      <w:rFonts w:hint="default" w:ascii="Times New Roman" w:hAnsi="Times New Roman" w:eastAsia="宋体" w:cs="Times New Roman"/>
                      <w:b/>
                      <w:bCs/>
                      <w:szCs w:val="21"/>
                      <w:u w:val="single"/>
                      <w:lang w:val="en-US" w:eastAsia="zh-CN"/>
                    </w:rPr>
                  </w:pPr>
                  <w:r>
                    <w:rPr>
                      <w:rFonts w:hint="default" w:ascii="Times New Roman" w:hAnsi="Times New Roman" w:eastAsia="宋体" w:cs="Times New Roman"/>
                      <w:b/>
                      <w:bCs/>
                      <w:szCs w:val="21"/>
                      <w:u w:val="single"/>
                      <w:lang w:val="en-US" w:eastAsia="zh-CN"/>
                    </w:rPr>
                    <w:t>采样点位</w:t>
                  </w:r>
                </w:p>
              </w:tc>
              <w:tc>
                <w:tcPr>
                  <w:tcW w:w="2824" w:type="pct"/>
                  <w:gridSpan w:val="4"/>
                  <w:tcBorders>
                    <w:tl2br w:val="nil"/>
                    <w:tr2bl w:val="nil"/>
                  </w:tcBorders>
                  <w:noWrap w:val="0"/>
                  <w:vAlign w:val="center"/>
                </w:tcPr>
                <w:p>
                  <w:pPr>
                    <w:widowControl/>
                    <w:jc w:val="center"/>
                    <w:textAlignment w:val="center"/>
                    <w:rPr>
                      <w:rFonts w:hint="default" w:ascii="Times New Roman" w:hAnsi="Times New Roman" w:eastAsia="宋体" w:cs="Times New Roman"/>
                      <w:b/>
                      <w:bCs/>
                      <w:szCs w:val="21"/>
                      <w:u w:val="single"/>
                      <w:lang w:val="en-US" w:eastAsia="zh-CN"/>
                    </w:rPr>
                  </w:pPr>
                  <w:r>
                    <w:rPr>
                      <w:rFonts w:hint="default" w:ascii="Times New Roman" w:hAnsi="Times New Roman" w:eastAsia="宋体" w:cs="Times New Roman"/>
                      <w:b/>
                      <w:bCs/>
                      <w:szCs w:val="21"/>
                      <w:u w:val="single"/>
                      <w:lang w:val="en-US" w:eastAsia="zh-CN"/>
                    </w:rPr>
                    <w:t>检测结果dB（A）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40" w:type="pct"/>
                  <w:vMerge w:val="continue"/>
                  <w:tcBorders>
                    <w:tl2br w:val="nil"/>
                    <w:tr2bl w:val="nil"/>
                  </w:tcBorders>
                  <w:noWrap w:val="0"/>
                  <w:vAlign w:val="center"/>
                </w:tcPr>
                <w:p>
                  <w:pPr>
                    <w:widowControl/>
                    <w:jc w:val="center"/>
                    <w:textAlignment w:val="center"/>
                    <w:rPr>
                      <w:rFonts w:hint="default" w:ascii="Times New Roman" w:hAnsi="Times New Roman" w:eastAsia="宋体" w:cs="Times New Roman"/>
                      <w:b/>
                      <w:bCs/>
                      <w:szCs w:val="21"/>
                      <w:u w:val="single"/>
                      <w:lang w:val="en-US" w:eastAsia="zh-CN"/>
                    </w:rPr>
                  </w:pPr>
                </w:p>
              </w:tc>
              <w:tc>
                <w:tcPr>
                  <w:tcW w:w="1535" w:type="pct"/>
                  <w:vMerge w:val="continue"/>
                  <w:tcBorders>
                    <w:tl2br w:val="nil"/>
                    <w:tr2bl w:val="nil"/>
                  </w:tcBorders>
                  <w:noWrap w:val="0"/>
                  <w:vAlign w:val="center"/>
                </w:tcPr>
                <w:p>
                  <w:pPr>
                    <w:widowControl/>
                    <w:jc w:val="center"/>
                    <w:textAlignment w:val="center"/>
                    <w:rPr>
                      <w:rFonts w:hint="default" w:ascii="Times New Roman" w:hAnsi="Times New Roman" w:eastAsia="宋体" w:cs="Times New Roman"/>
                      <w:b/>
                      <w:bCs/>
                      <w:szCs w:val="21"/>
                      <w:u w:val="single"/>
                      <w:lang w:val="en-US" w:eastAsia="zh-CN"/>
                    </w:rPr>
                  </w:pPr>
                </w:p>
              </w:tc>
              <w:tc>
                <w:tcPr>
                  <w:tcW w:w="633" w:type="pct"/>
                  <w:tcBorders>
                    <w:tl2br w:val="nil"/>
                    <w:tr2bl w:val="nil"/>
                  </w:tcBorders>
                  <w:noWrap w:val="0"/>
                  <w:vAlign w:val="center"/>
                </w:tcPr>
                <w:p>
                  <w:pPr>
                    <w:widowControl/>
                    <w:jc w:val="center"/>
                    <w:textAlignment w:val="center"/>
                    <w:rPr>
                      <w:rFonts w:hint="default" w:ascii="Times New Roman" w:hAnsi="Times New Roman" w:eastAsia="宋体" w:cs="Times New Roman"/>
                      <w:b/>
                      <w:bCs/>
                      <w:szCs w:val="21"/>
                      <w:u w:val="single"/>
                      <w:lang w:val="en-US" w:eastAsia="zh-CN"/>
                    </w:rPr>
                  </w:pPr>
                  <w:r>
                    <w:rPr>
                      <w:rFonts w:hint="default" w:ascii="Times New Roman" w:hAnsi="Times New Roman" w:eastAsia="宋体" w:cs="Times New Roman"/>
                      <w:b/>
                      <w:bCs/>
                      <w:szCs w:val="21"/>
                      <w:u w:val="single"/>
                      <w:lang w:val="en-US" w:eastAsia="zh-CN"/>
                    </w:rPr>
                    <w:t>昼间</w:t>
                  </w:r>
                </w:p>
              </w:tc>
              <w:tc>
                <w:tcPr>
                  <w:tcW w:w="849" w:type="pct"/>
                  <w:tcBorders>
                    <w:tl2br w:val="nil"/>
                    <w:tr2bl w:val="nil"/>
                  </w:tcBorders>
                  <w:noWrap w:val="0"/>
                  <w:vAlign w:val="center"/>
                </w:tcPr>
                <w:p>
                  <w:pPr>
                    <w:widowControl/>
                    <w:jc w:val="center"/>
                    <w:textAlignment w:val="center"/>
                    <w:rPr>
                      <w:rFonts w:hint="default" w:ascii="Times New Roman" w:hAnsi="Times New Roman" w:eastAsia="宋体" w:cs="Times New Roman"/>
                      <w:b/>
                      <w:bCs/>
                      <w:szCs w:val="21"/>
                      <w:u w:val="single"/>
                      <w:lang w:val="en-US" w:eastAsia="zh-CN"/>
                    </w:rPr>
                  </w:pPr>
                  <w:r>
                    <w:rPr>
                      <w:rFonts w:hint="default" w:ascii="Times New Roman" w:hAnsi="Times New Roman" w:eastAsia="宋体" w:cs="Times New Roman"/>
                      <w:b/>
                      <w:bCs/>
                      <w:szCs w:val="21"/>
                      <w:u w:val="single"/>
                      <w:lang w:val="en-US" w:eastAsia="zh-CN"/>
                    </w:rPr>
                    <w:t>参考限值</w:t>
                  </w:r>
                </w:p>
              </w:tc>
              <w:tc>
                <w:tcPr>
                  <w:tcW w:w="614" w:type="pct"/>
                  <w:tcBorders>
                    <w:tl2br w:val="nil"/>
                    <w:tr2bl w:val="nil"/>
                  </w:tcBorders>
                  <w:noWrap w:val="0"/>
                  <w:vAlign w:val="center"/>
                </w:tcPr>
                <w:p>
                  <w:pPr>
                    <w:widowControl/>
                    <w:jc w:val="center"/>
                    <w:textAlignment w:val="center"/>
                    <w:rPr>
                      <w:rFonts w:hint="default" w:ascii="Times New Roman" w:hAnsi="Times New Roman" w:eastAsia="宋体" w:cs="Times New Roman"/>
                      <w:b/>
                      <w:bCs/>
                      <w:szCs w:val="21"/>
                      <w:u w:val="single"/>
                      <w:lang w:val="en-US" w:eastAsia="zh-CN"/>
                    </w:rPr>
                  </w:pPr>
                  <w:r>
                    <w:rPr>
                      <w:rFonts w:hint="default" w:ascii="Times New Roman" w:hAnsi="Times New Roman" w:eastAsia="宋体" w:cs="Times New Roman"/>
                      <w:b/>
                      <w:bCs/>
                      <w:szCs w:val="21"/>
                      <w:u w:val="single"/>
                      <w:lang w:val="en-US" w:eastAsia="zh-CN"/>
                    </w:rPr>
                    <w:t>夜间</w:t>
                  </w:r>
                </w:p>
              </w:tc>
              <w:tc>
                <w:tcPr>
                  <w:tcW w:w="728" w:type="pct"/>
                  <w:tcBorders>
                    <w:tl2br w:val="nil"/>
                    <w:tr2bl w:val="nil"/>
                  </w:tcBorders>
                  <w:noWrap w:val="0"/>
                  <w:vAlign w:val="center"/>
                </w:tcPr>
                <w:p>
                  <w:pPr>
                    <w:widowControl/>
                    <w:jc w:val="center"/>
                    <w:textAlignment w:val="center"/>
                    <w:rPr>
                      <w:rFonts w:hint="default" w:ascii="Times New Roman" w:hAnsi="Times New Roman" w:eastAsia="宋体" w:cs="Times New Roman"/>
                      <w:b/>
                      <w:bCs/>
                      <w:szCs w:val="21"/>
                      <w:u w:val="single"/>
                      <w:lang w:val="en-US" w:eastAsia="zh-CN"/>
                    </w:rPr>
                  </w:pPr>
                  <w:r>
                    <w:rPr>
                      <w:rFonts w:hint="default" w:ascii="Times New Roman" w:hAnsi="Times New Roman" w:eastAsia="宋体" w:cs="Times New Roman"/>
                      <w:b/>
                      <w:bCs/>
                      <w:szCs w:val="21"/>
                      <w:u w:val="single"/>
                      <w:lang w:val="en-US" w:eastAsia="zh-CN"/>
                    </w:rPr>
                    <w:t>参考限值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restart"/>
                  <w:tcBorders>
                    <w:tl2br w:val="nil"/>
                    <w:tr2bl w:val="nil"/>
                  </w:tcBorders>
                  <w:noWrap w:val="0"/>
                  <w:vAlign w:val="center"/>
                </w:tcPr>
                <w:p>
                  <w:pPr>
                    <w:jc w:val="center"/>
                    <w:rPr>
                      <w:rFonts w:hint="default" w:ascii="Times New Roman" w:hAnsi="Times New Roman" w:eastAsia="宋体" w:cs="Times New Roman"/>
                      <w:kern w:val="2"/>
                      <w:sz w:val="21"/>
                      <w:szCs w:val="21"/>
                      <w:u w:val="single"/>
                      <w:lang w:val="en-US" w:eastAsia="zh-CN" w:bidi="ar-SA"/>
                    </w:rPr>
                  </w:pPr>
                  <w:r>
                    <w:rPr>
                      <w:rFonts w:hint="eastAsia"/>
                      <w:szCs w:val="21"/>
                      <w:u w:val="single"/>
                      <w:lang w:val="en-US" w:eastAsia="zh-CN"/>
                    </w:rPr>
                    <w:t>8</w:t>
                  </w:r>
                  <w:r>
                    <w:rPr>
                      <w:szCs w:val="21"/>
                      <w:u w:val="single"/>
                    </w:rPr>
                    <w:t>月</w:t>
                  </w:r>
                  <w:r>
                    <w:rPr>
                      <w:rFonts w:hint="eastAsia"/>
                      <w:szCs w:val="21"/>
                      <w:u w:val="single"/>
                      <w:lang w:val="en-US" w:eastAsia="zh-CN"/>
                    </w:rPr>
                    <w:t>23</w:t>
                  </w:r>
                  <w:r>
                    <w:rPr>
                      <w:szCs w:val="21"/>
                      <w:u w:val="single"/>
                    </w:rPr>
                    <w:t>日</w:t>
                  </w:r>
                </w:p>
              </w:tc>
              <w:tc>
                <w:tcPr>
                  <w:tcW w:w="1535" w:type="pct"/>
                  <w:tcBorders>
                    <w:tl2br w:val="nil"/>
                    <w:tr2bl w:val="nil"/>
                  </w:tcBorders>
                  <w:noWrap w:val="0"/>
                  <w:vAlign w:val="center"/>
                </w:tcPr>
                <w:p>
                  <w:pPr>
                    <w:widowControl/>
                    <w:jc w:val="center"/>
                    <w:textAlignment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N1青草湖村上山片区1</w:t>
                  </w:r>
                </w:p>
              </w:tc>
              <w:tc>
                <w:tcPr>
                  <w:tcW w:w="633" w:type="pct"/>
                  <w:tcBorders>
                    <w:tl2br w:val="nil"/>
                    <w:tr2bl w:val="nil"/>
                  </w:tcBorders>
                  <w:noWrap w:val="0"/>
                  <w:vAlign w:val="center"/>
                </w:tcPr>
                <w:p>
                  <w:pPr>
                    <w:widowControl/>
                    <w:jc w:val="center"/>
                    <w:textAlignment w:val="center"/>
                    <w:rPr>
                      <w:rFonts w:hint="default" w:ascii="Times New Roman" w:hAnsi="Times New Roman" w:eastAsia="宋体" w:cs="Times New Roman"/>
                      <w:sz w:val="21"/>
                      <w:szCs w:val="21"/>
                      <w:highlight w:val="none"/>
                      <w:u w:val="single"/>
                      <w:lang w:val="en-US" w:eastAsia="zh-CN"/>
                    </w:rPr>
                  </w:pPr>
                  <w:r>
                    <w:rPr>
                      <w:rFonts w:hint="eastAsia" w:ascii="Times New Roman" w:hAnsi="Times New Roman" w:eastAsia="宋体" w:cs="Times New Roman"/>
                      <w:sz w:val="21"/>
                      <w:szCs w:val="21"/>
                      <w:highlight w:val="none"/>
                      <w:u w:val="single"/>
                      <w:lang w:val="en-US" w:eastAsia="zh-CN"/>
                    </w:rPr>
                    <w:t>56</w:t>
                  </w:r>
                </w:p>
              </w:tc>
              <w:tc>
                <w:tcPr>
                  <w:tcW w:w="849" w:type="pct"/>
                  <w:vMerge w:val="restart"/>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sz w:val="21"/>
                      <w:szCs w:val="21"/>
                      <w:highlight w:val="none"/>
                      <w:u w:val="single"/>
                      <w:lang w:val="en-US" w:eastAsia="zh-CN"/>
                    </w:rPr>
                  </w:pPr>
                  <w:r>
                    <w:rPr>
                      <w:rFonts w:hint="eastAsia" w:ascii="Times New Roman" w:hAnsi="Times New Roman" w:eastAsia="宋体" w:cs="Times New Roman"/>
                      <w:sz w:val="21"/>
                      <w:szCs w:val="21"/>
                      <w:highlight w:val="none"/>
                      <w:u w:val="single"/>
                      <w:lang w:val="en-US" w:eastAsia="zh-CN"/>
                    </w:rPr>
                    <w:t>60</w:t>
                  </w:r>
                </w:p>
              </w:tc>
              <w:tc>
                <w:tcPr>
                  <w:tcW w:w="614" w:type="pct"/>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sz w:val="21"/>
                      <w:szCs w:val="21"/>
                      <w:highlight w:val="none"/>
                      <w:u w:val="single"/>
                      <w:lang w:val="en-US" w:eastAsia="zh-CN"/>
                    </w:rPr>
                  </w:pPr>
                  <w:r>
                    <w:rPr>
                      <w:rFonts w:hint="eastAsia" w:ascii="Times New Roman" w:hAnsi="Times New Roman" w:eastAsia="宋体" w:cs="Times New Roman"/>
                      <w:sz w:val="21"/>
                      <w:szCs w:val="21"/>
                      <w:highlight w:val="none"/>
                      <w:u w:val="single"/>
                      <w:lang w:val="en-US" w:eastAsia="zh-CN"/>
                    </w:rPr>
                    <w:t>44</w:t>
                  </w:r>
                </w:p>
              </w:tc>
              <w:tc>
                <w:tcPr>
                  <w:tcW w:w="728" w:type="pct"/>
                  <w:vMerge w:val="restart"/>
                  <w:tcBorders>
                    <w:tl2br w:val="nil"/>
                    <w:tr2bl w:val="nil"/>
                  </w:tcBorders>
                  <w:noWrap w:val="0"/>
                  <w:vAlign w:val="center"/>
                </w:tcPr>
                <w:p>
                  <w:pPr>
                    <w:jc w:val="center"/>
                    <w:rPr>
                      <w:rFonts w:hint="default" w:ascii="宋体" w:hAnsi="宋体" w:eastAsia="宋体" w:cs="宋体"/>
                      <w:kern w:val="2"/>
                      <w:sz w:val="21"/>
                      <w:szCs w:val="21"/>
                      <w:highlight w:val="none"/>
                      <w:u w:val="single"/>
                      <w:lang w:val="en-US" w:eastAsia="zh-CN" w:bidi="ar-SA"/>
                    </w:rPr>
                  </w:pPr>
                  <w:r>
                    <w:rPr>
                      <w:rFonts w:hint="eastAsia" w:ascii="Times New Roman" w:hAnsi="Times New Roman" w:eastAsia="宋体" w:cs="Times New Roman"/>
                      <w:sz w:val="21"/>
                      <w:szCs w:val="21"/>
                      <w:highlight w:val="none"/>
                      <w:u w:val="singl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continue"/>
                  <w:tcBorders>
                    <w:tl2br w:val="nil"/>
                    <w:tr2bl w:val="nil"/>
                  </w:tcBorders>
                  <w:noWrap w:val="0"/>
                  <w:vAlign w:val="center"/>
                </w:tcPr>
                <w:p>
                  <w:pPr>
                    <w:jc w:val="center"/>
                    <w:rPr>
                      <w:szCs w:val="21"/>
                      <w:u w:val="single"/>
                    </w:rPr>
                  </w:pPr>
                </w:p>
              </w:tc>
              <w:tc>
                <w:tcPr>
                  <w:tcW w:w="1535" w:type="pct"/>
                  <w:tcBorders>
                    <w:tl2br w:val="nil"/>
                    <w:tr2bl w:val="nil"/>
                  </w:tcBorders>
                  <w:noWrap w:val="0"/>
                  <w:vAlign w:val="center"/>
                </w:tcPr>
                <w:p>
                  <w:pPr>
                    <w:widowControl/>
                    <w:jc w:val="center"/>
                    <w:textAlignment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N2青草湖村上山片区2</w:t>
                  </w:r>
                </w:p>
              </w:tc>
              <w:tc>
                <w:tcPr>
                  <w:tcW w:w="633" w:type="pct"/>
                  <w:tcBorders>
                    <w:tl2br w:val="nil"/>
                    <w:tr2bl w:val="nil"/>
                  </w:tcBorders>
                  <w:noWrap w:val="0"/>
                  <w:vAlign w:val="center"/>
                </w:tcPr>
                <w:p>
                  <w:pPr>
                    <w:widowControl/>
                    <w:jc w:val="center"/>
                    <w:textAlignment w:val="center"/>
                    <w:rPr>
                      <w:rFonts w:hint="default" w:ascii="Times New Roman" w:hAnsi="Times New Roman" w:eastAsia="宋体" w:cs="Times New Roman"/>
                      <w:sz w:val="21"/>
                      <w:szCs w:val="21"/>
                      <w:highlight w:val="none"/>
                      <w:u w:val="single"/>
                      <w:lang w:val="en-US" w:eastAsia="zh-CN"/>
                    </w:rPr>
                  </w:pPr>
                  <w:r>
                    <w:rPr>
                      <w:rFonts w:hint="eastAsia" w:ascii="Times New Roman" w:hAnsi="Times New Roman" w:eastAsia="宋体" w:cs="Times New Roman"/>
                      <w:sz w:val="21"/>
                      <w:szCs w:val="21"/>
                      <w:highlight w:val="none"/>
                      <w:u w:val="single"/>
                      <w:lang w:val="en-US" w:eastAsia="zh-CN"/>
                    </w:rPr>
                    <w:t>53</w:t>
                  </w:r>
                </w:p>
              </w:tc>
              <w:tc>
                <w:tcPr>
                  <w:tcW w:w="849" w:type="pct"/>
                  <w:vMerge w:val="continue"/>
                  <w:tcBorders>
                    <w:tl2br w:val="nil"/>
                    <w:tr2bl w:val="nil"/>
                  </w:tcBorders>
                  <w:noWrap w:val="0"/>
                  <w:vAlign w:val="center"/>
                </w:tcPr>
                <w:p>
                  <w:pPr>
                    <w:ind w:left="0" w:leftChars="0" w:right="0" w:rightChars="0" w:firstLine="0" w:firstLineChars="0"/>
                    <w:jc w:val="center"/>
                    <w:rPr>
                      <w:rFonts w:hint="eastAsia" w:ascii="Times New Roman" w:hAnsi="Times New Roman" w:eastAsia="宋体" w:cs="Times New Roman"/>
                      <w:sz w:val="21"/>
                      <w:szCs w:val="21"/>
                      <w:highlight w:val="none"/>
                      <w:u w:val="single"/>
                      <w:lang w:val="en-US" w:eastAsia="zh-CN"/>
                    </w:rPr>
                  </w:pPr>
                </w:p>
              </w:tc>
              <w:tc>
                <w:tcPr>
                  <w:tcW w:w="614" w:type="pct"/>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sz w:val="21"/>
                      <w:szCs w:val="21"/>
                      <w:highlight w:val="none"/>
                      <w:u w:val="single"/>
                      <w:lang w:val="en-US" w:eastAsia="zh-CN"/>
                    </w:rPr>
                  </w:pPr>
                  <w:r>
                    <w:rPr>
                      <w:rFonts w:hint="eastAsia" w:ascii="Times New Roman" w:hAnsi="Times New Roman" w:eastAsia="宋体" w:cs="Times New Roman"/>
                      <w:sz w:val="21"/>
                      <w:szCs w:val="21"/>
                      <w:highlight w:val="none"/>
                      <w:u w:val="single"/>
                      <w:lang w:val="en-US" w:eastAsia="zh-CN"/>
                    </w:rPr>
                    <w:t>45</w:t>
                  </w:r>
                </w:p>
              </w:tc>
              <w:tc>
                <w:tcPr>
                  <w:tcW w:w="728" w:type="pct"/>
                  <w:vMerge w:val="continue"/>
                  <w:tcBorders>
                    <w:tl2br w:val="nil"/>
                    <w:tr2bl w:val="nil"/>
                  </w:tcBorders>
                  <w:noWrap w:val="0"/>
                  <w:vAlign w:val="center"/>
                </w:tcPr>
                <w:p>
                  <w:pPr>
                    <w:jc w:val="center"/>
                    <w:rPr>
                      <w:rFonts w:hint="eastAsia" w:ascii="Times New Roman" w:hAnsi="Times New Roman" w:eastAsia="宋体" w:cs="Times New Roman"/>
                      <w:sz w:val="21"/>
                      <w:szCs w:val="21"/>
                      <w:highlight w:val="none"/>
                      <w:u w:val="singl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continue"/>
                  <w:tcBorders>
                    <w:tl2br w:val="nil"/>
                    <w:tr2bl w:val="nil"/>
                  </w:tcBorders>
                  <w:noWrap w:val="0"/>
                  <w:vAlign w:val="center"/>
                </w:tcPr>
                <w:p>
                  <w:pPr>
                    <w:jc w:val="center"/>
                    <w:rPr>
                      <w:szCs w:val="21"/>
                      <w:u w:val="single"/>
                    </w:rPr>
                  </w:pPr>
                </w:p>
              </w:tc>
              <w:tc>
                <w:tcPr>
                  <w:tcW w:w="1535" w:type="pct"/>
                  <w:tcBorders>
                    <w:tl2br w:val="nil"/>
                    <w:tr2bl w:val="nil"/>
                  </w:tcBorders>
                  <w:noWrap w:val="0"/>
                  <w:vAlign w:val="center"/>
                </w:tcPr>
                <w:p>
                  <w:pPr>
                    <w:widowControl/>
                    <w:jc w:val="center"/>
                    <w:textAlignment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N3青草湖村上山片区3</w:t>
                  </w:r>
                </w:p>
              </w:tc>
              <w:tc>
                <w:tcPr>
                  <w:tcW w:w="633" w:type="pct"/>
                  <w:tcBorders>
                    <w:tl2br w:val="nil"/>
                    <w:tr2bl w:val="nil"/>
                  </w:tcBorders>
                  <w:noWrap w:val="0"/>
                  <w:vAlign w:val="center"/>
                </w:tcPr>
                <w:p>
                  <w:pPr>
                    <w:widowControl/>
                    <w:jc w:val="center"/>
                    <w:textAlignment w:val="center"/>
                    <w:rPr>
                      <w:rFonts w:hint="default" w:ascii="Times New Roman" w:hAnsi="Times New Roman" w:eastAsia="宋体" w:cs="Times New Roman"/>
                      <w:sz w:val="21"/>
                      <w:szCs w:val="21"/>
                      <w:highlight w:val="none"/>
                      <w:u w:val="single"/>
                      <w:lang w:val="en-US" w:eastAsia="zh-CN"/>
                    </w:rPr>
                  </w:pPr>
                  <w:r>
                    <w:rPr>
                      <w:rFonts w:hint="eastAsia" w:ascii="Times New Roman" w:hAnsi="Times New Roman" w:eastAsia="宋体" w:cs="Times New Roman"/>
                      <w:sz w:val="21"/>
                      <w:szCs w:val="21"/>
                      <w:highlight w:val="none"/>
                      <w:u w:val="single"/>
                      <w:lang w:val="en-US" w:eastAsia="zh-CN"/>
                    </w:rPr>
                    <w:t>55</w:t>
                  </w:r>
                </w:p>
              </w:tc>
              <w:tc>
                <w:tcPr>
                  <w:tcW w:w="849" w:type="pct"/>
                  <w:vMerge w:val="continue"/>
                  <w:tcBorders>
                    <w:tl2br w:val="nil"/>
                    <w:tr2bl w:val="nil"/>
                  </w:tcBorders>
                  <w:noWrap w:val="0"/>
                  <w:vAlign w:val="center"/>
                </w:tcPr>
                <w:p>
                  <w:pPr>
                    <w:ind w:left="0" w:leftChars="0" w:right="0" w:rightChars="0" w:firstLine="0" w:firstLineChars="0"/>
                    <w:jc w:val="center"/>
                    <w:rPr>
                      <w:rFonts w:hint="eastAsia" w:ascii="Times New Roman" w:hAnsi="Times New Roman" w:eastAsia="宋体" w:cs="Times New Roman"/>
                      <w:sz w:val="21"/>
                      <w:szCs w:val="21"/>
                      <w:highlight w:val="none"/>
                      <w:u w:val="single"/>
                      <w:lang w:val="en-US" w:eastAsia="zh-CN"/>
                    </w:rPr>
                  </w:pPr>
                </w:p>
              </w:tc>
              <w:tc>
                <w:tcPr>
                  <w:tcW w:w="614" w:type="pct"/>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sz w:val="21"/>
                      <w:szCs w:val="21"/>
                      <w:highlight w:val="none"/>
                      <w:u w:val="single"/>
                      <w:lang w:val="en-US" w:eastAsia="zh-CN"/>
                    </w:rPr>
                  </w:pPr>
                  <w:r>
                    <w:rPr>
                      <w:rFonts w:hint="eastAsia" w:ascii="Times New Roman" w:hAnsi="Times New Roman" w:eastAsia="宋体" w:cs="Times New Roman"/>
                      <w:sz w:val="21"/>
                      <w:szCs w:val="21"/>
                      <w:highlight w:val="none"/>
                      <w:u w:val="single"/>
                      <w:lang w:val="en-US" w:eastAsia="zh-CN"/>
                    </w:rPr>
                    <w:t>43</w:t>
                  </w:r>
                </w:p>
              </w:tc>
              <w:tc>
                <w:tcPr>
                  <w:tcW w:w="728" w:type="pct"/>
                  <w:vMerge w:val="continue"/>
                  <w:tcBorders>
                    <w:tl2br w:val="nil"/>
                    <w:tr2bl w:val="nil"/>
                  </w:tcBorders>
                  <w:noWrap w:val="0"/>
                  <w:vAlign w:val="center"/>
                </w:tcPr>
                <w:p>
                  <w:pPr>
                    <w:jc w:val="center"/>
                    <w:rPr>
                      <w:rFonts w:hint="eastAsia" w:ascii="Times New Roman" w:hAnsi="Times New Roman" w:eastAsia="宋体" w:cs="Times New Roman"/>
                      <w:sz w:val="21"/>
                      <w:szCs w:val="21"/>
                      <w:highlight w:val="none"/>
                      <w:u w:val="singl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0" w:type="pct"/>
                  <w:vMerge w:val="continue"/>
                  <w:tcBorders>
                    <w:tl2br w:val="nil"/>
                    <w:tr2bl w:val="nil"/>
                  </w:tcBorders>
                  <w:noWrap w:val="0"/>
                  <w:vAlign w:val="center"/>
                </w:tcPr>
                <w:p>
                  <w:pPr>
                    <w:jc w:val="center"/>
                    <w:rPr>
                      <w:szCs w:val="21"/>
                      <w:u w:val="single"/>
                    </w:rPr>
                  </w:pPr>
                </w:p>
              </w:tc>
              <w:tc>
                <w:tcPr>
                  <w:tcW w:w="1535" w:type="pct"/>
                  <w:tcBorders>
                    <w:tl2br w:val="nil"/>
                    <w:tr2bl w:val="nil"/>
                  </w:tcBorders>
                  <w:noWrap w:val="0"/>
                  <w:vAlign w:val="center"/>
                </w:tcPr>
                <w:p>
                  <w:pPr>
                    <w:widowControl/>
                    <w:jc w:val="center"/>
                    <w:textAlignment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N4青草湖村下山片区</w:t>
                  </w:r>
                </w:p>
              </w:tc>
              <w:tc>
                <w:tcPr>
                  <w:tcW w:w="633" w:type="pct"/>
                  <w:tcBorders>
                    <w:tl2br w:val="nil"/>
                    <w:tr2bl w:val="nil"/>
                  </w:tcBorders>
                  <w:noWrap w:val="0"/>
                  <w:vAlign w:val="center"/>
                </w:tcPr>
                <w:p>
                  <w:pPr>
                    <w:widowControl/>
                    <w:jc w:val="center"/>
                    <w:textAlignment w:val="center"/>
                    <w:rPr>
                      <w:rFonts w:hint="default" w:ascii="Times New Roman" w:hAnsi="Times New Roman" w:eastAsia="宋体" w:cs="Times New Roman"/>
                      <w:sz w:val="21"/>
                      <w:szCs w:val="21"/>
                      <w:highlight w:val="none"/>
                      <w:u w:val="single"/>
                      <w:lang w:val="en-US" w:eastAsia="zh-CN"/>
                    </w:rPr>
                  </w:pPr>
                  <w:r>
                    <w:rPr>
                      <w:rFonts w:hint="eastAsia" w:ascii="Times New Roman" w:hAnsi="Times New Roman" w:eastAsia="宋体" w:cs="Times New Roman"/>
                      <w:sz w:val="21"/>
                      <w:szCs w:val="21"/>
                      <w:highlight w:val="none"/>
                      <w:u w:val="single"/>
                      <w:lang w:val="en-US" w:eastAsia="zh-CN"/>
                    </w:rPr>
                    <w:t>54</w:t>
                  </w:r>
                </w:p>
              </w:tc>
              <w:tc>
                <w:tcPr>
                  <w:tcW w:w="849" w:type="pct"/>
                  <w:vMerge w:val="continue"/>
                  <w:tcBorders>
                    <w:tl2br w:val="nil"/>
                    <w:tr2bl w:val="nil"/>
                  </w:tcBorders>
                  <w:noWrap w:val="0"/>
                  <w:vAlign w:val="center"/>
                </w:tcPr>
                <w:p>
                  <w:pPr>
                    <w:ind w:left="0" w:leftChars="0" w:right="0" w:rightChars="0" w:firstLine="0" w:firstLineChars="0"/>
                    <w:jc w:val="center"/>
                    <w:rPr>
                      <w:rFonts w:hint="eastAsia" w:ascii="Times New Roman" w:hAnsi="Times New Roman" w:eastAsia="宋体" w:cs="Times New Roman"/>
                      <w:sz w:val="21"/>
                      <w:szCs w:val="21"/>
                      <w:highlight w:val="none"/>
                      <w:u w:val="single"/>
                      <w:lang w:val="en-US" w:eastAsia="zh-CN"/>
                    </w:rPr>
                  </w:pPr>
                </w:p>
              </w:tc>
              <w:tc>
                <w:tcPr>
                  <w:tcW w:w="614" w:type="pct"/>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sz w:val="21"/>
                      <w:szCs w:val="21"/>
                      <w:highlight w:val="none"/>
                      <w:u w:val="single"/>
                      <w:lang w:val="en-US" w:eastAsia="zh-CN"/>
                    </w:rPr>
                  </w:pPr>
                  <w:r>
                    <w:rPr>
                      <w:rFonts w:hint="eastAsia" w:ascii="Times New Roman" w:hAnsi="Times New Roman" w:eastAsia="宋体" w:cs="Times New Roman"/>
                      <w:sz w:val="21"/>
                      <w:szCs w:val="21"/>
                      <w:highlight w:val="none"/>
                      <w:u w:val="single"/>
                      <w:lang w:val="en-US" w:eastAsia="zh-CN"/>
                    </w:rPr>
                    <w:t>44</w:t>
                  </w:r>
                </w:p>
              </w:tc>
              <w:tc>
                <w:tcPr>
                  <w:tcW w:w="728" w:type="pct"/>
                  <w:vMerge w:val="continue"/>
                  <w:tcBorders>
                    <w:tl2br w:val="nil"/>
                    <w:tr2bl w:val="nil"/>
                  </w:tcBorders>
                  <w:noWrap w:val="0"/>
                  <w:vAlign w:val="center"/>
                </w:tcPr>
                <w:p>
                  <w:pPr>
                    <w:jc w:val="center"/>
                    <w:rPr>
                      <w:rFonts w:hint="eastAsia" w:ascii="Times New Roman" w:hAnsi="Times New Roman" w:eastAsia="宋体" w:cs="Times New Roman"/>
                      <w:sz w:val="21"/>
                      <w:szCs w:val="21"/>
                      <w:highlight w:val="none"/>
                      <w:u w:val="singl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75" w:type="pct"/>
                  <w:gridSpan w:val="2"/>
                  <w:tcBorders>
                    <w:tl2br w:val="nil"/>
                    <w:tr2bl w:val="nil"/>
                  </w:tcBorders>
                  <w:noWrap w:val="0"/>
                  <w:vAlign w:val="center"/>
                </w:tcPr>
                <w:p>
                  <w:pPr>
                    <w:widowControl/>
                    <w:jc w:val="center"/>
                    <w:textAlignment w:val="center"/>
                    <w:rPr>
                      <w:rFonts w:hint="eastAsia"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测量前校准值</w:t>
                  </w:r>
                </w:p>
              </w:tc>
              <w:tc>
                <w:tcPr>
                  <w:tcW w:w="2824" w:type="pct"/>
                  <w:gridSpan w:val="4"/>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sz w:val="21"/>
                      <w:szCs w:val="21"/>
                      <w:highlight w:val="none"/>
                      <w:u w:val="single"/>
                      <w:lang w:val="en-US" w:eastAsia="zh-CN"/>
                    </w:rPr>
                    <w:t>93.</w:t>
                  </w:r>
                  <w:r>
                    <w:rPr>
                      <w:rFonts w:hint="eastAsia" w:ascii="Times New Roman" w:hAnsi="Times New Roman" w:eastAsia="宋体" w:cs="Times New Roman"/>
                      <w:sz w:val="21"/>
                      <w:szCs w:val="21"/>
                      <w:highlight w:val="none"/>
                      <w:u w:val="singl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175" w:type="pct"/>
                  <w:gridSpan w:val="2"/>
                  <w:tcBorders>
                    <w:tl2br w:val="nil"/>
                    <w:tr2bl w:val="nil"/>
                  </w:tcBorders>
                  <w:noWrap w:val="0"/>
                  <w:vAlign w:val="center"/>
                </w:tcPr>
                <w:p>
                  <w:pPr>
                    <w:widowControl/>
                    <w:jc w:val="center"/>
                    <w:textAlignment w:val="center"/>
                    <w:rPr>
                      <w:rFonts w:hint="eastAsia"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测量后校准值</w:t>
                  </w:r>
                </w:p>
              </w:tc>
              <w:tc>
                <w:tcPr>
                  <w:tcW w:w="2824" w:type="pct"/>
                  <w:gridSpan w:val="4"/>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sz w:val="21"/>
                      <w:szCs w:val="21"/>
                      <w:highlight w:val="none"/>
                      <w:u w:val="single"/>
                      <w:lang w:val="en-US" w:eastAsia="zh-CN"/>
                    </w:rPr>
                    <w:t>93.8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5000" w:type="pct"/>
                  <w:gridSpan w:val="6"/>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240" w:lineRule="exact"/>
                    <w:ind w:left="0" w:leftChars="0" w:right="0" w:rightChars="0" w:firstLine="0" w:firstLineChars="0"/>
                    <w:jc w:val="left"/>
                    <w:textAlignment w:val="auto"/>
                    <w:rPr>
                      <w:rFonts w:hint="default" w:ascii="宋体" w:hAnsi="宋体" w:eastAsia="宋体" w:cs="宋体"/>
                      <w:kern w:val="2"/>
                      <w:sz w:val="21"/>
                      <w:szCs w:val="21"/>
                      <w:highlight w:val="none"/>
                      <w:u w:val="single"/>
                      <w:lang w:val="en-US" w:eastAsia="zh-CN" w:bidi="ar-SA"/>
                    </w:rPr>
                  </w:pPr>
                  <w:r>
                    <w:rPr>
                      <w:rFonts w:hint="default" w:ascii="Times New Roman" w:hAnsi="Times New Roman" w:eastAsia="宋体" w:cs="Times New Roman"/>
                      <w:kern w:val="2"/>
                      <w:sz w:val="18"/>
                      <w:szCs w:val="18"/>
                      <w:highlight w:val="none"/>
                      <w:u w:val="single"/>
                      <w:vertAlign w:val="baseline"/>
                      <w:lang w:val="en-US" w:eastAsia="zh-CN" w:bidi="ar-SA"/>
                    </w:rPr>
                    <w:t>注：项目参照《声环境质量标准》</w:t>
                  </w:r>
                  <w:r>
                    <w:rPr>
                      <w:rFonts w:hint="eastAsia" w:ascii="Times New Roman" w:hAnsi="Times New Roman" w:eastAsia="宋体" w:cs="Times New Roman"/>
                      <w:kern w:val="2"/>
                      <w:sz w:val="18"/>
                      <w:szCs w:val="18"/>
                      <w:highlight w:val="none"/>
                      <w:u w:val="single"/>
                      <w:vertAlign w:val="baseline"/>
                      <w:lang w:val="en-US" w:eastAsia="zh-CN" w:bidi="ar-SA"/>
                    </w:rPr>
                    <w:t>（</w:t>
                  </w:r>
                  <w:r>
                    <w:rPr>
                      <w:rFonts w:hint="default" w:ascii="Times New Roman" w:hAnsi="Times New Roman" w:eastAsia="宋体" w:cs="Times New Roman"/>
                      <w:kern w:val="2"/>
                      <w:sz w:val="18"/>
                      <w:szCs w:val="18"/>
                      <w:highlight w:val="none"/>
                      <w:u w:val="single"/>
                      <w:vertAlign w:val="baseline"/>
                      <w:lang w:val="en-US" w:eastAsia="zh-CN" w:bidi="ar-SA"/>
                    </w:rPr>
                    <w:t>GB3096-2008</w:t>
                  </w:r>
                  <w:r>
                    <w:rPr>
                      <w:rFonts w:hint="eastAsia" w:ascii="Times New Roman" w:hAnsi="Times New Roman" w:eastAsia="宋体" w:cs="Times New Roman"/>
                      <w:kern w:val="2"/>
                      <w:sz w:val="18"/>
                      <w:szCs w:val="18"/>
                      <w:highlight w:val="none"/>
                      <w:u w:val="single"/>
                      <w:vertAlign w:val="baseline"/>
                      <w:lang w:val="en-US" w:eastAsia="zh-CN" w:bidi="ar-SA"/>
                    </w:rPr>
                    <w:t>）</w:t>
                  </w:r>
                  <w:r>
                    <w:rPr>
                      <w:rFonts w:hint="default" w:ascii="Times New Roman" w:hAnsi="Times New Roman" w:eastAsia="宋体" w:cs="Times New Roman"/>
                      <w:kern w:val="2"/>
                      <w:sz w:val="18"/>
                      <w:szCs w:val="18"/>
                      <w:highlight w:val="none"/>
                      <w:u w:val="single"/>
                      <w:vertAlign w:val="baseline"/>
                      <w:lang w:val="en-US" w:eastAsia="zh-CN" w:bidi="ar-SA"/>
                    </w:rPr>
                    <w:t>中2类标准。</w:t>
                  </w:r>
                </w:p>
              </w:tc>
            </w:tr>
          </w:tbl>
          <w:p>
            <w:pPr>
              <w:pStyle w:val="90"/>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 xml:space="preserve">                </w:t>
            </w:r>
          </w:p>
          <w:p>
            <w:pPr>
              <w:pStyle w:val="9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4"/>
                <w:u w:val="single"/>
              </w:rPr>
            </w:pPr>
            <w:r>
              <w:rPr>
                <w:rFonts w:hint="default" w:ascii="Times New Roman" w:hAnsi="Times New Roman" w:eastAsia="宋体" w:cs="Times New Roman"/>
                <w:color w:val="auto"/>
                <w:highlight w:val="none"/>
                <w:u w:val="single"/>
                <w:lang w:val="en-US" w:eastAsia="zh-CN"/>
              </w:rPr>
              <w:t>监测结果显示，项目厂界及周边敏感点均未超过《声环境质量标准》（GB3096-2008）中的2类标准，说明目前</w:t>
            </w:r>
            <w:r>
              <w:rPr>
                <w:rFonts w:hint="default" w:ascii="Times New Roman" w:hAnsi="Times New Roman" w:eastAsia="宋体" w:cs="Times New Roman"/>
                <w:b w:val="0"/>
                <w:bCs w:val="0"/>
                <w:color w:val="auto"/>
                <w:highlight w:val="none"/>
                <w:u w:val="single"/>
                <w:lang w:val="en-US" w:eastAsia="zh-CN"/>
              </w:rPr>
              <w:t>评</w:t>
            </w:r>
            <w:r>
              <w:rPr>
                <w:rFonts w:hint="default" w:ascii="Times New Roman" w:hAnsi="Times New Roman" w:eastAsia="宋体" w:cs="Times New Roman"/>
                <w:color w:val="auto"/>
                <w:highlight w:val="none"/>
                <w:u w:val="single"/>
                <w:lang w:val="en-US" w:eastAsia="zh-CN"/>
              </w:rPr>
              <w:t>价区内的声环境质量较好。本项目噪声现状监测点位图见附图。</w:t>
            </w:r>
          </w:p>
          <w:p>
            <w:pPr>
              <w:pStyle w:val="91"/>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4"/>
                <w:u w:val="none"/>
              </w:rPr>
            </w:pPr>
          </w:p>
          <w:p>
            <w:pPr>
              <w:numPr>
                <w:ilvl w:val="0"/>
                <w:numId w:val="0"/>
              </w:numPr>
              <w:spacing w:line="360" w:lineRule="auto"/>
              <w:ind w:firstLine="482" w:firstLineChars="200"/>
              <w:contextualSpacing/>
              <w:jc w:val="left"/>
              <w:rPr>
                <w:rFonts w:hint="default" w:ascii="Times New Roman" w:hAnsi="Times New Roman" w:eastAsia="宋体" w:cs="Times New Roman"/>
                <w:b/>
                <w:snapToGrid w:val="0"/>
                <w:color w:val="auto"/>
                <w:kern w:val="0"/>
                <w:sz w:val="24"/>
                <w:u w:val="none"/>
              </w:rPr>
            </w:pPr>
            <w:r>
              <w:rPr>
                <w:rFonts w:hint="default" w:ascii="Times New Roman" w:hAnsi="Times New Roman" w:eastAsia="宋体" w:cs="Times New Roman"/>
                <w:b/>
                <w:snapToGrid w:val="0"/>
                <w:color w:val="auto"/>
                <w:kern w:val="0"/>
                <w:sz w:val="24"/>
                <w:u w:val="none"/>
                <w:lang w:val="en-US" w:eastAsia="zh-CN"/>
              </w:rPr>
              <w:t>3、</w:t>
            </w:r>
            <w:r>
              <w:rPr>
                <w:rFonts w:hint="default" w:ascii="Times New Roman" w:hAnsi="Times New Roman" w:eastAsia="宋体" w:cs="Times New Roman"/>
                <w:b/>
                <w:snapToGrid w:val="0"/>
                <w:color w:val="auto"/>
                <w:kern w:val="0"/>
                <w:sz w:val="24"/>
                <w:u w:val="none"/>
              </w:rPr>
              <w:t>地表水</w:t>
            </w:r>
          </w:p>
          <w:p>
            <w:pPr>
              <w:pStyle w:val="91"/>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（1）地表水环境质量现状</w:t>
            </w:r>
          </w:p>
          <w:p>
            <w:pPr>
              <w:pStyle w:val="91"/>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根据《湖南省主要水系地表水环境功能区划》（DB43/023-2005）及岳阳市人民政府办公室文件关于印发《岳阳市水环境功能区管理规定》和《岳阳市水环境功能区划分》，</w:t>
            </w:r>
            <w:r>
              <w:rPr>
                <w:rFonts w:hint="eastAsia" w:cs="Times New Roman"/>
                <w:color w:val="auto"/>
                <w:highlight w:val="none"/>
                <w:u w:val="none"/>
                <w:lang w:val="en-US" w:eastAsia="zh-CN"/>
              </w:rPr>
              <w:t>横岭湖</w:t>
            </w:r>
            <w:r>
              <w:rPr>
                <w:rFonts w:hint="default" w:ascii="Times New Roman" w:hAnsi="Times New Roman" w:eastAsia="宋体" w:cs="Times New Roman"/>
                <w:color w:val="auto"/>
                <w:highlight w:val="none"/>
                <w:u w:val="none"/>
                <w:lang w:val="en-US" w:eastAsia="zh-CN"/>
              </w:rPr>
              <w:t>水质控制目标为《地表水环境质量标准》（GB3838-2002）的Ⅲ类标准。</w:t>
            </w:r>
          </w:p>
          <w:p>
            <w:pPr>
              <w:pStyle w:val="91"/>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（2）地表水环境</w:t>
            </w:r>
            <w:r>
              <w:rPr>
                <w:rFonts w:hint="eastAsia" w:cs="Times New Roman"/>
                <w:color w:val="auto"/>
                <w:highlight w:val="none"/>
                <w:u w:val="none"/>
                <w:lang w:val="en-US" w:eastAsia="zh-CN"/>
              </w:rPr>
              <w:t>常规监测</w:t>
            </w:r>
          </w:p>
          <w:p>
            <w:pPr>
              <w:adjustRightInd w:val="0"/>
              <w:snapToGrid w:val="0"/>
              <w:spacing w:line="360" w:lineRule="auto"/>
              <w:ind w:firstLine="480" w:firstLineChars="200"/>
              <w:rPr>
                <w:rFonts w:hint="default" w:cs="Times New Roman"/>
                <w:color w:val="auto"/>
                <w:sz w:val="24"/>
                <w:szCs w:val="24"/>
                <w:u w:val="none"/>
                <w:lang w:val="en-US" w:eastAsia="zh-CN"/>
              </w:rPr>
            </w:pPr>
            <w:r>
              <w:rPr>
                <w:rFonts w:hint="eastAsia" w:cs="Times New Roman"/>
                <w:color w:val="auto"/>
                <w:sz w:val="24"/>
                <w:szCs w:val="24"/>
                <w:u w:val="none"/>
                <w:lang w:val="en-US" w:eastAsia="zh-CN"/>
              </w:rPr>
              <w:t>根据《湘阴县青山岛横岭湖团山围闸口人工湿地工程可行性研究报告》（2023年1月）。</w:t>
            </w:r>
          </w:p>
          <w:p>
            <w:pPr>
              <w:pStyle w:val="91"/>
              <w:keepNext w:val="0"/>
              <w:keepLines w:val="0"/>
              <w:suppressLineNumbers w:val="0"/>
              <w:spacing w:before="0" w:beforeAutospacing="0" w:after="0" w:afterAutospacing="0"/>
              <w:ind w:left="0" w:right="0" w:firstLine="48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本次收集了横岭湖2018-2021 年10 月的水质常规监测结果，每月监测一次，具体结果见</w:t>
            </w:r>
            <w:r>
              <w:rPr>
                <w:rFonts w:hint="eastAsia" w:cs="Times New Roman"/>
                <w:color w:val="auto"/>
                <w:highlight w:val="none"/>
                <w:u w:val="none"/>
                <w:lang w:val="en-US" w:eastAsia="zh-CN"/>
              </w:rPr>
              <w:t>下表</w:t>
            </w:r>
            <w:r>
              <w:rPr>
                <w:rFonts w:hint="eastAsia" w:ascii="Times New Roman" w:hAnsi="Times New Roman" w:eastAsia="宋体" w:cs="Times New Roman"/>
                <w:color w:val="auto"/>
                <w:highlight w:val="none"/>
                <w:u w:val="none"/>
                <w:lang w:val="en-US" w:eastAsia="zh-CN"/>
              </w:rPr>
              <w:t>，由表可知，横岭湖近年多数月份水质处于地表水环境质量Ⅳ类标准，2018 年4 月和2019 年10月达Ⅴ类标准，整体上看，水质虽好转，但2021 年4 月、8 月总磷浓度偏高，且5 个月份处于Ⅳ类标准，根据《湖南省主要地表水系水环境功能区划》（DB43/023-2005），横岭湖水体属渔业用水区，执行《地表水环境质量标准》（GB3838-2002）Ⅲ类水标准。</w:t>
            </w: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表3-</w:t>
            </w:r>
            <w:r>
              <w:rPr>
                <w:rFonts w:hint="eastAsia" w:cs="Times New Roman"/>
                <w:b/>
                <w:bCs/>
                <w:color w:val="auto"/>
                <w:sz w:val="21"/>
                <w:szCs w:val="21"/>
                <w:highlight w:val="none"/>
                <w:u w:val="none"/>
                <w:lang w:val="en-US" w:eastAsia="zh-CN"/>
              </w:rPr>
              <w:t>5</w:t>
            </w:r>
            <w:r>
              <w:rPr>
                <w:rFonts w:hint="eastAsia" w:ascii="Times New Roman" w:hAnsi="Times New Roman" w:eastAsia="宋体" w:cs="Times New Roman"/>
                <w:b/>
                <w:bCs/>
                <w:color w:val="auto"/>
                <w:sz w:val="21"/>
                <w:szCs w:val="21"/>
                <w:highlight w:val="none"/>
                <w:u w:val="none"/>
                <w:lang w:val="en-US" w:eastAsia="zh-CN"/>
              </w:rPr>
              <w:t xml:space="preserve"> </w:t>
            </w:r>
            <w:r>
              <w:rPr>
                <w:rFonts w:hint="eastAsia" w:cs="Times New Roman"/>
                <w:b/>
                <w:bCs/>
                <w:color w:val="auto"/>
                <w:sz w:val="21"/>
                <w:szCs w:val="21"/>
                <w:highlight w:val="none"/>
                <w:u w:val="none"/>
                <w:lang w:val="en-US" w:eastAsia="zh-CN"/>
              </w:rPr>
              <w:t xml:space="preserve">                 </w:t>
            </w:r>
            <w:r>
              <w:rPr>
                <w:rFonts w:hint="eastAsia" w:ascii="Times New Roman" w:hAnsi="Times New Roman" w:eastAsia="宋体" w:cs="Times New Roman"/>
                <w:b/>
                <w:bCs/>
                <w:color w:val="auto"/>
                <w:sz w:val="21"/>
                <w:szCs w:val="21"/>
                <w:highlight w:val="none"/>
                <w:u w:val="none"/>
                <w:lang w:val="en-US" w:eastAsia="zh-CN"/>
              </w:rPr>
              <w:t>2018 年横岭湖常规监测数据</w:t>
            </w: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r>
              <w:rPr>
                <w:b/>
                <w:bCs/>
                <w:sz w:val="21"/>
                <w:szCs w:val="21"/>
                <w:u w:val="none"/>
              </w:rPr>
              <w:drawing>
                <wp:inline distT="0" distB="0" distL="114300" distR="114300">
                  <wp:extent cx="5066665" cy="2606040"/>
                  <wp:effectExtent l="0" t="0" r="635" b="381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21"/>
                          <a:stretch>
                            <a:fillRect/>
                          </a:stretch>
                        </pic:blipFill>
                        <pic:spPr>
                          <a:xfrm>
                            <a:off x="0" y="0"/>
                            <a:ext cx="5066665" cy="2606040"/>
                          </a:xfrm>
                          <a:prstGeom prst="rect">
                            <a:avLst/>
                          </a:prstGeom>
                          <a:noFill/>
                          <a:ln>
                            <a:noFill/>
                          </a:ln>
                        </pic:spPr>
                      </pic:pic>
                    </a:graphicData>
                  </a:graphic>
                </wp:inline>
              </w:drawing>
            </w: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表3-</w:t>
            </w:r>
            <w:r>
              <w:rPr>
                <w:rFonts w:hint="eastAsia" w:cs="Times New Roman"/>
                <w:b/>
                <w:bCs/>
                <w:color w:val="auto"/>
                <w:sz w:val="21"/>
                <w:szCs w:val="21"/>
                <w:highlight w:val="none"/>
                <w:u w:val="none"/>
                <w:lang w:val="en-US" w:eastAsia="zh-CN"/>
              </w:rPr>
              <w:t xml:space="preserve">6                  </w:t>
            </w:r>
            <w:r>
              <w:rPr>
                <w:rFonts w:hint="eastAsia" w:ascii="Times New Roman" w:hAnsi="Times New Roman" w:eastAsia="宋体" w:cs="Times New Roman"/>
                <w:b/>
                <w:bCs/>
                <w:color w:val="auto"/>
                <w:sz w:val="21"/>
                <w:szCs w:val="21"/>
                <w:highlight w:val="none"/>
                <w:u w:val="none"/>
                <w:lang w:val="en-US" w:eastAsia="zh-CN"/>
              </w:rPr>
              <w:t>2019 年横岭湖常规监测数据</w:t>
            </w: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r>
              <w:rPr>
                <w:b/>
                <w:bCs/>
                <w:sz w:val="21"/>
                <w:szCs w:val="21"/>
                <w:u w:val="none"/>
              </w:rPr>
              <w:drawing>
                <wp:inline distT="0" distB="0" distL="114300" distR="114300">
                  <wp:extent cx="5071745" cy="2601595"/>
                  <wp:effectExtent l="0" t="0" r="14605" b="825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22"/>
                          <a:stretch>
                            <a:fillRect/>
                          </a:stretch>
                        </pic:blipFill>
                        <pic:spPr>
                          <a:xfrm>
                            <a:off x="0" y="0"/>
                            <a:ext cx="5071745" cy="2601595"/>
                          </a:xfrm>
                          <a:prstGeom prst="rect">
                            <a:avLst/>
                          </a:prstGeom>
                          <a:noFill/>
                          <a:ln>
                            <a:noFill/>
                          </a:ln>
                        </pic:spPr>
                      </pic:pic>
                    </a:graphicData>
                  </a:graphic>
                </wp:inline>
              </w:drawing>
            </w: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表3-</w:t>
            </w:r>
            <w:r>
              <w:rPr>
                <w:rFonts w:hint="eastAsia" w:cs="Times New Roman"/>
                <w:b/>
                <w:bCs/>
                <w:color w:val="auto"/>
                <w:sz w:val="21"/>
                <w:szCs w:val="21"/>
                <w:highlight w:val="none"/>
                <w:u w:val="none"/>
                <w:lang w:val="en-US" w:eastAsia="zh-CN"/>
              </w:rPr>
              <w:t>7</w:t>
            </w:r>
            <w:r>
              <w:rPr>
                <w:rFonts w:hint="eastAsia" w:ascii="Times New Roman" w:hAnsi="Times New Roman" w:eastAsia="宋体" w:cs="Times New Roman"/>
                <w:b/>
                <w:bCs/>
                <w:color w:val="auto"/>
                <w:sz w:val="21"/>
                <w:szCs w:val="21"/>
                <w:highlight w:val="none"/>
                <w:u w:val="none"/>
                <w:lang w:val="en-US" w:eastAsia="zh-CN"/>
              </w:rPr>
              <w:t xml:space="preserve"> </w:t>
            </w:r>
            <w:r>
              <w:rPr>
                <w:rFonts w:hint="eastAsia" w:cs="Times New Roman"/>
                <w:b/>
                <w:bCs/>
                <w:color w:val="auto"/>
                <w:sz w:val="21"/>
                <w:szCs w:val="21"/>
                <w:highlight w:val="none"/>
                <w:u w:val="none"/>
                <w:lang w:val="en-US" w:eastAsia="zh-CN"/>
              </w:rPr>
              <w:t xml:space="preserve">                  </w:t>
            </w:r>
            <w:r>
              <w:rPr>
                <w:rFonts w:hint="eastAsia" w:ascii="Times New Roman" w:hAnsi="Times New Roman" w:eastAsia="宋体" w:cs="Times New Roman"/>
                <w:b/>
                <w:bCs/>
                <w:color w:val="auto"/>
                <w:sz w:val="21"/>
                <w:szCs w:val="21"/>
                <w:highlight w:val="none"/>
                <w:u w:val="none"/>
                <w:lang w:val="en-US" w:eastAsia="zh-CN"/>
              </w:rPr>
              <w:t>2020 年横岭湖常规监测数据</w:t>
            </w: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r>
              <w:rPr>
                <w:b/>
                <w:bCs/>
                <w:sz w:val="21"/>
                <w:szCs w:val="21"/>
                <w:u w:val="none"/>
              </w:rPr>
              <w:drawing>
                <wp:inline distT="0" distB="0" distL="114300" distR="114300">
                  <wp:extent cx="5070475" cy="2516505"/>
                  <wp:effectExtent l="0" t="0" r="15875" b="17145"/>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23"/>
                          <a:stretch>
                            <a:fillRect/>
                          </a:stretch>
                        </pic:blipFill>
                        <pic:spPr>
                          <a:xfrm>
                            <a:off x="0" y="0"/>
                            <a:ext cx="5070475" cy="2516505"/>
                          </a:xfrm>
                          <a:prstGeom prst="rect">
                            <a:avLst/>
                          </a:prstGeom>
                          <a:noFill/>
                          <a:ln>
                            <a:noFill/>
                          </a:ln>
                        </pic:spPr>
                      </pic:pic>
                    </a:graphicData>
                  </a:graphic>
                </wp:inline>
              </w:drawing>
            </w: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表3-</w:t>
            </w:r>
            <w:r>
              <w:rPr>
                <w:rFonts w:hint="eastAsia" w:cs="Times New Roman"/>
                <w:b/>
                <w:bCs/>
                <w:color w:val="auto"/>
                <w:sz w:val="21"/>
                <w:szCs w:val="21"/>
                <w:highlight w:val="none"/>
                <w:u w:val="none"/>
                <w:lang w:val="en-US" w:eastAsia="zh-CN"/>
              </w:rPr>
              <w:t>8</w:t>
            </w:r>
            <w:r>
              <w:rPr>
                <w:rFonts w:hint="eastAsia" w:ascii="Times New Roman" w:hAnsi="Times New Roman" w:eastAsia="宋体" w:cs="Times New Roman"/>
                <w:b/>
                <w:bCs/>
                <w:color w:val="auto"/>
                <w:sz w:val="21"/>
                <w:szCs w:val="21"/>
                <w:highlight w:val="none"/>
                <w:u w:val="none"/>
                <w:lang w:val="en-US" w:eastAsia="zh-CN"/>
              </w:rPr>
              <w:t xml:space="preserve"> </w:t>
            </w:r>
            <w:r>
              <w:rPr>
                <w:rFonts w:hint="eastAsia" w:cs="Times New Roman"/>
                <w:b/>
                <w:bCs/>
                <w:color w:val="auto"/>
                <w:sz w:val="21"/>
                <w:szCs w:val="21"/>
                <w:highlight w:val="none"/>
                <w:u w:val="none"/>
                <w:lang w:val="en-US" w:eastAsia="zh-CN"/>
              </w:rPr>
              <w:t xml:space="preserve">                 </w:t>
            </w:r>
            <w:r>
              <w:rPr>
                <w:rFonts w:hint="eastAsia" w:ascii="Times New Roman" w:hAnsi="Times New Roman" w:eastAsia="宋体" w:cs="Times New Roman"/>
                <w:b/>
                <w:bCs/>
                <w:color w:val="auto"/>
                <w:sz w:val="21"/>
                <w:szCs w:val="21"/>
                <w:highlight w:val="none"/>
                <w:u w:val="none"/>
                <w:lang w:val="en-US" w:eastAsia="zh-CN"/>
              </w:rPr>
              <w:t>2021 年横岭湖常规监测数据</w:t>
            </w: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color w:val="auto"/>
                <w:highlight w:val="none"/>
                <w:u w:val="none"/>
                <w:lang w:val="en-US" w:eastAsia="zh-CN"/>
              </w:rPr>
            </w:pPr>
            <w:r>
              <w:rPr>
                <w:b/>
                <w:bCs/>
                <w:sz w:val="21"/>
                <w:szCs w:val="21"/>
                <w:u w:val="none"/>
              </w:rPr>
              <w:drawing>
                <wp:inline distT="0" distB="0" distL="114300" distR="114300">
                  <wp:extent cx="5068570" cy="1969770"/>
                  <wp:effectExtent l="0" t="0" r="17780" b="1143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24"/>
                          <a:stretch>
                            <a:fillRect/>
                          </a:stretch>
                        </pic:blipFill>
                        <pic:spPr>
                          <a:xfrm>
                            <a:off x="0" y="0"/>
                            <a:ext cx="5068570" cy="1969770"/>
                          </a:xfrm>
                          <a:prstGeom prst="rect">
                            <a:avLst/>
                          </a:prstGeom>
                          <a:noFill/>
                          <a:ln>
                            <a:noFill/>
                          </a:ln>
                        </pic:spPr>
                      </pic:pic>
                    </a:graphicData>
                  </a:graphic>
                </wp:inline>
              </w:drawing>
            </w:r>
          </w:p>
          <w:p>
            <w:pPr>
              <w:pStyle w:val="91"/>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w:t>
            </w:r>
            <w:r>
              <w:rPr>
                <w:rFonts w:hint="eastAsia" w:cs="Times New Roman"/>
                <w:color w:val="auto"/>
                <w:highlight w:val="none"/>
                <w:u w:val="single"/>
                <w:lang w:val="en-US" w:eastAsia="zh-CN"/>
              </w:rPr>
              <w:t>3</w:t>
            </w:r>
            <w:r>
              <w:rPr>
                <w:rFonts w:hint="default" w:ascii="Times New Roman" w:hAnsi="Times New Roman" w:eastAsia="宋体" w:cs="Times New Roman"/>
                <w:color w:val="auto"/>
                <w:highlight w:val="none"/>
                <w:u w:val="single"/>
                <w:lang w:val="en-US" w:eastAsia="zh-CN"/>
              </w:rPr>
              <w:t>）地表水环境</w:t>
            </w:r>
            <w:r>
              <w:rPr>
                <w:rFonts w:hint="eastAsia" w:cs="Times New Roman"/>
                <w:color w:val="auto"/>
                <w:highlight w:val="none"/>
                <w:u w:val="single"/>
                <w:lang w:val="en-US" w:eastAsia="zh-CN"/>
              </w:rPr>
              <w:t>补充监测</w:t>
            </w:r>
          </w:p>
          <w:p>
            <w:pPr>
              <w:pStyle w:val="91"/>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本项目地表水环境现状监测，由建设单位委托</w:t>
            </w:r>
            <w:r>
              <w:rPr>
                <w:rFonts w:hint="default" w:ascii="Times New Roman" w:hAnsi="Times New Roman" w:eastAsia="宋体" w:cs="Times New Roman"/>
                <w:color w:val="auto"/>
                <w:sz w:val="24"/>
                <w:szCs w:val="21"/>
                <w:u w:val="single"/>
              </w:rPr>
              <w:t>湖南汨江检测有限公司</w:t>
            </w:r>
            <w:r>
              <w:rPr>
                <w:rFonts w:hint="default" w:ascii="Times New Roman" w:hAnsi="Times New Roman" w:eastAsia="宋体" w:cs="Times New Roman"/>
                <w:color w:val="auto"/>
                <w:highlight w:val="none"/>
                <w:u w:val="single"/>
                <w:lang w:val="en-US" w:eastAsia="zh-CN"/>
              </w:rPr>
              <w:t>进行的实测。</w:t>
            </w:r>
          </w:p>
          <w:p>
            <w:pPr>
              <w:pStyle w:val="91"/>
              <w:keepNext w:val="0"/>
              <w:keepLines w:val="0"/>
              <w:numPr>
                <w:ilvl w:val="0"/>
                <w:numId w:val="0"/>
              </w:numPr>
              <w:suppressLineNumbers w:val="0"/>
              <w:spacing w:before="0" w:beforeAutospacing="0" w:after="0" w:afterAutospacing="0"/>
              <w:ind w:leftChars="200" w:right="0" w:rightChars="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①监测点及监测项目布设</w:t>
            </w:r>
          </w:p>
          <w:p>
            <w:pPr>
              <w:pStyle w:val="90"/>
              <w:keepNext w:val="0"/>
              <w:keepLines w:val="0"/>
              <w:suppressLineNumbers w:val="0"/>
              <w:spacing w:before="0" w:beforeAutospacing="0" w:after="0" w:afterAutospacing="0"/>
              <w:ind w:right="0" w:rightChars="0" w:firstLine="0" w:firstLineChars="0"/>
              <w:jc w:val="left"/>
              <w:rPr>
                <w:rFonts w:hint="default" w:ascii="Times New Roman" w:hAnsi="Times New Roman" w:eastAsia="宋体" w:cs="Times New Roman"/>
                <w:b/>
                <w:bCs w:val="0"/>
                <w:color w:val="auto"/>
                <w:sz w:val="21"/>
                <w:szCs w:val="21"/>
                <w:highlight w:val="none"/>
                <w:u w:val="single"/>
                <w:vertAlign w:val="baseline"/>
                <w:lang w:val="en-US" w:eastAsia="zh-CN"/>
              </w:rPr>
            </w:pPr>
            <w:r>
              <w:rPr>
                <w:rFonts w:hint="default" w:ascii="Times New Roman" w:hAnsi="Times New Roman" w:eastAsia="宋体" w:cs="Times New Roman"/>
                <w:b/>
                <w:bCs w:val="0"/>
                <w:color w:val="auto"/>
                <w:sz w:val="21"/>
                <w:szCs w:val="21"/>
                <w:highlight w:val="none"/>
                <w:u w:val="single"/>
                <w:vertAlign w:val="baseline"/>
                <w:lang w:val="en-US" w:eastAsia="zh-CN"/>
              </w:rPr>
              <w:t>表3-</w:t>
            </w:r>
            <w:r>
              <w:rPr>
                <w:rFonts w:hint="eastAsia" w:cs="Times New Roman"/>
                <w:b/>
                <w:bCs w:val="0"/>
                <w:color w:val="auto"/>
                <w:sz w:val="21"/>
                <w:szCs w:val="21"/>
                <w:highlight w:val="none"/>
                <w:u w:val="single"/>
                <w:vertAlign w:val="baseline"/>
                <w:lang w:val="en-US" w:eastAsia="zh-CN"/>
              </w:rPr>
              <w:t>9</w:t>
            </w:r>
            <w:r>
              <w:rPr>
                <w:rFonts w:hint="default" w:ascii="Times New Roman" w:hAnsi="Times New Roman" w:eastAsia="宋体" w:cs="Times New Roman"/>
                <w:b/>
                <w:bCs w:val="0"/>
                <w:color w:val="auto"/>
                <w:sz w:val="21"/>
                <w:szCs w:val="21"/>
                <w:highlight w:val="none"/>
                <w:u w:val="single"/>
                <w:vertAlign w:val="baseline"/>
                <w:lang w:val="en-US" w:eastAsia="zh-CN"/>
              </w:rPr>
              <w:t xml:space="preserve">                  地表水环境监测布点一览表</w:t>
            </w:r>
          </w:p>
          <w:tbl>
            <w:tblPr>
              <w:tblStyle w:val="33"/>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910"/>
              <w:gridCol w:w="3675"/>
              <w:gridCol w:w="15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9" w:type="dxa"/>
                  <w:tcBorders>
                    <w:tl2br w:val="nil"/>
                    <w:tr2bl w:val="nil"/>
                  </w:tcBorders>
                  <w:noWrap w:val="0"/>
                  <w:vAlign w:val="center"/>
                </w:tcPr>
                <w:p>
                  <w:pPr>
                    <w:pStyle w:val="90"/>
                    <w:keepNext w:val="0"/>
                    <w:keepLines w:val="0"/>
                    <w:suppressLineNumbers w:val="0"/>
                    <w:spacing w:before="0" w:beforeAutospacing="0" w:after="0" w:afterAutospacing="0"/>
                    <w:ind w:right="0" w:rightChars="0" w:firstLine="0" w:firstLineChars="0"/>
                    <w:jc w:val="center"/>
                    <w:rPr>
                      <w:rFonts w:hint="default" w:ascii="Times New Roman" w:hAnsi="Times New Roman" w:eastAsia="宋体" w:cs="Times New Roman"/>
                      <w:b/>
                      <w:bCs w:val="0"/>
                      <w:color w:val="auto"/>
                      <w:sz w:val="21"/>
                      <w:szCs w:val="21"/>
                      <w:highlight w:val="none"/>
                      <w:u w:val="single"/>
                      <w:vertAlign w:val="baseline"/>
                      <w:lang w:val="en-US" w:eastAsia="zh-CN"/>
                    </w:rPr>
                  </w:pPr>
                  <w:r>
                    <w:rPr>
                      <w:rFonts w:hint="default" w:ascii="Times New Roman" w:hAnsi="Times New Roman" w:eastAsia="宋体" w:cs="Times New Roman"/>
                      <w:b/>
                      <w:bCs w:val="0"/>
                      <w:color w:val="auto"/>
                      <w:sz w:val="21"/>
                      <w:szCs w:val="21"/>
                      <w:highlight w:val="none"/>
                      <w:u w:val="single"/>
                      <w:vertAlign w:val="baseline"/>
                      <w:lang w:val="en-US" w:eastAsia="zh-CN"/>
                    </w:rPr>
                    <w:t>编号</w:t>
                  </w:r>
                </w:p>
              </w:tc>
              <w:tc>
                <w:tcPr>
                  <w:tcW w:w="1910" w:type="dxa"/>
                  <w:tcBorders>
                    <w:tl2br w:val="nil"/>
                    <w:tr2bl w:val="nil"/>
                  </w:tcBorders>
                  <w:noWrap w:val="0"/>
                  <w:vAlign w:val="center"/>
                </w:tcPr>
                <w:p>
                  <w:pPr>
                    <w:pStyle w:val="90"/>
                    <w:keepNext w:val="0"/>
                    <w:keepLines w:val="0"/>
                    <w:suppressLineNumbers w:val="0"/>
                    <w:spacing w:before="0" w:beforeAutospacing="0" w:after="0" w:afterAutospacing="0"/>
                    <w:ind w:right="0" w:rightChars="0" w:firstLine="0" w:firstLineChars="0"/>
                    <w:jc w:val="center"/>
                    <w:rPr>
                      <w:rFonts w:hint="default" w:ascii="Times New Roman" w:hAnsi="Times New Roman" w:eastAsia="宋体" w:cs="Times New Roman"/>
                      <w:b/>
                      <w:bCs w:val="0"/>
                      <w:color w:val="auto"/>
                      <w:sz w:val="21"/>
                      <w:szCs w:val="21"/>
                      <w:highlight w:val="none"/>
                      <w:u w:val="single"/>
                      <w:vertAlign w:val="baseline"/>
                      <w:lang w:val="en-US" w:eastAsia="zh-CN"/>
                    </w:rPr>
                  </w:pPr>
                  <w:r>
                    <w:rPr>
                      <w:rFonts w:hint="default" w:ascii="Times New Roman" w:hAnsi="Times New Roman" w:eastAsia="宋体" w:cs="Times New Roman"/>
                      <w:b/>
                      <w:bCs w:val="0"/>
                      <w:color w:val="auto"/>
                      <w:sz w:val="21"/>
                      <w:szCs w:val="21"/>
                      <w:highlight w:val="none"/>
                      <w:u w:val="single"/>
                      <w:vertAlign w:val="baseline"/>
                      <w:lang w:val="en-US" w:eastAsia="zh-CN"/>
                    </w:rPr>
                    <w:t>测点名称</w:t>
                  </w:r>
                </w:p>
              </w:tc>
              <w:tc>
                <w:tcPr>
                  <w:tcW w:w="3675" w:type="dxa"/>
                  <w:tcBorders>
                    <w:tl2br w:val="nil"/>
                    <w:tr2bl w:val="nil"/>
                  </w:tcBorders>
                  <w:noWrap w:val="0"/>
                  <w:vAlign w:val="top"/>
                </w:tcPr>
                <w:p>
                  <w:pPr>
                    <w:pStyle w:val="90"/>
                    <w:keepNext w:val="0"/>
                    <w:keepLines w:val="0"/>
                    <w:suppressLineNumbers w:val="0"/>
                    <w:spacing w:before="0" w:beforeAutospacing="0" w:after="0" w:afterAutospacing="0"/>
                    <w:ind w:right="0" w:rightChars="0" w:firstLine="0" w:firstLineChars="0"/>
                    <w:jc w:val="center"/>
                    <w:rPr>
                      <w:rFonts w:hint="default" w:ascii="Times New Roman" w:hAnsi="Times New Roman" w:eastAsia="宋体" w:cs="Times New Roman"/>
                      <w:b/>
                      <w:bCs w:val="0"/>
                      <w:color w:val="auto"/>
                      <w:sz w:val="21"/>
                      <w:szCs w:val="21"/>
                      <w:highlight w:val="none"/>
                      <w:u w:val="single"/>
                      <w:vertAlign w:val="baseline"/>
                      <w:lang w:val="en-US" w:eastAsia="zh-CN"/>
                    </w:rPr>
                  </w:pPr>
                  <w:r>
                    <w:rPr>
                      <w:rFonts w:hint="default" w:ascii="Times New Roman" w:hAnsi="Times New Roman" w:eastAsia="宋体" w:cs="Times New Roman"/>
                      <w:b/>
                      <w:bCs w:val="0"/>
                      <w:color w:val="auto"/>
                      <w:sz w:val="21"/>
                      <w:szCs w:val="21"/>
                      <w:highlight w:val="none"/>
                      <w:u w:val="single"/>
                      <w:vertAlign w:val="baseline"/>
                      <w:lang w:val="en-US" w:eastAsia="zh-CN"/>
                    </w:rPr>
                    <w:t>监测因子</w:t>
                  </w:r>
                </w:p>
              </w:tc>
              <w:tc>
                <w:tcPr>
                  <w:tcW w:w="1548" w:type="dxa"/>
                  <w:tcBorders>
                    <w:tl2br w:val="nil"/>
                    <w:tr2bl w:val="nil"/>
                  </w:tcBorders>
                  <w:noWrap w:val="0"/>
                  <w:vAlign w:val="top"/>
                </w:tcPr>
                <w:p>
                  <w:pPr>
                    <w:pStyle w:val="90"/>
                    <w:keepNext w:val="0"/>
                    <w:keepLines w:val="0"/>
                    <w:suppressLineNumbers w:val="0"/>
                    <w:spacing w:before="0" w:beforeAutospacing="0" w:after="0" w:afterAutospacing="0"/>
                    <w:ind w:right="0" w:rightChars="0" w:firstLine="0" w:firstLineChars="0"/>
                    <w:jc w:val="center"/>
                    <w:rPr>
                      <w:rFonts w:hint="default" w:ascii="Times New Roman" w:hAnsi="Times New Roman" w:eastAsia="宋体" w:cs="Times New Roman"/>
                      <w:b/>
                      <w:bCs w:val="0"/>
                      <w:color w:val="auto"/>
                      <w:sz w:val="21"/>
                      <w:szCs w:val="21"/>
                      <w:highlight w:val="none"/>
                      <w:u w:val="single"/>
                      <w:vertAlign w:val="baseline"/>
                      <w:lang w:val="en-US" w:eastAsia="zh-CN"/>
                    </w:rPr>
                  </w:pPr>
                  <w:r>
                    <w:rPr>
                      <w:rFonts w:hint="default" w:ascii="Times New Roman" w:hAnsi="Times New Roman" w:eastAsia="宋体" w:cs="Times New Roman"/>
                      <w:b/>
                      <w:bCs w:val="0"/>
                      <w:color w:val="auto"/>
                      <w:sz w:val="21"/>
                      <w:szCs w:val="21"/>
                      <w:highlight w:val="none"/>
                      <w:u w:val="single"/>
                      <w:vertAlign w:val="baseline"/>
                      <w:lang w:val="en-US" w:eastAsia="zh-CN"/>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9" w:type="dxa"/>
                  <w:tcBorders>
                    <w:tl2br w:val="nil"/>
                    <w:tr2bl w:val="nil"/>
                  </w:tcBorders>
                  <w:noWrap w:val="0"/>
                  <w:vAlign w:val="center"/>
                </w:tcPr>
                <w:p>
                  <w:pPr>
                    <w:pStyle w:val="90"/>
                    <w:keepNext w:val="0"/>
                    <w:keepLines w:val="0"/>
                    <w:suppressLineNumbers w:val="0"/>
                    <w:spacing w:before="0" w:beforeAutospacing="0" w:after="0" w:afterAutospacing="0"/>
                    <w:ind w:right="0" w:rightChars="0" w:firstLine="0" w:firstLineChars="0"/>
                    <w:jc w:val="center"/>
                    <w:rPr>
                      <w:rFonts w:hint="default" w:ascii="Times New Roman" w:hAnsi="Times New Roman" w:eastAsia="宋体" w:cs="Times New Roman"/>
                      <w:b w:val="0"/>
                      <w:bCs/>
                      <w:color w:val="auto"/>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highlight w:val="none"/>
                      <w:u w:val="single"/>
                      <w:vertAlign w:val="baseline"/>
                      <w:lang w:val="en-US" w:eastAsia="zh-CN"/>
                    </w:rPr>
                    <w:t>W1</w:t>
                  </w:r>
                </w:p>
              </w:tc>
              <w:tc>
                <w:tcPr>
                  <w:tcW w:w="1910" w:type="dxa"/>
                  <w:tcBorders>
                    <w:tl2br w:val="nil"/>
                    <w:tr2bl w:val="nil"/>
                  </w:tcBorders>
                  <w:noWrap w:val="0"/>
                  <w:vAlign w:val="center"/>
                </w:tcPr>
                <w:p>
                  <w:pPr>
                    <w:pStyle w:val="90"/>
                    <w:keepNext w:val="0"/>
                    <w:keepLines w:val="0"/>
                    <w:suppressLineNumbers w:val="0"/>
                    <w:spacing w:before="0" w:beforeAutospacing="0" w:after="0" w:afterAutospacing="0"/>
                    <w:ind w:right="0" w:rightChars="0" w:firstLine="0" w:firstLineChars="0"/>
                    <w:jc w:val="center"/>
                    <w:rPr>
                      <w:rFonts w:hint="default" w:ascii="Times New Roman" w:hAnsi="Times New Roman" w:eastAsia="宋体" w:cs="Times New Roman"/>
                      <w:b w:val="0"/>
                      <w:bCs/>
                      <w:color w:val="auto"/>
                      <w:sz w:val="21"/>
                      <w:szCs w:val="21"/>
                      <w:highlight w:val="none"/>
                      <w:u w:val="single"/>
                      <w:vertAlign w:val="baseline"/>
                      <w:lang w:val="en-US" w:eastAsia="zh-CN"/>
                    </w:rPr>
                  </w:pPr>
                  <w:r>
                    <w:rPr>
                      <w:rFonts w:hint="eastAsia" w:cs="Times New Roman"/>
                      <w:b w:val="0"/>
                      <w:bCs/>
                      <w:color w:val="auto"/>
                      <w:sz w:val="21"/>
                      <w:szCs w:val="21"/>
                      <w:highlight w:val="none"/>
                      <w:u w:val="single"/>
                      <w:vertAlign w:val="baseline"/>
                      <w:lang w:val="en-US" w:eastAsia="zh-CN"/>
                    </w:rPr>
                    <w:t>人工湿地</w:t>
                  </w:r>
                </w:p>
              </w:tc>
              <w:tc>
                <w:tcPr>
                  <w:tcW w:w="367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color w:val="auto"/>
                      <w:sz w:val="21"/>
                      <w:szCs w:val="21"/>
                      <w:highlight w:val="none"/>
                      <w:u w:val="single"/>
                      <w:vertAlign w:val="baseline"/>
                      <w:lang w:val="en-US" w:eastAsia="zh-CN"/>
                    </w:rPr>
                  </w:pPr>
                  <w:r>
                    <w:rPr>
                      <w:rFonts w:hint="eastAsia"/>
                      <w:snapToGrid w:val="0"/>
                      <w:spacing w:val="10"/>
                      <w:kern w:val="0"/>
                      <w:szCs w:val="20"/>
                      <w:u w:val="single"/>
                      <w:lang w:val="en-US" w:eastAsia="zh-CN"/>
                    </w:rPr>
                    <w:t>水温、pH值、溶解氧、化学需氧量、五日生化需氧量、悬浮物、氨氮、总磷、总氮、石油类、阴离子表面活性剂</w:t>
                  </w:r>
                </w:p>
              </w:tc>
              <w:tc>
                <w:tcPr>
                  <w:tcW w:w="1548" w:type="dxa"/>
                  <w:vMerge w:val="restart"/>
                  <w:tcBorders>
                    <w:tl2br w:val="nil"/>
                    <w:tr2bl w:val="nil"/>
                  </w:tcBorders>
                  <w:noWrap w:val="0"/>
                  <w:vAlign w:val="top"/>
                </w:tcPr>
                <w:p>
                  <w:pPr>
                    <w:pStyle w:val="90"/>
                    <w:keepNext w:val="0"/>
                    <w:keepLines w:val="0"/>
                    <w:suppressLineNumbers w:val="0"/>
                    <w:spacing w:before="0" w:beforeAutospacing="0" w:after="0" w:afterAutospacing="0"/>
                    <w:ind w:right="0" w:rightChars="0" w:firstLine="0" w:firstLineChars="0"/>
                    <w:jc w:val="center"/>
                    <w:rPr>
                      <w:rFonts w:hint="default" w:ascii="Times New Roman" w:hAnsi="Times New Roman" w:eastAsia="宋体" w:cs="Times New Roman"/>
                      <w:b w:val="0"/>
                      <w:bCs/>
                      <w:color w:val="auto"/>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highlight w:val="none"/>
                      <w:u w:val="single"/>
                      <w:vertAlign w:val="baseline"/>
                      <w:lang w:val="en-US" w:eastAsia="zh-CN"/>
                    </w:rPr>
                    <w:t>连续监测3天，每天一次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9" w:type="dxa"/>
                  <w:tcBorders>
                    <w:tl2br w:val="nil"/>
                    <w:tr2bl w:val="nil"/>
                  </w:tcBorders>
                  <w:noWrap w:val="0"/>
                  <w:vAlign w:val="center"/>
                </w:tcPr>
                <w:p>
                  <w:pPr>
                    <w:pStyle w:val="90"/>
                    <w:keepNext w:val="0"/>
                    <w:keepLines w:val="0"/>
                    <w:suppressLineNumbers w:val="0"/>
                    <w:spacing w:before="0" w:beforeAutospacing="0" w:after="0" w:afterAutospacing="0"/>
                    <w:ind w:right="0" w:rightChars="0" w:firstLine="0" w:firstLineChars="0"/>
                    <w:jc w:val="center"/>
                    <w:rPr>
                      <w:rFonts w:hint="default" w:ascii="Times New Roman" w:hAnsi="Times New Roman" w:eastAsia="宋体" w:cs="Times New Roman"/>
                      <w:b w:val="0"/>
                      <w:bCs/>
                      <w:color w:val="auto"/>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highlight w:val="none"/>
                      <w:u w:val="single"/>
                      <w:vertAlign w:val="baseline"/>
                      <w:lang w:val="en-US" w:eastAsia="zh-CN"/>
                    </w:rPr>
                    <w:t>W2</w:t>
                  </w:r>
                </w:p>
              </w:tc>
              <w:tc>
                <w:tcPr>
                  <w:tcW w:w="1910" w:type="dxa"/>
                  <w:tcBorders>
                    <w:tl2br w:val="nil"/>
                    <w:tr2bl w:val="nil"/>
                  </w:tcBorders>
                  <w:noWrap w:val="0"/>
                  <w:vAlign w:val="center"/>
                </w:tcPr>
                <w:p>
                  <w:pPr>
                    <w:pStyle w:val="90"/>
                    <w:keepNext w:val="0"/>
                    <w:keepLines w:val="0"/>
                    <w:suppressLineNumbers w:val="0"/>
                    <w:spacing w:before="0" w:beforeAutospacing="0" w:after="0" w:afterAutospacing="0"/>
                    <w:ind w:right="0" w:rightChars="0" w:firstLine="0" w:firstLineChars="0"/>
                    <w:jc w:val="center"/>
                    <w:rPr>
                      <w:rFonts w:hint="default" w:ascii="Times New Roman" w:hAnsi="Times New Roman" w:eastAsia="宋体" w:cs="Times New Roman"/>
                      <w:b w:val="0"/>
                      <w:bCs/>
                      <w:color w:val="auto"/>
                      <w:sz w:val="21"/>
                      <w:szCs w:val="21"/>
                      <w:highlight w:val="none"/>
                      <w:u w:val="single"/>
                      <w:vertAlign w:val="baseline"/>
                      <w:lang w:val="en-US" w:eastAsia="zh-CN"/>
                    </w:rPr>
                  </w:pPr>
                  <w:r>
                    <w:rPr>
                      <w:rFonts w:hint="eastAsia" w:cs="Times New Roman"/>
                      <w:b w:val="0"/>
                      <w:bCs/>
                      <w:color w:val="auto"/>
                      <w:sz w:val="21"/>
                      <w:szCs w:val="21"/>
                      <w:highlight w:val="none"/>
                      <w:u w:val="single"/>
                      <w:vertAlign w:val="baseline"/>
                      <w:lang w:val="en-US" w:eastAsia="zh-CN"/>
                    </w:rPr>
                    <w:t>水渠</w:t>
                  </w:r>
                </w:p>
              </w:tc>
              <w:tc>
                <w:tcPr>
                  <w:tcW w:w="3675" w:type="dxa"/>
                  <w:vMerge w:val="continue"/>
                  <w:tcBorders>
                    <w:tl2br w:val="nil"/>
                    <w:tr2bl w:val="nil"/>
                  </w:tcBorders>
                  <w:noWrap w:val="0"/>
                  <w:vAlign w:val="top"/>
                </w:tcPr>
                <w:p>
                  <w:pPr>
                    <w:pStyle w:val="90"/>
                    <w:keepNext w:val="0"/>
                    <w:keepLines w:val="0"/>
                    <w:suppressLineNumbers w:val="0"/>
                    <w:spacing w:before="0" w:beforeAutospacing="0" w:after="0" w:afterAutospacing="0"/>
                    <w:ind w:right="0" w:rightChars="0" w:firstLine="0" w:firstLineChars="0"/>
                    <w:jc w:val="center"/>
                    <w:rPr>
                      <w:rFonts w:hint="default" w:ascii="Times New Roman" w:hAnsi="Times New Roman" w:eastAsia="宋体" w:cs="Times New Roman"/>
                      <w:b w:val="0"/>
                      <w:bCs/>
                      <w:color w:val="auto"/>
                      <w:sz w:val="21"/>
                      <w:szCs w:val="21"/>
                      <w:highlight w:val="none"/>
                      <w:u w:val="single"/>
                      <w:vertAlign w:val="baseline"/>
                      <w:lang w:val="en-US" w:eastAsia="zh-CN"/>
                    </w:rPr>
                  </w:pPr>
                </w:p>
              </w:tc>
              <w:tc>
                <w:tcPr>
                  <w:tcW w:w="1548" w:type="dxa"/>
                  <w:vMerge w:val="continue"/>
                  <w:tcBorders>
                    <w:tl2br w:val="nil"/>
                    <w:tr2bl w:val="nil"/>
                  </w:tcBorders>
                  <w:noWrap w:val="0"/>
                  <w:vAlign w:val="top"/>
                </w:tcPr>
                <w:p>
                  <w:pPr>
                    <w:pStyle w:val="90"/>
                    <w:keepNext w:val="0"/>
                    <w:keepLines w:val="0"/>
                    <w:suppressLineNumbers w:val="0"/>
                    <w:spacing w:before="0" w:beforeAutospacing="0" w:after="0" w:afterAutospacing="0"/>
                    <w:ind w:right="0" w:rightChars="0" w:firstLine="0" w:firstLineChars="0"/>
                    <w:jc w:val="center"/>
                    <w:rPr>
                      <w:rFonts w:hint="default" w:ascii="Times New Roman" w:hAnsi="Times New Roman" w:eastAsia="宋体" w:cs="Times New Roman"/>
                      <w:b w:val="0"/>
                      <w:bCs/>
                      <w:color w:val="auto"/>
                      <w:sz w:val="21"/>
                      <w:szCs w:val="21"/>
                      <w:highlight w:val="none"/>
                      <w:u w:val="single"/>
                      <w:vertAlign w:val="baseline"/>
                      <w:lang w:val="en-US" w:eastAsia="zh-CN"/>
                    </w:rPr>
                  </w:pPr>
                </w:p>
              </w:tc>
            </w:tr>
          </w:tbl>
          <w:p>
            <w:pPr>
              <w:pStyle w:val="91"/>
              <w:keepNext w:val="0"/>
              <w:keepLines w:val="0"/>
              <w:numPr>
                <w:ilvl w:val="0"/>
                <w:numId w:val="0"/>
              </w:numPr>
              <w:suppressLineNumbers w:val="0"/>
              <w:spacing w:before="0" w:beforeAutospacing="0" w:after="0" w:afterAutospacing="0"/>
              <w:ind w:leftChars="200" w:right="0" w:rightChars="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②监测结果与评价</w:t>
            </w:r>
          </w:p>
          <w:p>
            <w:pPr>
              <w:pStyle w:val="91"/>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项目区地表水环境现状监测结果及评价见下表。</w:t>
            </w:r>
          </w:p>
          <w:p>
            <w:pPr>
              <w:pStyle w:val="91"/>
              <w:keepNext w:val="0"/>
              <w:keepLines w:val="0"/>
              <w:suppressLineNumbers w:val="0"/>
              <w:spacing w:before="0" w:beforeAutospacing="0" w:after="0" w:afterAutospacing="0" w:line="240" w:lineRule="auto"/>
              <w:ind w:left="0" w:leftChars="0" w:right="0" w:firstLine="0" w:firstLineChars="0"/>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表3-</w:t>
            </w:r>
            <w:r>
              <w:rPr>
                <w:rFonts w:hint="eastAsia" w:cs="Times New Roman"/>
                <w:b/>
                <w:bCs/>
                <w:color w:val="auto"/>
                <w:sz w:val="21"/>
                <w:szCs w:val="21"/>
                <w:highlight w:val="none"/>
                <w:u w:val="single"/>
                <w:lang w:val="en-US" w:eastAsia="zh-CN"/>
              </w:rPr>
              <w:t>10</w:t>
            </w:r>
            <w:r>
              <w:rPr>
                <w:rFonts w:hint="default" w:ascii="Times New Roman" w:hAnsi="Times New Roman" w:eastAsia="宋体" w:cs="Times New Roman"/>
                <w:b/>
                <w:bCs/>
                <w:color w:val="auto"/>
                <w:sz w:val="21"/>
                <w:szCs w:val="21"/>
                <w:highlight w:val="none"/>
                <w:u w:val="single"/>
                <w:lang w:val="en-US" w:eastAsia="zh-CN"/>
              </w:rPr>
              <w:t xml:space="preserve">      地表水环境现状监测结果及评价一览表</w:t>
            </w:r>
          </w:p>
          <w:tbl>
            <w:tblPr>
              <w:tblStyle w:val="32"/>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1309"/>
              <w:gridCol w:w="940"/>
              <w:gridCol w:w="959"/>
              <w:gridCol w:w="986"/>
              <w:gridCol w:w="950"/>
              <w:gridCol w:w="1046"/>
              <w:gridCol w:w="7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579" w:type="pct"/>
                  <w:vMerge w:val="restart"/>
                  <w:tcBorders>
                    <w:tl2br w:val="nil"/>
                    <w:tr2bl w:val="nil"/>
                  </w:tcBorders>
                  <w:noWrap w:val="0"/>
                  <w:vAlign w:val="center"/>
                </w:tcPr>
                <w:p>
                  <w:pPr>
                    <w:spacing w:beforeLines="0" w:afterLines="0"/>
                    <w:jc w:val="center"/>
                    <w:rPr>
                      <w:rFonts w:hint="default"/>
                      <w:b/>
                      <w:bCs/>
                      <w:sz w:val="21"/>
                      <w:szCs w:val="24"/>
                      <w:u w:val="single"/>
                    </w:rPr>
                  </w:pPr>
                  <w:r>
                    <w:rPr>
                      <w:rFonts w:hint="default" w:ascii="宋体" w:eastAsia="宋体"/>
                      <w:b/>
                      <w:bCs/>
                      <w:sz w:val="21"/>
                      <w:szCs w:val="24"/>
                      <w:u w:val="single"/>
                    </w:rPr>
                    <w:t>采样点位</w:t>
                  </w:r>
                </w:p>
              </w:tc>
              <w:tc>
                <w:tcPr>
                  <w:tcW w:w="834" w:type="pct"/>
                  <w:vMerge w:val="restart"/>
                  <w:tcBorders>
                    <w:tl2br w:val="nil"/>
                    <w:tr2bl w:val="nil"/>
                  </w:tcBorders>
                  <w:noWrap w:val="0"/>
                  <w:vAlign w:val="center"/>
                </w:tcPr>
                <w:p>
                  <w:pPr>
                    <w:spacing w:beforeLines="0" w:afterLines="0"/>
                    <w:jc w:val="center"/>
                    <w:rPr>
                      <w:rFonts w:hint="default"/>
                      <w:b/>
                      <w:bCs/>
                      <w:sz w:val="21"/>
                      <w:szCs w:val="24"/>
                      <w:u w:val="single"/>
                    </w:rPr>
                  </w:pPr>
                  <w:r>
                    <w:rPr>
                      <w:rFonts w:hint="default" w:ascii="宋体" w:eastAsia="宋体"/>
                      <w:b/>
                      <w:bCs/>
                      <w:sz w:val="21"/>
                      <w:szCs w:val="24"/>
                      <w:u w:val="single"/>
                    </w:rPr>
                    <w:t>检测项目</w:t>
                  </w:r>
                </w:p>
              </w:tc>
              <w:tc>
                <w:tcPr>
                  <w:tcW w:w="1837" w:type="pct"/>
                  <w:gridSpan w:val="3"/>
                  <w:tcBorders>
                    <w:tl2br w:val="nil"/>
                    <w:tr2bl w:val="nil"/>
                  </w:tcBorders>
                  <w:noWrap w:val="0"/>
                  <w:vAlign w:val="center"/>
                </w:tcPr>
                <w:p>
                  <w:pPr>
                    <w:spacing w:beforeLines="0" w:afterLines="0"/>
                    <w:jc w:val="center"/>
                    <w:rPr>
                      <w:rFonts w:hint="default" w:ascii="宋体" w:eastAsia="宋体"/>
                      <w:b/>
                      <w:bCs/>
                      <w:sz w:val="21"/>
                      <w:szCs w:val="24"/>
                      <w:u w:val="single"/>
                    </w:rPr>
                  </w:pPr>
                  <w:r>
                    <w:rPr>
                      <w:rFonts w:hint="default" w:ascii="宋体" w:eastAsia="宋体"/>
                      <w:b/>
                      <w:bCs/>
                      <w:sz w:val="21"/>
                      <w:szCs w:val="24"/>
                      <w:u w:val="single"/>
                    </w:rPr>
                    <w:t>检测结果</w:t>
                  </w:r>
                </w:p>
              </w:tc>
              <w:tc>
                <w:tcPr>
                  <w:tcW w:w="605" w:type="pct"/>
                  <w:vMerge w:val="restart"/>
                  <w:tcBorders>
                    <w:tl2br w:val="nil"/>
                    <w:tr2bl w:val="nil"/>
                  </w:tcBorders>
                  <w:noWrap w:val="0"/>
                  <w:vAlign w:val="center"/>
                </w:tcPr>
                <w:p>
                  <w:pPr>
                    <w:spacing w:beforeLines="0" w:afterLines="0"/>
                    <w:jc w:val="center"/>
                    <w:rPr>
                      <w:rFonts w:hint="default" w:ascii="宋体" w:hAnsi="Times New Roman" w:eastAsia="宋体" w:cs="Times New Roman"/>
                      <w:b/>
                      <w:bCs/>
                      <w:sz w:val="21"/>
                      <w:szCs w:val="21"/>
                      <w:u w:val="single"/>
                    </w:rPr>
                  </w:pPr>
                  <w:r>
                    <w:rPr>
                      <w:rFonts w:hint="eastAsia" w:ascii="宋体" w:hAnsi="Times New Roman" w:eastAsia="宋体" w:cs="Times New Roman"/>
                      <w:b/>
                      <w:bCs/>
                      <w:sz w:val="21"/>
                      <w:szCs w:val="21"/>
                      <w:u w:val="single"/>
                      <w:lang w:val="en-US" w:eastAsia="zh-CN"/>
                    </w:rPr>
                    <w:t>III类水体标准</w:t>
                  </w:r>
                </w:p>
              </w:tc>
              <w:tc>
                <w:tcPr>
                  <w:tcW w:w="666" w:type="pct"/>
                  <w:vMerge w:val="restart"/>
                  <w:tcBorders>
                    <w:tl2br w:val="nil"/>
                    <w:tr2bl w:val="nil"/>
                  </w:tcBorders>
                  <w:noWrap w:val="0"/>
                  <w:vAlign w:val="center"/>
                </w:tcPr>
                <w:p>
                  <w:pPr>
                    <w:spacing w:beforeLines="0" w:afterLines="0"/>
                    <w:jc w:val="center"/>
                    <w:rPr>
                      <w:rFonts w:hint="default" w:ascii="宋体" w:hAnsi="Times New Roman" w:eastAsia="宋体" w:cs="Times New Roman"/>
                      <w:b/>
                      <w:bCs/>
                      <w:kern w:val="2"/>
                      <w:sz w:val="21"/>
                      <w:szCs w:val="21"/>
                      <w:u w:val="single"/>
                      <w:lang w:val="en-US" w:eastAsia="zh-CN" w:bidi="ar-SA"/>
                    </w:rPr>
                  </w:pPr>
                  <w:r>
                    <w:rPr>
                      <w:rFonts w:hint="eastAsia" w:ascii="宋体" w:hAnsi="Times New Roman" w:eastAsia="宋体" w:cs="Times New Roman"/>
                      <w:b/>
                      <w:bCs/>
                      <w:sz w:val="21"/>
                      <w:szCs w:val="21"/>
                      <w:u w:val="single"/>
                      <w:lang w:val="en-US" w:eastAsia="zh-CN"/>
                    </w:rPr>
                    <w:t>V类水体标准</w:t>
                  </w:r>
                </w:p>
              </w:tc>
              <w:tc>
                <w:tcPr>
                  <w:tcW w:w="477" w:type="pct"/>
                  <w:vMerge w:val="restart"/>
                  <w:tcBorders>
                    <w:tl2br w:val="nil"/>
                    <w:tr2bl w:val="nil"/>
                  </w:tcBorders>
                  <w:noWrap w:val="0"/>
                  <w:vAlign w:val="center"/>
                </w:tcPr>
                <w:p>
                  <w:pPr>
                    <w:spacing w:beforeLines="0" w:afterLines="0"/>
                    <w:jc w:val="center"/>
                    <w:rPr>
                      <w:rFonts w:hint="default" w:ascii="宋体" w:hAnsi="Times New Roman" w:eastAsia="宋体" w:cs="Times New Roman"/>
                      <w:b/>
                      <w:bCs/>
                      <w:sz w:val="21"/>
                      <w:szCs w:val="21"/>
                      <w:u w:val="single"/>
                    </w:rPr>
                  </w:pPr>
                  <w:r>
                    <w:rPr>
                      <w:rFonts w:hint="default" w:ascii="宋体" w:hAnsi="Times New Roman" w:eastAsia="宋体" w:cs="Times New Roman"/>
                      <w:b/>
                      <w:bCs/>
                      <w:sz w:val="21"/>
                      <w:szCs w:val="21"/>
                      <w:u w:val="single"/>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tblHeader/>
                <w:jc w:val="center"/>
              </w:trPr>
              <w:tc>
                <w:tcPr>
                  <w:tcW w:w="579" w:type="pct"/>
                  <w:vMerge w:val="continue"/>
                  <w:tcBorders>
                    <w:tl2br w:val="nil"/>
                    <w:tr2bl w:val="nil"/>
                  </w:tcBorders>
                  <w:noWrap w:val="0"/>
                  <w:vAlign w:val="center"/>
                </w:tcPr>
                <w:p>
                  <w:pPr>
                    <w:spacing w:beforeLines="0" w:afterLines="0"/>
                    <w:jc w:val="center"/>
                    <w:rPr>
                      <w:b/>
                      <w:bCs/>
                      <w:u w:val="single"/>
                    </w:rPr>
                  </w:pPr>
                </w:p>
              </w:tc>
              <w:tc>
                <w:tcPr>
                  <w:tcW w:w="834" w:type="pct"/>
                  <w:vMerge w:val="continue"/>
                  <w:tcBorders>
                    <w:tl2br w:val="nil"/>
                    <w:tr2bl w:val="nil"/>
                  </w:tcBorders>
                  <w:noWrap w:val="0"/>
                  <w:vAlign w:val="center"/>
                </w:tcPr>
                <w:p>
                  <w:pPr>
                    <w:spacing w:beforeLines="0" w:afterLines="0"/>
                    <w:jc w:val="center"/>
                    <w:rPr>
                      <w:b/>
                      <w:bCs/>
                      <w:u w:val="single"/>
                    </w:rPr>
                  </w:pPr>
                </w:p>
              </w:tc>
              <w:tc>
                <w:tcPr>
                  <w:tcW w:w="598" w:type="pct"/>
                  <w:tcBorders>
                    <w:tl2br w:val="nil"/>
                    <w:tr2bl w:val="nil"/>
                  </w:tcBorders>
                  <w:noWrap w:val="0"/>
                  <w:vAlign w:val="center"/>
                </w:tcPr>
                <w:p>
                  <w:pPr>
                    <w:spacing w:beforeLines="0" w:afterLines="0"/>
                    <w:jc w:val="center"/>
                    <w:rPr>
                      <w:rFonts w:hint="default" w:eastAsia="宋体"/>
                      <w:b/>
                      <w:bCs/>
                      <w:u w:val="single"/>
                      <w:lang w:val="en-US" w:eastAsia="zh-CN"/>
                    </w:rPr>
                  </w:pPr>
                  <w:r>
                    <w:rPr>
                      <w:rFonts w:hint="eastAsia"/>
                      <w:b/>
                      <w:bCs/>
                      <w:u w:val="single"/>
                      <w:lang w:val="en-US" w:eastAsia="zh-CN"/>
                    </w:rPr>
                    <w:t>8月23日</w:t>
                  </w:r>
                </w:p>
              </w:tc>
              <w:tc>
                <w:tcPr>
                  <w:tcW w:w="611" w:type="pct"/>
                  <w:tcBorders>
                    <w:tl2br w:val="nil"/>
                    <w:tr2bl w:val="nil"/>
                  </w:tcBorders>
                  <w:noWrap w:val="0"/>
                  <w:vAlign w:val="center"/>
                </w:tcPr>
                <w:p>
                  <w:pPr>
                    <w:spacing w:beforeLines="0" w:afterLines="0"/>
                    <w:jc w:val="center"/>
                    <w:rPr>
                      <w:rFonts w:hint="default" w:eastAsia="宋体"/>
                      <w:b/>
                      <w:bCs/>
                      <w:u w:val="single"/>
                      <w:lang w:val="en-US" w:eastAsia="zh-CN"/>
                    </w:rPr>
                  </w:pPr>
                  <w:r>
                    <w:rPr>
                      <w:rFonts w:hint="eastAsia"/>
                      <w:b/>
                      <w:bCs/>
                      <w:u w:val="single"/>
                      <w:lang w:val="en-US" w:eastAsia="zh-CN"/>
                    </w:rPr>
                    <w:t>8月24日</w:t>
                  </w:r>
                </w:p>
              </w:tc>
              <w:tc>
                <w:tcPr>
                  <w:tcW w:w="626" w:type="pct"/>
                  <w:tcBorders>
                    <w:tl2br w:val="nil"/>
                    <w:tr2bl w:val="nil"/>
                  </w:tcBorders>
                  <w:noWrap w:val="0"/>
                  <w:vAlign w:val="center"/>
                </w:tcPr>
                <w:p>
                  <w:pPr>
                    <w:spacing w:beforeLines="0" w:afterLines="0"/>
                    <w:jc w:val="center"/>
                    <w:rPr>
                      <w:rFonts w:hint="default" w:eastAsia="宋体"/>
                      <w:b/>
                      <w:bCs/>
                      <w:u w:val="single"/>
                      <w:lang w:val="en-US" w:eastAsia="zh-CN"/>
                    </w:rPr>
                  </w:pPr>
                  <w:r>
                    <w:rPr>
                      <w:rFonts w:hint="eastAsia"/>
                      <w:b/>
                      <w:bCs/>
                      <w:u w:val="single"/>
                      <w:lang w:val="en-US" w:eastAsia="zh-CN"/>
                    </w:rPr>
                    <w:t>8月25日</w:t>
                  </w:r>
                </w:p>
              </w:tc>
              <w:tc>
                <w:tcPr>
                  <w:tcW w:w="605" w:type="pct"/>
                  <w:vMerge w:val="continue"/>
                  <w:tcBorders>
                    <w:tl2br w:val="nil"/>
                    <w:tr2bl w:val="nil"/>
                  </w:tcBorders>
                  <w:noWrap w:val="0"/>
                  <w:vAlign w:val="center"/>
                </w:tcPr>
                <w:p>
                  <w:pPr>
                    <w:spacing w:beforeLines="0" w:afterLines="0"/>
                    <w:jc w:val="center"/>
                    <w:rPr>
                      <w:u w:val="single"/>
                    </w:rPr>
                  </w:pPr>
                </w:p>
              </w:tc>
              <w:tc>
                <w:tcPr>
                  <w:tcW w:w="666" w:type="pct"/>
                  <w:vMerge w:val="continue"/>
                  <w:tcBorders>
                    <w:tl2br w:val="nil"/>
                    <w:tr2bl w:val="nil"/>
                  </w:tcBorders>
                  <w:noWrap w:val="0"/>
                  <w:vAlign w:val="center"/>
                </w:tcPr>
                <w:p>
                  <w:pPr>
                    <w:spacing w:beforeLines="0" w:afterLines="0"/>
                    <w:jc w:val="center"/>
                    <w:rPr>
                      <w:u w:val="single"/>
                    </w:rPr>
                  </w:pPr>
                </w:p>
              </w:tc>
              <w:tc>
                <w:tcPr>
                  <w:tcW w:w="477" w:type="pct"/>
                  <w:vMerge w:val="continue"/>
                  <w:tcBorders>
                    <w:tl2br w:val="nil"/>
                    <w:tr2bl w:val="nil"/>
                  </w:tcBorders>
                  <w:noWrap w:val="0"/>
                  <w:vAlign w:val="center"/>
                </w:tcPr>
                <w:p>
                  <w:pPr>
                    <w:spacing w:beforeLines="0" w:afterLines="0"/>
                    <w:jc w:val="center"/>
                    <w:rPr>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restart"/>
                  <w:tcBorders>
                    <w:tl2br w:val="nil"/>
                    <w:tr2bl w:val="nil"/>
                  </w:tcBorders>
                  <w:noWrap w:val="0"/>
                  <w:vAlign w:val="center"/>
                </w:tcPr>
                <w:p>
                  <w:pPr>
                    <w:spacing w:beforeLines="0" w:afterLines="0"/>
                    <w:jc w:val="center"/>
                    <w:rPr>
                      <w:rFonts w:hint="eastAsia" w:ascii="Times New Roman" w:hAnsi="Times New Roman" w:eastAsia="Times New Roman"/>
                      <w:sz w:val="21"/>
                      <w:szCs w:val="24"/>
                      <w:u w:val="single"/>
                      <w:lang w:val="en-US" w:eastAsia="zh-CN"/>
                    </w:rPr>
                  </w:pPr>
                  <w:r>
                    <w:rPr>
                      <w:rFonts w:hint="eastAsia" w:ascii="Times New Roman" w:hAnsi="Times New Roman" w:eastAsia="Times New Roman"/>
                      <w:sz w:val="21"/>
                      <w:szCs w:val="24"/>
                      <w:u w:val="single"/>
                      <w:lang w:val="en-US" w:eastAsia="zh-CN"/>
                    </w:rPr>
                    <w:t>W1人工湿地</w:t>
                  </w:r>
                </w:p>
                <w:p>
                  <w:pPr>
                    <w:spacing w:beforeLines="0" w:afterLines="0"/>
                    <w:jc w:val="center"/>
                    <w:rPr>
                      <w:rFonts w:hint="eastAsia" w:ascii="Times New Roman" w:hAnsi="Times New Roman" w:eastAsia="Times New Roman"/>
                      <w:sz w:val="21"/>
                      <w:szCs w:val="24"/>
                      <w:u w:val="single"/>
                    </w:rPr>
                  </w:pPr>
                </w:p>
              </w:tc>
              <w:tc>
                <w:tcPr>
                  <w:tcW w:w="834"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lang w:eastAsia="zh-CN"/>
                    </w:rPr>
                    <w:t>水温</w:t>
                  </w:r>
                </w:p>
              </w:tc>
              <w:tc>
                <w:tcPr>
                  <w:tcW w:w="598"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34.2</w:t>
                  </w:r>
                </w:p>
              </w:tc>
              <w:tc>
                <w:tcPr>
                  <w:tcW w:w="611" w:type="pct"/>
                  <w:tcBorders>
                    <w:tl2br w:val="nil"/>
                    <w:tr2bl w:val="nil"/>
                  </w:tcBorders>
                  <w:noWrap w:val="0"/>
                  <w:vAlign w:val="center"/>
                </w:tcPr>
                <w:p>
                  <w:pPr>
                    <w:spacing w:beforeLines="0" w:afterLines="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35.7</w:t>
                  </w:r>
                </w:p>
              </w:tc>
              <w:tc>
                <w:tcPr>
                  <w:tcW w:w="626" w:type="pct"/>
                  <w:tcBorders>
                    <w:tl2br w:val="nil"/>
                    <w:tr2bl w:val="nil"/>
                  </w:tcBorders>
                  <w:noWrap w:val="0"/>
                  <w:vAlign w:val="center"/>
                </w:tcPr>
                <w:p>
                  <w:pPr>
                    <w:spacing w:beforeLines="0" w:afterLines="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34.9</w:t>
                  </w:r>
                </w:p>
              </w:tc>
              <w:tc>
                <w:tcPr>
                  <w:tcW w:w="605"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eastAsia="宋体" w:cs="Times New Roman"/>
                      <w:sz w:val="21"/>
                      <w:szCs w:val="21"/>
                      <w:u w:val="single"/>
                      <w:lang w:val="en-US" w:eastAsia="zh-CN"/>
                    </w:rPr>
                    <w:t>/</w:t>
                  </w:r>
                </w:p>
              </w:tc>
              <w:tc>
                <w:tcPr>
                  <w:tcW w:w="666" w:type="pct"/>
                  <w:tcBorders>
                    <w:tl2br w:val="nil"/>
                    <w:tr2bl w:val="nil"/>
                  </w:tcBorders>
                  <w:noWrap w:val="0"/>
                  <w:vAlign w:val="center"/>
                </w:tcPr>
                <w:p>
                  <w:pPr>
                    <w:spacing w:beforeLines="0" w:afterLines="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w:t>
                  </w:r>
                </w:p>
              </w:tc>
              <w:tc>
                <w:tcPr>
                  <w:tcW w:w="477"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eastAsia="宋体" w:cs="Times New Roman"/>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tcBorders>
                    <w:tl2br w:val="nil"/>
                    <w:tr2bl w:val="nil"/>
                  </w:tcBorders>
                  <w:noWrap w:val="0"/>
                  <w:vAlign w:val="center"/>
                </w:tcPr>
                <w:p>
                  <w:pPr>
                    <w:spacing w:beforeLines="0" w:afterLines="0"/>
                    <w:jc w:val="center"/>
                    <w:rPr>
                      <w:rFonts w:hint="eastAsia" w:ascii="Times New Roman" w:hAnsi="Times New Roman" w:eastAsia="Times New Roman"/>
                      <w:sz w:val="21"/>
                      <w:szCs w:val="24"/>
                      <w:u w:val="single"/>
                    </w:rPr>
                  </w:pPr>
                </w:p>
              </w:tc>
              <w:tc>
                <w:tcPr>
                  <w:tcW w:w="834" w:type="pct"/>
                  <w:tcBorders>
                    <w:tl2br w:val="nil"/>
                    <w:tr2bl w:val="nil"/>
                  </w:tcBorders>
                  <w:noWrap w:val="0"/>
                  <w:vAlign w:val="center"/>
                </w:tcPr>
                <w:p>
                  <w:pPr>
                    <w:widowControl/>
                    <w:spacing w:beforeLines="0" w:afterLines="0" w:line="240" w:lineRule="atLeast"/>
                    <w:jc w:val="center"/>
                    <w:textAlignment w:val="center"/>
                    <w:rPr>
                      <w:rFonts w:hint="default" w:ascii="宋体" w:hAnsi="宋体" w:eastAsia="宋体" w:cs="宋体"/>
                      <w:sz w:val="21"/>
                      <w:szCs w:val="21"/>
                      <w:u w:val="single"/>
                    </w:rPr>
                  </w:pPr>
                  <w:r>
                    <w:rPr>
                      <w:rFonts w:hint="default"/>
                      <w:color w:val="000000"/>
                      <w:sz w:val="21"/>
                      <w:szCs w:val="24"/>
                      <w:u w:val="single"/>
                    </w:rPr>
                    <w:t>pH</w:t>
                  </w:r>
                  <w:r>
                    <w:rPr>
                      <w:rFonts w:hint="default" w:ascii="宋体" w:eastAsia="宋体"/>
                      <w:color w:val="000000"/>
                      <w:sz w:val="21"/>
                      <w:szCs w:val="24"/>
                      <w:u w:val="single"/>
                    </w:rPr>
                    <w:t>值</w:t>
                  </w:r>
                </w:p>
              </w:tc>
              <w:tc>
                <w:tcPr>
                  <w:tcW w:w="598" w:type="pct"/>
                  <w:tcBorders>
                    <w:tl2br w:val="nil"/>
                    <w:tr2bl w:val="nil"/>
                  </w:tcBorders>
                  <w:noWrap w:val="0"/>
                  <w:vAlign w:val="center"/>
                </w:tcPr>
                <w:p>
                  <w:pPr>
                    <w:spacing w:beforeLines="0" w:afterLines="0"/>
                    <w:jc w:val="center"/>
                    <w:rPr>
                      <w:rFonts w:hint="default" w:ascii="Times New Roman" w:hAnsi="Times New Roman" w:eastAsia="宋体"/>
                      <w:sz w:val="21"/>
                      <w:szCs w:val="24"/>
                      <w:u w:val="single"/>
                      <w:lang w:val="en-US" w:eastAsia="zh-CN"/>
                    </w:rPr>
                  </w:pPr>
                  <w:r>
                    <w:rPr>
                      <w:rFonts w:hint="eastAsia" w:ascii="Times New Roman" w:hAnsi="Times New Roman" w:eastAsia="宋体"/>
                      <w:sz w:val="21"/>
                      <w:szCs w:val="24"/>
                      <w:u w:val="single"/>
                      <w:lang w:val="en-US" w:eastAsia="zh-CN"/>
                    </w:rPr>
                    <w:t>8.3</w:t>
                  </w:r>
                </w:p>
              </w:tc>
              <w:tc>
                <w:tcPr>
                  <w:tcW w:w="611"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8.0</w:t>
                  </w:r>
                </w:p>
              </w:tc>
              <w:tc>
                <w:tcPr>
                  <w:tcW w:w="626"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8.2</w:t>
                  </w:r>
                </w:p>
              </w:tc>
              <w:tc>
                <w:tcPr>
                  <w:tcW w:w="605" w:type="pct"/>
                  <w:tcBorders>
                    <w:tl2br w:val="nil"/>
                    <w:tr2bl w:val="nil"/>
                  </w:tcBorders>
                  <w:noWrap w:val="0"/>
                  <w:vAlign w:val="center"/>
                </w:tcPr>
                <w:p>
                  <w:pPr>
                    <w:spacing w:beforeLines="0" w:afterLines="0"/>
                    <w:jc w:val="center"/>
                    <w:rPr>
                      <w:rFonts w:hint="default" w:ascii="Times New Roman" w:hAnsi="Times New Roman" w:eastAsia="Times New Roman" w:cs="Times New Roman"/>
                      <w:sz w:val="21"/>
                      <w:szCs w:val="24"/>
                      <w:u w:val="single"/>
                    </w:rPr>
                  </w:pPr>
                  <w:r>
                    <w:rPr>
                      <w:rFonts w:hint="default" w:ascii="Times New Roman" w:hAnsi="Times New Roman" w:eastAsia="宋体" w:cs="Times New Roman"/>
                      <w:sz w:val="21"/>
                      <w:szCs w:val="24"/>
                      <w:u w:val="single"/>
                    </w:rPr>
                    <w:t>6-9</w:t>
                  </w:r>
                </w:p>
              </w:tc>
              <w:tc>
                <w:tcPr>
                  <w:tcW w:w="666" w:type="pct"/>
                  <w:tcBorders>
                    <w:tl2br w:val="nil"/>
                    <w:tr2bl w:val="nil"/>
                  </w:tcBorders>
                  <w:noWrap w:val="0"/>
                  <w:vAlign w:val="center"/>
                </w:tcPr>
                <w:p>
                  <w:pPr>
                    <w:spacing w:beforeLines="0" w:afterLines="0"/>
                    <w:jc w:val="center"/>
                    <w:rPr>
                      <w:rFonts w:hint="default" w:ascii="Times New Roman" w:hAnsi="Times New Roman" w:eastAsia="宋体" w:cs="Times New Roman"/>
                      <w:sz w:val="21"/>
                      <w:szCs w:val="24"/>
                      <w:u w:val="single"/>
                      <w:lang w:val="en-US" w:eastAsia="zh-CN"/>
                    </w:rPr>
                  </w:pPr>
                  <w:r>
                    <w:rPr>
                      <w:rFonts w:hint="eastAsia" w:ascii="Times New Roman" w:hAnsi="Times New Roman" w:eastAsia="宋体" w:cs="Times New Roman"/>
                      <w:sz w:val="21"/>
                      <w:szCs w:val="24"/>
                      <w:u w:val="single"/>
                      <w:lang w:val="en-US" w:eastAsia="zh-CN"/>
                    </w:rPr>
                    <w:t>6-9</w:t>
                  </w:r>
                </w:p>
              </w:tc>
              <w:tc>
                <w:tcPr>
                  <w:tcW w:w="477" w:type="pct"/>
                  <w:tcBorders>
                    <w:tl2br w:val="nil"/>
                    <w:tr2bl w:val="nil"/>
                  </w:tcBorders>
                  <w:noWrap w:val="0"/>
                  <w:vAlign w:val="center"/>
                </w:tcPr>
                <w:p>
                  <w:pPr>
                    <w:spacing w:beforeLines="0" w:afterLines="0"/>
                    <w:jc w:val="center"/>
                    <w:rPr>
                      <w:rFonts w:hint="default"/>
                      <w:sz w:val="21"/>
                      <w:szCs w:val="24"/>
                      <w:u w:val="single"/>
                    </w:rPr>
                  </w:pPr>
                  <w:r>
                    <w:rPr>
                      <w:rFonts w:hint="default" w:ascii="宋体" w:eastAsia="宋体"/>
                      <w:sz w:val="21"/>
                      <w:szCs w:val="24"/>
                      <w:u w:val="single"/>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tcBorders>
                    <w:tl2br w:val="nil"/>
                    <w:tr2bl w:val="nil"/>
                  </w:tcBorders>
                  <w:noWrap w:val="0"/>
                  <w:vAlign w:val="center"/>
                </w:tcPr>
                <w:p>
                  <w:pPr>
                    <w:spacing w:beforeLines="0" w:afterLines="0"/>
                    <w:jc w:val="center"/>
                    <w:rPr>
                      <w:rFonts w:hint="eastAsia" w:ascii="Times New Roman" w:hAnsi="Times New Roman" w:eastAsia="Times New Roman"/>
                      <w:sz w:val="21"/>
                      <w:szCs w:val="24"/>
                      <w:u w:val="single"/>
                    </w:rPr>
                  </w:pPr>
                </w:p>
              </w:tc>
              <w:tc>
                <w:tcPr>
                  <w:tcW w:w="834" w:type="pct"/>
                  <w:tcBorders>
                    <w:tl2br w:val="nil"/>
                    <w:tr2bl w:val="nil"/>
                  </w:tcBorders>
                  <w:noWrap w:val="0"/>
                  <w:vAlign w:val="center"/>
                </w:tcPr>
                <w:p>
                  <w:pPr>
                    <w:widowControl/>
                    <w:spacing w:beforeLines="0" w:afterLines="0" w:line="240" w:lineRule="atLeast"/>
                    <w:jc w:val="center"/>
                    <w:textAlignment w:val="center"/>
                    <w:rPr>
                      <w:rFonts w:hint="eastAsia" w:eastAsia="宋体"/>
                      <w:color w:val="000000"/>
                      <w:sz w:val="21"/>
                      <w:szCs w:val="24"/>
                      <w:u w:val="single"/>
                      <w:lang w:eastAsia="zh-CN"/>
                    </w:rPr>
                  </w:pPr>
                  <w:r>
                    <w:rPr>
                      <w:rFonts w:hint="eastAsia"/>
                      <w:color w:val="000000"/>
                      <w:sz w:val="21"/>
                      <w:szCs w:val="24"/>
                      <w:u w:val="single"/>
                      <w:lang w:eastAsia="zh-CN"/>
                    </w:rPr>
                    <w:t>溶解氧</w:t>
                  </w:r>
                </w:p>
              </w:tc>
              <w:tc>
                <w:tcPr>
                  <w:tcW w:w="598"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5.6</w:t>
                  </w:r>
                </w:p>
              </w:tc>
              <w:tc>
                <w:tcPr>
                  <w:tcW w:w="611" w:type="pct"/>
                  <w:tcBorders>
                    <w:tl2br w:val="nil"/>
                    <w:tr2bl w:val="nil"/>
                  </w:tcBorders>
                  <w:noWrap w:val="0"/>
                  <w:vAlign w:val="center"/>
                </w:tcPr>
                <w:p>
                  <w:pPr>
                    <w:spacing w:beforeLines="0" w:afterLines="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5.9</w:t>
                  </w:r>
                </w:p>
              </w:tc>
              <w:tc>
                <w:tcPr>
                  <w:tcW w:w="626" w:type="pct"/>
                  <w:tcBorders>
                    <w:tl2br w:val="nil"/>
                    <w:tr2bl w:val="nil"/>
                  </w:tcBorders>
                  <w:noWrap w:val="0"/>
                  <w:vAlign w:val="center"/>
                </w:tcPr>
                <w:p>
                  <w:pPr>
                    <w:spacing w:beforeLines="0" w:afterLines="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5.0</w:t>
                  </w:r>
                </w:p>
              </w:tc>
              <w:tc>
                <w:tcPr>
                  <w:tcW w:w="605"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eastAsia="宋体" w:cs="Times New Roman"/>
                      <w:kern w:val="2"/>
                      <w:sz w:val="21"/>
                      <w:szCs w:val="21"/>
                      <w:u w:val="single"/>
                      <w:lang w:val="en-US" w:eastAsia="zh-CN" w:bidi="ar-SA"/>
                    </w:rPr>
                    <w:t>≥</w:t>
                  </w:r>
                  <w:r>
                    <w:rPr>
                      <w:rFonts w:hint="eastAsia" w:ascii="Times New Roman" w:hAnsi="Times New Roman" w:eastAsia="宋体" w:cs="Times New Roman"/>
                      <w:kern w:val="2"/>
                      <w:sz w:val="21"/>
                      <w:szCs w:val="21"/>
                      <w:u w:val="single"/>
                      <w:lang w:val="en-US" w:eastAsia="zh-CN" w:bidi="ar-SA"/>
                    </w:rPr>
                    <w:t>5</w:t>
                  </w:r>
                </w:p>
              </w:tc>
              <w:tc>
                <w:tcPr>
                  <w:tcW w:w="666"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eastAsia="宋体" w:cs="Times New Roman"/>
                      <w:kern w:val="2"/>
                      <w:sz w:val="21"/>
                      <w:szCs w:val="21"/>
                      <w:u w:val="single"/>
                      <w:lang w:val="en-US" w:eastAsia="zh-CN" w:bidi="ar-SA"/>
                    </w:rPr>
                    <w:t>≥</w:t>
                  </w:r>
                  <w:r>
                    <w:rPr>
                      <w:rFonts w:hint="eastAsia" w:ascii="Times New Roman" w:hAnsi="Times New Roman" w:eastAsia="宋体" w:cs="Times New Roman"/>
                      <w:kern w:val="2"/>
                      <w:sz w:val="21"/>
                      <w:szCs w:val="21"/>
                      <w:u w:val="single"/>
                      <w:lang w:val="en-US" w:eastAsia="zh-CN" w:bidi="ar-SA"/>
                    </w:rPr>
                    <w:t>15</w:t>
                  </w:r>
                </w:p>
              </w:tc>
              <w:tc>
                <w:tcPr>
                  <w:tcW w:w="477"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lang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tcBorders>
                    <w:tl2br w:val="nil"/>
                    <w:tr2bl w:val="nil"/>
                  </w:tcBorders>
                  <w:noWrap w:val="0"/>
                  <w:vAlign w:val="center"/>
                </w:tcPr>
                <w:p>
                  <w:pPr>
                    <w:spacing w:beforeLines="0" w:afterLines="0"/>
                    <w:jc w:val="center"/>
                    <w:rPr>
                      <w:rFonts w:hint="default"/>
                      <w:sz w:val="21"/>
                      <w:szCs w:val="24"/>
                      <w:u w:val="single"/>
                    </w:rPr>
                  </w:pPr>
                </w:p>
              </w:tc>
              <w:tc>
                <w:tcPr>
                  <w:tcW w:w="834" w:type="pct"/>
                  <w:tcBorders>
                    <w:tl2br w:val="nil"/>
                    <w:tr2bl w:val="nil"/>
                  </w:tcBorders>
                  <w:noWrap w:val="0"/>
                  <w:vAlign w:val="center"/>
                </w:tcPr>
                <w:p>
                  <w:pPr>
                    <w:widowControl/>
                    <w:spacing w:beforeLines="0" w:afterLines="0" w:line="240" w:lineRule="atLeast"/>
                    <w:jc w:val="center"/>
                    <w:textAlignment w:val="center"/>
                    <w:rPr>
                      <w:rFonts w:hint="default" w:ascii="宋体" w:hAnsi="宋体" w:eastAsia="宋体" w:cs="宋体"/>
                      <w:b/>
                      <w:bCs/>
                      <w:sz w:val="21"/>
                      <w:szCs w:val="21"/>
                      <w:u w:val="single"/>
                    </w:rPr>
                  </w:pPr>
                  <w:r>
                    <w:rPr>
                      <w:rFonts w:hint="default" w:ascii="宋体" w:hAnsi="宋体" w:eastAsia="宋体" w:cs="宋体"/>
                      <w:b/>
                      <w:bCs/>
                      <w:kern w:val="0"/>
                      <w:sz w:val="21"/>
                      <w:szCs w:val="21"/>
                      <w:u w:val="single"/>
                    </w:rPr>
                    <w:t>化学需氧量</w:t>
                  </w:r>
                </w:p>
              </w:tc>
              <w:tc>
                <w:tcPr>
                  <w:tcW w:w="598" w:type="pct"/>
                  <w:tcBorders>
                    <w:tl2br w:val="nil"/>
                    <w:tr2bl w:val="nil"/>
                  </w:tcBorders>
                  <w:noWrap w:val="0"/>
                  <w:vAlign w:val="center"/>
                </w:tcPr>
                <w:p>
                  <w:pPr>
                    <w:spacing w:beforeLines="0" w:afterLines="0"/>
                    <w:jc w:val="center"/>
                    <w:rPr>
                      <w:rFonts w:hint="default" w:ascii="Times New Roman" w:hAnsi="Times New Roman" w:eastAsia="宋体"/>
                      <w:b/>
                      <w:bCs/>
                      <w:sz w:val="21"/>
                      <w:szCs w:val="24"/>
                      <w:u w:val="single"/>
                      <w:lang w:val="en-US" w:eastAsia="zh-CN"/>
                    </w:rPr>
                  </w:pPr>
                  <w:r>
                    <w:rPr>
                      <w:rFonts w:hint="eastAsia" w:ascii="Times New Roman" w:hAnsi="Times New Roman" w:eastAsia="宋体"/>
                      <w:b/>
                      <w:bCs/>
                      <w:sz w:val="21"/>
                      <w:szCs w:val="24"/>
                      <w:u w:val="single"/>
                      <w:lang w:val="en-US" w:eastAsia="zh-CN"/>
                    </w:rPr>
                    <w:t>24</w:t>
                  </w:r>
                </w:p>
              </w:tc>
              <w:tc>
                <w:tcPr>
                  <w:tcW w:w="611" w:type="pct"/>
                  <w:tcBorders>
                    <w:tl2br w:val="nil"/>
                    <w:tr2bl w:val="nil"/>
                  </w:tcBorders>
                  <w:noWrap w:val="0"/>
                  <w:vAlign w:val="center"/>
                </w:tcPr>
                <w:p>
                  <w:pPr>
                    <w:spacing w:beforeLines="0" w:afterLines="0"/>
                    <w:jc w:val="center"/>
                    <w:rPr>
                      <w:rFonts w:hint="default" w:ascii="Times New Roman" w:hAnsi="Times New Roman" w:eastAsia="Times New Roman"/>
                      <w:b/>
                      <w:bCs/>
                      <w:kern w:val="2"/>
                      <w:sz w:val="21"/>
                      <w:szCs w:val="24"/>
                      <w:u w:val="single"/>
                      <w:lang w:val="en-US" w:eastAsia="zh-CN" w:bidi="ar-SA"/>
                    </w:rPr>
                  </w:pPr>
                  <w:r>
                    <w:rPr>
                      <w:rFonts w:hint="eastAsia" w:ascii="Times New Roman" w:hAnsi="Times New Roman" w:eastAsia="Times New Roman"/>
                      <w:b/>
                      <w:bCs/>
                      <w:kern w:val="2"/>
                      <w:sz w:val="21"/>
                      <w:szCs w:val="24"/>
                      <w:u w:val="single"/>
                      <w:lang w:val="en-US" w:eastAsia="zh-CN" w:bidi="ar-SA"/>
                    </w:rPr>
                    <w:t>23</w:t>
                  </w:r>
                </w:p>
              </w:tc>
              <w:tc>
                <w:tcPr>
                  <w:tcW w:w="626" w:type="pct"/>
                  <w:tcBorders>
                    <w:tl2br w:val="nil"/>
                    <w:tr2bl w:val="nil"/>
                  </w:tcBorders>
                  <w:noWrap w:val="0"/>
                  <w:vAlign w:val="center"/>
                </w:tcPr>
                <w:p>
                  <w:pPr>
                    <w:spacing w:beforeLines="0" w:afterLines="0"/>
                    <w:jc w:val="center"/>
                    <w:rPr>
                      <w:rFonts w:hint="default" w:ascii="Times New Roman" w:hAnsi="Times New Roman" w:eastAsia="Times New Roman"/>
                      <w:b/>
                      <w:bCs/>
                      <w:kern w:val="2"/>
                      <w:sz w:val="21"/>
                      <w:szCs w:val="24"/>
                      <w:u w:val="single"/>
                      <w:lang w:val="en-US" w:eastAsia="zh-CN" w:bidi="ar-SA"/>
                    </w:rPr>
                  </w:pPr>
                  <w:r>
                    <w:rPr>
                      <w:rFonts w:hint="eastAsia" w:ascii="Times New Roman" w:hAnsi="Times New Roman" w:eastAsia="Times New Roman"/>
                      <w:b/>
                      <w:bCs/>
                      <w:kern w:val="2"/>
                      <w:sz w:val="21"/>
                      <w:szCs w:val="24"/>
                      <w:u w:val="single"/>
                      <w:lang w:val="en-US" w:eastAsia="zh-CN" w:bidi="ar-SA"/>
                    </w:rPr>
                    <w:t>20</w:t>
                  </w:r>
                </w:p>
              </w:tc>
              <w:tc>
                <w:tcPr>
                  <w:tcW w:w="605" w:type="pct"/>
                  <w:tcBorders>
                    <w:tl2br w:val="nil"/>
                    <w:tr2bl w:val="nil"/>
                  </w:tcBorders>
                  <w:noWrap w:val="0"/>
                  <w:vAlign w:val="center"/>
                </w:tcPr>
                <w:p>
                  <w:pPr>
                    <w:spacing w:beforeLines="0" w:afterLines="0"/>
                    <w:jc w:val="center"/>
                    <w:rPr>
                      <w:rFonts w:hint="default" w:ascii="Times New Roman" w:hAnsi="Times New Roman" w:eastAsia="Times New Roman" w:cs="Times New Roman"/>
                      <w:b/>
                      <w:bCs/>
                      <w:sz w:val="21"/>
                      <w:szCs w:val="24"/>
                      <w:u w:val="single"/>
                    </w:rPr>
                  </w:pPr>
                  <w:r>
                    <w:rPr>
                      <w:rFonts w:hint="default" w:ascii="Times New Roman" w:hAnsi="Times New Roman" w:eastAsia="宋体" w:cs="Times New Roman"/>
                      <w:b/>
                      <w:bCs/>
                      <w:sz w:val="21"/>
                      <w:szCs w:val="24"/>
                      <w:u w:val="single"/>
                    </w:rPr>
                    <w:t>20</w:t>
                  </w:r>
                </w:p>
              </w:tc>
              <w:tc>
                <w:tcPr>
                  <w:tcW w:w="666" w:type="pct"/>
                  <w:tcBorders>
                    <w:tl2br w:val="nil"/>
                    <w:tr2bl w:val="nil"/>
                  </w:tcBorders>
                  <w:noWrap w:val="0"/>
                  <w:vAlign w:val="center"/>
                </w:tcPr>
                <w:p>
                  <w:pPr>
                    <w:spacing w:beforeLines="0" w:afterLines="0"/>
                    <w:jc w:val="center"/>
                    <w:rPr>
                      <w:rFonts w:hint="default" w:ascii="Times New Roman" w:hAnsi="Times New Roman" w:eastAsia="宋体" w:cs="Times New Roman"/>
                      <w:b/>
                      <w:bCs/>
                      <w:sz w:val="21"/>
                      <w:szCs w:val="24"/>
                      <w:u w:val="single"/>
                      <w:lang w:val="en-US" w:eastAsia="zh-CN"/>
                    </w:rPr>
                  </w:pPr>
                  <w:r>
                    <w:rPr>
                      <w:rFonts w:hint="eastAsia" w:ascii="Times New Roman" w:hAnsi="Times New Roman" w:eastAsia="宋体" w:cs="Times New Roman"/>
                      <w:b/>
                      <w:bCs/>
                      <w:sz w:val="21"/>
                      <w:szCs w:val="24"/>
                      <w:u w:val="single"/>
                      <w:lang w:val="en-US" w:eastAsia="zh-CN"/>
                    </w:rPr>
                    <w:t>40</w:t>
                  </w:r>
                </w:p>
              </w:tc>
              <w:tc>
                <w:tcPr>
                  <w:tcW w:w="477" w:type="pct"/>
                  <w:tcBorders>
                    <w:tl2br w:val="nil"/>
                    <w:tr2bl w:val="nil"/>
                  </w:tcBorders>
                  <w:noWrap w:val="0"/>
                  <w:vAlign w:val="center"/>
                </w:tcPr>
                <w:p>
                  <w:pPr>
                    <w:spacing w:beforeLines="0" w:afterLines="0"/>
                    <w:jc w:val="center"/>
                    <w:rPr>
                      <w:rFonts w:hint="default"/>
                      <w:b/>
                      <w:bCs/>
                      <w:kern w:val="0"/>
                      <w:sz w:val="21"/>
                      <w:szCs w:val="24"/>
                      <w:u w:val="single"/>
                    </w:rPr>
                  </w:pPr>
                  <w:r>
                    <w:rPr>
                      <w:rFonts w:hint="default"/>
                      <w:b/>
                      <w:bCs/>
                      <w:sz w:val="21"/>
                      <w:szCs w:val="24"/>
                      <w:u w:val="singl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tcBorders>
                    <w:tl2br w:val="nil"/>
                    <w:tr2bl w:val="nil"/>
                  </w:tcBorders>
                  <w:noWrap w:val="0"/>
                  <w:vAlign w:val="center"/>
                </w:tcPr>
                <w:p>
                  <w:pPr>
                    <w:spacing w:beforeLines="0" w:afterLines="0"/>
                    <w:jc w:val="center"/>
                    <w:rPr>
                      <w:rFonts w:hint="default"/>
                      <w:sz w:val="21"/>
                      <w:szCs w:val="24"/>
                      <w:u w:val="single"/>
                    </w:rPr>
                  </w:pPr>
                </w:p>
              </w:tc>
              <w:tc>
                <w:tcPr>
                  <w:tcW w:w="834" w:type="pct"/>
                  <w:tcBorders>
                    <w:tl2br w:val="nil"/>
                    <w:tr2bl w:val="nil"/>
                  </w:tcBorders>
                  <w:noWrap w:val="0"/>
                  <w:vAlign w:val="center"/>
                </w:tcPr>
                <w:p>
                  <w:pPr>
                    <w:widowControl/>
                    <w:spacing w:beforeLines="0" w:afterLines="0" w:line="240" w:lineRule="atLeast"/>
                    <w:jc w:val="center"/>
                    <w:textAlignment w:val="center"/>
                    <w:rPr>
                      <w:rFonts w:hint="default" w:ascii="宋体" w:hAnsi="宋体" w:eastAsia="宋体" w:cs="宋体"/>
                      <w:kern w:val="0"/>
                      <w:sz w:val="21"/>
                      <w:szCs w:val="21"/>
                      <w:u w:val="single"/>
                    </w:rPr>
                  </w:pPr>
                  <w:r>
                    <w:rPr>
                      <w:rFonts w:hint="default" w:ascii="宋体" w:hAnsi="宋体" w:eastAsia="宋体" w:cs="宋体"/>
                      <w:kern w:val="0"/>
                      <w:sz w:val="21"/>
                      <w:szCs w:val="21"/>
                      <w:u w:val="single"/>
                      <w:lang w:val="en-US" w:eastAsia="zh-CN"/>
                    </w:rPr>
                    <w:t>五日生化需氧量</w:t>
                  </w:r>
                </w:p>
              </w:tc>
              <w:tc>
                <w:tcPr>
                  <w:tcW w:w="598" w:type="pct"/>
                  <w:tcBorders>
                    <w:tl2br w:val="nil"/>
                    <w:tr2bl w:val="nil"/>
                  </w:tcBorders>
                  <w:noWrap w:val="0"/>
                  <w:vAlign w:val="center"/>
                </w:tcPr>
                <w:p>
                  <w:pPr>
                    <w:spacing w:beforeLines="0" w:afterLines="0"/>
                    <w:jc w:val="center"/>
                    <w:rPr>
                      <w:rFonts w:hint="default" w:ascii="Times New Roman" w:hAnsi="Times New Roman" w:eastAsia="宋体"/>
                      <w:sz w:val="21"/>
                      <w:szCs w:val="24"/>
                      <w:u w:val="single"/>
                      <w:lang w:val="en-US" w:eastAsia="zh-CN"/>
                    </w:rPr>
                  </w:pPr>
                  <w:r>
                    <w:rPr>
                      <w:rFonts w:hint="eastAsia" w:ascii="Times New Roman" w:hAnsi="Times New Roman" w:eastAsia="宋体"/>
                      <w:sz w:val="21"/>
                      <w:szCs w:val="24"/>
                      <w:u w:val="single"/>
                      <w:lang w:val="en-US" w:eastAsia="zh-CN"/>
                    </w:rPr>
                    <w:t>2.1</w:t>
                  </w:r>
                </w:p>
              </w:tc>
              <w:tc>
                <w:tcPr>
                  <w:tcW w:w="611"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2.9</w:t>
                  </w:r>
                </w:p>
              </w:tc>
              <w:tc>
                <w:tcPr>
                  <w:tcW w:w="626" w:type="pct"/>
                  <w:tcBorders>
                    <w:tl2br w:val="nil"/>
                    <w:tr2bl w:val="nil"/>
                  </w:tcBorders>
                  <w:noWrap w:val="0"/>
                  <w:vAlign w:val="center"/>
                </w:tcPr>
                <w:p>
                  <w:pPr>
                    <w:spacing w:beforeLines="0" w:afterLines="0"/>
                    <w:jc w:val="center"/>
                    <w:rPr>
                      <w:rFonts w:hint="default"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2.5</w:t>
                  </w:r>
                </w:p>
              </w:tc>
              <w:tc>
                <w:tcPr>
                  <w:tcW w:w="605" w:type="pct"/>
                  <w:tcBorders>
                    <w:tl2br w:val="nil"/>
                    <w:tr2bl w:val="nil"/>
                  </w:tcBorders>
                  <w:noWrap w:val="0"/>
                  <w:vAlign w:val="center"/>
                </w:tcPr>
                <w:p>
                  <w:pPr>
                    <w:spacing w:beforeLines="0" w:afterLines="0"/>
                    <w:jc w:val="center"/>
                    <w:rPr>
                      <w:rFonts w:hint="eastAsia" w:ascii="Times New Roman" w:hAnsi="Times New Roman" w:eastAsia="宋体" w:cs="Times New Roman"/>
                      <w:sz w:val="21"/>
                      <w:szCs w:val="24"/>
                      <w:u w:val="single"/>
                      <w:lang w:val="en-US" w:eastAsia="zh-CN"/>
                    </w:rPr>
                  </w:pPr>
                  <w:r>
                    <w:rPr>
                      <w:rFonts w:hint="eastAsia" w:ascii="Times New Roman" w:hAnsi="Times New Roman" w:eastAsia="宋体" w:cs="Times New Roman"/>
                      <w:sz w:val="21"/>
                      <w:szCs w:val="24"/>
                      <w:u w:val="single"/>
                      <w:lang w:val="en-US" w:eastAsia="zh-CN"/>
                    </w:rPr>
                    <w:t>4</w:t>
                  </w:r>
                </w:p>
              </w:tc>
              <w:tc>
                <w:tcPr>
                  <w:tcW w:w="666" w:type="pct"/>
                  <w:tcBorders>
                    <w:tl2br w:val="nil"/>
                    <w:tr2bl w:val="nil"/>
                  </w:tcBorders>
                  <w:noWrap w:val="0"/>
                  <w:vAlign w:val="center"/>
                </w:tcPr>
                <w:p>
                  <w:pPr>
                    <w:spacing w:beforeLines="0" w:afterLines="0"/>
                    <w:jc w:val="center"/>
                    <w:rPr>
                      <w:rFonts w:hint="default" w:ascii="Times New Roman" w:hAnsi="Times New Roman" w:eastAsia="宋体" w:cs="Times New Roman"/>
                      <w:sz w:val="21"/>
                      <w:szCs w:val="24"/>
                      <w:u w:val="single"/>
                      <w:lang w:val="en-US" w:eastAsia="zh-CN"/>
                    </w:rPr>
                  </w:pPr>
                  <w:r>
                    <w:rPr>
                      <w:rFonts w:hint="eastAsia" w:ascii="Times New Roman" w:hAnsi="Times New Roman" w:eastAsia="宋体" w:cs="Times New Roman"/>
                      <w:sz w:val="21"/>
                      <w:szCs w:val="24"/>
                      <w:u w:val="single"/>
                      <w:lang w:val="en-US" w:eastAsia="zh-CN"/>
                    </w:rPr>
                    <w:t>10</w:t>
                  </w:r>
                </w:p>
              </w:tc>
              <w:tc>
                <w:tcPr>
                  <w:tcW w:w="477" w:type="pct"/>
                  <w:tcBorders>
                    <w:tl2br w:val="nil"/>
                    <w:tr2bl w:val="nil"/>
                  </w:tcBorders>
                  <w:noWrap w:val="0"/>
                  <w:vAlign w:val="center"/>
                </w:tcPr>
                <w:p>
                  <w:pPr>
                    <w:spacing w:beforeLines="0" w:afterLines="0"/>
                    <w:jc w:val="center"/>
                    <w:rPr>
                      <w:rFonts w:hint="default"/>
                      <w:sz w:val="21"/>
                      <w:szCs w:val="24"/>
                      <w:u w:val="single"/>
                    </w:rPr>
                  </w:pPr>
                  <w:r>
                    <w:rPr>
                      <w:rFonts w:hint="default"/>
                      <w:sz w:val="21"/>
                      <w:szCs w:val="24"/>
                      <w:u w:val="singl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tcBorders>
                    <w:tl2br w:val="nil"/>
                    <w:tr2bl w:val="nil"/>
                  </w:tcBorders>
                  <w:noWrap w:val="0"/>
                  <w:vAlign w:val="center"/>
                </w:tcPr>
                <w:p>
                  <w:pPr>
                    <w:spacing w:beforeLines="0" w:afterLines="0"/>
                    <w:jc w:val="center"/>
                    <w:rPr>
                      <w:rFonts w:hint="default"/>
                      <w:sz w:val="21"/>
                      <w:szCs w:val="24"/>
                      <w:u w:val="single"/>
                    </w:rPr>
                  </w:pPr>
                </w:p>
              </w:tc>
              <w:tc>
                <w:tcPr>
                  <w:tcW w:w="834" w:type="pct"/>
                  <w:tcBorders>
                    <w:tl2br w:val="nil"/>
                    <w:tr2bl w:val="nil"/>
                  </w:tcBorders>
                  <w:noWrap w:val="0"/>
                  <w:vAlign w:val="center"/>
                </w:tcPr>
                <w:p>
                  <w:pPr>
                    <w:widowControl/>
                    <w:spacing w:beforeLines="0" w:afterLines="0" w:line="240" w:lineRule="atLeast"/>
                    <w:jc w:val="center"/>
                    <w:textAlignment w:val="center"/>
                    <w:rPr>
                      <w:rFonts w:hint="default" w:ascii="宋体" w:hAnsi="宋体" w:eastAsia="宋体" w:cs="宋体"/>
                      <w:kern w:val="0"/>
                      <w:sz w:val="21"/>
                      <w:szCs w:val="21"/>
                      <w:u w:val="single"/>
                      <w:lang w:val="en-US" w:eastAsia="zh-CN"/>
                    </w:rPr>
                  </w:pPr>
                  <w:r>
                    <w:rPr>
                      <w:rFonts w:hint="eastAsia" w:ascii="宋体" w:hAnsi="宋体" w:eastAsia="宋体" w:cs="宋体"/>
                      <w:kern w:val="0"/>
                      <w:sz w:val="21"/>
                      <w:szCs w:val="21"/>
                      <w:u w:val="single"/>
                      <w:lang w:val="en-US" w:eastAsia="zh-CN"/>
                    </w:rPr>
                    <w:t>悬浮物</w:t>
                  </w:r>
                </w:p>
              </w:tc>
              <w:tc>
                <w:tcPr>
                  <w:tcW w:w="598" w:type="pct"/>
                  <w:tcBorders>
                    <w:tl2br w:val="nil"/>
                    <w:tr2bl w:val="nil"/>
                  </w:tcBorders>
                  <w:noWrap w:val="0"/>
                  <w:vAlign w:val="center"/>
                </w:tcPr>
                <w:p>
                  <w:pPr>
                    <w:spacing w:beforeLines="0" w:afterLines="0"/>
                    <w:jc w:val="center"/>
                    <w:rPr>
                      <w:rFonts w:hint="default" w:ascii="Times New Roman" w:hAnsi="Times New Roman" w:eastAsia="宋体"/>
                      <w:sz w:val="21"/>
                      <w:szCs w:val="24"/>
                      <w:u w:val="single"/>
                      <w:lang w:val="en-US" w:eastAsia="zh-CN"/>
                    </w:rPr>
                  </w:pPr>
                  <w:r>
                    <w:rPr>
                      <w:rFonts w:hint="eastAsia" w:ascii="Times New Roman" w:hAnsi="Times New Roman" w:eastAsia="宋体"/>
                      <w:sz w:val="21"/>
                      <w:szCs w:val="24"/>
                      <w:u w:val="single"/>
                      <w:lang w:val="en-US" w:eastAsia="zh-CN"/>
                    </w:rPr>
                    <w:t>10</w:t>
                  </w:r>
                </w:p>
              </w:tc>
              <w:tc>
                <w:tcPr>
                  <w:tcW w:w="611"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15</w:t>
                  </w:r>
                </w:p>
              </w:tc>
              <w:tc>
                <w:tcPr>
                  <w:tcW w:w="626"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11</w:t>
                  </w:r>
                </w:p>
              </w:tc>
              <w:tc>
                <w:tcPr>
                  <w:tcW w:w="605" w:type="pct"/>
                  <w:tcBorders>
                    <w:tl2br w:val="nil"/>
                    <w:tr2bl w:val="nil"/>
                  </w:tcBorders>
                  <w:noWrap w:val="0"/>
                  <w:vAlign w:val="center"/>
                </w:tcPr>
                <w:p>
                  <w:pPr>
                    <w:spacing w:beforeLines="0" w:afterLines="0"/>
                    <w:jc w:val="center"/>
                    <w:rPr>
                      <w:rFonts w:hint="eastAsia" w:ascii="Times New Roman" w:hAnsi="Times New Roman" w:eastAsia="宋体" w:cs="Times New Roman"/>
                      <w:sz w:val="21"/>
                      <w:szCs w:val="24"/>
                      <w:u w:val="single"/>
                      <w:lang w:val="en-US" w:eastAsia="zh-CN"/>
                    </w:rPr>
                  </w:pPr>
                  <w:r>
                    <w:rPr>
                      <w:rFonts w:hint="eastAsia" w:ascii="Times New Roman" w:hAnsi="Times New Roman" w:eastAsia="宋体" w:cs="Times New Roman"/>
                      <w:sz w:val="21"/>
                      <w:szCs w:val="24"/>
                      <w:u w:val="single"/>
                      <w:lang w:val="en-US" w:eastAsia="zh-CN"/>
                    </w:rPr>
                    <w:t>/</w:t>
                  </w:r>
                </w:p>
              </w:tc>
              <w:tc>
                <w:tcPr>
                  <w:tcW w:w="666" w:type="pct"/>
                  <w:tcBorders>
                    <w:tl2br w:val="nil"/>
                    <w:tr2bl w:val="nil"/>
                  </w:tcBorders>
                  <w:noWrap w:val="0"/>
                  <w:vAlign w:val="center"/>
                </w:tcPr>
                <w:p>
                  <w:pPr>
                    <w:spacing w:beforeLines="0" w:afterLines="0"/>
                    <w:jc w:val="center"/>
                    <w:rPr>
                      <w:rFonts w:hint="default" w:ascii="Times New Roman" w:hAnsi="Times New Roman" w:eastAsia="宋体" w:cs="Times New Roman"/>
                      <w:sz w:val="21"/>
                      <w:szCs w:val="24"/>
                      <w:u w:val="single"/>
                      <w:lang w:val="en-US" w:eastAsia="zh-CN"/>
                    </w:rPr>
                  </w:pPr>
                  <w:r>
                    <w:rPr>
                      <w:rFonts w:hint="eastAsia" w:ascii="Times New Roman" w:hAnsi="Times New Roman" w:eastAsia="宋体" w:cs="Times New Roman"/>
                      <w:sz w:val="21"/>
                      <w:szCs w:val="24"/>
                      <w:u w:val="single"/>
                      <w:lang w:val="en-US" w:eastAsia="zh-CN"/>
                    </w:rPr>
                    <w:t>/</w:t>
                  </w:r>
                </w:p>
              </w:tc>
              <w:tc>
                <w:tcPr>
                  <w:tcW w:w="477" w:type="pct"/>
                  <w:tcBorders>
                    <w:tl2br w:val="nil"/>
                    <w:tr2bl w:val="nil"/>
                  </w:tcBorders>
                  <w:noWrap w:val="0"/>
                  <w:vAlign w:val="center"/>
                </w:tcPr>
                <w:p>
                  <w:pPr>
                    <w:spacing w:beforeLines="0" w:afterLines="0"/>
                    <w:jc w:val="center"/>
                    <w:rPr>
                      <w:rFonts w:hint="default"/>
                      <w:sz w:val="21"/>
                      <w:szCs w:val="24"/>
                      <w:u w:val="single"/>
                    </w:rPr>
                  </w:pPr>
                  <w:r>
                    <w:rPr>
                      <w:rFonts w:hint="default"/>
                      <w:sz w:val="21"/>
                      <w:szCs w:val="24"/>
                      <w:u w:val="singl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tcBorders>
                    <w:tl2br w:val="nil"/>
                    <w:tr2bl w:val="nil"/>
                  </w:tcBorders>
                  <w:noWrap w:val="0"/>
                  <w:vAlign w:val="center"/>
                </w:tcPr>
                <w:p>
                  <w:pPr>
                    <w:spacing w:beforeLines="0" w:afterLines="0"/>
                    <w:jc w:val="center"/>
                    <w:rPr>
                      <w:rFonts w:hint="default"/>
                      <w:sz w:val="21"/>
                      <w:szCs w:val="24"/>
                      <w:u w:val="single"/>
                    </w:rPr>
                  </w:pPr>
                </w:p>
              </w:tc>
              <w:tc>
                <w:tcPr>
                  <w:tcW w:w="834" w:type="pct"/>
                  <w:tcBorders>
                    <w:tl2br w:val="nil"/>
                    <w:tr2bl w:val="nil"/>
                  </w:tcBorders>
                  <w:noWrap w:val="0"/>
                  <w:vAlign w:val="center"/>
                </w:tcPr>
                <w:p>
                  <w:pPr>
                    <w:widowControl/>
                    <w:spacing w:beforeLines="0" w:afterLines="0" w:line="240" w:lineRule="atLeast"/>
                    <w:jc w:val="center"/>
                    <w:textAlignment w:val="center"/>
                    <w:rPr>
                      <w:rFonts w:hint="eastAsia" w:ascii="宋体" w:hAnsi="宋体" w:eastAsia="宋体" w:cs="宋体"/>
                      <w:kern w:val="0"/>
                      <w:sz w:val="21"/>
                      <w:szCs w:val="21"/>
                      <w:u w:val="single"/>
                      <w:lang w:val="en-US" w:eastAsia="zh-CN"/>
                    </w:rPr>
                  </w:pPr>
                  <w:r>
                    <w:rPr>
                      <w:rFonts w:hint="eastAsia" w:ascii="宋体" w:hAnsi="宋体" w:eastAsia="宋体" w:cs="宋体"/>
                      <w:kern w:val="0"/>
                      <w:sz w:val="21"/>
                      <w:szCs w:val="21"/>
                      <w:u w:val="single"/>
                      <w:lang w:val="en-US" w:eastAsia="zh-CN"/>
                    </w:rPr>
                    <w:t>氨氮</w:t>
                  </w:r>
                </w:p>
              </w:tc>
              <w:tc>
                <w:tcPr>
                  <w:tcW w:w="598" w:type="pct"/>
                  <w:tcBorders>
                    <w:tl2br w:val="nil"/>
                    <w:tr2bl w:val="nil"/>
                  </w:tcBorders>
                  <w:noWrap w:val="0"/>
                  <w:vAlign w:val="center"/>
                </w:tcPr>
                <w:p>
                  <w:pPr>
                    <w:spacing w:beforeLines="0" w:afterLines="0"/>
                    <w:jc w:val="center"/>
                    <w:rPr>
                      <w:rFonts w:hint="default" w:ascii="Times New Roman" w:hAnsi="Times New Roman" w:eastAsia="宋体"/>
                      <w:sz w:val="21"/>
                      <w:szCs w:val="24"/>
                      <w:u w:val="single"/>
                      <w:lang w:val="en-US" w:eastAsia="zh-CN"/>
                    </w:rPr>
                  </w:pPr>
                  <w:r>
                    <w:rPr>
                      <w:rFonts w:hint="eastAsia" w:ascii="Times New Roman" w:hAnsi="Times New Roman" w:eastAsia="宋体"/>
                      <w:sz w:val="21"/>
                      <w:szCs w:val="24"/>
                      <w:u w:val="single"/>
                      <w:lang w:val="en-US" w:eastAsia="zh-CN"/>
                    </w:rPr>
                    <w:t>0.289</w:t>
                  </w:r>
                </w:p>
              </w:tc>
              <w:tc>
                <w:tcPr>
                  <w:tcW w:w="611"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0.310</w:t>
                  </w:r>
                </w:p>
              </w:tc>
              <w:tc>
                <w:tcPr>
                  <w:tcW w:w="626"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0.263</w:t>
                  </w:r>
                </w:p>
              </w:tc>
              <w:tc>
                <w:tcPr>
                  <w:tcW w:w="605" w:type="pct"/>
                  <w:tcBorders>
                    <w:tl2br w:val="nil"/>
                    <w:tr2bl w:val="nil"/>
                  </w:tcBorders>
                  <w:noWrap w:val="0"/>
                  <w:vAlign w:val="center"/>
                </w:tcPr>
                <w:p>
                  <w:pPr>
                    <w:spacing w:beforeLines="0" w:afterLines="0"/>
                    <w:jc w:val="center"/>
                    <w:rPr>
                      <w:rFonts w:hint="default" w:ascii="Times New Roman" w:hAnsi="Times New Roman" w:eastAsia="宋体" w:cs="Times New Roman"/>
                      <w:sz w:val="21"/>
                      <w:szCs w:val="24"/>
                      <w:u w:val="single"/>
                      <w:lang w:val="en-US" w:eastAsia="zh-CN"/>
                    </w:rPr>
                  </w:pPr>
                  <w:r>
                    <w:rPr>
                      <w:rFonts w:hint="eastAsia" w:ascii="Times New Roman" w:hAnsi="Times New Roman" w:eastAsia="宋体" w:cs="Times New Roman"/>
                      <w:sz w:val="21"/>
                      <w:szCs w:val="24"/>
                      <w:u w:val="single"/>
                      <w:lang w:val="en-US" w:eastAsia="zh-CN"/>
                    </w:rPr>
                    <w:t>1.0</w:t>
                  </w:r>
                </w:p>
              </w:tc>
              <w:tc>
                <w:tcPr>
                  <w:tcW w:w="666" w:type="pct"/>
                  <w:tcBorders>
                    <w:tl2br w:val="nil"/>
                    <w:tr2bl w:val="nil"/>
                  </w:tcBorders>
                  <w:noWrap w:val="0"/>
                  <w:vAlign w:val="center"/>
                </w:tcPr>
                <w:p>
                  <w:pPr>
                    <w:spacing w:beforeLines="0" w:afterLines="0"/>
                    <w:jc w:val="center"/>
                    <w:rPr>
                      <w:rFonts w:hint="default" w:ascii="Times New Roman" w:hAnsi="Times New Roman" w:eastAsia="宋体" w:cs="Times New Roman"/>
                      <w:sz w:val="21"/>
                      <w:szCs w:val="24"/>
                      <w:u w:val="single"/>
                      <w:lang w:val="en-US" w:eastAsia="zh-CN"/>
                    </w:rPr>
                  </w:pPr>
                  <w:r>
                    <w:rPr>
                      <w:rFonts w:hint="eastAsia" w:ascii="Times New Roman" w:hAnsi="Times New Roman" w:eastAsia="宋体" w:cs="Times New Roman"/>
                      <w:sz w:val="21"/>
                      <w:szCs w:val="24"/>
                      <w:u w:val="single"/>
                      <w:lang w:val="en-US" w:eastAsia="zh-CN"/>
                    </w:rPr>
                    <w:t>2.0</w:t>
                  </w:r>
                </w:p>
              </w:tc>
              <w:tc>
                <w:tcPr>
                  <w:tcW w:w="477" w:type="pct"/>
                  <w:tcBorders>
                    <w:tl2br w:val="nil"/>
                    <w:tr2bl w:val="nil"/>
                  </w:tcBorders>
                  <w:noWrap w:val="0"/>
                  <w:vAlign w:val="center"/>
                </w:tcPr>
                <w:p>
                  <w:pPr>
                    <w:spacing w:beforeLines="0" w:afterLines="0"/>
                    <w:jc w:val="center"/>
                    <w:rPr>
                      <w:rFonts w:hint="default"/>
                      <w:sz w:val="21"/>
                      <w:szCs w:val="24"/>
                      <w:u w:val="single"/>
                    </w:rPr>
                  </w:pPr>
                  <w:r>
                    <w:rPr>
                      <w:rFonts w:hint="default"/>
                      <w:sz w:val="21"/>
                      <w:szCs w:val="24"/>
                      <w:u w:val="singl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tcBorders>
                    <w:tl2br w:val="nil"/>
                    <w:tr2bl w:val="nil"/>
                  </w:tcBorders>
                  <w:noWrap w:val="0"/>
                  <w:vAlign w:val="center"/>
                </w:tcPr>
                <w:p>
                  <w:pPr>
                    <w:spacing w:beforeLines="0" w:afterLines="0"/>
                    <w:jc w:val="center"/>
                    <w:rPr>
                      <w:rFonts w:hint="default"/>
                      <w:sz w:val="21"/>
                      <w:szCs w:val="24"/>
                      <w:u w:val="single"/>
                    </w:rPr>
                  </w:pPr>
                </w:p>
              </w:tc>
              <w:tc>
                <w:tcPr>
                  <w:tcW w:w="834" w:type="pct"/>
                  <w:tcBorders>
                    <w:tl2br w:val="nil"/>
                    <w:tr2bl w:val="nil"/>
                  </w:tcBorders>
                  <w:noWrap w:val="0"/>
                  <w:vAlign w:val="center"/>
                </w:tcPr>
                <w:p>
                  <w:pPr>
                    <w:spacing w:beforeLines="0" w:afterLines="0"/>
                    <w:jc w:val="center"/>
                    <w:rPr>
                      <w:rFonts w:hint="eastAsia" w:ascii="宋体" w:hAnsi="宋体" w:eastAsia="宋体" w:cs="宋体"/>
                      <w:kern w:val="2"/>
                      <w:sz w:val="21"/>
                      <w:szCs w:val="21"/>
                      <w:u w:val="single"/>
                      <w:lang w:val="en-US" w:eastAsia="zh-CN" w:bidi="ar-SA"/>
                    </w:rPr>
                  </w:pPr>
                  <w:r>
                    <w:rPr>
                      <w:rFonts w:hint="default" w:ascii="宋体" w:hAnsi="宋体" w:eastAsia="宋体" w:cs="宋体"/>
                      <w:sz w:val="21"/>
                      <w:szCs w:val="21"/>
                      <w:u w:val="single"/>
                    </w:rPr>
                    <w:t>总磷</w:t>
                  </w:r>
                </w:p>
              </w:tc>
              <w:tc>
                <w:tcPr>
                  <w:tcW w:w="598" w:type="pct"/>
                  <w:tcBorders>
                    <w:tl2br w:val="nil"/>
                    <w:tr2bl w:val="nil"/>
                  </w:tcBorders>
                  <w:noWrap w:val="0"/>
                  <w:vAlign w:val="center"/>
                </w:tcPr>
                <w:p>
                  <w:pPr>
                    <w:spacing w:beforeLines="0" w:afterLines="0"/>
                    <w:jc w:val="center"/>
                    <w:rPr>
                      <w:rFonts w:hint="default"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0.11</w:t>
                  </w:r>
                </w:p>
              </w:tc>
              <w:tc>
                <w:tcPr>
                  <w:tcW w:w="611"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0.10</w:t>
                  </w:r>
                </w:p>
              </w:tc>
              <w:tc>
                <w:tcPr>
                  <w:tcW w:w="626"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0.10</w:t>
                  </w:r>
                </w:p>
              </w:tc>
              <w:tc>
                <w:tcPr>
                  <w:tcW w:w="605" w:type="pct"/>
                  <w:tcBorders>
                    <w:tl2br w:val="nil"/>
                    <w:tr2bl w:val="nil"/>
                  </w:tcBorders>
                  <w:noWrap w:val="0"/>
                  <w:vAlign w:val="center"/>
                </w:tcPr>
                <w:p>
                  <w:pPr>
                    <w:spacing w:beforeLines="0" w:afterLines="0"/>
                    <w:jc w:val="center"/>
                    <w:rPr>
                      <w:rFonts w:hint="default" w:ascii="Times New Roman" w:hAnsi="Times New Roman" w:eastAsia="Times New Roman" w:cs="Times New Roman"/>
                      <w:kern w:val="2"/>
                      <w:sz w:val="21"/>
                      <w:szCs w:val="24"/>
                      <w:u w:val="single"/>
                      <w:lang w:val="en-US" w:eastAsia="zh-CN" w:bidi="ar-SA"/>
                    </w:rPr>
                  </w:pPr>
                  <w:r>
                    <w:rPr>
                      <w:rFonts w:hint="default" w:ascii="Times New Roman" w:hAnsi="Times New Roman" w:eastAsia="宋体" w:cs="Times New Roman"/>
                      <w:sz w:val="21"/>
                      <w:szCs w:val="24"/>
                      <w:u w:val="single"/>
                    </w:rPr>
                    <w:t>0.2</w:t>
                  </w:r>
                </w:p>
              </w:tc>
              <w:tc>
                <w:tcPr>
                  <w:tcW w:w="666" w:type="pct"/>
                  <w:tcBorders>
                    <w:tl2br w:val="nil"/>
                    <w:tr2bl w:val="nil"/>
                  </w:tcBorders>
                  <w:noWrap w:val="0"/>
                  <w:vAlign w:val="center"/>
                </w:tcPr>
                <w:p>
                  <w:pPr>
                    <w:spacing w:beforeLines="0" w:afterLines="0"/>
                    <w:jc w:val="center"/>
                    <w:rPr>
                      <w:rFonts w:hint="default" w:ascii="Times New Roman" w:hAnsi="Times New Roman" w:eastAsia="宋体" w:cs="Times New Roman"/>
                      <w:sz w:val="21"/>
                      <w:szCs w:val="24"/>
                      <w:u w:val="single"/>
                      <w:lang w:val="en-US" w:eastAsia="zh-CN"/>
                    </w:rPr>
                  </w:pPr>
                  <w:r>
                    <w:rPr>
                      <w:rFonts w:hint="eastAsia" w:ascii="Times New Roman" w:hAnsi="Times New Roman" w:eastAsia="宋体" w:cs="Times New Roman"/>
                      <w:sz w:val="21"/>
                      <w:szCs w:val="24"/>
                      <w:u w:val="single"/>
                      <w:lang w:val="en-US" w:eastAsia="zh-CN"/>
                    </w:rPr>
                    <w:t>0.4</w:t>
                  </w:r>
                </w:p>
              </w:tc>
              <w:tc>
                <w:tcPr>
                  <w:tcW w:w="477" w:type="pct"/>
                  <w:tcBorders>
                    <w:tl2br w:val="nil"/>
                    <w:tr2bl w:val="nil"/>
                  </w:tcBorders>
                  <w:noWrap w:val="0"/>
                  <w:vAlign w:val="center"/>
                </w:tcPr>
                <w:p>
                  <w:pPr>
                    <w:spacing w:beforeLines="0" w:afterLines="0"/>
                    <w:jc w:val="center"/>
                    <w:rPr>
                      <w:rFonts w:hint="default"/>
                      <w:kern w:val="0"/>
                      <w:sz w:val="21"/>
                      <w:szCs w:val="24"/>
                      <w:u w:val="single"/>
                      <w:lang w:val="en-US" w:eastAsia="zh-CN" w:bidi="ar-SA"/>
                    </w:rPr>
                  </w:pPr>
                  <w:r>
                    <w:rPr>
                      <w:rFonts w:hint="default"/>
                      <w:sz w:val="21"/>
                      <w:szCs w:val="24"/>
                      <w:u w:val="singl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tcBorders>
                    <w:tl2br w:val="nil"/>
                    <w:tr2bl w:val="nil"/>
                  </w:tcBorders>
                  <w:noWrap w:val="0"/>
                  <w:vAlign w:val="center"/>
                </w:tcPr>
                <w:p>
                  <w:pPr>
                    <w:spacing w:beforeLines="0" w:afterLines="0"/>
                    <w:jc w:val="center"/>
                    <w:rPr>
                      <w:rFonts w:hint="default"/>
                      <w:sz w:val="21"/>
                      <w:szCs w:val="24"/>
                      <w:u w:val="single"/>
                    </w:rPr>
                  </w:pPr>
                </w:p>
              </w:tc>
              <w:tc>
                <w:tcPr>
                  <w:tcW w:w="834" w:type="pct"/>
                  <w:tcBorders>
                    <w:tl2br w:val="nil"/>
                    <w:tr2bl w:val="nil"/>
                  </w:tcBorders>
                  <w:noWrap w:val="0"/>
                  <w:vAlign w:val="center"/>
                </w:tcPr>
                <w:p>
                  <w:pPr>
                    <w:spacing w:beforeLines="0" w:afterLines="0"/>
                    <w:jc w:val="center"/>
                    <w:rPr>
                      <w:rFonts w:hint="default" w:ascii="宋体" w:hAnsi="宋体" w:eastAsia="宋体" w:cs="宋体"/>
                      <w:b/>
                      <w:bCs/>
                      <w:sz w:val="21"/>
                      <w:szCs w:val="21"/>
                      <w:u w:val="single"/>
                    </w:rPr>
                  </w:pPr>
                  <w:r>
                    <w:rPr>
                      <w:rFonts w:hint="default" w:ascii="宋体" w:hAnsi="宋体" w:eastAsia="宋体" w:cs="宋体"/>
                      <w:b/>
                      <w:bCs/>
                      <w:sz w:val="21"/>
                      <w:szCs w:val="21"/>
                      <w:u w:val="single"/>
                    </w:rPr>
                    <w:t>总氮</w:t>
                  </w:r>
                </w:p>
              </w:tc>
              <w:tc>
                <w:tcPr>
                  <w:tcW w:w="598" w:type="pct"/>
                  <w:tcBorders>
                    <w:tl2br w:val="nil"/>
                    <w:tr2bl w:val="nil"/>
                  </w:tcBorders>
                  <w:noWrap w:val="0"/>
                  <w:vAlign w:val="center"/>
                </w:tcPr>
                <w:p>
                  <w:pPr>
                    <w:spacing w:beforeLines="0" w:afterLines="0"/>
                    <w:jc w:val="center"/>
                    <w:rPr>
                      <w:rFonts w:hint="default" w:ascii="Times New Roman" w:hAnsi="Times New Roman" w:eastAsia="宋体"/>
                      <w:b/>
                      <w:bCs/>
                      <w:sz w:val="21"/>
                      <w:szCs w:val="24"/>
                      <w:u w:val="single"/>
                      <w:lang w:val="en-US" w:eastAsia="zh-CN"/>
                    </w:rPr>
                  </w:pPr>
                  <w:r>
                    <w:rPr>
                      <w:rFonts w:hint="eastAsia" w:ascii="Times New Roman" w:hAnsi="Times New Roman" w:eastAsia="宋体"/>
                      <w:b/>
                      <w:bCs/>
                      <w:sz w:val="21"/>
                      <w:szCs w:val="24"/>
                      <w:u w:val="single"/>
                      <w:lang w:val="en-US" w:eastAsia="zh-CN"/>
                    </w:rPr>
                    <w:t>1.12</w:t>
                  </w:r>
                </w:p>
              </w:tc>
              <w:tc>
                <w:tcPr>
                  <w:tcW w:w="611" w:type="pct"/>
                  <w:tcBorders>
                    <w:tl2br w:val="nil"/>
                    <w:tr2bl w:val="nil"/>
                  </w:tcBorders>
                  <w:noWrap w:val="0"/>
                  <w:vAlign w:val="center"/>
                </w:tcPr>
                <w:p>
                  <w:pPr>
                    <w:spacing w:beforeLines="0" w:afterLines="0"/>
                    <w:jc w:val="center"/>
                    <w:rPr>
                      <w:rFonts w:hint="default" w:ascii="Times New Roman" w:hAnsi="Times New Roman" w:eastAsia="Times New Roman"/>
                      <w:b/>
                      <w:bCs/>
                      <w:kern w:val="2"/>
                      <w:sz w:val="21"/>
                      <w:szCs w:val="24"/>
                      <w:u w:val="single"/>
                      <w:lang w:val="en-US" w:eastAsia="zh-CN" w:bidi="ar-SA"/>
                    </w:rPr>
                  </w:pPr>
                  <w:r>
                    <w:rPr>
                      <w:rFonts w:hint="eastAsia" w:ascii="Times New Roman" w:hAnsi="Times New Roman" w:eastAsia="Times New Roman"/>
                      <w:b/>
                      <w:bCs/>
                      <w:kern w:val="2"/>
                      <w:sz w:val="21"/>
                      <w:szCs w:val="24"/>
                      <w:u w:val="single"/>
                      <w:lang w:val="en-US" w:eastAsia="zh-CN" w:bidi="ar-SA"/>
                    </w:rPr>
                    <w:t>1.11</w:t>
                  </w:r>
                </w:p>
              </w:tc>
              <w:tc>
                <w:tcPr>
                  <w:tcW w:w="626" w:type="pct"/>
                  <w:tcBorders>
                    <w:tl2br w:val="nil"/>
                    <w:tr2bl w:val="nil"/>
                  </w:tcBorders>
                  <w:noWrap w:val="0"/>
                  <w:vAlign w:val="center"/>
                </w:tcPr>
                <w:p>
                  <w:pPr>
                    <w:spacing w:beforeLines="0" w:afterLines="0"/>
                    <w:jc w:val="center"/>
                    <w:rPr>
                      <w:rFonts w:hint="default" w:ascii="Times New Roman" w:hAnsi="Times New Roman" w:eastAsia="Times New Roman"/>
                      <w:b/>
                      <w:bCs/>
                      <w:kern w:val="2"/>
                      <w:sz w:val="21"/>
                      <w:szCs w:val="24"/>
                      <w:u w:val="single"/>
                      <w:lang w:val="en-US" w:eastAsia="zh-CN" w:bidi="ar-SA"/>
                    </w:rPr>
                  </w:pPr>
                  <w:r>
                    <w:rPr>
                      <w:rFonts w:hint="eastAsia" w:ascii="Times New Roman" w:hAnsi="Times New Roman" w:eastAsia="Times New Roman"/>
                      <w:b/>
                      <w:bCs/>
                      <w:kern w:val="2"/>
                      <w:sz w:val="21"/>
                      <w:szCs w:val="24"/>
                      <w:u w:val="single"/>
                      <w:lang w:val="en-US" w:eastAsia="zh-CN" w:bidi="ar-SA"/>
                    </w:rPr>
                    <w:t>1.33</w:t>
                  </w:r>
                </w:p>
              </w:tc>
              <w:tc>
                <w:tcPr>
                  <w:tcW w:w="605" w:type="pct"/>
                  <w:tcBorders>
                    <w:tl2br w:val="nil"/>
                    <w:tr2bl w:val="nil"/>
                  </w:tcBorders>
                  <w:noWrap w:val="0"/>
                  <w:vAlign w:val="center"/>
                </w:tcPr>
                <w:p>
                  <w:pPr>
                    <w:spacing w:beforeLines="0" w:afterLines="0"/>
                    <w:jc w:val="center"/>
                    <w:rPr>
                      <w:rFonts w:hint="default" w:ascii="Times New Roman" w:hAnsi="Times New Roman" w:eastAsia="Times New Roman" w:cs="Times New Roman"/>
                      <w:b/>
                      <w:bCs/>
                      <w:sz w:val="21"/>
                      <w:szCs w:val="24"/>
                      <w:u w:val="single"/>
                    </w:rPr>
                  </w:pPr>
                  <w:r>
                    <w:rPr>
                      <w:rFonts w:hint="default" w:ascii="Times New Roman" w:hAnsi="Times New Roman" w:eastAsia="宋体" w:cs="Times New Roman"/>
                      <w:b/>
                      <w:bCs/>
                      <w:sz w:val="21"/>
                      <w:szCs w:val="24"/>
                      <w:u w:val="single"/>
                    </w:rPr>
                    <w:t>1.0</w:t>
                  </w:r>
                </w:p>
              </w:tc>
              <w:tc>
                <w:tcPr>
                  <w:tcW w:w="666" w:type="pct"/>
                  <w:tcBorders>
                    <w:tl2br w:val="nil"/>
                    <w:tr2bl w:val="nil"/>
                  </w:tcBorders>
                  <w:noWrap w:val="0"/>
                  <w:vAlign w:val="center"/>
                </w:tcPr>
                <w:p>
                  <w:pPr>
                    <w:spacing w:beforeLines="0" w:afterLines="0"/>
                    <w:jc w:val="center"/>
                    <w:rPr>
                      <w:rFonts w:hint="default" w:ascii="Times New Roman" w:hAnsi="Times New Roman" w:eastAsia="宋体" w:cs="Times New Roman"/>
                      <w:b/>
                      <w:bCs/>
                      <w:sz w:val="21"/>
                      <w:szCs w:val="24"/>
                      <w:u w:val="single"/>
                      <w:lang w:val="en-US" w:eastAsia="zh-CN"/>
                    </w:rPr>
                  </w:pPr>
                  <w:r>
                    <w:rPr>
                      <w:rFonts w:hint="eastAsia" w:ascii="Times New Roman" w:hAnsi="Times New Roman" w:eastAsia="宋体" w:cs="Times New Roman"/>
                      <w:b/>
                      <w:bCs/>
                      <w:sz w:val="21"/>
                      <w:szCs w:val="24"/>
                      <w:u w:val="single"/>
                      <w:lang w:val="en-US" w:eastAsia="zh-CN"/>
                    </w:rPr>
                    <w:t>2.0</w:t>
                  </w:r>
                </w:p>
              </w:tc>
              <w:tc>
                <w:tcPr>
                  <w:tcW w:w="477" w:type="pct"/>
                  <w:tcBorders>
                    <w:tl2br w:val="nil"/>
                    <w:tr2bl w:val="nil"/>
                  </w:tcBorders>
                  <w:noWrap w:val="0"/>
                  <w:vAlign w:val="center"/>
                </w:tcPr>
                <w:p>
                  <w:pPr>
                    <w:spacing w:beforeLines="0" w:afterLines="0"/>
                    <w:jc w:val="center"/>
                    <w:rPr>
                      <w:rFonts w:hint="default"/>
                      <w:b/>
                      <w:bCs/>
                      <w:kern w:val="0"/>
                      <w:sz w:val="21"/>
                      <w:szCs w:val="24"/>
                      <w:u w:val="single"/>
                    </w:rPr>
                  </w:pPr>
                  <w:r>
                    <w:rPr>
                      <w:rFonts w:hint="default"/>
                      <w:b/>
                      <w:bCs/>
                      <w:sz w:val="21"/>
                      <w:szCs w:val="24"/>
                      <w:u w:val="singl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tcBorders>
                    <w:tl2br w:val="nil"/>
                    <w:tr2bl w:val="nil"/>
                  </w:tcBorders>
                  <w:noWrap w:val="0"/>
                  <w:vAlign w:val="center"/>
                </w:tcPr>
                <w:p>
                  <w:pPr>
                    <w:spacing w:beforeLines="0" w:afterLines="0"/>
                    <w:jc w:val="center"/>
                    <w:rPr>
                      <w:rFonts w:hint="default"/>
                      <w:sz w:val="21"/>
                      <w:szCs w:val="24"/>
                      <w:u w:val="single"/>
                    </w:rPr>
                  </w:pPr>
                </w:p>
              </w:tc>
              <w:tc>
                <w:tcPr>
                  <w:tcW w:w="834" w:type="pct"/>
                  <w:tcBorders>
                    <w:tl2br w:val="nil"/>
                    <w:tr2bl w:val="nil"/>
                  </w:tcBorders>
                  <w:noWrap w:val="0"/>
                  <w:vAlign w:val="center"/>
                </w:tcPr>
                <w:p>
                  <w:pPr>
                    <w:spacing w:beforeLines="0" w:afterLines="0"/>
                    <w:jc w:val="center"/>
                    <w:rPr>
                      <w:rFonts w:hint="eastAsia" w:ascii="宋体" w:hAnsi="宋体" w:eastAsia="宋体" w:cs="宋体"/>
                      <w:sz w:val="21"/>
                      <w:szCs w:val="21"/>
                      <w:u w:val="single"/>
                      <w:lang w:eastAsia="zh-CN"/>
                    </w:rPr>
                  </w:pPr>
                  <w:r>
                    <w:rPr>
                      <w:rFonts w:hint="eastAsia" w:ascii="宋体" w:hAnsi="宋体" w:eastAsia="宋体" w:cs="宋体"/>
                      <w:sz w:val="21"/>
                      <w:szCs w:val="21"/>
                      <w:u w:val="single"/>
                      <w:lang w:eastAsia="zh-CN"/>
                    </w:rPr>
                    <w:t>石油类</w:t>
                  </w:r>
                </w:p>
              </w:tc>
              <w:tc>
                <w:tcPr>
                  <w:tcW w:w="598" w:type="pct"/>
                  <w:tcBorders>
                    <w:tl2br w:val="nil"/>
                    <w:tr2bl w:val="nil"/>
                  </w:tcBorders>
                  <w:noWrap w:val="0"/>
                  <w:vAlign w:val="center"/>
                </w:tcPr>
                <w:p>
                  <w:pPr>
                    <w:spacing w:beforeLines="0" w:afterLines="0"/>
                    <w:jc w:val="center"/>
                    <w:rPr>
                      <w:rFonts w:hint="default" w:ascii="Times New Roman" w:hAnsi="Times New Roman" w:eastAsia="宋体"/>
                      <w:sz w:val="21"/>
                      <w:szCs w:val="24"/>
                      <w:u w:val="single"/>
                      <w:lang w:val="en-US" w:eastAsia="zh-CN"/>
                    </w:rPr>
                  </w:pPr>
                  <w:r>
                    <w:rPr>
                      <w:rFonts w:hint="eastAsia" w:ascii="Times New Roman" w:hAnsi="Times New Roman" w:eastAsia="宋体"/>
                      <w:sz w:val="21"/>
                      <w:szCs w:val="24"/>
                      <w:u w:val="single"/>
                      <w:lang w:val="en-US" w:eastAsia="zh-CN"/>
                    </w:rPr>
                    <w:t>0.02</w:t>
                  </w:r>
                </w:p>
              </w:tc>
              <w:tc>
                <w:tcPr>
                  <w:tcW w:w="611"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0.01</w:t>
                  </w:r>
                </w:p>
              </w:tc>
              <w:tc>
                <w:tcPr>
                  <w:tcW w:w="626"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0.02</w:t>
                  </w:r>
                </w:p>
              </w:tc>
              <w:tc>
                <w:tcPr>
                  <w:tcW w:w="605" w:type="pct"/>
                  <w:tcBorders>
                    <w:tl2br w:val="nil"/>
                    <w:tr2bl w:val="nil"/>
                  </w:tcBorders>
                  <w:noWrap w:val="0"/>
                  <w:vAlign w:val="center"/>
                </w:tcPr>
                <w:p>
                  <w:pPr>
                    <w:spacing w:beforeLines="0" w:afterLines="0"/>
                    <w:jc w:val="center"/>
                    <w:rPr>
                      <w:rFonts w:hint="default" w:ascii="Times New Roman" w:hAnsi="Times New Roman" w:eastAsia="宋体" w:cs="Times New Roman"/>
                      <w:sz w:val="21"/>
                      <w:szCs w:val="24"/>
                      <w:u w:val="single"/>
                      <w:lang w:val="en-US" w:eastAsia="zh-CN"/>
                    </w:rPr>
                  </w:pPr>
                  <w:r>
                    <w:rPr>
                      <w:rFonts w:hint="eastAsia" w:ascii="Times New Roman" w:hAnsi="Times New Roman" w:eastAsia="宋体" w:cs="Times New Roman"/>
                      <w:sz w:val="21"/>
                      <w:szCs w:val="24"/>
                      <w:u w:val="single"/>
                      <w:lang w:val="en-US" w:eastAsia="zh-CN"/>
                    </w:rPr>
                    <w:t>0.05</w:t>
                  </w:r>
                </w:p>
              </w:tc>
              <w:tc>
                <w:tcPr>
                  <w:tcW w:w="666" w:type="pct"/>
                  <w:tcBorders>
                    <w:tl2br w:val="nil"/>
                    <w:tr2bl w:val="nil"/>
                  </w:tcBorders>
                  <w:noWrap w:val="0"/>
                  <w:vAlign w:val="center"/>
                </w:tcPr>
                <w:p>
                  <w:pPr>
                    <w:spacing w:beforeLines="0" w:afterLines="0"/>
                    <w:jc w:val="center"/>
                    <w:rPr>
                      <w:rFonts w:hint="default" w:ascii="Times New Roman" w:hAnsi="Times New Roman" w:eastAsia="宋体" w:cs="Times New Roman"/>
                      <w:sz w:val="21"/>
                      <w:szCs w:val="24"/>
                      <w:u w:val="single"/>
                      <w:lang w:val="en-US" w:eastAsia="zh-CN"/>
                    </w:rPr>
                  </w:pPr>
                  <w:r>
                    <w:rPr>
                      <w:rFonts w:hint="eastAsia" w:ascii="Times New Roman" w:hAnsi="Times New Roman" w:eastAsia="宋体" w:cs="Times New Roman"/>
                      <w:sz w:val="21"/>
                      <w:szCs w:val="24"/>
                      <w:u w:val="single"/>
                      <w:lang w:val="en-US" w:eastAsia="zh-CN"/>
                    </w:rPr>
                    <w:t>1.0</w:t>
                  </w:r>
                </w:p>
              </w:tc>
              <w:tc>
                <w:tcPr>
                  <w:tcW w:w="477" w:type="pct"/>
                  <w:tcBorders>
                    <w:tl2br w:val="nil"/>
                    <w:tr2bl w:val="nil"/>
                  </w:tcBorders>
                  <w:noWrap w:val="0"/>
                  <w:vAlign w:val="center"/>
                </w:tcPr>
                <w:p>
                  <w:pPr>
                    <w:spacing w:beforeLines="0" w:afterLines="0"/>
                    <w:jc w:val="center"/>
                    <w:rPr>
                      <w:rFonts w:hint="default"/>
                      <w:kern w:val="0"/>
                      <w:sz w:val="21"/>
                      <w:szCs w:val="24"/>
                      <w:u w:val="single"/>
                    </w:rPr>
                  </w:pPr>
                  <w:r>
                    <w:rPr>
                      <w:rFonts w:hint="default"/>
                      <w:sz w:val="21"/>
                      <w:szCs w:val="24"/>
                      <w:u w:val="singl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tcBorders>
                    <w:tl2br w:val="nil"/>
                    <w:tr2bl w:val="nil"/>
                  </w:tcBorders>
                  <w:noWrap w:val="0"/>
                  <w:vAlign w:val="center"/>
                </w:tcPr>
                <w:p>
                  <w:pPr>
                    <w:spacing w:beforeLines="0" w:afterLines="0"/>
                    <w:jc w:val="center"/>
                    <w:rPr>
                      <w:rFonts w:hint="default"/>
                      <w:sz w:val="21"/>
                      <w:szCs w:val="24"/>
                      <w:u w:val="single"/>
                    </w:rPr>
                  </w:pPr>
                </w:p>
              </w:tc>
              <w:tc>
                <w:tcPr>
                  <w:tcW w:w="834" w:type="pct"/>
                  <w:tcBorders>
                    <w:tl2br w:val="nil"/>
                    <w:tr2bl w:val="nil"/>
                  </w:tcBorders>
                  <w:noWrap w:val="0"/>
                  <w:vAlign w:val="center"/>
                </w:tcPr>
                <w:p>
                  <w:pPr>
                    <w:spacing w:beforeLines="0" w:afterLines="0"/>
                    <w:jc w:val="center"/>
                    <w:rPr>
                      <w:rFonts w:hint="default" w:ascii="宋体" w:hAnsi="宋体" w:eastAsia="宋体" w:cs="宋体"/>
                      <w:sz w:val="21"/>
                      <w:szCs w:val="21"/>
                      <w:u w:val="single"/>
                    </w:rPr>
                  </w:pPr>
                  <w:r>
                    <w:rPr>
                      <w:rFonts w:hint="default" w:ascii="宋体" w:hAnsi="宋体" w:eastAsia="宋体" w:cs="宋体"/>
                      <w:sz w:val="21"/>
                      <w:szCs w:val="21"/>
                      <w:u w:val="single"/>
                      <w:lang w:val="en-US" w:eastAsia="zh-CN"/>
                    </w:rPr>
                    <w:t>阴离子表面活性剂</w:t>
                  </w:r>
                </w:p>
              </w:tc>
              <w:tc>
                <w:tcPr>
                  <w:tcW w:w="598" w:type="pct"/>
                  <w:tcBorders>
                    <w:tl2br w:val="nil"/>
                    <w:tr2bl w:val="nil"/>
                  </w:tcBorders>
                  <w:noWrap w:val="0"/>
                  <w:vAlign w:val="center"/>
                </w:tcPr>
                <w:p>
                  <w:pPr>
                    <w:spacing w:beforeLines="0" w:afterLines="0"/>
                    <w:jc w:val="center"/>
                    <w:rPr>
                      <w:rFonts w:hint="default" w:ascii="Times New Roman" w:hAnsi="Times New Roman" w:eastAsia="宋体"/>
                      <w:sz w:val="21"/>
                      <w:szCs w:val="24"/>
                      <w:u w:val="single"/>
                      <w:lang w:val="en-US" w:eastAsia="zh-CN"/>
                    </w:rPr>
                  </w:pPr>
                  <w:r>
                    <w:rPr>
                      <w:rFonts w:hint="eastAsia" w:ascii="Times New Roman" w:hAnsi="Times New Roman" w:eastAsia="宋体"/>
                      <w:sz w:val="21"/>
                      <w:szCs w:val="24"/>
                      <w:u w:val="single"/>
                      <w:lang w:val="en-US" w:eastAsia="zh-CN"/>
                    </w:rPr>
                    <w:t>0.05（ND）</w:t>
                  </w:r>
                </w:p>
              </w:tc>
              <w:tc>
                <w:tcPr>
                  <w:tcW w:w="611"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0.05（ND）</w:t>
                  </w:r>
                </w:p>
              </w:tc>
              <w:tc>
                <w:tcPr>
                  <w:tcW w:w="626"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0.05（ND）</w:t>
                  </w:r>
                </w:p>
              </w:tc>
              <w:tc>
                <w:tcPr>
                  <w:tcW w:w="605" w:type="pct"/>
                  <w:tcBorders>
                    <w:tl2br w:val="nil"/>
                    <w:tr2bl w:val="nil"/>
                  </w:tcBorders>
                  <w:noWrap w:val="0"/>
                  <w:vAlign w:val="center"/>
                </w:tcPr>
                <w:p>
                  <w:pPr>
                    <w:spacing w:beforeLines="0" w:afterLines="0"/>
                    <w:jc w:val="center"/>
                    <w:rPr>
                      <w:rFonts w:hint="default" w:ascii="Times New Roman" w:hAnsi="Times New Roman" w:eastAsia="宋体" w:cs="Times New Roman"/>
                      <w:sz w:val="21"/>
                      <w:szCs w:val="24"/>
                      <w:u w:val="single"/>
                      <w:lang w:val="en-US" w:eastAsia="zh-CN"/>
                    </w:rPr>
                  </w:pPr>
                  <w:r>
                    <w:rPr>
                      <w:rFonts w:hint="eastAsia" w:ascii="Times New Roman" w:hAnsi="Times New Roman" w:eastAsia="宋体" w:cs="Times New Roman"/>
                      <w:sz w:val="21"/>
                      <w:szCs w:val="24"/>
                      <w:u w:val="single"/>
                      <w:lang w:val="en-US" w:eastAsia="zh-CN"/>
                    </w:rPr>
                    <w:t>0.2</w:t>
                  </w:r>
                </w:p>
              </w:tc>
              <w:tc>
                <w:tcPr>
                  <w:tcW w:w="666" w:type="pct"/>
                  <w:tcBorders>
                    <w:tl2br w:val="nil"/>
                    <w:tr2bl w:val="nil"/>
                  </w:tcBorders>
                  <w:noWrap w:val="0"/>
                  <w:vAlign w:val="center"/>
                </w:tcPr>
                <w:p>
                  <w:pPr>
                    <w:spacing w:beforeLines="0" w:afterLines="0"/>
                    <w:jc w:val="center"/>
                    <w:rPr>
                      <w:rFonts w:hint="default" w:ascii="Times New Roman" w:hAnsi="Times New Roman" w:eastAsia="宋体" w:cs="Times New Roman"/>
                      <w:sz w:val="21"/>
                      <w:szCs w:val="24"/>
                      <w:u w:val="single"/>
                      <w:lang w:val="en-US" w:eastAsia="zh-CN"/>
                    </w:rPr>
                  </w:pPr>
                  <w:r>
                    <w:rPr>
                      <w:rFonts w:hint="eastAsia" w:ascii="Times New Roman" w:hAnsi="Times New Roman" w:eastAsia="宋体" w:cs="Times New Roman"/>
                      <w:sz w:val="21"/>
                      <w:szCs w:val="24"/>
                      <w:u w:val="single"/>
                      <w:lang w:val="en-US" w:eastAsia="zh-CN"/>
                    </w:rPr>
                    <w:t>0.3</w:t>
                  </w:r>
                </w:p>
              </w:tc>
              <w:tc>
                <w:tcPr>
                  <w:tcW w:w="477" w:type="pct"/>
                  <w:tcBorders>
                    <w:tl2br w:val="nil"/>
                    <w:tr2bl w:val="nil"/>
                  </w:tcBorders>
                  <w:noWrap w:val="0"/>
                  <w:vAlign w:val="center"/>
                </w:tcPr>
                <w:p>
                  <w:pPr>
                    <w:spacing w:beforeLines="0" w:afterLines="0"/>
                    <w:jc w:val="center"/>
                    <w:rPr>
                      <w:rFonts w:hint="default"/>
                      <w:kern w:val="0"/>
                      <w:sz w:val="21"/>
                      <w:szCs w:val="24"/>
                      <w:u w:val="single"/>
                    </w:rPr>
                  </w:pPr>
                  <w:r>
                    <w:rPr>
                      <w:rFonts w:hint="default"/>
                      <w:sz w:val="21"/>
                      <w:szCs w:val="24"/>
                      <w:u w:val="singl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restart"/>
                  <w:tcBorders>
                    <w:tl2br w:val="nil"/>
                    <w:tr2bl w:val="nil"/>
                  </w:tcBorders>
                  <w:noWrap w:val="0"/>
                  <w:vAlign w:val="center"/>
                </w:tcPr>
                <w:p>
                  <w:pPr>
                    <w:spacing w:beforeLines="0" w:afterLines="0"/>
                    <w:jc w:val="center"/>
                    <w:rPr>
                      <w:rFonts w:hint="default"/>
                      <w:sz w:val="21"/>
                      <w:szCs w:val="24"/>
                      <w:u w:val="single"/>
                    </w:rPr>
                  </w:pPr>
                  <w:r>
                    <w:rPr>
                      <w:rFonts w:hint="default"/>
                      <w:sz w:val="21"/>
                      <w:szCs w:val="24"/>
                      <w:u w:val="single"/>
                      <w:lang w:val="en-US" w:eastAsia="zh-CN"/>
                    </w:rPr>
                    <w:t>W2水渠</w:t>
                  </w:r>
                </w:p>
              </w:tc>
              <w:tc>
                <w:tcPr>
                  <w:tcW w:w="834"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lang w:eastAsia="zh-CN"/>
                    </w:rPr>
                    <w:t>水温</w:t>
                  </w:r>
                </w:p>
              </w:tc>
              <w:tc>
                <w:tcPr>
                  <w:tcW w:w="598"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32.5</w:t>
                  </w:r>
                </w:p>
              </w:tc>
              <w:tc>
                <w:tcPr>
                  <w:tcW w:w="611" w:type="pct"/>
                  <w:tcBorders>
                    <w:tl2br w:val="nil"/>
                    <w:tr2bl w:val="nil"/>
                  </w:tcBorders>
                  <w:noWrap w:val="0"/>
                  <w:vAlign w:val="center"/>
                </w:tcPr>
                <w:p>
                  <w:pPr>
                    <w:spacing w:beforeLines="0" w:afterLines="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33.4</w:t>
                  </w:r>
                </w:p>
              </w:tc>
              <w:tc>
                <w:tcPr>
                  <w:tcW w:w="626" w:type="pct"/>
                  <w:tcBorders>
                    <w:tl2br w:val="nil"/>
                    <w:tr2bl w:val="nil"/>
                  </w:tcBorders>
                  <w:noWrap w:val="0"/>
                  <w:vAlign w:val="center"/>
                </w:tcPr>
                <w:p>
                  <w:pPr>
                    <w:spacing w:beforeLines="0" w:afterLines="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33.9</w:t>
                  </w:r>
                </w:p>
              </w:tc>
              <w:tc>
                <w:tcPr>
                  <w:tcW w:w="605"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eastAsia="宋体" w:cs="Times New Roman"/>
                      <w:sz w:val="21"/>
                      <w:szCs w:val="21"/>
                      <w:u w:val="single"/>
                      <w:lang w:val="en-US" w:eastAsia="zh-CN"/>
                    </w:rPr>
                    <w:t>/</w:t>
                  </w:r>
                </w:p>
              </w:tc>
              <w:tc>
                <w:tcPr>
                  <w:tcW w:w="666"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lang w:val="en-US" w:eastAsia="zh-CN"/>
                    </w:rPr>
                    <w:t>/</w:t>
                  </w:r>
                </w:p>
              </w:tc>
              <w:tc>
                <w:tcPr>
                  <w:tcW w:w="477"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eastAsia="宋体" w:cs="Times New Roman"/>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tcBorders>
                    <w:tl2br w:val="nil"/>
                    <w:tr2bl w:val="nil"/>
                  </w:tcBorders>
                  <w:noWrap w:val="0"/>
                  <w:vAlign w:val="center"/>
                </w:tcPr>
                <w:p>
                  <w:pPr>
                    <w:spacing w:beforeLines="0" w:afterLines="0"/>
                    <w:jc w:val="center"/>
                    <w:rPr>
                      <w:rFonts w:hint="default"/>
                      <w:sz w:val="21"/>
                      <w:szCs w:val="24"/>
                      <w:u w:val="single"/>
                    </w:rPr>
                  </w:pPr>
                </w:p>
              </w:tc>
              <w:tc>
                <w:tcPr>
                  <w:tcW w:w="834" w:type="pct"/>
                  <w:tcBorders>
                    <w:tl2br w:val="nil"/>
                    <w:tr2bl w:val="nil"/>
                  </w:tcBorders>
                  <w:noWrap w:val="0"/>
                  <w:vAlign w:val="center"/>
                </w:tcPr>
                <w:p>
                  <w:pPr>
                    <w:widowControl/>
                    <w:spacing w:beforeLines="0" w:afterLines="0" w:line="240" w:lineRule="atLeast"/>
                    <w:jc w:val="center"/>
                    <w:textAlignment w:val="center"/>
                    <w:rPr>
                      <w:rFonts w:hint="default" w:ascii="宋体" w:hAnsi="宋体" w:eastAsia="宋体" w:cs="宋体"/>
                      <w:kern w:val="2"/>
                      <w:sz w:val="21"/>
                      <w:szCs w:val="21"/>
                      <w:u w:val="single"/>
                      <w:lang w:val="en-US" w:eastAsia="zh-CN" w:bidi="ar-SA"/>
                    </w:rPr>
                  </w:pPr>
                  <w:r>
                    <w:rPr>
                      <w:rFonts w:hint="default"/>
                      <w:color w:val="000000"/>
                      <w:sz w:val="21"/>
                      <w:szCs w:val="24"/>
                      <w:u w:val="single"/>
                    </w:rPr>
                    <w:t>pH</w:t>
                  </w:r>
                  <w:r>
                    <w:rPr>
                      <w:rFonts w:hint="default" w:ascii="宋体" w:eastAsia="宋体"/>
                      <w:color w:val="000000"/>
                      <w:sz w:val="21"/>
                      <w:szCs w:val="24"/>
                      <w:u w:val="single"/>
                    </w:rPr>
                    <w:t>值</w:t>
                  </w:r>
                </w:p>
              </w:tc>
              <w:tc>
                <w:tcPr>
                  <w:tcW w:w="598" w:type="pct"/>
                  <w:tcBorders>
                    <w:tl2br w:val="nil"/>
                    <w:tr2bl w:val="nil"/>
                  </w:tcBorders>
                  <w:noWrap w:val="0"/>
                  <w:vAlign w:val="center"/>
                </w:tcPr>
                <w:p>
                  <w:pPr>
                    <w:spacing w:beforeLines="0" w:afterLines="0"/>
                    <w:jc w:val="center"/>
                    <w:rPr>
                      <w:rFonts w:hint="default"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8.4</w:t>
                  </w:r>
                </w:p>
              </w:tc>
              <w:tc>
                <w:tcPr>
                  <w:tcW w:w="611"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8.2</w:t>
                  </w:r>
                </w:p>
              </w:tc>
              <w:tc>
                <w:tcPr>
                  <w:tcW w:w="626"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8.0</w:t>
                  </w:r>
                </w:p>
              </w:tc>
              <w:tc>
                <w:tcPr>
                  <w:tcW w:w="605" w:type="pct"/>
                  <w:tcBorders>
                    <w:tl2br w:val="nil"/>
                    <w:tr2bl w:val="nil"/>
                  </w:tcBorders>
                  <w:noWrap w:val="0"/>
                  <w:vAlign w:val="center"/>
                </w:tcPr>
                <w:p>
                  <w:pPr>
                    <w:spacing w:beforeLines="0" w:afterLines="0"/>
                    <w:jc w:val="center"/>
                    <w:rPr>
                      <w:rFonts w:hint="default" w:ascii="Times New Roman" w:hAnsi="Times New Roman" w:eastAsia="Times New Roman" w:cs="Times New Roman"/>
                      <w:kern w:val="2"/>
                      <w:sz w:val="21"/>
                      <w:szCs w:val="24"/>
                      <w:u w:val="single"/>
                      <w:lang w:val="en-US" w:eastAsia="zh-CN" w:bidi="ar-SA"/>
                    </w:rPr>
                  </w:pPr>
                  <w:r>
                    <w:rPr>
                      <w:rFonts w:hint="default" w:ascii="Times New Roman" w:hAnsi="Times New Roman" w:eastAsia="宋体" w:cs="Times New Roman"/>
                      <w:sz w:val="21"/>
                      <w:szCs w:val="24"/>
                      <w:u w:val="single"/>
                    </w:rPr>
                    <w:t>6-9</w:t>
                  </w:r>
                </w:p>
              </w:tc>
              <w:tc>
                <w:tcPr>
                  <w:tcW w:w="666"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4"/>
                      <w:u w:val="single"/>
                      <w:lang w:val="en-US" w:eastAsia="zh-CN" w:bidi="ar-SA"/>
                    </w:rPr>
                  </w:pPr>
                  <w:r>
                    <w:rPr>
                      <w:rFonts w:hint="eastAsia" w:ascii="Times New Roman" w:hAnsi="Times New Roman" w:eastAsia="宋体" w:cs="Times New Roman"/>
                      <w:sz w:val="21"/>
                      <w:szCs w:val="24"/>
                      <w:u w:val="single"/>
                      <w:lang w:val="en-US" w:eastAsia="zh-CN"/>
                    </w:rPr>
                    <w:t>6-9</w:t>
                  </w:r>
                </w:p>
              </w:tc>
              <w:tc>
                <w:tcPr>
                  <w:tcW w:w="477" w:type="pct"/>
                  <w:tcBorders>
                    <w:tl2br w:val="nil"/>
                    <w:tr2bl w:val="nil"/>
                  </w:tcBorders>
                  <w:noWrap w:val="0"/>
                  <w:vAlign w:val="center"/>
                </w:tcPr>
                <w:p>
                  <w:pPr>
                    <w:spacing w:beforeLines="0" w:afterLines="0"/>
                    <w:jc w:val="center"/>
                    <w:rPr>
                      <w:rFonts w:hint="default"/>
                      <w:kern w:val="2"/>
                      <w:sz w:val="21"/>
                      <w:szCs w:val="24"/>
                      <w:u w:val="single"/>
                      <w:lang w:val="en-US" w:eastAsia="zh-CN" w:bidi="ar-SA"/>
                    </w:rPr>
                  </w:pPr>
                  <w:r>
                    <w:rPr>
                      <w:rFonts w:hint="default" w:ascii="宋体" w:eastAsia="宋体"/>
                      <w:sz w:val="21"/>
                      <w:szCs w:val="24"/>
                      <w:u w:val="single"/>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tcBorders>
                    <w:tl2br w:val="nil"/>
                    <w:tr2bl w:val="nil"/>
                  </w:tcBorders>
                  <w:noWrap w:val="0"/>
                  <w:vAlign w:val="center"/>
                </w:tcPr>
                <w:p>
                  <w:pPr>
                    <w:spacing w:beforeLines="0" w:afterLines="0"/>
                    <w:jc w:val="center"/>
                    <w:rPr>
                      <w:rFonts w:hint="default"/>
                      <w:sz w:val="21"/>
                      <w:szCs w:val="24"/>
                      <w:u w:val="single"/>
                    </w:rPr>
                  </w:pPr>
                </w:p>
              </w:tc>
              <w:tc>
                <w:tcPr>
                  <w:tcW w:w="834" w:type="pct"/>
                  <w:tcBorders>
                    <w:tl2br w:val="nil"/>
                    <w:tr2bl w:val="nil"/>
                  </w:tcBorders>
                  <w:noWrap w:val="0"/>
                  <w:vAlign w:val="center"/>
                </w:tcPr>
                <w:p>
                  <w:pPr>
                    <w:widowControl/>
                    <w:spacing w:beforeLines="0" w:afterLines="0" w:line="240" w:lineRule="atLeast"/>
                    <w:jc w:val="center"/>
                    <w:textAlignment w:val="center"/>
                    <w:rPr>
                      <w:rFonts w:hint="default" w:eastAsia="宋体"/>
                      <w:color w:val="000000"/>
                      <w:kern w:val="2"/>
                      <w:sz w:val="21"/>
                      <w:szCs w:val="24"/>
                      <w:u w:val="single"/>
                      <w:lang w:val="en-US" w:eastAsia="zh-CN" w:bidi="ar-SA"/>
                    </w:rPr>
                  </w:pPr>
                  <w:r>
                    <w:rPr>
                      <w:rFonts w:hint="eastAsia"/>
                      <w:color w:val="000000"/>
                      <w:sz w:val="21"/>
                      <w:szCs w:val="24"/>
                      <w:u w:val="single"/>
                      <w:lang w:eastAsia="zh-CN"/>
                    </w:rPr>
                    <w:t>溶解氧</w:t>
                  </w:r>
                </w:p>
              </w:tc>
              <w:tc>
                <w:tcPr>
                  <w:tcW w:w="598"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5.5</w:t>
                  </w:r>
                </w:p>
              </w:tc>
              <w:tc>
                <w:tcPr>
                  <w:tcW w:w="611" w:type="pct"/>
                  <w:tcBorders>
                    <w:tl2br w:val="nil"/>
                    <w:tr2bl w:val="nil"/>
                  </w:tcBorders>
                  <w:noWrap w:val="0"/>
                  <w:vAlign w:val="center"/>
                </w:tcPr>
                <w:p>
                  <w:pPr>
                    <w:spacing w:beforeLines="0" w:afterLines="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5.2</w:t>
                  </w:r>
                </w:p>
              </w:tc>
              <w:tc>
                <w:tcPr>
                  <w:tcW w:w="626" w:type="pct"/>
                  <w:tcBorders>
                    <w:tl2br w:val="nil"/>
                    <w:tr2bl w:val="nil"/>
                  </w:tcBorders>
                  <w:noWrap w:val="0"/>
                  <w:vAlign w:val="center"/>
                </w:tcPr>
                <w:p>
                  <w:pPr>
                    <w:spacing w:beforeLines="0" w:afterLines="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5.3</w:t>
                  </w:r>
                </w:p>
              </w:tc>
              <w:tc>
                <w:tcPr>
                  <w:tcW w:w="605"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eastAsia="宋体" w:cs="Times New Roman"/>
                      <w:kern w:val="2"/>
                      <w:sz w:val="21"/>
                      <w:szCs w:val="21"/>
                      <w:u w:val="single"/>
                      <w:lang w:val="en-US" w:eastAsia="zh-CN" w:bidi="ar-SA"/>
                    </w:rPr>
                    <w:t>≥5</w:t>
                  </w:r>
                </w:p>
              </w:tc>
              <w:tc>
                <w:tcPr>
                  <w:tcW w:w="666"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eastAsia="宋体" w:cs="Times New Roman"/>
                      <w:kern w:val="2"/>
                      <w:sz w:val="21"/>
                      <w:szCs w:val="21"/>
                      <w:u w:val="single"/>
                      <w:lang w:val="en-US" w:eastAsia="zh-CN" w:bidi="ar-SA"/>
                    </w:rPr>
                    <w:t>≥</w:t>
                  </w:r>
                  <w:r>
                    <w:rPr>
                      <w:rFonts w:hint="eastAsia" w:ascii="Times New Roman" w:hAnsi="Times New Roman" w:eastAsia="宋体" w:cs="Times New Roman"/>
                      <w:kern w:val="2"/>
                      <w:sz w:val="21"/>
                      <w:szCs w:val="21"/>
                      <w:u w:val="single"/>
                      <w:lang w:val="en-US" w:eastAsia="zh-CN" w:bidi="ar-SA"/>
                    </w:rPr>
                    <w:t>15</w:t>
                  </w:r>
                </w:p>
              </w:tc>
              <w:tc>
                <w:tcPr>
                  <w:tcW w:w="477"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lang w:eastAsia="zh-C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tcBorders>
                    <w:tl2br w:val="nil"/>
                    <w:tr2bl w:val="nil"/>
                  </w:tcBorders>
                  <w:noWrap w:val="0"/>
                  <w:vAlign w:val="center"/>
                </w:tcPr>
                <w:p>
                  <w:pPr>
                    <w:spacing w:beforeLines="0" w:afterLines="0"/>
                    <w:jc w:val="center"/>
                    <w:rPr>
                      <w:rFonts w:hint="default"/>
                      <w:sz w:val="21"/>
                      <w:szCs w:val="24"/>
                      <w:u w:val="single"/>
                    </w:rPr>
                  </w:pPr>
                </w:p>
              </w:tc>
              <w:tc>
                <w:tcPr>
                  <w:tcW w:w="834" w:type="pct"/>
                  <w:tcBorders>
                    <w:tl2br w:val="nil"/>
                    <w:tr2bl w:val="nil"/>
                  </w:tcBorders>
                  <w:noWrap w:val="0"/>
                  <w:vAlign w:val="center"/>
                </w:tcPr>
                <w:p>
                  <w:pPr>
                    <w:widowControl/>
                    <w:spacing w:beforeLines="0" w:afterLines="0" w:line="240" w:lineRule="atLeast"/>
                    <w:jc w:val="center"/>
                    <w:textAlignment w:val="center"/>
                    <w:rPr>
                      <w:rFonts w:hint="default" w:ascii="宋体" w:hAnsi="宋体" w:eastAsia="宋体" w:cs="宋体"/>
                      <w:kern w:val="2"/>
                      <w:sz w:val="21"/>
                      <w:szCs w:val="21"/>
                      <w:u w:val="single"/>
                      <w:lang w:val="en-US" w:eastAsia="zh-CN" w:bidi="ar-SA"/>
                    </w:rPr>
                  </w:pPr>
                  <w:r>
                    <w:rPr>
                      <w:rFonts w:hint="default" w:ascii="宋体" w:hAnsi="宋体" w:eastAsia="宋体" w:cs="宋体"/>
                      <w:kern w:val="0"/>
                      <w:sz w:val="21"/>
                      <w:szCs w:val="21"/>
                      <w:u w:val="single"/>
                    </w:rPr>
                    <w:t>化学需氧量</w:t>
                  </w:r>
                </w:p>
              </w:tc>
              <w:tc>
                <w:tcPr>
                  <w:tcW w:w="598" w:type="pct"/>
                  <w:tcBorders>
                    <w:tl2br w:val="nil"/>
                    <w:tr2bl w:val="nil"/>
                  </w:tcBorders>
                  <w:noWrap w:val="0"/>
                  <w:vAlign w:val="center"/>
                </w:tcPr>
                <w:p>
                  <w:pPr>
                    <w:spacing w:beforeLines="0" w:afterLines="0"/>
                    <w:jc w:val="center"/>
                    <w:rPr>
                      <w:rFonts w:hint="default"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19</w:t>
                  </w:r>
                </w:p>
              </w:tc>
              <w:tc>
                <w:tcPr>
                  <w:tcW w:w="611"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18</w:t>
                  </w:r>
                </w:p>
              </w:tc>
              <w:tc>
                <w:tcPr>
                  <w:tcW w:w="626"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18</w:t>
                  </w:r>
                </w:p>
              </w:tc>
              <w:tc>
                <w:tcPr>
                  <w:tcW w:w="605" w:type="pct"/>
                  <w:tcBorders>
                    <w:tl2br w:val="nil"/>
                    <w:tr2bl w:val="nil"/>
                  </w:tcBorders>
                  <w:noWrap w:val="0"/>
                  <w:vAlign w:val="center"/>
                </w:tcPr>
                <w:p>
                  <w:pPr>
                    <w:spacing w:beforeLines="0" w:afterLines="0"/>
                    <w:jc w:val="center"/>
                    <w:rPr>
                      <w:rFonts w:hint="default" w:ascii="Times New Roman" w:hAnsi="Times New Roman" w:eastAsia="Times New Roman" w:cs="Times New Roman"/>
                      <w:kern w:val="2"/>
                      <w:sz w:val="21"/>
                      <w:szCs w:val="24"/>
                      <w:u w:val="single"/>
                      <w:lang w:val="en-US" w:eastAsia="zh-CN" w:bidi="ar-SA"/>
                    </w:rPr>
                  </w:pPr>
                  <w:r>
                    <w:rPr>
                      <w:rFonts w:hint="default" w:ascii="Times New Roman" w:hAnsi="Times New Roman" w:eastAsia="宋体" w:cs="Times New Roman"/>
                      <w:sz w:val="21"/>
                      <w:szCs w:val="24"/>
                      <w:u w:val="single"/>
                    </w:rPr>
                    <w:t>20</w:t>
                  </w:r>
                </w:p>
              </w:tc>
              <w:tc>
                <w:tcPr>
                  <w:tcW w:w="666"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4"/>
                      <w:u w:val="single"/>
                      <w:lang w:val="en-US" w:eastAsia="zh-CN" w:bidi="ar-SA"/>
                    </w:rPr>
                  </w:pPr>
                  <w:r>
                    <w:rPr>
                      <w:rFonts w:hint="eastAsia" w:ascii="Times New Roman" w:hAnsi="Times New Roman" w:eastAsia="宋体" w:cs="Times New Roman"/>
                      <w:sz w:val="21"/>
                      <w:szCs w:val="24"/>
                      <w:u w:val="single"/>
                      <w:lang w:val="en-US" w:eastAsia="zh-CN"/>
                    </w:rPr>
                    <w:t>40</w:t>
                  </w:r>
                </w:p>
              </w:tc>
              <w:tc>
                <w:tcPr>
                  <w:tcW w:w="477" w:type="pct"/>
                  <w:tcBorders>
                    <w:tl2br w:val="nil"/>
                    <w:tr2bl w:val="nil"/>
                  </w:tcBorders>
                  <w:noWrap w:val="0"/>
                  <w:vAlign w:val="center"/>
                </w:tcPr>
                <w:p>
                  <w:pPr>
                    <w:spacing w:beforeLines="0" w:afterLines="0"/>
                    <w:jc w:val="center"/>
                    <w:rPr>
                      <w:rFonts w:hint="default"/>
                      <w:kern w:val="0"/>
                      <w:sz w:val="21"/>
                      <w:szCs w:val="24"/>
                      <w:u w:val="single"/>
                      <w:lang w:val="en-US" w:eastAsia="zh-CN" w:bidi="ar-SA"/>
                    </w:rPr>
                  </w:pPr>
                  <w:r>
                    <w:rPr>
                      <w:rFonts w:hint="default"/>
                      <w:sz w:val="21"/>
                      <w:szCs w:val="24"/>
                      <w:u w:val="singl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tcBorders>
                    <w:tl2br w:val="nil"/>
                    <w:tr2bl w:val="nil"/>
                  </w:tcBorders>
                  <w:noWrap w:val="0"/>
                  <w:vAlign w:val="center"/>
                </w:tcPr>
                <w:p>
                  <w:pPr>
                    <w:spacing w:beforeLines="0" w:afterLines="0"/>
                    <w:jc w:val="center"/>
                    <w:rPr>
                      <w:rFonts w:hint="default"/>
                      <w:sz w:val="21"/>
                      <w:szCs w:val="24"/>
                      <w:u w:val="single"/>
                    </w:rPr>
                  </w:pPr>
                </w:p>
              </w:tc>
              <w:tc>
                <w:tcPr>
                  <w:tcW w:w="834" w:type="pct"/>
                  <w:tcBorders>
                    <w:tl2br w:val="nil"/>
                    <w:tr2bl w:val="nil"/>
                  </w:tcBorders>
                  <w:noWrap w:val="0"/>
                  <w:vAlign w:val="center"/>
                </w:tcPr>
                <w:p>
                  <w:pPr>
                    <w:widowControl/>
                    <w:spacing w:beforeLines="0" w:afterLines="0" w:line="240" w:lineRule="atLeast"/>
                    <w:jc w:val="center"/>
                    <w:textAlignment w:val="center"/>
                    <w:rPr>
                      <w:rFonts w:hint="default" w:ascii="宋体" w:hAnsi="宋体" w:eastAsia="宋体" w:cs="宋体"/>
                      <w:kern w:val="0"/>
                      <w:sz w:val="21"/>
                      <w:szCs w:val="21"/>
                      <w:u w:val="single"/>
                      <w:lang w:val="en-US" w:eastAsia="zh-CN" w:bidi="ar-SA"/>
                    </w:rPr>
                  </w:pPr>
                  <w:r>
                    <w:rPr>
                      <w:rFonts w:hint="default" w:ascii="宋体" w:hAnsi="宋体" w:eastAsia="宋体" w:cs="宋体"/>
                      <w:kern w:val="0"/>
                      <w:sz w:val="21"/>
                      <w:szCs w:val="21"/>
                      <w:u w:val="single"/>
                      <w:lang w:val="en-US" w:eastAsia="zh-CN"/>
                    </w:rPr>
                    <w:t>五日生化需氧量</w:t>
                  </w:r>
                </w:p>
              </w:tc>
              <w:tc>
                <w:tcPr>
                  <w:tcW w:w="598" w:type="pct"/>
                  <w:tcBorders>
                    <w:tl2br w:val="nil"/>
                    <w:tr2bl w:val="nil"/>
                  </w:tcBorders>
                  <w:noWrap w:val="0"/>
                  <w:vAlign w:val="center"/>
                </w:tcPr>
                <w:p>
                  <w:pPr>
                    <w:spacing w:beforeLines="0" w:afterLines="0"/>
                    <w:jc w:val="center"/>
                    <w:rPr>
                      <w:rFonts w:hint="default"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3.1</w:t>
                  </w:r>
                </w:p>
              </w:tc>
              <w:tc>
                <w:tcPr>
                  <w:tcW w:w="611"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3.5</w:t>
                  </w:r>
                </w:p>
              </w:tc>
              <w:tc>
                <w:tcPr>
                  <w:tcW w:w="626" w:type="pct"/>
                  <w:tcBorders>
                    <w:tl2br w:val="nil"/>
                    <w:tr2bl w:val="nil"/>
                  </w:tcBorders>
                  <w:noWrap w:val="0"/>
                  <w:vAlign w:val="center"/>
                </w:tcPr>
                <w:p>
                  <w:pPr>
                    <w:spacing w:beforeLines="0" w:afterLines="0"/>
                    <w:jc w:val="center"/>
                    <w:rPr>
                      <w:rFonts w:hint="default"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3.2</w:t>
                  </w:r>
                </w:p>
              </w:tc>
              <w:tc>
                <w:tcPr>
                  <w:tcW w:w="605"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4"/>
                      <w:u w:val="single"/>
                      <w:lang w:val="en-US" w:eastAsia="zh-CN" w:bidi="ar-SA"/>
                    </w:rPr>
                  </w:pPr>
                  <w:r>
                    <w:rPr>
                      <w:rFonts w:hint="eastAsia" w:ascii="Times New Roman" w:hAnsi="Times New Roman" w:eastAsia="宋体" w:cs="Times New Roman"/>
                      <w:sz w:val="21"/>
                      <w:szCs w:val="24"/>
                      <w:u w:val="single"/>
                      <w:lang w:val="en-US" w:eastAsia="zh-CN"/>
                    </w:rPr>
                    <w:t>4</w:t>
                  </w:r>
                </w:p>
              </w:tc>
              <w:tc>
                <w:tcPr>
                  <w:tcW w:w="666" w:type="pct"/>
                  <w:tcBorders>
                    <w:tl2br w:val="nil"/>
                    <w:tr2bl w:val="nil"/>
                  </w:tcBorders>
                  <w:noWrap w:val="0"/>
                  <w:vAlign w:val="center"/>
                </w:tcPr>
                <w:p>
                  <w:pPr>
                    <w:spacing w:beforeLines="0" w:afterLines="0"/>
                    <w:jc w:val="center"/>
                    <w:rPr>
                      <w:rFonts w:hint="eastAsia" w:ascii="Times New Roman" w:hAnsi="Times New Roman" w:eastAsia="宋体" w:cs="Times New Roman"/>
                      <w:kern w:val="2"/>
                      <w:sz w:val="21"/>
                      <w:szCs w:val="24"/>
                      <w:u w:val="single"/>
                      <w:lang w:val="en-US" w:eastAsia="zh-CN" w:bidi="ar-SA"/>
                    </w:rPr>
                  </w:pPr>
                  <w:r>
                    <w:rPr>
                      <w:rFonts w:hint="eastAsia" w:ascii="Times New Roman" w:hAnsi="Times New Roman" w:eastAsia="宋体" w:cs="Times New Roman"/>
                      <w:sz w:val="21"/>
                      <w:szCs w:val="24"/>
                      <w:u w:val="single"/>
                      <w:lang w:val="en-US" w:eastAsia="zh-CN"/>
                    </w:rPr>
                    <w:t>10</w:t>
                  </w:r>
                </w:p>
              </w:tc>
              <w:tc>
                <w:tcPr>
                  <w:tcW w:w="477" w:type="pct"/>
                  <w:tcBorders>
                    <w:tl2br w:val="nil"/>
                    <w:tr2bl w:val="nil"/>
                  </w:tcBorders>
                  <w:noWrap w:val="0"/>
                  <w:vAlign w:val="center"/>
                </w:tcPr>
                <w:p>
                  <w:pPr>
                    <w:spacing w:beforeLines="0" w:afterLines="0"/>
                    <w:jc w:val="center"/>
                    <w:rPr>
                      <w:rFonts w:hint="default"/>
                      <w:kern w:val="2"/>
                      <w:sz w:val="21"/>
                      <w:szCs w:val="24"/>
                      <w:u w:val="single"/>
                      <w:lang w:val="en-US" w:eastAsia="zh-CN" w:bidi="ar-SA"/>
                    </w:rPr>
                  </w:pPr>
                  <w:r>
                    <w:rPr>
                      <w:rFonts w:hint="default"/>
                      <w:sz w:val="21"/>
                      <w:szCs w:val="24"/>
                      <w:u w:val="singl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tcBorders>
                    <w:tl2br w:val="nil"/>
                    <w:tr2bl w:val="nil"/>
                  </w:tcBorders>
                  <w:noWrap w:val="0"/>
                  <w:vAlign w:val="center"/>
                </w:tcPr>
                <w:p>
                  <w:pPr>
                    <w:spacing w:beforeLines="0" w:afterLines="0"/>
                    <w:jc w:val="center"/>
                    <w:rPr>
                      <w:rFonts w:hint="default"/>
                      <w:sz w:val="21"/>
                      <w:szCs w:val="24"/>
                      <w:u w:val="single"/>
                    </w:rPr>
                  </w:pPr>
                </w:p>
              </w:tc>
              <w:tc>
                <w:tcPr>
                  <w:tcW w:w="834" w:type="pct"/>
                  <w:tcBorders>
                    <w:tl2br w:val="nil"/>
                    <w:tr2bl w:val="nil"/>
                  </w:tcBorders>
                  <w:noWrap w:val="0"/>
                  <w:vAlign w:val="center"/>
                </w:tcPr>
                <w:p>
                  <w:pPr>
                    <w:widowControl/>
                    <w:spacing w:beforeLines="0" w:afterLines="0" w:line="240" w:lineRule="atLeast"/>
                    <w:jc w:val="center"/>
                    <w:textAlignment w:val="center"/>
                    <w:rPr>
                      <w:rFonts w:hint="default" w:ascii="宋体" w:hAnsi="宋体" w:eastAsia="宋体" w:cs="宋体"/>
                      <w:kern w:val="0"/>
                      <w:sz w:val="21"/>
                      <w:szCs w:val="21"/>
                      <w:u w:val="single"/>
                      <w:lang w:val="en-US" w:eastAsia="zh-CN" w:bidi="ar-SA"/>
                    </w:rPr>
                  </w:pPr>
                  <w:r>
                    <w:rPr>
                      <w:rFonts w:hint="eastAsia" w:ascii="宋体" w:hAnsi="宋体" w:eastAsia="宋体" w:cs="宋体"/>
                      <w:kern w:val="0"/>
                      <w:sz w:val="21"/>
                      <w:szCs w:val="21"/>
                      <w:u w:val="single"/>
                      <w:lang w:val="en-US" w:eastAsia="zh-CN"/>
                    </w:rPr>
                    <w:t>悬浮物</w:t>
                  </w:r>
                </w:p>
              </w:tc>
              <w:tc>
                <w:tcPr>
                  <w:tcW w:w="598" w:type="pct"/>
                  <w:tcBorders>
                    <w:tl2br w:val="nil"/>
                    <w:tr2bl w:val="nil"/>
                  </w:tcBorders>
                  <w:noWrap w:val="0"/>
                  <w:vAlign w:val="center"/>
                </w:tcPr>
                <w:p>
                  <w:pPr>
                    <w:spacing w:beforeLines="0" w:afterLines="0"/>
                    <w:jc w:val="center"/>
                    <w:rPr>
                      <w:rFonts w:hint="default"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19</w:t>
                  </w:r>
                </w:p>
              </w:tc>
              <w:tc>
                <w:tcPr>
                  <w:tcW w:w="611"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17</w:t>
                  </w:r>
                </w:p>
              </w:tc>
              <w:tc>
                <w:tcPr>
                  <w:tcW w:w="626"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12</w:t>
                  </w:r>
                </w:p>
              </w:tc>
              <w:tc>
                <w:tcPr>
                  <w:tcW w:w="605"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4"/>
                      <w:u w:val="single"/>
                      <w:lang w:val="en-US" w:eastAsia="zh-CN" w:bidi="ar-SA"/>
                    </w:rPr>
                  </w:pPr>
                  <w:r>
                    <w:rPr>
                      <w:rFonts w:hint="eastAsia" w:ascii="Times New Roman" w:hAnsi="Times New Roman" w:eastAsia="宋体" w:cs="Times New Roman"/>
                      <w:sz w:val="21"/>
                      <w:szCs w:val="24"/>
                      <w:u w:val="single"/>
                      <w:lang w:val="en-US" w:eastAsia="zh-CN"/>
                    </w:rPr>
                    <w:t>/</w:t>
                  </w:r>
                </w:p>
              </w:tc>
              <w:tc>
                <w:tcPr>
                  <w:tcW w:w="666" w:type="pct"/>
                  <w:tcBorders>
                    <w:tl2br w:val="nil"/>
                    <w:tr2bl w:val="nil"/>
                  </w:tcBorders>
                  <w:noWrap w:val="0"/>
                  <w:vAlign w:val="center"/>
                </w:tcPr>
                <w:p>
                  <w:pPr>
                    <w:spacing w:beforeLines="0" w:afterLines="0"/>
                    <w:jc w:val="center"/>
                    <w:rPr>
                      <w:rFonts w:hint="eastAsia" w:ascii="Times New Roman" w:hAnsi="Times New Roman" w:eastAsia="宋体" w:cs="Times New Roman"/>
                      <w:kern w:val="2"/>
                      <w:sz w:val="21"/>
                      <w:szCs w:val="24"/>
                      <w:u w:val="single"/>
                      <w:lang w:val="en-US" w:eastAsia="zh-CN" w:bidi="ar-SA"/>
                    </w:rPr>
                  </w:pPr>
                  <w:r>
                    <w:rPr>
                      <w:rFonts w:hint="eastAsia" w:ascii="Times New Roman" w:hAnsi="Times New Roman" w:eastAsia="宋体" w:cs="Times New Roman"/>
                      <w:sz w:val="21"/>
                      <w:szCs w:val="24"/>
                      <w:u w:val="single"/>
                      <w:lang w:val="en-US" w:eastAsia="zh-CN"/>
                    </w:rPr>
                    <w:t>/</w:t>
                  </w:r>
                </w:p>
              </w:tc>
              <w:tc>
                <w:tcPr>
                  <w:tcW w:w="477" w:type="pct"/>
                  <w:tcBorders>
                    <w:tl2br w:val="nil"/>
                    <w:tr2bl w:val="nil"/>
                  </w:tcBorders>
                  <w:noWrap w:val="0"/>
                  <w:vAlign w:val="center"/>
                </w:tcPr>
                <w:p>
                  <w:pPr>
                    <w:spacing w:beforeLines="0" w:afterLines="0"/>
                    <w:jc w:val="center"/>
                    <w:rPr>
                      <w:rFonts w:hint="default"/>
                      <w:kern w:val="2"/>
                      <w:sz w:val="21"/>
                      <w:szCs w:val="24"/>
                      <w:u w:val="single"/>
                      <w:lang w:val="en-US" w:eastAsia="zh-CN" w:bidi="ar-SA"/>
                    </w:rPr>
                  </w:pPr>
                  <w:r>
                    <w:rPr>
                      <w:rFonts w:hint="default"/>
                      <w:sz w:val="21"/>
                      <w:szCs w:val="24"/>
                      <w:u w:val="singl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tcBorders>
                    <w:tl2br w:val="nil"/>
                    <w:tr2bl w:val="nil"/>
                  </w:tcBorders>
                  <w:noWrap w:val="0"/>
                  <w:vAlign w:val="center"/>
                </w:tcPr>
                <w:p>
                  <w:pPr>
                    <w:spacing w:beforeLines="0" w:afterLines="0"/>
                    <w:jc w:val="center"/>
                    <w:rPr>
                      <w:rFonts w:hint="default"/>
                      <w:sz w:val="21"/>
                      <w:szCs w:val="24"/>
                      <w:u w:val="single"/>
                    </w:rPr>
                  </w:pPr>
                </w:p>
              </w:tc>
              <w:tc>
                <w:tcPr>
                  <w:tcW w:w="834" w:type="pct"/>
                  <w:tcBorders>
                    <w:tl2br w:val="nil"/>
                    <w:tr2bl w:val="nil"/>
                  </w:tcBorders>
                  <w:noWrap w:val="0"/>
                  <w:vAlign w:val="center"/>
                </w:tcPr>
                <w:p>
                  <w:pPr>
                    <w:widowControl/>
                    <w:spacing w:beforeLines="0" w:afterLines="0" w:line="240" w:lineRule="atLeast"/>
                    <w:jc w:val="center"/>
                    <w:textAlignment w:val="center"/>
                    <w:rPr>
                      <w:rFonts w:hint="default" w:ascii="宋体" w:hAnsi="宋体" w:eastAsia="宋体" w:cs="宋体"/>
                      <w:kern w:val="0"/>
                      <w:sz w:val="21"/>
                      <w:szCs w:val="21"/>
                      <w:u w:val="single"/>
                      <w:lang w:val="en-US" w:eastAsia="zh-CN" w:bidi="ar-SA"/>
                    </w:rPr>
                  </w:pPr>
                  <w:r>
                    <w:rPr>
                      <w:rFonts w:hint="eastAsia" w:ascii="宋体" w:hAnsi="宋体" w:eastAsia="宋体" w:cs="宋体"/>
                      <w:kern w:val="0"/>
                      <w:sz w:val="21"/>
                      <w:szCs w:val="21"/>
                      <w:u w:val="single"/>
                      <w:lang w:val="en-US" w:eastAsia="zh-CN"/>
                    </w:rPr>
                    <w:t>氨氮</w:t>
                  </w:r>
                </w:p>
              </w:tc>
              <w:tc>
                <w:tcPr>
                  <w:tcW w:w="598" w:type="pct"/>
                  <w:tcBorders>
                    <w:tl2br w:val="nil"/>
                    <w:tr2bl w:val="nil"/>
                  </w:tcBorders>
                  <w:noWrap w:val="0"/>
                  <w:vAlign w:val="center"/>
                </w:tcPr>
                <w:p>
                  <w:pPr>
                    <w:spacing w:beforeLines="0" w:afterLines="0"/>
                    <w:jc w:val="center"/>
                    <w:rPr>
                      <w:rFonts w:hint="default"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0.515</w:t>
                  </w:r>
                </w:p>
              </w:tc>
              <w:tc>
                <w:tcPr>
                  <w:tcW w:w="611"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0.607</w:t>
                  </w:r>
                </w:p>
              </w:tc>
              <w:tc>
                <w:tcPr>
                  <w:tcW w:w="626"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0.538</w:t>
                  </w:r>
                </w:p>
              </w:tc>
              <w:tc>
                <w:tcPr>
                  <w:tcW w:w="605"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4"/>
                      <w:u w:val="single"/>
                      <w:lang w:val="en-US" w:eastAsia="zh-CN" w:bidi="ar-SA"/>
                    </w:rPr>
                  </w:pPr>
                  <w:r>
                    <w:rPr>
                      <w:rFonts w:hint="eastAsia" w:ascii="Times New Roman" w:hAnsi="Times New Roman" w:eastAsia="宋体" w:cs="Times New Roman"/>
                      <w:sz w:val="21"/>
                      <w:szCs w:val="24"/>
                      <w:u w:val="single"/>
                      <w:lang w:val="en-US" w:eastAsia="zh-CN"/>
                    </w:rPr>
                    <w:t>1.0</w:t>
                  </w:r>
                </w:p>
              </w:tc>
              <w:tc>
                <w:tcPr>
                  <w:tcW w:w="666" w:type="pct"/>
                  <w:tcBorders>
                    <w:tl2br w:val="nil"/>
                    <w:tr2bl w:val="nil"/>
                  </w:tcBorders>
                  <w:noWrap w:val="0"/>
                  <w:vAlign w:val="center"/>
                </w:tcPr>
                <w:p>
                  <w:pPr>
                    <w:spacing w:beforeLines="0" w:afterLines="0"/>
                    <w:jc w:val="center"/>
                    <w:rPr>
                      <w:rFonts w:hint="eastAsia" w:ascii="Times New Roman" w:hAnsi="Times New Roman" w:eastAsia="宋体" w:cs="Times New Roman"/>
                      <w:kern w:val="2"/>
                      <w:sz w:val="21"/>
                      <w:szCs w:val="24"/>
                      <w:u w:val="single"/>
                      <w:lang w:val="en-US" w:eastAsia="zh-CN" w:bidi="ar-SA"/>
                    </w:rPr>
                  </w:pPr>
                  <w:r>
                    <w:rPr>
                      <w:rFonts w:hint="eastAsia" w:ascii="Times New Roman" w:hAnsi="Times New Roman" w:eastAsia="宋体" w:cs="Times New Roman"/>
                      <w:sz w:val="21"/>
                      <w:szCs w:val="24"/>
                      <w:u w:val="single"/>
                      <w:lang w:val="en-US" w:eastAsia="zh-CN"/>
                    </w:rPr>
                    <w:t>2.0</w:t>
                  </w:r>
                </w:p>
              </w:tc>
              <w:tc>
                <w:tcPr>
                  <w:tcW w:w="477" w:type="pct"/>
                  <w:tcBorders>
                    <w:tl2br w:val="nil"/>
                    <w:tr2bl w:val="nil"/>
                  </w:tcBorders>
                  <w:noWrap w:val="0"/>
                  <w:vAlign w:val="center"/>
                </w:tcPr>
                <w:p>
                  <w:pPr>
                    <w:spacing w:beforeLines="0" w:afterLines="0"/>
                    <w:jc w:val="center"/>
                    <w:rPr>
                      <w:rFonts w:hint="default"/>
                      <w:kern w:val="2"/>
                      <w:sz w:val="21"/>
                      <w:szCs w:val="24"/>
                      <w:u w:val="single"/>
                      <w:lang w:val="en-US" w:eastAsia="zh-CN" w:bidi="ar-SA"/>
                    </w:rPr>
                  </w:pPr>
                  <w:r>
                    <w:rPr>
                      <w:rFonts w:hint="default"/>
                      <w:sz w:val="21"/>
                      <w:szCs w:val="24"/>
                      <w:u w:val="singl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restart"/>
                  <w:tcBorders>
                    <w:tl2br w:val="nil"/>
                    <w:tr2bl w:val="nil"/>
                  </w:tcBorders>
                  <w:noWrap w:val="0"/>
                  <w:vAlign w:val="center"/>
                </w:tcPr>
                <w:p>
                  <w:pPr>
                    <w:spacing w:beforeLines="0" w:afterLines="0"/>
                    <w:jc w:val="center"/>
                    <w:rPr>
                      <w:rFonts w:hint="default"/>
                      <w:sz w:val="21"/>
                      <w:szCs w:val="24"/>
                      <w:u w:val="single"/>
                    </w:rPr>
                  </w:pPr>
                  <w:r>
                    <w:rPr>
                      <w:rFonts w:hint="default"/>
                      <w:sz w:val="21"/>
                      <w:szCs w:val="24"/>
                      <w:u w:val="single"/>
                      <w:lang w:val="en-US" w:eastAsia="zh-CN"/>
                    </w:rPr>
                    <w:t>W2水渠</w:t>
                  </w:r>
                </w:p>
              </w:tc>
              <w:tc>
                <w:tcPr>
                  <w:tcW w:w="834" w:type="pct"/>
                  <w:tcBorders>
                    <w:tl2br w:val="nil"/>
                    <w:tr2bl w:val="nil"/>
                  </w:tcBorders>
                  <w:noWrap w:val="0"/>
                  <w:vAlign w:val="center"/>
                </w:tcPr>
                <w:p>
                  <w:pPr>
                    <w:spacing w:beforeLines="0" w:afterLines="0"/>
                    <w:jc w:val="center"/>
                    <w:rPr>
                      <w:rFonts w:hint="default" w:ascii="宋体" w:hAnsi="宋体" w:eastAsia="宋体" w:cs="宋体"/>
                      <w:kern w:val="2"/>
                      <w:sz w:val="21"/>
                      <w:szCs w:val="21"/>
                      <w:u w:val="single"/>
                      <w:lang w:val="en-US" w:eastAsia="zh-CN" w:bidi="ar-SA"/>
                    </w:rPr>
                  </w:pPr>
                  <w:r>
                    <w:rPr>
                      <w:rFonts w:hint="default" w:ascii="宋体" w:hAnsi="宋体" w:eastAsia="宋体" w:cs="宋体"/>
                      <w:sz w:val="21"/>
                      <w:szCs w:val="21"/>
                      <w:u w:val="single"/>
                    </w:rPr>
                    <w:t>总磷</w:t>
                  </w:r>
                </w:p>
              </w:tc>
              <w:tc>
                <w:tcPr>
                  <w:tcW w:w="598" w:type="pct"/>
                  <w:tcBorders>
                    <w:tl2br w:val="nil"/>
                    <w:tr2bl w:val="nil"/>
                  </w:tcBorders>
                  <w:noWrap w:val="0"/>
                  <w:vAlign w:val="center"/>
                </w:tcPr>
                <w:p>
                  <w:pPr>
                    <w:spacing w:beforeLines="0" w:afterLines="0"/>
                    <w:jc w:val="center"/>
                    <w:rPr>
                      <w:rFonts w:hint="default"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0.19</w:t>
                  </w:r>
                </w:p>
              </w:tc>
              <w:tc>
                <w:tcPr>
                  <w:tcW w:w="611"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0.17</w:t>
                  </w:r>
                </w:p>
              </w:tc>
              <w:tc>
                <w:tcPr>
                  <w:tcW w:w="626"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0.18</w:t>
                  </w:r>
                </w:p>
              </w:tc>
              <w:tc>
                <w:tcPr>
                  <w:tcW w:w="605" w:type="pct"/>
                  <w:tcBorders>
                    <w:tl2br w:val="nil"/>
                    <w:tr2bl w:val="nil"/>
                  </w:tcBorders>
                  <w:noWrap w:val="0"/>
                  <w:vAlign w:val="center"/>
                </w:tcPr>
                <w:p>
                  <w:pPr>
                    <w:spacing w:beforeLines="0" w:afterLines="0"/>
                    <w:jc w:val="center"/>
                    <w:rPr>
                      <w:rFonts w:hint="default" w:ascii="Times New Roman" w:hAnsi="Times New Roman" w:eastAsia="Times New Roman" w:cs="Times New Roman"/>
                      <w:kern w:val="2"/>
                      <w:sz w:val="21"/>
                      <w:szCs w:val="24"/>
                      <w:u w:val="single"/>
                      <w:lang w:val="en-US" w:eastAsia="zh-CN" w:bidi="ar-SA"/>
                    </w:rPr>
                  </w:pPr>
                  <w:r>
                    <w:rPr>
                      <w:rFonts w:hint="default" w:ascii="Times New Roman" w:hAnsi="Times New Roman" w:eastAsia="宋体" w:cs="Times New Roman"/>
                      <w:sz w:val="21"/>
                      <w:szCs w:val="24"/>
                      <w:u w:val="single"/>
                    </w:rPr>
                    <w:t>0.2</w:t>
                  </w:r>
                </w:p>
              </w:tc>
              <w:tc>
                <w:tcPr>
                  <w:tcW w:w="666"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4"/>
                      <w:u w:val="single"/>
                      <w:lang w:val="en-US" w:eastAsia="zh-CN" w:bidi="ar-SA"/>
                    </w:rPr>
                  </w:pPr>
                  <w:r>
                    <w:rPr>
                      <w:rFonts w:hint="eastAsia" w:ascii="Times New Roman" w:hAnsi="Times New Roman" w:eastAsia="宋体" w:cs="Times New Roman"/>
                      <w:sz w:val="21"/>
                      <w:szCs w:val="24"/>
                      <w:u w:val="single"/>
                      <w:lang w:val="en-US" w:eastAsia="zh-CN"/>
                    </w:rPr>
                    <w:t>0.4</w:t>
                  </w:r>
                </w:p>
              </w:tc>
              <w:tc>
                <w:tcPr>
                  <w:tcW w:w="477" w:type="pct"/>
                  <w:tcBorders>
                    <w:tl2br w:val="nil"/>
                    <w:tr2bl w:val="nil"/>
                  </w:tcBorders>
                  <w:noWrap w:val="0"/>
                  <w:vAlign w:val="center"/>
                </w:tcPr>
                <w:p>
                  <w:pPr>
                    <w:spacing w:beforeLines="0" w:afterLines="0"/>
                    <w:jc w:val="center"/>
                    <w:rPr>
                      <w:rFonts w:hint="default"/>
                      <w:kern w:val="0"/>
                      <w:sz w:val="21"/>
                      <w:szCs w:val="24"/>
                      <w:u w:val="single"/>
                      <w:lang w:val="en-US" w:eastAsia="zh-CN" w:bidi="ar-SA"/>
                    </w:rPr>
                  </w:pPr>
                  <w:r>
                    <w:rPr>
                      <w:rFonts w:hint="default"/>
                      <w:sz w:val="21"/>
                      <w:szCs w:val="24"/>
                      <w:u w:val="singl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tcBorders>
                    <w:tl2br w:val="nil"/>
                    <w:tr2bl w:val="nil"/>
                  </w:tcBorders>
                  <w:noWrap w:val="0"/>
                  <w:vAlign w:val="center"/>
                </w:tcPr>
                <w:p>
                  <w:pPr>
                    <w:spacing w:beforeLines="0" w:afterLines="0"/>
                    <w:jc w:val="center"/>
                    <w:rPr>
                      <w:rFonts w:hint="default"/>
                      <w:sz w:val="21"/>
                      <w:szCs w:val="24"/>
                      <w:u w:val="single"/>
                    </w:rPr>
                  </w:pPr>
                </w:p>
              </w:tc>
              <w:tc>
                <w:tcPr>
                  <w:tcW w:w="834" w:type="pct"/>
                  <w:tcBorders>
                    <w:tl2br w:val="nil"/>
                    <w:tr2bl w:val="nil"/>
                  </w:tcBorders>
                  <w:noWrap w:val="0"/>
                  <w:vAlign w:val="center"/>
                </w:tcPr>
                <w:p>
                  <w:pPr>
                    <w:spacing w:beforeLines="0" w:afterLines="0"/>
                    <w:jc w:val="center"/>
                    <w:rPr>
                      <w:rFonts w:hint="default" w:ascii="宋体" w:hAnsi="宋体" w:eastAsia="宋体" w:cs="宋体"/>
                      <w:kern w:val="2"/>
                      <w:sz w:val="21"/>
                      <w:szCs w:val="21"/>
                      <w:u w:val="single"/>
                      <w:lang w:val="en-US" w:eastAsia="zh-CN" w:bidi="ar-SA"/>
                    </w:rPr>
                  </w:pPr>
                  <w:r>
                    <w:rPr>
                      <w:rFonts w:hint="default" w:ascii="宋体" w:hAnsi="宋体" w:eastAsia="宋体" w:cs="宋体"/>
                      <w:sz w:val="21"/>
                      <w:szCs w:val="21"/>
                      <w:u w:val="single"/>
                    </w:rPr>
                    <w:t>总氮</w:t>
                  </w:r>
                </w:p>
              </w:tc>
              <w:tc>
                <w:tcPr>
                  <w:tcW w:w="598" w:type="pct"/>
                  <w:tcBorders>
                    <w:tl2br w:val="nil"/>
                    <w:tr2bl w:val="nil"/>
                  </w:tcBorders>
                  <w:noWrap w:val="0"/>
                  <w:vAlign w:val="center"/>
                </w:tcPr>
                <w:p>
                  <w:pPr>
                    <w:spacing w:beforeLines="0" w:afterLines="0"/>
                    <w:jc w:val="center"/>
                    <w:rPr>
                      <w:rFonts w:hint="default"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0.75</w:t>
                  </w:r>
                </w:p>
              </w:tc>
              <w:tc>
                <w:tcPr>
                  <w:tcW w:w="611"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0.89</w:t>
                  </w:r>
                </w:p>
              </w:tc>
              <w:tc>
                <w:tcPr>
                  <w:tcW w:w="626"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0.87</w:t>
                  </w:r>
                </w:p>
              </w:tc>
              <w:tc>
                <w:tcPr>
                  <w:tcW w:w="605" w:type="pct"/>
                  <w:tcBorders>
                    <w:tl2br w:val="nil"/>
                    <w:tr2bl w:val="nil"/>
                  </w:tcBorders>
                  <w:noWrap w:val="0"/>
                  <w:vAlign w:val="center"/>
                </w:tcPr>
                <w:p>
                  <w:pPr>
                    <w:spacing w:beforeLines="0" w:afterLines="0"/>
                    <w:jc w:val="center"/>
                    <w:rPr>
                      <w:rFonts w:hint="default" w:ascii="Times New Roman" w:hAnsi="Times New Roman" w:eastAsia="Times New Roman" w:cs="Times New Roman"/>
                      <w:kern w:val="2"/>
                      <w:sz w:val="21"/>
                      <w:szCs w:val="24"/>
                      <w:u w:val="single"/>
                      <w:lang w:val="en-US" w:eastAsia="zh-CN" w:bidi="ar-SA"/>
                    </w:rPr>
                  </w:pPr>
                  <w:r>
                    <w:rPr>
                      <w:rFonts w:hint="default" w:ascii="Times New Roman" w:hAnsi="Times New Roman" w:eastAsia="宋体" w:cs="Times New Roman"/>
                      <w:sz w:val="21"/>
                      <w:szCs w:val="24"/>
                      <w:u w:val="single"/>
                    </w:rPr>
                    <w:t>1.0</w:t>
                  </w:r>
                </w:p>
              </w:tc>
              <w:tc>
                <w:tcPr>
                  <w:tcW w:w="666"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4"/>
                      <w:u w:val="single"/>
                      <w:lang w:val="en-US" w:eastAsia="zh-CN" w:bidi="ar-SA"/>
                    </w:rPr>
                  </w:pPr>
                  <w:r>
                    <w:rPr>
                      <w:rFonts w:hint="eastAsia" w:ascii="Times New Roman" w:hAnsi="Times New Roman" w:eastAsia="宋体" w:cs="Times New Roman"/>
                      <w:sz w:val="21"/>
                      <w:szCs w:val="24"/>
                      <w:u w:val="single"/>
                      <w:lang w:val="en-US" w:eastAsia="zh-CN"/>
                    </w:rPr>
                    <w:t>2.0</w:t>
                  </w:r>
                </w:p>
              </w:tc>
              <w:tc>
                <w:tcPr>
                  <w:tcW w:w="477" w:type="pct"/>
                  <w:tcBorders>
                    <w:tl2br w:val="nil"/>
                    <w:tr2bl w:val="nil"/>
                  </w:tcBorders>
                  <w:noWrap w:val="0"/>
                  <w:vAlign w:val="center"/>
                </w:tcPr>
                <w:p>
                  <w:pPr>
                    <w:spacing w:beforeLines="0" w:afterLines="0"/>
                    <w:jc w:val="center"/>
                    <w:rPr>
                      <w:rFonts w:hint="default"/>
                      <w:kern w:val="0"/>
                      <w:sz w:val="21"/>
                      <w:szCs w:val="24"/>
                      <w:u w:val="single"/>
                      <w:lang w:val="en-US" w:eastAsia="zh-CN" w:bidi="ar-SA"/>
                    </w:rPr>
                  </w:pPr>
                  <w:r>
                    <w:rPr>
                      <w:rFonts w:hint="default"/>
                      <w:sz w:val="21"/>
                      <w:szCs w:val="24"/>
                      <w:u w:val="singl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tcBorders>
                    <w:tl2br w:val="nil"/>
                    <w:tr2bl w:val="nil"/>
                  </w:tcBorders>
                  <w:noWrap w:val="0"/>
                  <w:vAlign w:val="center"/>
                </w:tcPr>
                <w:p>
                  <w:pPr>
                    <w:spacing w:beforeLines="0" w:afterLines="0"/>
                    <w:jc w:val="center"/>
                    <w:rPr>
                      <w:rFonts w:hint="default"/>
                      <w:sz w:val="21"/>
                      <w:szCs w:val="24"/>
                      <w:u w:val="single"/>
                    </w:rPr>
                  </w:pPr>
                </w:p>
              </w:tc>
              <w:tc>
                <w:tcPr>
                  <w:tcW w:w="834" w:type="pct"/>
                  <w:tcBorders>
                    <w:tl2br w:val="nil"/>
                    <w:tr2bl w:val="nil"/>
                  </w:tcBorders>
                  <w:noWrap w:val="0"/>
                  <w:vAlign w:val="center"/>
                </w:tcPr>
                <w:p>
                  <w:pPr>
                    <w:spacing w:beforeLines="0" w:afterLines="0"/>
                    <w:jc w:val="center"/>
                    <w:rPr>
                      <w:rFonts w:hint="default" w:ascii="宋体" w:hAnsi="宋体" w:eastAsia="宋体" w:cs="宋体"/>
                      <w:kern w:val="2"/>
                      <w:sz w:val="21"/>
                      <w:szCs w:val="21"/>
                      <w:u w:val="single"/>
                      <w:lang w:val="en-US" w:eastAsia="zh-CN" w:bidi="ar-SA"/>
                    </w:rPr>
                  </w:pPr>
                  <w:r>
                    <w:rPr>
                      <w:rFonts w:hint="eastAsia" w:ascii="宋体" w:hAnsi="宋体" w:eastAsia="宋体" w:cs="宋体"/>
                      <w:sz w:val="21"/>
                      <w:szCs w:val="21"/>
                      <w:u w:val="single"/>
                      <w:lang w:eastAsia="zh-CN"/>
                    </w:rPr>
                    <w:t>石油类</w:t>
                  </w:r>
                </w:p>
              </w:tc>
              <w:tc>
                <w:tcPr>
                  <w:tcW w:w="598" w:type="pct"/>
                  <w:tcBorders>
                    <w:tl2br w:val="nil"/>
                    <w:tr2bl w:val="nil"/>
                  </w:tcBorders>
                  <w:noWrap w:val="0"/>
                  <w:vAlign w:val="center"/>
                </w:tcPr>
                <w:p>
                  <w:pPr>
                    <w:spacing w:beforeLines="0" w:afterLines="0"/>
                    <w:jc w:val="center"/>
                    <w:rPr>
                      <w:rFonts w:hint="default"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0.04</w:t>
                  </w:r>
                </w:p>
              </w:tc>
              <w:tc>
                <w:tcPr>
                  <w:tcW w:w="611"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0.03</w:t>
                  </w:r>
                </w:p>
              </w:tc>
              <w:tc>
                <w:tcPr>
                  <w:tcW w:w="626"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0.04</w:t>
                  </w:r>
                </w:p>
              </w:tc>
              <w:tc>
                <w:tcPr>
                  <w:tcW w:w="605"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4"/>
                      <w:u w:val="single"/>
                      <w:lang w:val="en-US" w:eastAsia="zh-CN" w:bidi="ar-SA"/>
                    </w:rPr>
                  </w:pPr>
                  <w:r>
                    <w:rPr>
                      <w:rFonts w:hint="eastAsia" w:ascii="Times New Roman" w:hAnsi="Times New Roman" w:eastAsia="宋体" w:cs="Times New Roman"/>
                      <w:sz w:val="21"/>
                      <w:szCs w:val="24"/>
                      <w:u w:val="single"/>
                      <w:lang w:val="en-US" w:eastAsia="zh-CN"/>
                    </w:rPr>
                    <w:t>0.05</w:t>
                  </w:r>
                </w:p>
              </w:tc>
              <w:tc>
                <w:tcPr>
                  <w:tcW w:w="666" w:type="pct"/>
                  <w:tcBorders>
                    <w:tl2br w:val="nil"/>
                    <w:tr2bl w:val="nil"/>
                  </w:tcBorders>
                  <w:noWrap w:val="0"/>
                  <w:vAlign w:val="center"/>
                </w:tcPr>
                <w:p>
                  <w:pPr>
                    <w:spacing w:beforeLines="0" w:afterLines="0"/>
                    <w:jc w:val="center"/>
                    <w:rPr>
                      <w:rFonts w:hint="eastAsia" w:ascii="Times New Roman" w:hAnsi="Times New Roman" w:eastAsia="宋体" w:cs="Times New Roman"/>
                      <w:kern w:val="2"/>
                      <w:sz w:val="21"/>
                      <w:szCs w:val="24"/>
                      <w:u w:val="single"/>
                      <w:lang w:val="en-US" w:eastAsia="zh-CN" w:bidi="ar-SA"/>
                    </w:rPr>
                  </w:pPr>
                  <w:r>
                    <w:rPr>
                      <w:rFonts w:hint="eastAsia" w:ascii="Times New Roman" w:hAnsi="Times New Roman" w:eastAsia="宋体" w:cs="Times New Roman"/>
                      <w:sz w:val="21"/>
                      <w:szCs w:val="24"/>
                      <w:u w:val="single"/>
                      <w:lang w:val="en-US" w:eastAsia="zh-CN"/>
                    </w:rPr>
                    <w:t>1.0</w:t>
                  </w:r>
                </w:p>
              </w:tc>
              <w:tc>
                <w:tcPr>
                  <w:tcW w:w="477" w:type="pct"/>
                  <w:tcBorders>
                    <w:tl2br w:val="nil"/>
                    <w:tr2bl w:val="nil"/>
                  </w:tcBorders>
                  <w:noWrap w:val="0"/>
                  <w:vAlign w:val="center"/>
                </w:tcPr>
                <w:p>
                  <w:pPr>
                    <w:spacing w:beforeLines="0" w:afterLines="0"/>
                    <w:jc w:val="center"/>
                    <w:rPr>
                      <w:rFonts w:hint="default"/>
                      <w:kern w:val="0"/>
                      <w:sz w:val="21"/>
                      <w:szCs w:val="24"/>
                      <w:u w:val="single"/>
                      <w:lang w:val="en-US" w:eastAsia="zh-CN" w:bidi="ar-SA"/>
                    </w:rPr>
                  </w:pPr>
                  <w:r>
                    <w:rPr>
                      <w:rFonts w:hint="default"/>
                      <w:sz w:val="21"/>
                      <w:szCs w:val="24"/>
                      <w:u w:val="singl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tcBorders>
                    <w:tl2br w:val="nil"/>
                    <w:tr2bl w:val="nil"/>
                  </w:tcBorders>
                  <w:noWrap w:val="0"/>
                  <w:vAlign w:val="center"/>
                </w:tcPr>
                <w:p>
                  <w:pPr>
                    <w:spacing w:beforeLines="0" w:afterLines="0"/>
                    <w:jc w:val="center"/>
                    <w:rPr>
                      <w:rFonts w:hint="default"/>
                      <w:sz w:val="21"/>
                      <w:szCs w:val="24"/>
                      <w:u w:val="single"/>
                    </w:rPr>
                  </w:pPr>
                </w:p>
              </w:tc>
              <w:tc>
                <w:tcPr>
                  <w:tcW w:w="834" w:type="pct"/>
                  <w:tcBorders>
                    <w:tl2br w:val="nil"/>
                    <w:tr2bl w:val="nil"/>
                  </w:tcBorders>
                  <w:noWrap w:val="0"/>
                  <w:vAlign w:val="center"/>
                </w:tcPr>
                <w:p>
                  <w:pPr>
                    <w:spacing w:beforeLines="0" w:afterLines="0"/>
                    <w:jc w:val="center"/>
                    <w:rPr>
                      <w:rFonts w:hint="default" w:ascii="宋体" w:hAnsi="宋体" w:eastAsia="宋体" w:cs="宋体"/>
                      <w:kern w:val="2"/>
                      <w:sz w:val="21"/>
                      <w:szCs w:val="21"/>
                      <w:u w:val="single"/>
                      <w:lang w:val="en-US" w:eastAsia="zh-CN" w:bidi="ar-SA"/>
                    </w:rPr>
                  </w:pPr>
                  <w:r>
                    <w:rPr>
                      <w:rFonts w:hint="default" w:ascii="宋体" w:hAnsi="宋体" w:eastAsia="宋体" w:cs="宋体"/>
                      <w:sz w:val="21"/>
                      <w:szCs w:val="21"/>
                      <w:u w:val="single"/>
                      <w:lang w:val="en-US" w:eastAsia="zh-CN"/>
                    </w:rPr>
                    <w:t>阴离子表面活性剂</w:t>
                  </w:r>
                </w:p>
              </w:tc>
              <w:tc>
                <w:tcPr>
                  <w:tcW w:w="598" w:type="pct"/>
                  <w:tcBorders>
                    <w:tl2br w:val="nil"/>
                    <w:tr2bl w:val="nil"/>
                  </w:tcBorders>
                  <w:noWrap w:val="0"/>
                  <w:vAlign w:val="center"/>
                </w:tcPr>
                <w:p>
                  <w:pPr>
                    <w:spacing w:beforeLines="0" w:afterLines="0"/>
                    <w:jc w:val="center"/>
                    <w:rPr>
                      <w:rFonts w:hint="default"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0.050</w:t>
                  </w:r>
                </w:p>
              </w:tc>
              <w:tc>
                <w:tcPr>
                  <w:tcW w:w="611"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0.081</w:t>
                  </w:r>
                </w:p>
              </w:tc>
              <w:tc>
                <w:tcPr>
                  <w:tcW w:w="626" w:type="pct"/>
                  <w:tcBorders>
                    <w:tl2br w:val="nil"/>
                    <w:tr2bl w:val="nil"/>
                  </w:tcBorders>
                  <w:noWrap w:val="0"/>
                  <w:vAlign w:val="center"/>
                </w:tcPr>
                <w:p>
                  <w:pPr>
                    <w:spacing w:beforeLines="0" w:afterLines="0"/>
                    <w:jc w:val="center"/>
                    <w:rPr>
                      <w:rFonts w:hint="eastAsia" w:ascii="Times New Roman" w:hAnsi="Times New Roman" w:eastAsia="Times New Roman"/>
                      <w:kern w:val="2"/>
                      <w:sz w:val="21"/>
                      <w:szCs w:val="24"/>
                      <w:u w:val="single"/>
                      <w:lang w:val="en-US" w:eastAsia="zh-CN" w:bidi="ar-SA"/>
                    </w:rPr>
                  </w:pPr>
                  <w:r>
                    <w:rPr>
                      <w:rFonts w:hint="eastAsia" w:ascii="Times New Roman" w:hAnsi="Times New Roman" w:eastAsia="Times New Roman"/>
                      <w:kern w:val="2"/>
                      <w:sz w:val="21"/>
                      <w:szCs w:val="24"/>
                      <w:u w:val="single"/>
                      <w:lang w:val="en-US" w:eastAsia="zh-CN" w:bidi="ar-SA"/>
                    </w:rPr>
                    <w:t>0.05（ND）</w:t>
                  </w:r>
                </w:p>
              </w:tc>
              <w:tc>
                <w:tcPr>
                  <w:tcW w:w="605" w:type="pct"/>
                  <w:tcBorders>
                    <w:tl2br w:val="nil"/>
                    <w:tr2bl w:val="nil"/>
                  </w:tcBorders>
                  <w:noWrap w:val="0"/>
                  <w:vAlign w:val="center"/>
                </w:tcPr>
                <w:p>
                  <w:pPr>
                    <w:spacing w:beforeLines="0" w:afterLines="0"/>
                    <w:jc w:val="center"/>
                    <w:rPr>
                      <w:rFonts w:hint="default" w:ascii="Times New Roman" w:hAnsi="Times New Roman" w:eastAsia="宋体" w:cs="Times New Roman"/>
                      <w:kern w:val="2"/>
                      <w:sz w:val="21"/>
                      <w:szCs w:val="24"/>
                      <w:u w:val="single"/>
                      <w:lang w:val="en-US" w:eastAsia="zh-CN" w:bidi="ar-SA"/>
                    </w:rPr>
                  </w:pPr>
                  <w:r>
                    <w:rPr>
                      <w:rFonts w:hint="eastAsia" w:ascii="Times New Roman" w:hAnsi="Times New Roman" w:eastAsia="宋体" w:cs="Times New Roman"/>
                      <w:sz w:val="21"/>
                      <w:szCs w:val="24"/>
                      <w:u w:val="single"/>
                      <w:lang w:val="en-US" w:eastAsia="zh-CN"/>
                    </w:rPr>
                    <w:t>0.2</w:t>
                  </w:r>
                </w:p>
              </w:tc>
              <w:tc>
                <w:tcPr>
                  <w:tcW w:w="666" w:type="pct"/>
                  <w:tcBorders>
                    <w:tl2br w:val="nil"/>
                    <w:tr2bl w:val="nil"/>
                  </w:tcBorders>
                  <w:noWrap w:val="0"/>
                  <w:vAlign w:val="center"/>
                </w:tcPr>
                <w:p>
                  <w:pPr>
                    <w:spacing w:beforeLines="0" w:afterLines="0"/>
                    <w:jc w:val="center"/>
                    <w:rPr>
                      <w:rFonts w:hint="eastAsia" w:ascii="Times New Roman" w:hAnsi="Times New Roman" w:eastAsia="宋体" w:cs="Times New Roman"/>
                      <w:kern w:val="2"/>
                      <w:sz w:val="21"/>
                      <w:szCs w:val="24"/>
                      <w:u w:val="single"/>
                      <w:lang w:val="en-US" w:eastAsia="zh-CN" w:bidi="ar-SA"/>
                    </w:rPr>
                  </w:pPr>
                  <w:r>
                    <w:rPr>
                      <w:rFonts w:hint="eastAsia" w:ascii="Times New Roman" w:hAnsi="Times New Roman" w:eastAsia="宋体" w:cs="Times New Roman"/>
                      <w:sz w:val="21"/>
                      <w:szCs w:val="24"/>
                      <w:u w:val="single"/>
                      <w:lang w:val="en-US" w:eastAsia="zh-CN"/>
                    </w:rPr>
                    <w:t>0.3</w:t>
                  </w:r>
                </w:p>
              </w:tc>
              <w:tc>
                <w:tcPr>
                  <w:tcW w:w="477" w:type="pct"/>
                  <w:tcBorders>
                    <w:tl2br w:val="nil"/>
                    <w:tr2bl w:val="nil"/>
                  </w:tcBorders>
                  <w:noWrap w:val="0"/>
                  <w:vAlign w:val="center"/>
                </w:tcPr>
                <w:p>
                  <w:pPr>
                    <w:spacing w:beforeLines="0" w:afterLines="0"/>
                    <w:jc w:val="center"/>
                    <w:rPr>
                      <w:rFonts w:hint="default"/>
                      <w:kern w:val="0"/>
                      <w:sz w:val="21"/>
                      <w:szCs w:val="24"/>
                      <w:u w:val="single"/>
                      <w:lang w:val="en-US" w:eastAsia="zh-CN" w:bidi="ar-SA"/>
                    </w:rPr>
                  </w:pPr>
                  <w:r>
                    <w:rPr>
                      <w:rFonts w:hint="default"/>
                      <w:sz w:val="21"/>
                      <w:szCs w:val="24"/>
                      <w:u w:val="single"/>
                    </w:rPr>
                    <w:t>mg/L</w:t>
                  </w:r>
                </w:p>
              </w:tc>
            </w:tr>
          </w:tbl>
          <w:p>
            <w:pPr>
              <w:adjustRightInd w:val="0"/>
              <w:snapToGrid w:val="0"/>
              <w:spacing w:line="360" w:lineRule="auto"/>
              <w:ind w:firstLine="480" w:firstLineChars="200"/>
              <w:rPr>
                <w:rFonts w:hint="default" w:ascii="FangSong_GB2312" w:hAnsi="FangSong_GB2312" w:eastAsia="FangSong_GB2312"/>
                <w:sz w:val="28"/>
                <w:szCs w:val="24"/>
                <w:u w:val="none"/>
              </w:rPr>
            </w:pPr>
            <w:r>
              <w:rPr>
                <w:rFonts w:hint="default" w:ascii="Times New Roman" w:hAnsi="Times New Roman" w:eastAsia="宋体" w:cs="Times New Roman"/>
                <w:color w:val="auto"/>
                <w:sz w:val="24"/>
                <w:szCs w:val="24"/>
                <w:highlight w:val="none"/>
                <w:u w:val="single"/>
                <w:lang w:val="en-US" w:eastAsia="zh-CN"/>
              </w:rPr>
              <w:t>根据</w:t>
            </w:r>
            <w:r>
              <w:rPr>
                <w:rFonts w:hint="default" w:ascii="Times New Roman" w:hAnsi="Times New Roman" w:eastAsia="宋体" w:cs="Times New Roman"/>
                <w:color w:val="auto"/>
                <w:sz w:val="24"/>
                <w:szCs w:val="24"/>
                <w:u w:val="single"/>
              </w:rPr>
              <w:t>湖南汨江检测有限公司202</w:t>
            </w:r>
            <w:r>
              <w:rPr>
                <w:rFonts w:hint="eastAsia" w:cs="Times New Roman"/>
                <w:color w:val="auto"/>
                <w:sz w:val="24"/>
                <w:szCs w:val="24"/>
                <w:u w:val="single"/>
                <w:lang w:val="en-US" w:eastAsia="zh-CN"/>
              </w:rPr>
              <w:t>3</w:t>
            </w:r>
            <w:r>
              <w:rPr>
                <w:rFonts w:hint="default" w:ascii="Times New Roman" w:hAnsi="Times New Roman" w:eastAsia="宋体" w:cs="Times New Roman"/>
                <w:color w:val="auto"/>
                <w:sz w:val="24"/>
                <w:szCs w:val="24"/>
                <w:u w:val="single"/>
                <w:lang w:val="en-US" w:eastAsia="zh-CN"/>
              </w:rPr>
              <w:t>年</w:t>
            </w:r>
            <w:r>
              <w:rPr>
                <w:rFonts w:hint="eastAsia" w:cs="Times New Roman"/>
                <w:color w:val="auto"/>
                <w:sz w:val="24"/>
                <w:szCs w:val="24"/>
                <w:u w:val="single"/>
                <w:lang w:val="en-US" w:eastAsia="zh-CN"/>
              </w:rPr>
              <w:t>8</w:t>
            </w:r>
            <w:r>
              <w:rPr>
                <w:rFonts w:hint="default" w:ascii="Times New Roman" w:hAnsi="Times New Roman" w:eastAsia="宋体" w:cs="Times New Roman"/>
                <w:color w:val="auto"/>
                <w:sz w:val="24"/>
                <w:szCs w:val="24"/>
                <w:u w:val="single"/>
                <w:lang w:val="en-US" w:eastAsia="zh-CN"/>
              </w:rPr>
              <w:t>月</w:t>
            </w:r>
            <w:r>
              <w:rPr>
                <w:rFonts w:hint="eastAsia" w:cs="Times New Roman"/>
                <w:color w:val="auto"/>
                <w:sz w:val="24"/>
                <w:szCs w:val="24"/>
                <w:u w:val="single"/>
                <w:lang w:val="en-US" w:eastAsia="zh-CN"/>
              </w:rPr>
              <w:t>23</w:t>
            </w:r>
            <w:r>
              <w:rPr>
                <w:rFonts w:hint="default" w:ascii="Times New Roman" w:hAnsi="Times New Roman" w:eastAsia="宋体" w:cs="Times New Roman"/>
                <w:color w:val="auto"/>
                <w:sz w:val="24"/>
                <w:szCs w:val="24"/>
                <w:u w:val="single"/>
                <w:lang w:val="en-US" w:eastAsia="zh-CN"/>
              </w:rPr>
              <w:t>日至202</w:t>
            </w:r>
            <w:r>
              <w:rPr>
                <w:rFonts w:hint="eastAsia" w:cs="Times New Roman"/>
                <w:color w:val="auto"/>
                <w:sz w:val="24"/>
                <w:szCs w:val="24"/>
                <w:u w:val="single"/>
                <w:lang w:val="en-US" w:eastAsia="zh-CN"/>
              </w:rPr>
              <w:t>3</w:t>
            </w:r>
            <w:r>
              <w:rPr>
                <w:rFonts w:hint="default" w:ascii="Times New Roman" w:hAnsi="Times New Roman" w:eastAsia="宋体" w:cs="Times New Roman"/>
                <w:color w:val="auto"/>
                <w:sz w:val="24"/>
                <w:szCs w:val="24"/>
                <w:u w:val="single"/>
                <w:lang w:val="en-US" w:eastAsia="zh-CN"/>
              </w:rPr>
              <w:t>年</w:t>
            </w:r>
            <w:r>
              <w:rPr>
                <w:rFonts w:hint="eastAsia" w:cs="Times New Roman"/>
                <w:color w:val="auto"/>
                <w:sz w:val="24"/>
                <w:szCs w:val="24"/>
                <w:u w:val="single"/>
                <w:lang w:val="en-US" w:eastAsia="zh-CN"/>
              </w:rPr>
              <w:t>8</w:t>
            </w:r>
            <w:r>
              <w:rPr>
                <w:rFonts w:hint="default" w:ascii="Times New Roman" w:hAnsi="Times New Roman" w:eastAsia="宋体" w:cs="Times New Roman"/>
                <w:color w:val="auto"/>
                <w:sz w:val="24"/>
                <w:szCs w:val="24"/>
                <w:u w:val="single"/>
                <w:lang w:val="en-US" w:eastAsia="zh-CN"/>
              </w:rPr>
              <w:t>月</w:t>
            </w:r>
            <w:r>
              <w:rPr>
                <w:rFonts w:hint="eastAsia" w:cs="Times New Roman"/>
                <w:color w:val="auto"/>
                <w:sz w:val="24"/>
                <w:szCs w:val="24"/>
                <w:u w:val="single"/>
                <w:lang w:val="en-US" w:eastAsia="zh-CN"/>
              </w:rPr>
              <w:t>30</w:t>
            </w:r>
            <w:r>
              <w:rPr>
                <w:rFonts w:hint="default" w:ascii="Times New Roman" w:hAnsi="Times New Roman" w:eastAsia="宋体" w:cs="Times New Roman"/>
                <w:color w:val="auto"/>
                <w:sz w:val="24"/>
                <w:szCs w:val="24"/>
                <w:u w:val="single"/>
                <w:lang w:val="en-US" w:eastAsia="zh-CN"/>
              </w:rPr>
              <w:t>日对人工湿地</w:t>
            </w:r>
            <w:r>
              <w:rPr>
                <w:rFonts w:hint="eastAsia" w:cs="Times New Roman"/>
                <w:color w:val="auto"/>
                <w:sz w:val="24"/>
                <w:szCs w:val="24"/>
                <w:u w:val="single"/>
                <w:lang w:val="en-US" w:eastAsia="zh-CN"/>
              </w:rPr>
              <w:t>、</w:t>
            </w:r>
            <w:r>
              <w:rPr>
                <w:rFonts w:hint="default" w:ascii="Times New Roman" w:hAnsi="Times New Roman" w:eastAsia="宋体" w:cs="Times New Roman"/>
                <w:color w:val="auto"/>
                <w:sz w:val="24"/>
                <w:szCs w:val="24"/>
                <w:u w:val="single"/>
                <w:lang w:val="en-US" w:eastAsia="zh-CN"/>
              </w:rPr>
              <w:t>水渠进行的地表水环境检测，水渠</w:t>
            </w:r>
            <w:r>
              <w:rPr>
                <w:rFonts w:hint="eastAsia" w:ascii="Times New Roman" w:hAnsi="Times New Roman" w:eastAsia="宋体" w:cs="Times New Roman"/>
                <w:color w:val="auto"/>
                <w:sz w:val="24"/>
                <w:szCs w:val="24"/>
                <w:u w:val="single"/>
                <w:lang w:val="en-US" w:eastAsia="zh-CN"/>
              </w:rPr>
              <w:t>的水质能满足</w:t>
            </w:r>
            <w:r>
              <w:rPr>
                <w:rFonts w:hint="default" w:ascii="Times New Roman" w:hAnsi="Times New Roman" w:eastAsia="宋体" w:cs="Times New Roman"/>
                <w:color w:val="auto"/>
                <w:sz w:val="24"/>
                <w:szCs w:val="24"/>
                <w:u w:val="single"/>
                <w:lang w:val="en-US" w:eastAsia="zh-CN"/>
              </w:rPr>
              <w:t>《地表水环境质量标准》（GB3838-2022）中III类</w:t>
            </w:r>
            <w:r>
              <w:rPr>
                <w:rFonts w:hint="eastAsia" w:ascii="Times New Roman" w:hAnsi="Times New Roman" w:eastAsia="宋体" w:cs="Times New Roman"/>
                <w:color w:val="auto"/>
                <w:sz w:val="24"/>
                <w:szCs w:val="24"/>
                <w:u w:val="single"/>
                <w:lang w:val="en-US" w:eastAsia="zh-CN"/>
              </w:rPr>
              <w:t>水体要求；人工湿地的化学需氧量和总氮不能满足</w:t>
            </w:r>
            <w:r>
              <w:rPr>
                <w:rFonts w:hint="default" w:ascii="Times New Roman" w:hAnsi="Times New Roman" w:eastAsia="宋体" w:cs="Times New Roman"/>
                <w:color w:val="auto"/>
                <w:sz w:val="24"/>
                <w:szCs w:val="24"/>
                <w:u w:val="single"/>
                <w:lang w:val="en-US" w:eastAsia="zh-CN"/>
              </w:rPr>
              <w:t>III类</w:t>
            </w:r>
            <w:r>
              <w:rPr>
                <w:rFonts w:hint="eastAsia" w:ascii="Times New Roman" w:hAnsi="Times New Roman" w:eastAsia="宋体" w:cs="Times New Roman"/>
                <w:color w:val="auto"/>
                <w:sz w:val="24"/>
                <w:szCs w:val="24"/>
                <w:u w:val="single"/>
                <w:lang w:val="en-US" w:eastAsia="zh-CN"/>
              </w:rPr>
              <w:t>水体要求，能满足V类水体要求，其它因子均能满足</w:t>
            </w:r>
            <w:r>
              <w:rPr>
                <w:rFonts w:hint="default" w:ascii="Times New Roman" w:hAnsi="Times New Roman" w:eastAsia="宋体" w:cs="Times New Roman"/>
                <w:color w:val="auto"/>
                <w:sz w:val="24"/>
                <w:szCs w:val="24"/>
                <w:u w:val="single"/>
                <w:lang w:val="en-US" w:eastAsia="zh-CN"/>
              </w:rPr>
              <w:t>III类</w:t>
            </w:r>
            <w:r>
              <w:rPr>
                <w:rFonts w:hint="eastAsia" w:ascii="Times New Roman" w:hAnsi="Times New Roman" w:eastAsia="宋体" w:cs="Times New Roman"/>
                <w:color w:val="auto"/>
                <w:sz w:val="24"/>
                <w:szCs w:val="24"/>
                <w:u w:val="single"/>
                <w:lang w:val="en-US" w:eastAsia="zh-CN"/>
              </w:rPr>
              <w:t>水体要求。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353" w:type="pc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kern w:val="0"/>
                <w:szCs w:val="21"/>
                <w:u w:val="none"/>
              </w:rPr>
            </w:pPr>
            <w:r>
              <w:rPr>
                <w:rFonts w:hint="default" w:ascii="Times New Roman" w:hAnsi="Times New Roman" w:eastAsia="宋体" w:cs="Times New Roman"/>
                <w:bCs/>
                <w:color w:val="auto"/>
                <w:szCs w:val="21"/>
                <w:u w:val="none"/>
              </w:rPr>
              <w:t>与项目有关的原有环境污染和生态破坏问题</w:t>
            </w:r>
          </w:p>
        </w:tc>
        <w:tc>
          <w:tcPr>
            <w:tcW w:w="4646" w:type="pct"/>
            <w:noWrap w:val="0"/>
            <w:vAlign w:val="center"/>
          </w:tcPr>
          <w:p>
            <w:pPr>
              <w:spacing w:line="360" w:lineRule="auto"/>
              <w:ind w:firstLine="480" w:firstLineChars="200"/>
              <w:rPr>
                <w:rFonts w:hint="default" w:ascii="Times New Roman" w:hAnsi="Times New Roman" w:eastAsia="宋体" w:cs="Times New Roman"/>
                <w:color w:val="auto"/>
                <w:kern w:val="0"/>
                <w:sz w:val="24"/>
                <w:szCs w:val="24"/>
                <w:u w:val="none"/>
                <w:lang w:val="en-US"/>
              </w:rPr>
            </w:pPr>
            <w:r>
              <w:rPr>
                <w:rFonts w:hint="default" w:ascii="Times New Roman" w:hAnsi="Times New Roman" w:eastAsia="宋体" w:cs="Times New Roman"/>
                <w:color w:val="auto"/>
                <w:sz w:val="24"/>
                <w:szCs w:val="24"/>
                <w:u w:val="none"/>
                <w:lang w:eastAsia="zh-CN"/>
              </w:rPr>
              <w:t>本项目为新建项目，不属于改建、扩建和技术改造项目，</w:t>
            </w:r>
            <w:r>
              <w:rPr>
                <w:rFonts w:hint="default" w:ascii="Times New Roman" w:hAnsi="Times New Roman" w:eastAsia="宋体" w:cs="Times New Roman"/>
                <w:color w:val="auto"/>
                <w:sz w:val="24"/>
                <w:szCs w:val="24"/>
                <w:u w:val="none"/>
                <w:lang w:val="en-US" w:eastAsia="zh-CN"/>
              </w:rPr>
              <w:t>项目所在地无环境污染及生态破坏问题。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53" w:type="pct"/>
            <w:noWrap w:val="0"/>
            <w:vAlign w:val="center"/>
          </w:tcPr>
          <w:p>
            <w:pPr>
              <w:adjustRightInd w:val="0"/>
              <w:snapToGrid w:val="0"/>
              <w:jc w:val="center"/>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kern w:val="0"/>
                <w:szCs w:val="21"/>
                <w:u w:val="none"/>
              </w:rPr>
              <w:t>生态环境保护目标</w:t>
            </w:r>
          </w:p>
        </w:tc>
        <w:tc>
          <w:tcPr>
            <w:tcW w:w="4646" w:type="pct"/>
            <w:noWrap w:val="0"/>
            <w:vAlign w:val="center"/>
          </w:tcPr>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u w:val="none"/>
                <w:lang w:val="en-US" w:eastAsia="zh-CN"/>
              </w:rPr>
              <w:t>本项目周边不涉及自然保护区、风景名胜区、水源保护区等敏感区。提升泵站50m范围内无居民点等保护目标</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eastAsia="zh-CN"/>
              </w:rPr>
              <w:t>根据《建设项目环境影响报告表编制技术指南（生态影响类）（试行）》的要求，</w:t>
            </w:r>
            <w:r>
              <w:rPr>
                <w:rFonts w:hint="default" w:ascii="Times New Roman" w:hAnsi="Times New Roman" w:eastAsia="宋体" w:cs="Times New Roman"/>
                <w:color w:val="auto"/>
                <w:sz w:val="24"/>
                <w:szCs w:val="24"/>
                <w:u w:val="none"/>
                <w:lang w:val="en-US" w:eastAsia="zh-CN"/>
              </w:rPr>
              <w:t>本</w:t>
            </w:r>
            <w:r>
              <w:rPr>
                <w:rFonts w:hint="default" w:ascii="Times New Roman" w:hAnsi="Times New Roman" w:eastAsia="宋体" w:cs="Times New Roman"/>
                <w:color w:val="auto"/>
                <w:sz w:val="24"/>
                <w:szCs w:val="24"/>
                <w:u w:val="none"/>
              </w:rPr>
              <w:t>项目环境保护目标情况见表</w:t>
            </w:r>
            <w:r>
              <w:rPr>
                <w:rFonts w:hint="default" w:ascii="Times New Roman" w:hAnsi="Times New Roman" w:eastAsia="宋体" w:cs="Times New Roman"/>
                <w:color w:val="auto"/>
                <w:sz w:val="24"/>
                <w:szCs w:val="24"/>
                <w:u w:val="none"/>
                <w:lang w:val="en-US" w:eastAsia="zh-CN"/>
              </w:rPr>
              <w:t>3-</w:t>
            </w:r>
            <w:r>
              <w:rPr>
                <w:rFonts w:hint="eastAsia" w:cs="Times New Roman"/>
                <w:color w:val="auto"/>
                <w:sz w:val="24"/>
                <w:szCs w:val="24"/>
                <w:u w:val="none"/>
                <w:lang w:val="en-US" w:eastAsia="zh-CN"/>
              </w:rPr>
              <w:t>11</w:t>
            </w:r>
            <w:r>
              <w:rPr>
                <w:rFonts w:hint="default" w:ascii="Times New Roman" w:hAnsi="Times New Roman" w:eastAsia="宋体" w:cs="Times New Roman"/>
                <w:color w:val="auto"/>
                <w:sz w:val="24"/>
                <w:szCs w:val="24"/>
                <w:u w:val="none"/>
              </w:rPr>
              <w:t>，环境保护目标范围见</w:t>
            </w:r>
            <w:r>
              <w:rPr>
                <w:rFonts w:hint="default" w:ascii="Times New Roman" w:hAnsi="Times New Roman" w:eastAsia="宋体" w:cs="Times New Roman"/>
                <w:color w:val="auto"/>
                <w:sz w:val="24"/>
                <w:szCs w:val="24"/>
                <w:highlight w:val="none"/>
                <w:u w:val="none"/>
              </w:rPr>
              <w:t>附图。</w:t>
            </w:r>
          </w:p>
          <w:p>
            <w:pPr>
              <w:pStyle w:val="90"/>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表3-</w:t>
            </w:r>
            <w:r>
              <w:rPr>
                <w:rFonts w:hint="eastAsia" w:cs="Times New Roman"/>
                <w:color w:val="auto"/>
                <w:highlight w:val="none"/>
                <w:u w:val="none"/>
                <w:lang w:val="en-US" w:eastAsia="zh-CN"/>
              </w:rPr>
              <w:t xml:space="preserve">11                 </w:t>
            </w:r>
            <w:r>
              <w:rPr>
                <w:rFonts w:hint="default" w:ascii="Times New Roman" w:hAnsi="Times New Roman" w:eastAsia="宋体" w:cs="Times New Roman"/>
                <w:color w:val="auto"/>
                <w:highlight w:val="none"/>
                <w:u w:val="none"/>
                <w:lang w:val="en-US" w:eastAsia="zh-CN"/>
              </w:rPr>
              <w:t>主要环境保护目标</w:t>
            </w:r>
          </w:p>
          <w:tbl>
            <w:tblPr>
              <w:tblStyle w:val="32"/>
              <w:tblW w:w="49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79"/>
              <w:gridCol w:w="1502"/>
              <w:gridCol w:w="1210"/>
              <w:gridCol w:w="23"/>
              <w:gridCol w:w="913"/>
              <w:gridCol w:w="28"/>
              <w:gridCol w:w="1034"/>
              <w:gridCol w:w="22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1" w:type="pc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color w:val="auto"/>
                      <w:sz w:val="21"/>
                      <w:szCs w:val="21"/>
                      <w:highlight w:val="none"/>
                      <w:u w:val="none"/>
                      <w:lang w:eastAsia="zh-CN"/>
                    </w:rPr>
                  </w:pPr>
                  <w:r>
                    <w:rPr>
                      <w:rFonts w:hint="default" w:ascii="Times New Roman" w:hAnsi="Times New Roman" w:eastAsia="宋体" w:cs="Times New Roman"/>
                      <w:b/>
                      <w:color w:val="auto"/>
                      <w:sz w:val="21"/>
                      <w:szCs w:val="21"/>
                      <w:highlight w:val="none"/>
                      <w:u w:val="none"/>
                      <w:lang w:eastAsia="zh-CN"/>
                    </w:rPr>
                    <w:t>环境要素</w:t>
                  </w:r>
                </w:p>
              </w:tc>
              <w:tc>
                <w:tcPr>
                  <w:tcW w:w="966" w:type="pc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color w:val="auto"/>
                      <w:sz w:val="21"/>
                      <w:szCs w:val="21"/>
                      <w:highlight w:val="none"/>
                      <w:u w:val="none"/>
                      <w:lang w:eastAsia="zh-CN"/>
                    </w:rPr>
                  </w:pPr>
                  <w:r>
                    <w:rPr>
                      <w:rFonts w:hint="default" w:ascii="Times New Roman" w:hAnsi="Times New Roman" w:eastAsia="宋体" w:cs="Times New Roman"/>
                      <w:b/>
                      <w:color w:val="auto"/>
                      <w:sz w:val="21"/>
                      <w:szCs w:val="21"/>
                      <w:highlight w:val="none"/>
                      <w:u w:val="none"/>
                      <w:lang w:eastAsia="zh-CN"/>
                    </w:rPr>
                    <w:t>保护对象名称</w:t>
                  </w:r>
                </w:p>
              </w:tc>
              <w:tc>
                <w:tcPr>
                  <w:tcW w:w="793" w:type="pct"/>
                  <w:gridSpan w:val="2"/>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color w:val="auto"/>
                      <w:sz w:val="21"/>
                      <w:szCs w:val="21"/>
                      <w:highlight w:val="none"/>
                      <w:u w:val="none"/>
                      <w:lang w:eastAsia="zh-CN"/>
                    </w:rPr>
                  </w:pPr>
                  <w:r>
                    <w:rPr>
                      <w:rFonts w:hint="default" w:ascii="Times New Roman" w:hAnsi="Times New Roman" w:eastAsia="宋体" w:cs="Times New Roman"/>
                      <w:b/>
                      <w:color w:val="auto"/>
                      <w:sz w:val="21"/>
                      <w:szCs w:val="21"/>
                      <w:highlight w:val="none"/>
                      <w:u w:val="none"/>
                      <w:lang w:eastAsia="zh-CN"/>
                    </w:rPr>
                    <w:t>方位及距离（m）</w:t>
                  </w:r>
                </w:p>
              </w:tc>
              <w:tc>
                <w:tcPr>
                  <w:tcW w:w="587" w:type="pc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color w:val="auto"/>
                      <w:sz w:val="21"/>
                      <w:szCs w:val="21"/>
                      <w:highlight w:val="none"/>
                      <w:u w:val="none"/>
                      <w:lang w:eastAsia="zh-CN"/>
                    </w:rPr>
                  </w:pPr>
                  <w:r>
                    <w:rPr>
                      <w:rFonts w:hint="default" w:ascii="Times New Roman" w:hAnsi="Times New Roman" w:eastAsia="宋体" w:cs="Times New Roman"/>
                      <w:b/>
                      <w:color w:val="auto"/>
                      <w:sz w:val="21"/>
                      <w:szCs w:val="21"/>
                      <w:highlight w:val="none"/>
                      <w:u w:val="none"/>
                      <w:lang w:eastAsia="zh-CN"/>
                    </w:rPr>
                    <w:t>功能</w:t>
                  </w:r>
                </w:p>
              </w:tc>
              <w:tc>
                <w:tcPr>
                  <w:tcW w:w="682" w:type="pct"/>
                  <w:gridSpan w:val="2"/>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color w:val="auto"/>
                      <w:sz w:val="21"/>
                      <w:szCs w:val="21"/>
                      <w:highlight w:val="none"/>
                      <w:u w:val="none"/>
                      <w:lang w:eastAsia="zh-CN"/>
                    </w:rPr>
                  </w:pPr>
                  <w:r>
                    <w:rPr>
                      <w:rFonts w:hint="default" w:ascii="Times New Roman" w:hAnsi="Times New Roman" w:eastAsia="宋体" w:cs="Times New Roman"/>
                      <w:b/>
                      <w:color w:val="auto"/>
                      <w:sz w:val="21"/>
                      <w:szCs w:val="21"/>
                      <w:highlight w:val="none"/>
                      <w:u w:val="none"/>
                      <w:lang w:eastAsia="zh-CN"/>
                    </w:rPr>
                    <w:t>规模</w:t>
                  </w:r>
                </w:p>
              </w:tc>
              <w:tc>
                <w:tcPr>
                  <w:tcW w:w="1468" w:type="pc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color w:val="auto"/>
                      <w:sz w:val="21"/>
                      <w:szCs w:val="21"/>
                      <w:highlight w:val="none"/>
                      <w:u w:val="none"/>
                      <w:lang w:eastAsia="zh-CN"/>
                    </w:rPr>
                  </w:pPr>
                  <w:r>
                    <w:rPr>
                      <w:rFonts w:hint="default" w:ascii="Times New Roman" w:hAnsi="Times New Roman" w:eastAsia="宋体" w:cs="Times New Roman"/>
                      <w:b/>
                      <w:color w:val="auto"/>
                      <w:sz w:val="21"/>
                      <w:szCs w:val="21"/>
                      <w:highlight w:val="none"/>
                      <w:u w:val="none"/>
                      <w:lang w:eastAsia="zh-CN"/>
                    </w:rPr>
                    <w:t>环境功能目标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1" w:type="pc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eastAsia="zh-CN"/>
                    </w:rPr>
                  </w:pPr>
                  <w:r>
                    <w:rPr>
                      <w:rFonts w:hint="default" w:ascii="Times New Roman" w:hAnsi="Times New Roman" w:eastAsia="宋体" w:cs="Times New Roman"/>
                      <w:b w:val="0"/>
                      <w:bCs w:val="0"/>
                      <w:color w:val="auto"/>
                      <w:sz w:val="21"/>
                      <w:szCs w:val="21"/>
                      <w:highlight w:val="none"/>
                      <w:u w:val="none"/>
                      <w:lang w:eastAsia="zh-CN"/>
                    </w:rPr>
                    <w:t>地表水</w:t>
                  </w:r>
                </w:p>
              </w:tc>
              <w:tc>
                <w:tcPr>
                  <w:tcW w:w="966" w:type="pc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i w:val="0"/>
                      <w:color w:val="auto"/>
                      <w:sz w:val="21"/>
                      <w:szCs w:val="21"/>
                      <w:highlight w:val="none"/>
                      <w:u w:val="none"/>
                      <w:lang w:val="en-US" w:eastAsia="zh-CN"/>
                    </w:rPr>
                    <w:t>横岭湖</w:t>
                  </w:r>
                </w:p>
              </w:tc>
              <w:tc>
                <w:tcPr>
                  <w:tcW w:w="793" w:type="pct"/>
                  <w:gridSpan w:val="2"/>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项目所在地</w:t>
                  </w:r>
                </w:p>
              </w:tc>
              <w:tc>
                <w:tcPr>
                  <w:tcW w:w="587" w:type="pc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省级自然保护区</w:t>
                  </w:r>
                </w:p>
              </w:tc>
              <w:tc>
                <w:tcPr>
                  <w:tcW w:w="682" w:type="pct"/>
                  <w:gridSpan w:val="2"/>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大</w:t>
                  </w:r>
                  <w:r>
                    <w:rPr>
                      <w:rFonts w:hint="default" w:ascii="Times New Roman" w:hAnsi="Times New Roman" w:eastAsia="宋体" w:cs="Times New Roman"/>
                      <w:b w:val="0"/>
                      <w:bCs w:val="0"/>
                      <w:color w:val="auto"/>
                      <w:sz w:val="21"/>
                      <w:szCs w:val="21"/>
                      <w:highlight w:val="none"/>
                      <w:u w:val="none"/>
                      <w:lang w:val="en-US" w:eastAsia="zh-CN"/>
                    </w:rPr>
                    <w:t>湖</w:t>
                  </w:r>
                </w:p>
              </w:tc>
              <w:tc>
                <w:tcPr>
                  <w:tcW w:w="1468" w:type="pc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eastAsia="zh-CN"/>
                    </w:rPr>
                  </w:pPr>
                  <w:r>
                    <w:rPr>
                      <w:rFonts w:hint="default" w:ascii="Times New Roman" w:hAnsi="Times New Roman" w:eastAsia="宋体" w:cs="Times New Roman"/>
                      <w:b w:val="0"/>
                      <w:bCs w:val="0"/>
                      <w:color w:val="auto"/>
                      <w:sz w:val="21"/>
                      <w:szCs w:val="21"/>
                      <w:highlight w:val="none"/>
                      <w:u w:val="none"/>
                      <w:lang w:eastAsia="zh-CN"/>
                    </w:rPr>
                    <w:t>《地表水环境质量标准》（GB3838-2002）</w:t>
                  </w:r>
                  <w:r>
                    <w:rPr>
                      <w:rFonts w:hint="default" w:ascii="Times New Roman" w:hAnsi="Times New Roman" w:eastAsia="宋体" w:cs="Times New Roman"/>
                      <w:b w:val="0"/>
                      <w:bCs w:val="0"/>
                      <w:color w:val="auto"/>
                      <w:sz w:val="21"/>
                      <w:szCs w:val="21"/>
                      <w:u w:val="none"/>
                      <w:lang w:val="en-US" w:eastAsia="zh-CN"/>
                    </w:rPr>
                    <w:t>Ⅲ</w:t>
                  </w:r>
                  <w:r>
                    <w:rPr>
                      <w:rFonts w:hint="default" w:ascii="Times New Roman" w:hAnsi="Times New Roman" w:eastAsia="宋体" w:cs="Times New Roman"/>
                      <w:b w:val="0"/>
                      <w:bCs w:val="0"/>
                      <w:color w:val="auto"/>
                      <w:sz w:val="21"/>
                      <w:szCs w:val="21"/>
                      <w:highlight w:val="none"/>
                      <w:u w:val="none"/>
                      <w:lang w:eastAsia="zh-CN"/>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1" w:type="pct"/>
                  <w:vMerge w:val="restar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环境空气</w:t>
                  </w:r>
                </w:p>
              </w:tc>
              <w:tc>
                <w:tcPr>
                  <w:tcW w:w="966" w:type="pct"/>
                  <w:tcBorders>
                    <w:tl2br w:val="nil"/>
                    <w:tr2bl w:val="nil"/>
                  </w:tcBorders>
                  <w:noWrap w:val="0"/>
                  <w:vAlign w:val="center"/>
                </w:tcPr>
                <w:p>
                  <w:pPr>
                    <w:pStyle w:val="90"/>
                    <w:keepNext w:val="0"/>
                    <w:keepLines w:val="0"/>
                    <w:suppressLineNumbers w:val="0"/>
                    <w:spacing w:before="0" w:beforeAutospacing="0" w:after="0" w:afterAutospacing="0"/>
                    <w:ind w:right="0" w:rightChars="0" w:firstLine="0" w:firstLineChars="0"/>
                    <w:jc w:val="center"/>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青草湖村上山片区</w:t>
                  </w:r>
                </w:p>
              </w:tc>
              <w:tc>
                <w:tcPr>
                  <w:tcW w:w="793" w:type="pct"/>
                  <w:gridSpan w:val="2"/>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东侧80米</w:t>
                  </w:r>
                </w:p>
              </w:tc>
              <w:tc>
                <w:tcPr>
                  <w:tcW w:w="587" w:type="pc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kern w:val="2"/>
                      <w:sz w:val="21"/>
                      <w:szCs w:val="21"/>
                      <w:highlight w:val="none"/>
                      <w:u w:val="none"/>
                      <w:lang w:val="en-US" w:eastAsia="zh-CN" w:bidi="en-US"/>
                    </w:rPr>
                  </w:pPr>
                  <w:r>
                    <w:rPr>
                      <w:rFonts w:hint="default" w:ascii="Times New Roman" w:hAnsi="Times New Roman" w:eastAsia="宋体" w:cs="Times New Roman"/>
                      <w:b w:val="0"/>
                      <w:bCs w:val="0"/>
                      <w:color w:val="auto"/>
                      <w:kern w:val="2"/>
                      <w:sz w:val="21"/>
                      <w:szCs w:val="21"/>
                      <w:highlight w:val="none"/>
                      <w:u w:val="none"/>
                      <w:lang w:val="en-US" w:eastAsia="zh-CN" w:bidi="en-US"/>
                    </w:rPr>
                    <w:t>居住</w:t>
                  </w:r>
                </w:p>
              </w:tc>
              <w:tc>
                <w:tcPr>
                  <w:tcW w:w="682" w:type="pct"/>
                  <w:gridSpan w:val="2"/>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kern w:val="2"/>
                      <w:sz w:val="21"/>
                      <w:szCs w:val="21"/>
                      <w:highlight w:val="none"/>
                      <w:u w:val="none"/>
                      <w:lang w:val="en-US" w:eastAsia="zh-CN" w:bidi="en-US"/>
                    </w:rPr>
                  </w:pPr>
                  <w:r>
                    <w:rPr>
                      <w:rFonts w:hint="default" w:ascii="Times New Roman" w:hAnsi="Times New Roman" w:eastAsia="宋体" w:cs="Times New Roman"/>
                      <w:b w:val="0"/>
                      <w:bCs w:val="0"/>
                      <w:color w:val="auto"/>
                      <w:sz w:val="21"/>
                      <w:szCs w:val="21"/>
                      <w:highlight w:val="none"/>
                      <w:u w:val="none"/>
                      <w:lang w:val="en-US" w:eastAsia="zh-CN"/>
                    </w:rPr>
                    <w:t>约</w:t>
                  </w:r>
                  <w:r>
                    <w:rPr>
                      <w:rFonts w:hint="eastAsia" w:ascii="Times New Roman" w:hAnsi="Times New Roman" w:eastAsia="宋体" w:cs="Times New Roman"/>
                      <w:b w:val="0"/>
                      <w:bCs w:val="0"/>
                      <w:color w:val="auto"/>
                      <w:sz w:val="21"/>
                      <w:szCs w:val="21"/>
                      <w:highlight w:val="none"/>
                      <w:u w:val="none"/>
                      <w:lang w:val="en-US" w:eastAsia="zh-CN"/>
                    </w:rPr>
                    <w:t>1</w:t>
                  </w:r>
                  <w:r>
                    <w:rPr>
                      <w:rFonts w:hint="default" w:ascii="Times New Roman" w:hAnsi="Times New Roman" w:eastAsia="宋体" w:cs="Times New Roman"/>
                      <w:b w:val="0"/>
                      <w:bCs w:val="0"/>
                      <w:color w:val="auto"/>
                      <w:sz w:val="21"/>
                      <w:szCs w:val="21"/>
                      <w:highlight w:val="none"/>
                      <w:u w:val="none"/>
                      <w:lang w:val="en-US" w:eastAsia="zh-CN"/>
                    </w:rPr>
                    <w:t>00户</w:t>
                  </w:r>
                </w:p>
              </w:tc>
              <w:tc>
                <w:tcPr>
                  <w:tcW w:w="1468" w:type="pct"/>
                  <w:vMerge w:val="restar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kern w:val="2"/>
                      <w:sz w:val="21"/>
                      <w:szCs w:val="21"/>
                      <w:highlight w:val="none"/>
                      <w:u w:val="none"/>
                      <w:lang w:val="zh-CN" w:eastAsia="zh-CN" w:bidi="en-US"/>
                    </w:rPr>
                  </w:pPr>
                  <w:r>
                    <w:rPr>
                      <w:rFonts w:hint="default" w:ascii="Times New Roman" w:hAnsi="Times New Roman" w:eastAsia="宋体" w:cs="Times New Roman"/>
                      <w:b w:val="0"/>
                      <w:bCs w:val="0"/>
                      <w:color w:val="auto"/>
                      <w:sz w:val="21"/>
                      <w:szCs w:val="21"/>
                      <w:highlight w:val="none"/>
                      <w:u w:val="none"/>
                      <w:lang w:val="en-US" w:eastAsia="zh-CN"/>
                    </w:rPr>
                    <w:t>《环境空气质量标准》（GB3095-2012）二级标准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1" w:type="pct"/>
                  <w:vMerge w:val="continue"/>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eastAsia="zh-CN"/>
                    </w:rPr>
                  </w:pPr>
                </w:p>
              </w:tc>
              <w:tc>
                <w:tcPr>
                  <w:tcW w:w="966" w:type="pct"/>
                  <w:tcBorders>
                    <w:tl2br w:val="nil"/>
                    <w:tr2bl w:val="nil"/>
                  </w:tcBorders>
                  <w:noWrap w:val="0"/>
                  <w:vAlign w:val="center"/>
                </w:tcPr>
                <w:p>
                  <w:pPr>
                    <w:pStyle w:val="90"/>
                    <w:keepNext w:val="0"/>
                    <w:keepLines w:val="0"/>
                    <w:suppressLineNumbers w:val="0"/>
                    <w:spacing w:before="0" w:beforeAutospacing="0" w:after="0" w:afterAutospacing="0"/>
                    <w:ind w:right="0" w:rightChars="0" w:firstLine="0" w:firstLineChars="0"/>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none"/>
                      <w:vertAlign w:val="baseline"/>
                      <w:lang w:val="en-US" w:eastAsia="zh-CN"/>
                    </w:rPr>
                    <w:t>青草湖村中山片区</w:t>
                  </w:r>
                </w:p>
              </w:tc>
              <w:tc>
                <w:tcPr>
                  <w:tcW w:w="793" w:type="pct"/>
                  <w:gridSpan w:val="2"/>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西北</w:t>
                  </w:r>
                  <w:r>
                    <w:rPr>
                      <w:rFonts w:hint="default" w:ascii="Times New Roman" w:hAnsi="Times New Roman" w:eastAsia="宋体" w:cs="Times New Roman"/>
                      <w:b w:val="0"/>
                      <w:bCs w:val="0"/>
                      <w:color w:val="auto"/>
                      <w:sz w:val="21"/>
                      <w:szCs w:val="21"/>
                      <w:highlight w:val="none"/>
                      <w:u w:val="none"/>
                      <w:lang w:val="en-US" w:eastAsia="zh-CN"/>
                    </w:rPr>
                    <w:t>侧40米</w:t>
                  </w:r>
                </w:p>
              </w:tc>
              <w:tc>
                <w:tcPr>
                  <w:tcW w:w="587" w:type="pc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kern w:val="2"/>
                      <w:sz w:val="21"/>
                      <w:szCs w:val="21"/>
                      <w:highlight w:val="none"/>
                      <w:u w:val="none"/>
                      <w:lang w:val="en-US" w:eastAsia="zh-CN" w:bidi="en-US"/>
                    </w:rPr>
                    <w:t>居住</w:t>
                  </w:r>
                </w:p>
              </w:tc>
              <w:tc>
                <w:tcPr>
                  <w:tcW w:w="682" w:type="pct"/>
                  <w:gridSpan w:val="2"/>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约</w:t>
                  </w:r>
                  <w:r>
                    <w:rPr>
                      <w:rFonts w:hint="eastAsia" w:ascii="Times New Roman" w:hAnsi="Times New Roman" w:eastAsia="宋体" w:cs="Times New Roman"/>
                      <w:b w:val="0"/>
                      <w:bCs w:val="0"/>
                      <w:color w:val="auto"/>
                      <w:sz w:val="21"/>
                      <w:szCs w:val="21"/>
                      <w:highlight w:val="none"/>
                      <w:u w:val="none"/>
                      <w:lang w:val="en-US" w:eastAsia="zh-CN"/>
                    </w:rPr>
                    <w:t>5</w:t>
                  </w:r>
                  <w:r>
                    <w:rPr>
                      <w:rFonts w:hint="default" w:ascii="Times New Roman" w:hAnsi="Times New Roman" w:eastAsia="宋体" w:cs="Times New Roman"/>
                      <w:b w:val="0"/>
                      <w:bCs w:val="0"/>
                      <w:color w:val="auto"/>
                      <w:sz w:val="21"/>
                      <w:szCs w:val="21"/>
                      <w:highlight w:val="none"/>
                      <w:u w:val="none"/>
                      <w:lang w:val="en-US" w:eastAsia="zh-CN"/>
                    </w:rPr>
                    <w:t>0户</w:t>
                  </w:r>
                </w:p>
              </w:tc>
              <w:tc>
                <w:tcPr>
                  <w:tcW w:w="1468" w:type="pct"/>
                  <w:vMerge w:val="continue"/>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kern w:val="2"/>
                      <w:sz w:val="21"/>
                      <w:szCs w:val="21"/>
                      <w:highlight w:val="none"/>
                      <w:u w:val="none"/>
                      <w:lang w:val="zh-CN" w:eastAsia="zh-CN" w:bidi="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1" w:type="pct"/>
                  <w:vMerge w:val="continue"/>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eastAsia="zh-CN"/>
                    </w:rPr>
                  </w:pPr>
                </w:p>
              </w:tc>
              <w:tc>
                <w:tcPr>
                  <w:tcW w:w="966" w:type="pct"/>
                  <w:tcBorders>
                    <w:tl2br w:val="nil"/>
                    <w:tr2bl w:val="nil"/>
                  </w:tcBorders>
                  <w:noWrap w:val="0"/>
                  <w:vAlign w:val="center"/>
                </w:tcPr>
                <w:p>
                  <w:pPr>
                    <w:pStyle w:val="90"/>
                    <w:keepNext w:val="0"/>
                    <w:keepLines w:val="0"/>
                    <w:suppressLineNumbers w:val="0"/>
                    <w:spacing w:before="0" w:beforeAutospacing="0" w:after="0" w:afterAutospacing="0"/>
                    <w:ind w:right="0" w:rightChars="0" w:firstLine="0" w:firstLineChars="0"/>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none"/>
                      <w:vertAlign w:val="baseline"/>
                      <w:lang w:val="en-US" w:eastAsia="zh-CN"/>
                    </w:rPr>
                    <w:t>青草湖村下山片区</w:t>
                  </w:r>
                </w:p>
              </w:tc>
              <w:tc>
                <w:tcPr>
                  <w:tcW w:w="793" w:type="pct"/>
                  <w:gridSpan w:val="2"/>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北</w:t>
                  </w:r>
                  <w:r>
                    <w:rPr>
                      <w:rFonts w:hint="default" w:ascii="Times New Roman" w:hAnsi="Times New Roman" w:eastAsia="宋体" w:cs="Times New Roman"/>
                      <w:b w:val="0"/>
                      <w:bCs w:val="0"/>
                      <w:color w:val="auto"/>
                      <w:sz w:val="21"/>
                      <w:szCs w:val="21"/>
                      <w:highlight w:val="none"/>
                      <w:u w:val="none"/>
                      <w:lang w:val="en-US" w:eastAsia="zh-CN"/>
                    </w:rPr>
                    <w:t>侧70米</w:t>
                  </w:r>
                </w:p>
              </w:tc>
              <w:tc>
                <w:tcPr>
                  <w:tcW w:w="587" w:type="pc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kern w:val="2"/>
                      <w:sz w:val="21"/>
                      <w:szCs w:val="21"/>
                      <w:highlight w:val="none"/>
                      <w:u w:val="none"/>
                      <w:lang w:val="en-US" w:eastAsia="zh-CN" w:bidi="en-US"/>
                    </w:rPr>
                    <w:t>居住</w:t>
                  </w:r>
                </w:p>
              </w:tc>
              <w:tc>
                <w:tcPr>
                  <w:tcW w:w="682" w:type="pct"/>
                  <w:gridSpan w:val="2"/>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kern w:val="2"/>
                      <w:sz w:val="21"/>
                      <w:szCs w:val="21"/>
                      <w:highlight w:val="none"/>
                      <w:u w:val="none"/>
                      <w:lang w:val="en-US" w:eastAsia="zh-CN" w:bidi="en-US"/>
                    </w:rPr>
                  </w:pPr>
                  <w:r>
                    <w:rPr>
                      <w:rFonts w:hint="default" w:ascii="Times New Roman" w:hAnsi="Times New Roman" w:eastAsia="宋体" w:cs="Times New Roman"/>
                      <w:b w:val="0"/>
                      <w:bCs w:val="0"/>
                      <w:color w:val="auto"/>
                      <w:sz w:val="21"/>
                      <w:szCs w:val="21"/>
                      <w:highlight w:val="none"/>
                      <w:u w:val="none"/>
                      <w:lang w:val="en-US" w:eastAsia="zh-CN"/>
                    </w:rPr>
                    <w:t>约</w:t>
                  </w:r>
                  <w:r>
                    <w:rPr>
                      <w:rFonts w:hint="eastAsia" w:ascii="Times New Roman" w:hAnsi="Times New Roman" w:eastAsia="宋体" w:cs="Times New Roman"/>
                      <w:b w:val="0"/>
                      <w:bCs w:val="0"/>
                      <w:color w:val="auto"/>
                      <w:sz w:val="21"/>
                      <w:szCs w:val="21"/>
                      <w:highlight w:val="none"/>
                      <w:u w:val="none"/>
                      <w:lang w:val="en-US" w:eastAsia="zh-CN"/>
                    </w:rPr>
                    <w:t>5</w:t>
                  </w:r>
                  <w:r>
                    <w:rPr>
                      <w:rFonts w:hint="default" w:ascii="Times New Roman" w:hAnsi="Times New Roman" w:eastAsia="宋体" w:cs="Times New Roman"/>
                      <w:b w:val="0"/>
                      <w:bCs w:val="0"/>
                      <w:color w:val="auto"/>
                      <w:sz w:val="21"/>
                      <w:szCs w:val="21"/>
                      <w:highlight w:val="none"/>
                      <w:u w:val="none"/>
                      <w:lang w:val="en-US" w:eastAsia="zh-CN"/>
                    </w:rPr>
                    <w:t>0户</w:t>
                  </w:r>
                </w:p>
              </w:tc>
              <w:tc>
                <w:tcPr>
                  <w:tcW w:w="1468" w:type="pct"/>
                  <w:vMerge w:val="continue"/>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1" w:type="pct"/>
                  <w:vMerge w:val="restar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声环境</w:t>
                  </w:r>
                </w:p>
              </w:tc>
              <w:tc>
                <w:tcPr>
                  <w:tcW w:w="966" w:type="pct"/>
                  <w:tcBorders>
                    <w:tl2br w:val="nil"/>
                    <w:tr2bl w:val="nil"/>
                  </w:tcBorders>
                  <w:noWrap w:val="0"/>
                  <w:vAlign w:val="center"/>
                </w:tcPr>
                <w:p>
                  <w:pPr>
                    <w:pStyle w:val="90"/>
                    <w:keepNext w:val="0"/>
                    <w:keepLines w:val="0"/>
                    <w:suppressLineNumbers w:val="0"/>
                    <w:spacing w:before="0" w:beforeAutospacing="0" w:after="0" w:afterAutospacing="0"/>
                    <w:ind w:right="0" w:rightChars="0" w:firstLine="0" w:firstLineChars="0"/>
                    <w:jc w:val="center"/>
                    <w:rPr>
                      <w:rFonts w:hint="default" w:ascii="Times New Roman" w:hAnsi="Times New Roman" w:eastAsia="宋体" w:cs="Times New Roman"/>
                      <w:b w:val="0"/>
                      <w:bCs w:val="0"/>
                      <w:color w:val="auto"/>
                      <w:kern w:val="2"/>
                      <w:sz w:val="21"/>
                      <w:szCs w:val="21"/>
                      <w:highlight w:val="none"/>
                      <w:u w:val="none"/>
                      <w:lang w:val="en-US" w:eastAsia="zh-CN" w:bidi="en-US"/>
                    </w:rPr>
                  </w:pPr>
                  <w:r>
                    <w:rPr>
                      <w:rFonts w:hint="eastAsia" w:cs="Times New Roman"/>
                      <w:b w:val="0"/>
                      <w:bCs w:val="0"/>
                      <w:color w:val="auto"/>
                      <w:sz w:val="21"/>
                      <w:szCs w:val="21"/>
                      <w:highlight w:val="none"/>
                      <w:u w:val="none"/>
                      <w:vertAlign w:val="baseline"/>
                      <w:lang w:val="en-US" w:eastAsia="zh-CN"/>
                    </w:rPr>
                    <w:t>青草湖村上山片区</w:t>
                  </w:r>
                </w:p>
              </w:tc>
              <w:tc>
                <w:tcPr>
                  <w:tcW w:w="793" w:type="pct"/>
                  <w:gridSpan w:val="2"/>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kern w:val="2"/>
                      <w:sz w:val="21"/>
                      <w:szCs w:val="21"/>
                      <w:highlight w:val="none"/>
                      <w:u w:val="none"/>
                      <w:lang w:val="en-US" w:eastAsia="zh-CN" w:bidi="en-US"/>
                    </w:rPr>
                  </w:pPr>
                  <w:r>
                    <w:rPr>
                      <w:rFonts w:hint="default" w:ascii="Times New Roman" w:hAnsi="Times New Roman" w:eastAsia="宋体" w:cs="Times New Roman"/>
                      <w:b w:val="0"/>
                      <w:bCs w:val="0"/>
                      <w:color w:val="auto"/>
                      <w:sz w:val="21"/>
                      <w:szCs w:val="21"/>
                      <w:highlight w:val="none"/>
                      <w:u w:val="none"/>
                      <w:lang w:val="en-US" w:eastAsia="zh-CN"/>
                    </w:rPr>
                    <w:t>东侧</w:t>
                  </w:r>
                  <w:r>
                    <w:rPr>
                      <w:rFonts w:hint="eastAsia" w:ascii="Times New Roman" w:hAnsi="Times New Roman" w:eastAsia="宋体" w:cs="Times New Roman"/>
                      <w:b w:val="0"/>
                      <w:bCs w:val="0"/>
                      <w:color w:val="auto"/>
                      <w:sz w:val="21"/>
                      <w:szCs w:val="21"/>
                      <w:highlight w:val="none"/>
                      <w:u w:val="none"/>
                      <w:lang w:val="en-US" w:eastAsia="zh-CN"/>
                    </w:rPr>
                    <w:t>2</w:t>
                  </w:r>
                  <w:r>
                    <w:rPr>
                      <w:rFonts w:hint="default" w:ascii="Times New Roman" w:hAnsi="Times New Roman" w:eastAsia="宋体" w:cs="Times New Roman"/>
                      <w:b w:val="0"/>
                      <w:bCs w:val="0"/>
                      <w:color w:val="auto"/>
                      <w:sz w:val="21"/>
                      <w:szCs w:val="21"/>
                      <w:highlight w:val="none"/>
                      <w:u w:val="none"/>
                      <w:lang w:val="en-US" w:eastAsia="zh-CN"/>
                    </w:rPr>
                    <w:t>0米</w:t>
                  </w:r>
                  <w:r>
                    <w:rPr>
                      <w:rFonts w:hint="eastAsia" w:ascii="Times New Roman" w:hAnsi="Times New Roman" w:eastAsia="宋体" w:cs="Times New Roman"/>
                      <w:b w:val="0"/>
                      <w:bCs w:val="0"/>
                      <w:color w:val="auto"/>
                      <w:sz w:val="21"/>
                      <w:szCs w:val="21"/>
                      <w:highlight w:val="none"/>
                      <w:u w:val="none"/>
                      <w:lang w:val="en-US" w:eastAsia="zh-CN"/>
                    </w:rPr>
                    <w:t>~50米</w:t>
                  </w:r>
                </w:p>
              </w:tc>
              <w:tc>
                <w:tcPr>
                  <w:tcW w:w="587" w:type="pc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kern w:val="2"/>
                      <w:sz w:val="21"/>
                      <w:szCs w:val="21"/>
                      <w:highlight w:val="none"/>
                      <w:u w:val="none"/>
                      <w:lang w:val="en-US" w:eastAsia="zh-CN" w:bidi="en-US"/>
                    </w:rPr>
                  </w:pPr>
                  <w:r>
                    <w:rPr>
                      <w:rFonts w:hint="default" w:ascii="Times New Roman" w:hAnsi="Times New Roman" w:eastAsia="宋体" w:cs="Times New Roman"/>
                      <w:b w:val="0"/>
                      <w:bCs w:val="0"/>
                      <w:color w:val="auto"/>
                      <w:kern w:val="2"/>
                      <w:sz w:val="21"/>
                      <w:szCs w:val="21"/>
                      <w:highlight w:val="none"/>
                      <w:u w:val="none"/>
                      <w:lang w:val="en-US" w:eastAsia="zh-CN" w:bidi="en-US"/>
                    </w:rPr>
                    <w:t>居住</w:t>
                  </w:r>
                </w:p>
              </w:tc>
              <w:tc>
                <w:tcPr>
                  <w:tcW w:w="682" w:type="pct"/>
                  <w:gridSpan w:val="2"/>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kern w:val="2"/>
                      <w:sz w:val="21"/>
                      <w:szCs w:val="21"/>
                      <w:highlight w:val="none"/>
                      <w:u w:val="none"/>
                      <w:lang w:val="en-US" w:eastAsia="zh-CN" w:bidi="en-US"/>
                    </w:rPr>
                  </w:pPr>
                  <w:r>
                    <w:rPr>
                      <w:rFonts w:hint="default" w:ascii="Times New Roman" w:hAnsi="Times New Roman" w:eastAsia="宋体" w:cs="Times New Roman"/>
                      <w:b w:val="0"/>
                      <w:bCs w:val="0"/>
                      <w:color w:val="auto"/>
                      <w:sz w:val="21"/>
                      <w:szCs w:val="21"/>
                      <w:highlight w:val="none"/>
                      <w:u w:val="none"/>
                      <w:lang w:val="en-US" w:eastAsia="zh-CN"/>
                    </w:rPr>
                    <w:t>约</w:t>
                  </w:r>
                  <w:r>
                    <w:rPr>
                      <w:rFonts w:hint="eastAsia" w:ascii="Times New Roman" w:hAnsi="Times New Roman" w:eastAsia="宋体" w:cs="Times New Roman"/>
                      <w:b w:val="0"/>
                      <w:bCs w:val="0"/>
                      <w:color w:val="auto"/>
                      <w:sz w:val="21"/>
                      <w:szCs w:val="21"/>
                      <w:highlight w:val="none"/>
                      <w:u w:val="none"/>
                      <w:lang w:val="en-US" w:eastAsia="zh-CN"/>
                    </w:rPr>
                    <w:t>10</w:t>
                  </w:r>
                  <w:r>
                    <w:rPr>
                      <w:rFonts w:hint="default" w:ascii="Times New Roman" w:hAnsi="Times New Roman" w:eastAsia="宋体" w:cs="Times New Roman"/>
                      <w:b w:val="0"/>
                      <w:bCs w:val="0"/>
                      <w:color w:val="auto"/>
                      <w:sz w:val="21"/>
                      <w:szCs w:val="21"/>
                      <w:highlight w:val="none"/>
                      <w:u w:val="none"/>
                      <w:lang w:val="en-US" w:eastAsia="zh-CN"/>
                    </w:rPr>
                    <w:t>户</w:t>
                  </w:r>
                </w:p>
              </w:tc>
              <w:tc>
                <w:tcPr>
                  <w:tcW w:w="1468" w:type="pct"/>
                  <w:vMerge w:val="restar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kern w:val="2"/>
                      <w:sz w:val="21"/>
                      <w:szCs w:val="21"/>
                      <w:highlight w:val="none"/>
                      <w:u w:val="none"/>
                      <w:lang w:val="en-US" w:eastAsia="zh-CN" w:bidi="en-US"/>
                    </w:rPr>
                  </w:pPr>
                  <w:r>
                    <w:rPr>
                      <w:rFonts w:hint="default" w:ascii="Times New Roman" w:hAnsi="Times New Roman" w:eastAsia="宋体" w:cs="Times New Roman"/>
                      <w:b w:val="0"/>
                      <w:bCs w:val="0"/>
                      <w:color w:val="auto"/>
                      <w:kern w:val="2"/>
                      <w:sz w:val="21"/>
                      <w:szCs w:val="21"/>
                      <w:u w:val="none"/>
                      <w:lang w:val="en-US" w:eastAsia="zh-CN"/>
                    </w:rPr>
                    <w:t>《声环境质量标准》（GB3096-2008）2类标准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1" w:type="pct"/>
                  <w:vMerge w:val="continue"/>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val="en-US" w:eastAsia="zh-CN"/>
                    </w:rPr>
                  </w:pPr>
                </w:p>
              </w:tc>
              <w:tc>
                <w:tcPr>
                  <w:tcW w:w="3029" w:type="pct"/>
                  <w:gridSpan w:val="6"/>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eastAsia="宋体" w:cs="Times New Roman"/>
                      <w:b w:val="0"/>
                      <w:bCs w:val="0"/>
                      <w:color w:val="auto"/>
                      <w:sz w:val="21"/>
                      <w:szCs w:val="21"/>
                      <w:highlight w:val="none"/>
                      <w:u w:val="single"/>
                      <w:lang w:val="en-US" w:eastAsia="zh-CN"/>
                    </w:rPr>
                    <w:t>提升泵站50m范围内无居民点等保护目标</w:t>
                  </w:r>
                </w:p>
              </w:tc>
              <w:tc>
                <w:tcPr>
                  <w:tcW w:w="1468" w:type="pct"/>
                  <w:vMerge w:val="continue"/>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kern w:val="2"/>
                      <w:sz w:val="21"/>
                      <w:szCs w:val="21"/>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2" w:hRule="atLeast"/>
                <w:jc w:val="center"/>
              </w:trPr>
              <w:tc>
                <w:tcPr>
                  <w:tcW w:w="501" w:type="pct"/>
                  <w:tcBorders>
                    <w:tl2br w:val="nil"/>
                    <w:tr2bl w:val="nil"/>
                  </w:tcBorders>
                  <w:noWrap w:val="0"/>
                  <w:vAlign w:val="center"/>
                </w:tcPr>
                <w:p>
                  <w:pPr>
                    <w:pStyle w:val="95"/>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u w:val="none"/>
                      <w:lang w:eastAsia="zh-CN"/>
                    </w:rPr>
                  </w:pPr>
                  <w:r>
                    <w:rPr>
                      <w:rFonts w:hint="default" w:ascii="Times New Roman" w:hAnsi="Times New Roman" w:eastAsia="宋体" w:cs="Times New Roman"/>
                      <w:b w:val="0"/>
                      <w:bCs w:val="0"/>
                      <w:color w:val="auto"/>
                      <w:sz w:val="21"/>
                      <w:szCs w:val="21"/>
                      <w:highlight w:val="none"/>
                      <w:u w:val="none"/>
                      <w:lang w:eastAsia="zh-CN"/>
                    </w:rPr>
                    <w:t>地下水</w:t>
                  </w:r>
                </w:p>
              </w:tc>
              <w:tc>
                <w:tcPr>
                  <w:tcW w:w="3029" w:type="pct"/>
                  <w:gridSpan w:val="6"/>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u w:val="none"/>
                      <w:lang w:val="en-US" w:eastAsia="zh-CN"/>
                    </w:rPr>
                    <w:t>项目周围500m范围内无地下水环境保护目标</w:t>
                  </w:r>
                </w:p>
              </w:tc>
              <w:tc>
                <w:tcPr>
                  <w:tcW w:w="1468" w:type="pct"/>
                  <w:tcBorders>
                    <w:tl2br w:val="nil"/>
                    <w:tr2bl w:val="nil"/>
                  </w:tcBorders>
                  <w:noWrap w:val="0"/>
                  <w:vAlign w:val="center"/>
                </w:tcPr>
                <w:p>
                  <w:pPr>
                    <w:pStyle w:val="19"/>
                    <w:jc w:val="center"/>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rPr>
                    <w:t>《地下水质量标准》</w:t>
                  </w:r>
                </w:p>
                <w:p>
                  <w:pPr>
                    <w:pStyle w:val="19"/>
                    <w:jc w:val="center"/>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rPr>
                    <w:t>（GB/T14848-2017）中Ⅲ类标准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2" w:hRule="atLeast"/>
                <w:jc w:val="center"/>
              </w:trPr>
              <w:tc>
                <w:tcPr>
                  <w:tcW w:w="501" w:type="pct"/>
                  <w:tcBorders>
                    <w:tl2br w:val="nil"/>
                    <w:tr2bl w:val="nil"/>
                  </w:tcBorders>
                  <w:noWrap w:val="0"/>
                  <w:vAlign w:val="center"/>
                </w:tcPr>
                <w:p>
                  <w:pPr>
                    <w:pStyle w:val="95"/>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u w:val="none"/>
                      <w:lang w:eastAsia="zh-CN"/>
                    </w:rPr>
                  </w:pPr>
                  <w:r>
                    <w:rPr>
                      <w:rFonts w:hint="default" w:ascii="Times New Roman" w:hAnsi="Times New Roman" w:eastAsia="宋体" w:cs="Times New Roman"/>
                      <w:b w:val="0"/>
                      <w:bCs w:val="0"/>
                      <w:color w:val="auto"/>
                      <w:sz w:val="21"/>
                      <w:szCs w:val="21"/>
                      <w:highlight w:val="none"/>
                      <w:u w:val="none"/>
                      <w:lang w:eastAsia="zh-CN"/>
                    </w:rPr>
                    <w:t>土壤</w:t>
                  </w:r>
                </w:p>
              </w:tc>
              <w:tc>
                <w:tcPr>
                  <w:tcW w:w="966"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lang w:val="en-US" w:eastAsia="zh-CN"/>
                    </w:rPr>
                    <w:t>土壤环境</w:t>
                  </w:r>
                </w:p>
                <w:p>
                  <w:pPr>
                    <w:jc w:val="center"/>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lang w:val="en-US" w:eastAsia="zh-CN"/>
                    </w:rPr>
                    <w:t>质量</w:t>
                  </w:r>
                </w:p>
              </w:tc>
              <w:tc>
                <w:tcPr>
                  <w:tcW w:w="2062" w:type="pct"/>
                  <w:gridSpan w:val="5"/>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lang w:val="en-US" w:eastAsia="zh-CN"/>
                    </w:rPr>
                    <w:t>边界外扩200m范围内的土壤环境</w:t>
                  </w:r>
                </w:p>
              </w:tc>
              <w:tc>
                <w:tcPr>
                  <w:tcW w:w="1468" w:type="pct"/>
                  <w:tcBorders>
                    <w:tl2br w:val="nil"/>
                    <w:tr2bl w:val="nil"/>
                  </w:tcBorders>
                  <w:noWrap w:val="0"/>
                  <w:vAlign w:val="center"/>
                </w:tcPr>
                <w:p>
                  <w:pPr>
                    <w:pStyle w:val="19"/>
                    <w:jc w:val="center"/>
                    <w:rPr>
                      <w:rFonts w:hint="default" w:ascii="Times New Roman" w:hAnsi="Times New Roman" w:eastAsia="宋体" w:cs="Times New Roman"/>
                      <w:b w:val="0"/>
                      <w:b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u w:val="none"/>
                      <w:lang w:val="en-US" w:eastAsia="zh-CN"/>
                    </w:rPr>
                    <w:t>《土壤环境质量标准农用地土壤污染风险管控标准》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2" w:hRule="atLeast"/>
                <w:jc w:val="center"/>
              </w:trPr>
              <w:tc>
                <w:tcPr>
                  <w:tcW w:w="501" w:type="pc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eastAsia="zh-CN"/>
                    </w:rPr>
                  </w:pPr>
                  <w:r>
                    <w:rPr>
                      <w:rFonts w:hint="default" w:ascii="Times New Roman" w:hAnsi="Times New Roman" w:eastAsia="宋体" w:cs="Times New Roman"/>
                      <w:b w:val="0"/>
                      <w:bCs w:val="0"/>
                      <w:color w:val="auto"/>
                      <w:sz w:val="21"/>
                      <w:szCs w:val="21"/>
                      <w:highlight w:val="none"/>
                      <w:u w:val="none"/>
                      <w:lang w:eastAsia="zh-CN"/>
                    </w:rPr>
                    <w:t>生态</w:t>
                  </w:r>
                </w:p>
              </w:tc>
              <w:tc>
                <w:tcPr>
                  <w:tcW w:w="966" w:type="pc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植被</w:t>
                  </w:r>
                </w:p>
              </w:tc>
              <w:tc>
                <w:tcPr>
                  <w:tcW w:w="2062" w:type="pct"/>
                  <w:gridSpan w:val="5"/>
                  <w:tcBorders>
                    <w:tl2br w:val="nil"/>
                    <w:tr2bl w:val="nil"/>
                  </w:tcBorders>
                  <w:noWrap w:val="0"/>
                  <w:vAlign w:val="center"/>
                </w:tcPr>
                <w:p>
                  <w:pPr>
                    <w:pStyle w:val="95"/>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项目区周边外扩200m</w:t>
                  </w:r>
                </w:p>
              </w:tc>
              <w:tc>
                <w:tcPr>
                  <w:tcW w:w="1468" w:type="pct"/>
                  <w:tcBorders>
                    <w:tl2br w:val="nil"/>
                    <w:tr2bl w:val="nil"/>
                  </w:tcBorders>
                  <w:noWrap w:val="0"/>
                  <w:vAlign w:val="center"/>
                </w:tcPr>
                <w:p>
                  <w:pPr>
                    <w:pStyle w:val="95"/>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保护土地原有使用功能，保证不对其产生影响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2" w:hRule="atLeast"/>
                <w:jc w:val="center"/>
              </w:trPr>
              <w:tc>
                <w:tcPr>
                  <w:tcW w:w="501" w:type="pc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FF0000"/>
                      <w:sz w:val="21"/>
                      <w:szCs w:val="21"/>
                      <w:highlight w:val="none"/>
                      <w:u w:val="single"/>
                      <w:lang w:val="en-US" w:eastAsia="zh-CN"/>
                    </w:rPr>
                  </w:pPr>
                  <w:r>
                    <w:rPr>
                      <w:rFonts w:hint="eastAsia" w:ascii="Times New Roman" w:hAnsi="Times New Roman" w:eastAsia="宋体" w:cs="Times New Roman"/>
                      <w:b w:val="0"/>
                      <w:bCs w:val="0"/>
                      <w:color w:val="FF0000"/>
                      <w:sz w:val="21"/>
                      <w:szCs w:val="21"/>
                      <w:highlight w:val="none"/>
                      <w:u w:val="single"/>
                      <w:lang w:val="en-US" w:eastAsia="zh-CN"/>
                    </w:rPr>
                    <w:t>生态</w:t>
                  </w:r>
                </w:p>
              </w:tc>
              <w:tc>
                <w:tcPr>
                  <w:tcW w:w="966" w:type="pct"/>
                  <w:tcBorders>
                    <w:tl2br w:val="nil"/>
                    <w:tr2bl w:val="nil"/>
                  </w:tcBorders>
                  <w:noWrap w:val="0"/>
                  <w:vAlign w:val="center"/>
                </w:tcPr>
                <w:p>
                  <w:pPr>
                    <w:pStyle w:val="95"/>
                    <w:snapToGrid w:val="0"/>
                    <w:spacing w:line="240" w:lineRule="auto"/>
                    <w:ind w:firstLine="0" w:firstLineChars="0"/>
                    <w:rPr>
                      <w:rFonts w:hint="default" w:ascii="Times New Roman" w:hAnsi="Times New Roman" w:eastAsia="宋体" w:cs="Times New Roman"/>
                      <w:b w:val="0"/>
                      <w:bCs w:val="0"/>
                      <w:color w:val="FF0000"/>
                      <w:sz w:val="21"/>
                      <w:szCs w:val="21"/>
                      <w:highlight w:val="none"/>
                      <w:u w:val="single"/>
                      <w:lang w:val="en-US" w:eastAsia="zh-CN"/>
                    </w:rPr>
                  </w:pPr>
                  <w:r>
                    <w:rPr>
                      <w:rFonts w:hint="eastAsia"/>
                      <w:color w:val="FF0000"/>
                      <w:u w:val="single"/>
                    </w:rPr>
                    <w:t>湖南湘阴横岭湖省级自然保护区</w:t>
                  </w:r>
                </w:p>
              </w:tc>
              <w:tc>
                <w:tcPr>
                  <w:tcW w:w="778" w:type="pct"/>
                  <w:tcBorders>
                    <w:tl2br w:val="nil"/>
                    <w:tr2bl w:val="nil"/>
                  </w:tcBorders>
                  <w:noWrap w:val="0"/>
                  <w:vAlign w:val="center"/>
                </w:tcPr>
                <w:p>
                  <w:pPr>
                    <w:pStyle w:val="95"/>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b w:val="0"/>
                      <w:bCs w:val="0"/>
                      <w:color w:val="FF0000"/>
                      <w:sz w:val="21"/>
                      <w:szCs w:val="21"/>
                      <w:highlight w:val="none"/>
                      <w:u w:val="single"/>
                      <w:lang w:val="en-US" w:eastAsia="zh-CN"/>
                    </w:rPr>
                  </w:pPr>
                  <w:r>
                    <w:rPr>
                      <w:rFonts w:hint="eastAsia" w:ascii="Times New Roman" w:hAnsi="Times New Roman" w:eastAsia="宋体" w:cs="Times New Roman"/>
                      <w:b w:val="0"/>
                      <w:bCs w:val="0"/>
                      <w:color w:val="FF0000"/>
                      <w:sz w:val="21"/>
                      <w:szCs w:val="21"/>
                      <w:highlight w:val="none"/>
                      <w:u w:val="single"/>
                      <w:lang w:val="en-US" w:eastAsia="zh-CN"/>
                    </w:rPr>
                    <w:t>西侧</w:t>
                  </w:r>
                </w:p>
              </w:tc>
              <w:tc>
                <w:tcPr>
                  <w:tcW w:w="620" w:type="pct"/>
                  <w:gridSpan w:val="3"/>
                  <w:tcBorders>
                    <w:tl2br w:val="nil"/>
                    <w:tr2bl w:val="nil"/>
                  </w:tcBorders>
                  <w:noWrap w:val="0"/>
                  <w:vAlign w:val="center"/>
                </w:tcPr>
                <w:p>
                  <w:pPr>
                    <w:pStyle w:val="95"/>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b w:val="0"/>
                      <w:bCs w:val="0"/>
                      <w:color w:val="FF0000"/>
                      <w:sz w:val="21"/>
                      <w:szCs w:val="21"/>
                      <w:highlight w:val="none"/>
                      <w:u w:val="single"/>
                      <w:lang w:val="en-US" w:eastAsia="zh-CN"/>
                    </w:rPr>
                  </w:pPr>
                  <w:r>
                    <w:rPr>
                      <w:rFonts w:hint="eastAsia" w:ascii="Times New Roman" w:hAnsi="Times New Roman" w:eastAsia="宋体" w:cs="Times New Roman"/>
                      <w:b w:val="0"/>
                      <w:bCs w:val="0"/>
                      <w:color w:val="FF0000"/>
                      <w:sz w:val="21"/>
                      <w:szCs w:val="21"/>
                      <w:highlight w:val="none"/>
                      <w:u w:val="single"/>
                      <w:lang w:val="en-US" w:eastAsia="zh-CN"/>
                    </w:rPr>
                    <w:t>10米</w:t>
                  </w:r>
                </w:p>
              </w:tc>
              <w:tc>
                <w:tcPr>
                  <w:tcW w:w="663" w:type="pct"/>
                  <w:tcBorders>
                    <w:tl2br w:val="nil"/>
                    <w:tr2bl w:val="nil"/>
                  </w:tcBorders>
                  <w:noWrap w:val="0"/>
                  <w:vAlign w:val="center"/>
                </w:tcPr>
                <w:p>
                  <w:pPr>
                    <w:pStyle w:val="95"/>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b w:val="0"/>
                      <w:bCs w:val="0"/>
                      <w:color w:val="FF0000"/>
                      <w:sz w:val="21"/>
                      <w:szCs w:val="21"/>
                      <w:highlight w:val="none"/>
                      <w:u w:val="single"/>
                      <w:lang w:val="en-US" w:eastAsia="zh-CN"/>
                    </w:rPr>
                  </w:pPr>
                  <w:r>
                    <w:rPr>
                      <w:rFonts w:hint="eastAsia" w:ascii="Times New Roman" w:hAnsi="Times New Roman" w:eastAsia="宋体" w:cs="Times New Roman"/>
                      <w:b w:val="0"/>
                      <w:bCs w:val="0"/>
                      <w:color w:val="FF0000"/>
                      <w:sz w:val="21"/>
                      <w:szCs w:val="21"/>
                      <w:highlight w:val="none"/>
                      <w:u w:val="single"/>
                      <w:lang w:val="en-US" w:eastAsia="zh-CN"/>
                    </w:rPr>
                    <w:t>省级</w:t>
                  </w:r>
                </w:p>
              </w:tc>
              <w:tc>
                <w:tcPr>
                  <w:tcW w:w="1468" w:type="pct"/>
                  <w:tcBorders>
                    <w:tl2br w:val="nil"/>
                    <w:tr2bl w:val="nil"/>
                  </w:tcBorders>
                  <w:noWrap w:val="0"/>
                  <w:vAlign w:val="center"/>
                </w:tcPr>
                <w:p>
                  <w:pPr>
                    <w:pStyle w:val="95"/>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auto"/>
                    <w:rPr>
                      <w:rFonts w:hint="eastAsia"/>
                      <w:color w:val="FF0000"/>
                      <w:u w:val="single"/>
                    </w:rPr>
                  </w:pPr>
                  <w:r>
                    <w:rPr>
                      <w:rFonts w:hint="eastAsia"/>
                      <w:color w:val="FF0000"/>
                      <w:u w:val="single"/>
                    </w:rPr>
                    <w:t>自然保护区</w:t>
                  </w:r>
                </w:p>
                <w:p>
                  <w:pPr>
                    <w:pStyle w:val="95"/>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auto"/>
                    <w:rPr>
                      <w:rFonts w:hint="default" w:eastAsia="新宋体"/>
                      <w:color w:val="FF0000"/>
                      <w:u w:val="single"/>
                      <w:lang w:val="en-US" w:eastAsia="zh-CN"/>
                    </w:rPr>
                  </w:pPr>
                  <w:r>
                    <w:rPr>
                      <w:rFonts w:hint="eastAsia"/>
                      <w:color w:val="FF0000"/>
                      <w:u w:val="single"/>
                      <w:lang w:val="en-US" w:eastAsia="zh-CN"/>
                    </w:rPr>
                    <w:t>本项目与保护区有防洪提隔断</w:t>
                  </w:r>
                </w:p>
              </w:tc>
            </w:tr>
          </w:tbl>
          <w:p>
            <w:pPr>
              <w:pStyle w:val="59"/>
              <w:adjustRightInd w:val="0"/>
              <w:ind w:firstLine="480"/>
              <w:rPr>
                <w:rFonts w:hint="default" w:ascii="Times New Roman" w:hAnsi="Times New Roman" w:eastAsia="宋体" w:cs="Times New Roman"/>
                <w:color w:val="auto"/>
                <w:szCs w:val="21"/>
                <w:u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353" w:type="pct"/>
            <w:noWrap w:val="0"/>
            <w:vAlign w:val="center"/>
          </w:tcPr>
          <w:p>
            <w:pPr>
              <w:adjustRightInd w:val="0"/>
              <w:snapToGrid w:val="0"/>
              <w:jc w:val="center"/>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kern w:val="0"/>
                <w:szCs w:val="21"/>
                <w:u w:val="none"/>
              </w:rPr>
              <w:t>评价</w:t>
            </w:r>
          </w:p>
          <w:p>
            <w:pPr>
              <w:adjustRightInd w:val="0"/>
              <w:snapToGrid w:val="0"/>
              <w:jc w:val="center"/>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kern w:val="0"/>
                <w:szCs w:val="21"/>
                <w:u w:val="none"/>
              </w:rPr>
              <w:t>标准</w:t>
            </w:r>
          </w:p>
        </w:tc>
        <w:tc>
          <w:tcPr>
            <w:tcW w:w="4646" w:type="pct"/>
            <w:noWrap w:val="0"/>
            <w:vAlign w:val="center"/>
          </w:tcPr>
          <w:p>
            <w:pPr>
              <w:adjustRightInd w:val="0"/>
              <w:snapToGrid w:val="0"/>
              <w:spacing w:line="360" w:lineRule="auto"/>
              <w:ind w:firstLine="361" w:firstLineChars="150"/>
              <w:rPr>
                <w:rFonts w:hint="default" w:ascii="Times New Roman" w:hAnsi="Times New Roman" w:eastAsia="宋体" w:cs="Times New Roman"/>
                <w:b/>
                <w:color w:val="auto"/>
                <w:sz w:val="24"/>
                <w:u w:val="none"/>
              </w:rPr>
            </w:pPr>
            <w:r>
              <w:rPr>
                <w:rFonts w:hint="default" w:ascii="Times New Roman" w:hAnsi="Times New Roman" w:eastAsia="宋体" w:cs="Times New Roman"/>
                <w:b/>
                <w:color w:val="auto"/>
                <w:sz w:val="24"/>
                <w:u w:val="none"/>
              </w:rPr>
              <w:t>1、环境质量标准</w:t>
            </w:r>
          </w:p>
          <w:p>
            <w:pPr>
              <w:kinsoku w:val="0"/>
              <w:overflowPunct w:val="0"/>
              <w:autoSpaceDE w:val="0"/>
              <w:autoSpaceDN w:val="0"/>
              <w:adjustRightInd w:val="0"/>
              <w:snapToGrid w:val="0"/>
              <w:spacing w:line="360" w:lineRule="auto"/>
              <w:ind w:firstLine="482" w:firstLineChars="200"/>
              <w:rPr>
                <w:rFonts w:hint="default" w:ascii="Times New Roman" w:hAnsi="Times New Roman" w:eastAsia="宋体" w:cs="Times New Roman"/>
                <w:b/>
                <w:color w:val="auto"/>
                <w:sz w:val="24"/>
                <w:szCs w:val="24"/>
                <w:u w:val="none"/>
              </w:rPr>
            </w:pPr>
            <w:r>
              <w:rPr>
                <w:rFonts w:hint="default" w:ascii="Times New Roman" w:hAnsi="Times New Roman" w:eastAsia="宋体" w:cs="Times New Roman"/>
                <w:b/>
                <w:color w:val="auto"/>
                <w:sz w:val="24"/>
                <w:szCs w:val="24"/>
                <w:u w:val="none"/>
                <w:lang w:eastAsia="zh-CN"/>
              </w:rPr>
              <w:t>（</w:t>
            </w:r>
            <w:r>
              <w:rPr>
                <w:rFonts w:hint="default" w:ascii="Times New Roman" w:hAnsi="Times New Roman" w:eastAsia="宋体" w:cs="Times New Roman"/>
                <w:b/>
                <w:color w:val="auto"/>
                <w:sz w:val="24"/>
                <w:szCs w:val="24"/>
                <w:u w:val="none"/>
              </w:rPr>
              <w:t>1</w:t>
            </w:r>
            <w:r>
              <w:rPr>
                <w:rFonts w:hint="default" w:ascii="Times New Roman" w:hAnsi="Times New Roman" w:eastAsia="宋体" w:cs="Times New Roman"/>
                <w:b/>
                <w:color w:val="auto"/>
                <w:sz w:val="24"/>
                <w:szCs w:val="24"/>
                <w:u w:val="none"/>
                <w:lang w:eastAsia="zh-CN"/>
              </w:rPr>
              <w:t>）</w:t>
            </w:r>
            <w:r>
              <w:rPr>
                <w:rFonts w:hint="default" w:ascii="Times New Roman" w:hAnsi="Times New Roman" w:eastAsia="宋体" w:cs="Times New Roman"/>
                <w:b/>
                <w:color w:val="auto"/>
                <w:sz w:val="24"/>
                <w:szCs w:val="24"/>
                <w:u w:val="none"/>
              </w:rPr>
              <w:t>环境空气质量标准</w:t>
            </w:r>
          </w:p>
          <w:p>
            <w:pPr>
              <w:kinsoku w:val="0"/>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highlight w:val="none"/>
                <w:u w:val="none"/>
              </w:rPr>
              <w:t>本项目所在区域环境空气质量执行《环境空气质量标准》（GB3095-2012）二级标准，氨、硫化氢执行《环境影响评价技术导则大气环境》</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HJ2.2-2018</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附录D中污染物浓度限值，详见</w:t>
            </w:r>
            <w:r>
              <w:rPr>
                <w:rFonts w:hint="default" w:ascii="Times New Roman" w:hAnsi="Times New Roman" w:eastAsia="宋体" w:cs="Times New Roman"/>
                <w:color w:val="auto"/>
                <w:sz w:val="24"/>
                <w:szCs w:val="24"/>
                <w:highlight w:val="none"/>
                <w:u w:val="none"/>
                <w:lang w:eastAsia="zh-CN"/>
              </w:rPr>
              <w:t>下</w:t>
            </w:r>
            <w:r>
              <w:rPr>
                <w:rFonts w:hint="default" w:ascii="Times New Roman" w:hAnsi="Times New Roman" w:eastAsia="宋体" w:cs="Times New Roman"/>
                <w:color w:val="auto"/>
                <w:sz w:val="24"/>
                <w:szCs w:val="24"/>
                <w:highlight w:val="none"/>
                <w:u w:val="none"/>
              </w:rPr>
              <w:t>表</w:t>
            </w:r>
            <w:r>
              <w:rPr>
                <w:rFonts w:hint="default" w:ascii="Times New Roman" w:hAnsi="Times New Roman" w:eastAsia="宋体" w:cs="Times New Roman"/>
                <w:color w:val="auto"/>
                <w:sz w:val="24"/>
                <w:szCs w:val="24"/>
                <w:u w:val="none"/>
              </w:rPr>
              <w:t>：</w:t>
            </w:r>
          </w:p>
          <w:p>
            <w:pPr>
              <w:snapToGrid w:val="0"/>
              <w:spacing w:line="240" w:lineRule="auto"/>
              <w:jc w:val="left"/>
              <w:rPr>
                <w:rFonts w:hint="default" w:ascii="Times New Roman" w:hAnsi="Times New Roman" w:eastAsia="宋体" w:cs="Times New Roman"/>
                <w:b/>
                <w:color w:val="auto"/>
                <w:sz w:val="21"/>
                <w:szCs w:val="21"/>
                <w:highlight w:val="none"/>
                <w:u w:val="none"/>
                <w:vertAlign w:val="superscript"/>
              </w:rPr>
            </w:pPr>
            <w:r>
              <w:rPr>
                <w:rFonts w:hint="default" w:ascii="Times New Roman" w:hAnsi="Times New Roman" w:eastAsia="宋体" w:cs="Times New Roman"/>
                <w:b/>
                <w:color w:val="auto"/>
                <w:sz w:val="21"/>
                <w:szCs w:val="21"/>
                <w:highlight w:val="none"/>
                <w:u w:val="none"/>
              </w:rPr>
              <w:t>表</w:t>
            </w:r>
            <w:r>
              <w:rPr>
                <w:rFonts w:hint="default" w:ascii="Times New Roman" w:hAnsi="Times New Roman" w:eastAsia="宋体" w:cs="Times New Roman"/>
                <w:b/>
                <w:color w:val="auto"/>
                <w:sz w:val="21"/>
                <w:szCs w:val="21"/>
                <w:highlight w:val="none"/>
                <w:u w:val="none"/>
                <w:lang w:val="en-US" w:eastAsia="zh-CN"/>
              </w:rPr>
              <w:t>3-</w:t>
            </w:r>
            <w:r>
              <w:rPr>
                <w:rFonts w:hint="eastAsia" w:cs="Times New Roman"/>
                <w:b/>
                <w:color w:val="auto"/>
                <w:sz w:val="21"/>
                <w:szCs w:val="21"/>
                <w:highlight w:val="none"/>
                <w:u w:val="none"/>
                <w:lang w:val="en-US" w:eastAsia="zh-CN"/>
              </w:rPr>
              <w:t>12</w:t>
            </w:r>
            <w:r>
              <w:rPr>
                <w:rFonts w:hint="default" w:ascii="Times New Roman" w:hAnsi="Times New Roman" w:eastAsia="宋体" w:cs="Times New Roman"/>
                <w:b/>
                <w:color w:val="auto"/>
                <w:sz w:val="21"/>
                <w:szCs w:val="21"/>
                <w:highlight w:val="none"/>
                <w:u w:val="none"/>
              </w:rPr>
              <w:t xml:space="preserve"> </w:t>
            </w:r>
            <w:r>
              <w:rPr>
                <w:rFonts w:hint="default" w:ascii="Times New Roman" w:hAnsi="Times New Roman" w:eastAsia="宋体" w:cs="Times New Roman"/>
                <w:b/>
                <w:color w:val="auto"/>
                <w:sz w:val="21"/>
                <w:szCs w:val="21"/>
                <w:highlight w:val="none"/>
                <w:u w:val="none"/>
                <w:lang w:val="en-US" w:eastAsia="zh-CN"/>
              </w:rPr>
              <w:t xml:space="preserve">               </w:t>
            </w:r>
            <w:r>
              <w:rPr>
                <w:rFonts w:hint="default" w:ascii="Times New Roman" w:hAnsi="Times New Roman" w:eastAsia="宋体" w:cs="Times New Roman"/>
                <w:b/>
                <w:color w:val="auto"/>
                <w:sz w:val="21"/>
                <w:szCs w:val="21"/>
                <w:highlight w:val="none"/>
                <w:u w:val="none"/>
              </w:rPr>
              <w:t xml:space="preserve">项目所在区域环境空气质量标准  </w:t>
            </w:r>
            <w:r>
              <w:rPr>
                <w:rFonts w:hint="default" w:ascii="Times New Roman" w:hAnsi="Times New Roman" w:eastAsia="宋体" w:cs="Times New Roman"/>
                <w:b/>
                <w:color w:val="auto"/>
                <w:sz w:val="21"/>
                <w:szCs w:val="21"/>
                <w:highlight w:val="none"/>
                <w:u w:val="none"/>
                <w:lang w:val="en-US" w:eastAsia="zh-CN"/>
              </w:rPr>
              <w:t xml:space="preserve">          </w:t>
            </w:r>
            <w:r>
              <w:rPr>
                <w:rFonts w:hint="default" w:ascii="Times New Roman" w:hAnsi="Times New Roman" w:eastAsia="宋体" w:cs="Times New Roman"/>
                <w:b/>
                <w:color w:val="auto"/>
                <w:sz w:val="21"/>
                <w:szCs w:val="21"/>
                <w:highlight w:val="none"/>
                <w:u w:val="none"/>
              </w:rPr>
              <w:t>单位：μg/m</w:t>
            </w:r>
            <w:r>
              <w:rPr>
                <w:rFonts w:hint="default" w:ascii="Times New Roman" w:hAnsi="Times New Roman" w:eastAsia="宋体" w:cs="Times New Roman"/>
                <w:b/>
                <w:color w:val="auto"/>
                <w:sz w:val="21"/>
                <w:szCs w:val="21"/>
                <w:highlight w:val="none"/>
                <w:u w:val="none"/>
                <w:vertAlign w:val="superscript"/>
              </w:rPr>
              <w:t>3</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1932"/>
              <w:gridCol w:w="1505"/>
              <w:gridCol w:w="31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782" w:type="pct"/>
                  <w:tcBorders>
                    <w:tl2br w:val="nil"/>
                    <w:tr2bl w:val="nil"/>
                  </w:tcBorders>
                  <w:noWrap w:val="0"/>
                  <w:vAlign w:val="center"/>
                </w:tcPr>
                <w:p>
                  <w:pPr>
                    <w:pStyle w:val="106"/>
                    <w:bidi w:val="0"/>
                    <w:spacing w:line="240" w:lineRule="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评价因子</w:t>
                  </w:r>
                </w:p>
              </w:tc>
              <w:tc>
                <w:tcPr>
                  <w:tcW w:w="1230" w:type="pct"/>
                  <w:tcBorders>
                    <w:tl2br w:val="nil"/>
                    <w:tr2bl w:val="nil"/>
                  </w:tcBorders>
                  <w:noWrap w:val="0"/>
                  <w:vAlign w:val="center"/>
                </w:tcPr>
                <w:p>
                  <w:pPr>
                    <w:pStyle w:val="106"/>
                    <w:bidi w:val="0"/>
                    <w:spacing w:line="240" w:lineRule="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取值时段</w:t>
                  </w:r>
                </w:p>
              </w:tc>
              <w:tc>
                <w:tcPr>
                  <w:tcW w:w="958" w:type="pct"/>
                  <w:tcBorders>
                    <w:tl2br w:val="nil"/>
                    <w:tr2bl w:val="nil"/>
                  </w:tcBorders>
                  <w:noWrap w:val="0"/>
                  <w:vAlign w:val="center"/>
                </w:tcPr>
                <w:p>
                  <w:pPr>
                    <w:pStyle w:val="106"/>
                    <w:bidi w:val="0"/>
                    <w:spacing w:line="240" w:lineRule="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标准值</w:t>
                  </w:r>
                </w:p>
              </w:tc>
              <w:tc>
                <w:tcPr>
                  <w:tcW w:w="2028" w:type="pct"/>
                  <w:tcBorders>
                    <w:tl2br w:val="nil"/>
                    <w:tr2bl w:val="nil"/>
                  </w:tcBorders>
                  <w:noWrap w:val="0"/>
                  <w:vAlign w:val="center"/>
                </w:tcPr>
                <w:p>
                  <w:pPr>
                    <w:pStyle w:val="106"/>
                    <w:bidi w:val="0"/>
                    <w:spacing w:line="240" w:lineRule="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782" w:type="pct"/>
                  <w:vMerge w:val="restar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SO</w:t>
                  </w:r>
                  <w:r>
                    <w:rPr>
                      <w:rFonts w:hint="default" w:ascii="Times New Roman" w:hAnsi="Times New Roman" w:eastAsia="宋体" w:cs="Times New Roman"/>
                      <w:color w:val="auto"/>
                      <w:sz w:val="21"/>
                      <w:szCs w:val="21"/>
                      <w:u w:val="none"/>
                      <w:vertAlign w:val="subscript"/>
                    </w:rPr>
                    <w:t>2</w:t>
                  </w:r>
                </w:p>
              </w:tc>
              <w:tc>
                <w:tcPr>
                  <w:tcW w:w="1230"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年平均</w:t>
                  </w:r>
                </w:p>
              </w:tc>
              <w:tc>
                <w:tcPr>
                  <w:tcW w:w="958"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60</w:t>
                  </w:r>
                </w:p>
              </w:tc>
              <w:tc>
                <w:tcPr>
                  <w:tcW w:w="2028" w:type="pct"/>
                  <w:vMerge w:val="restar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《环境空气质量标准</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rPr>
                    <w:t>（GB3095-2012）二级标准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782"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c>
                <w:tcPr>
                  <w:tcW w:w="1230"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24小时平均</w:t>
                  </w:r>
                </w:p>
              </w:tc>
              <w:tc>
                <w:tcPr>
                  <w:tcW w:w="958"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150</w:t>
                  </w:r>
                </w:p>
              </w:tc>
              <w:tc>
                <w:tcPr>
                  <w:tcW w:w="2028"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782"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c>
                <w:tcPr>
                  <w:tcW w:w="1230"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1小时平均</w:t>
                  </w:r>
                </w:p>
              </w:tc>
              <w:tc>
                <w:tcPr>
                  <w:tcW w:w="958"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500</w:t>
                  </w:r>
                </w:p>
              </w:tc>
              <w:tc>
                <w:tcPr>
                  <w:tcW w:w="2028"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39" w:hRule="atLeast"/>
                <w:jc w:val="center"/>
              </w:trPr>
              <w:tc>
                <w:tcPr>
                  <w:tcW w:w="782" w:type="pct"/>
                  <w:vMerge w:val="restar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NO</w:t>
                  </w:r>
                  <w:r>
                    <w:rPr>
                      <w:rFonts w:hint="default" w:ascii="Times New Roman" w:hAnsi="Times New Roman" w:eastAsia="宋体" w:cs="Times New Roman"/>
                      <w:color w:val="auto"/>
                      <w:sz w:val="21"/>
                      <w:szCs w:val="21"/>
                      <w:u w:val="none"/>
                      <w:vertAlign w:val="subscript"/>
                    </w:rPr>
                    <w:t>2</w:t>
                  </w:r>
                </w:p>
              </w:tc>
              <w:tc>
                <w:tcPr>
                  <w:tcW w:w="1230"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年平均</w:t>
                  </w:r>
                </w:p>
              </w:tc>
              <w:tc>
                <w:tcPr>
                  <w:tcW w:w="958"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40</w:t>
                  </w:r>
                </w:p>
              </w:tc>
              <w:tc>
                <w:tcPr>
                  <w:tcW w:w="2028"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782"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c>
                <w:tcPr>
                  <w:tcW w:w="1230"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24小时平均</w:t>
                  </w:r>
                </w:p>
              </w:tc>
              <w:tc>
                <w:tcPr>
                  <w:tcW w:w="958"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80</w:t>
                  </w:r>
                </w:p>
              </w:tc>
              <w:tc>
                <w:tcPr>
                  <w:tcW w:w="2028"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782"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c>
                <w:tcPr>
                  <w:tcW w:w="1230"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1小时平均</w:t>
                  </w:r>
                </w:p>
              </w:tc>
              <w:tc>
                <w:tcPr>
                  <w:tcW w:w="958"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200</w:t>
                  </w:r>
                </w:p>
              </w:tc>
              <w:tc>
                <w:tcPr>
                  <w:tcW w:w="2028"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782" w:type="pct"/>
                  <w:vMerge w:val="restar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PM</w:t>
                  </w:r>
                  <w:r>
                    <w:rPr>
                      <w:rFonts w:hint="default" w:ascii="Times New Roman" w:hAnsi="Times New Roman" w:eastAsia="宋体" w:cs="Times New Roman"/>
                      <w:color w:val="auto"/>
                      <w:sz w:val="21"/>
                      <w:szCs w:val="21"/>
                      <w:u w:val="none"/>
                      <w:vertAlign w:val="subscript"/>
                    </w:rPr>
                    <w:t>10</w:t>
                  </w:r>
                </w:p>
              </w:tc>
              <w:tc>
                <w:tcPr>
                  <w:tcW w:w="1230"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年平均</w:t>
                  </w:r>
                </w:p>
              </w:tc>
              <w:tc>
                <w:tcPr>
                  <w:tcW w:w="958"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70</w:t>
                  </w:r>
                </w:p>
              </w:tc>
              <w:tc>
                <w:tcPr>
                  <w:tcW w:w="2028"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782"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c>
                <w:tcPr>
                  <w:tcW w:w="1230"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24小时平均</w:t>
                  </w:r>
                </w:p>
              </w:tc>
              <w:tc>
                <w:tcPr>
                  <w:tcW w:w="958"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150</w:t>
                  </w:r>
                </w:p>
              </w:tc>
              <w:tc>
                <w:tcPr>
                  <w:tcW w:w="2028"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782" w:type="pct"/>
                  <w:vMerge w:val="restar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PM</w:t>
                  </w:r>
                  <w:r>
                    <w:rPr>
                      <w:rFonts w:hint="default" w:ascii="Times New Roman" w:hAnsi="Times New Roman" w:eastAsia="宋体" w:cs="Times New Roman"/>
                      <w:color w:val="auto"/>
                      <w:sz w:val="21"/>
                      <w:szCs w:val="21"/>
                      <w:u w:val="none"/>
                      <w:vertAlign w:val="subscript"/>
                    </w:rPr>
                    <w:t>2.5</w:t>
                  </w:r>
                </w:p>
              </w:tc>
              <w:tc>
                <w:tcPr>
                  <w:tcW w:w="1230"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24小时平均</w:t>
                  </w:r>
                </w:p>
              </w:tc>
              <w:tc>
                <w:tcPr>
                  <w:tcW w:w="958"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75</w:t>
                  </w:r>
                </w:p>
              </w:tc>
              <w:tc>
                <w:tcPr>
                  <w:tcW w:w="2028"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782"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c>
                <w:tcPr>
                  <w:tcW w:w="1230"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年平均</w:t>
                  </w:r>
                </w:p>
              </w:tc>
              <w:tc>
                <w:tcPr>
                  <w:tcW w:w="958"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35</w:t>
                  </w:r>
                </w:p>
              </w:tc>
              <w:tc>
                <w:tcPr>
                  <w:tcW w:w="2028"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782" w:type="pct"/>
                  <w:vMerge w:val="restar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O</w:t>
                  </w:r>
                  <w:r>
                    <w:rPr>
                      <w:rFonts w:hint="default" w:ascii="Times New Roman" w:hAnsi="Times New Roman" w:eastAsia="宋体" w:cs="Times New Roman"/>
                      <w:color w:val="auto"/>
                      <w:sz w:val="21"/>
                      <w:szCs w:val="21"/>
                      <w:u w:val="none"/>
                      <w:vertAlign w:val="subscript"/>
                    </w:rPr>
                    <w:t>3</w:t>
                  </w:r>
                </w:p>
              </w:tc>
              <w:tc>
                <w:tcPr>
                  <w:tcW w:w="1230"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日最大8小时平均</w:t>
                  </w:r>
                </w:p>
              </w:tc>
              <w:tc>
                <w:tcPr>
                  <w:tcW w:w="958"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160</w:t>
                  </w:r>
                </w:p>
              </w:tc>
              <w:tc>
                <w:tcPr>
                  <w:tcW w:w="2028"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782"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c>
                <w:tcPr>
                  <w:tcW w:w="1230"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1小时平均</w:t>
                  </w:r>
                </w:p>
              </w:tc>
              <w:tc>
                <w:tcPr>
                  <w:tcW w:w="958"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200</w:t>
                  </w:r>
                </w:p>
              </w:tc>
              <w:tc>
                <w:tcPr>
                  <w:tcW w:w="2028"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39" w:hRule="atLeast"/>
                <w:jc w:val="center"/>
              </w:trPr>
              <w:tc>
                <w:tcPr>
                  <w:tcW w:w="782" w:type="pct"/>
                  <w:vMerge w:val="restar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CO</w:t>
                  </w:r>
                </w:p>
              </w:tc>
              <w:tc>
                <w:tcPr>
                  <w:tcW w:w="1230"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24小时平均</w:t>
                  </w:r>
                </w:p>
              </w:tc>
              <w:tc>
                <w:tcPr>
                  <w:tcW w:w="958"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4mg/m</w:t>
                  </w:r>
                  <w:r>
                    <w:rPr>
                      <w:rFonts w:hint="default" w:ascii="Times New Roman" w:hAnsi="Times New Roman" w:eastAsia="宋体" w:cs="Times New Roman"/>
                      <w:color w:val="auto"/>
                      <w:sz w:val="21"/>
                      <w:szCs w:val="21"/>
                      <w:u w:val="none"/>
                      <w:vertAlign w:val="superscript"/>
                    </w:rPr>
                    <w:t>3</w:t>
                  </w:r>
                </w:p>
              </w:tc>
              <w:tc>
                <w:tcPr>
                  <w:tcW w:w="2028"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82"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c>
                <w:tcPr>
                  <w:tcW w:w="1230"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1小时平均</w:t>
                  </w:r>
                </w:p>
              </w:tc>
              <w:tc>
                <w:tcPr>
                  <w:tcW w:w="958"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10mg/m</w:t>
                  </w:r>
                  <w:r>
                    <w:rPr>
                      <w:rFonts w:hint="default" w:ascii="Times New Roman" w:hAnsi="Times New Roman" w:eastAsia="宋体" w:cs="Times New Roman"/>
                      <w:color w:val="auto"/>
                      <w:sz w:val="21"/>
                      <w:szCs w:val="21"/>
                      <w:u w:val="none"/>
                      <w:vertAlign w:val="superscript"/>
                    </w:rPr>
                    <w:t>3</w:t>
                  </w:r>
                </w:p>
              </w:tc>
              <w:tc>
                <w:tcPr>
                  <w:tcW w:w="2028"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82" w:type="pct"/>
                  <w:vMerge w:val="restar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TSP</w:t>
                  </w:r>
                </w:p>
              </w:tc>
              <w:tc>
                <w:tcPr>
                  <w:tcW w:w="1230"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rPr>
                    <w:t>年平均</w:t>
                  </w:r>
                </w:p>
              </w:tc>
              <w:tc>
                <w:tcPr>
                  <w:tcW w:w="958"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rPr>
                    <w:t>200</w:t>
                  </w:r>
                </w:p>
              </w:tc>
              <w:tc>
                <w:tcPr>
                  <w:tcW w:w="2028"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82"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c>
                <w:tcPr>
                  <w:tcW w:w="1230"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rPr>
                    <w:t>24小时平均</w:t>
                  </w:r>
                </w:p>
              </w:tc>
              <w:tc>
                <w:tcPr>
                  <w:tcW w:w="958" w:type="pct"/>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rPr>
                    <w:t>300</w:t>
                  </w:r>
                </w:p>
              </w:tc>
              <w:tc>
                <w:tcPr>
                  <w:tcW w:w="2028" w:type="pct"/>
                  <w:vMerge w:val="continue"/>
                  <w:tcBorders>
                    <w:tl2br w:val="nil"/>
                    <w:tr2bl w:val="nil"/>
                  </w:tcBorders>
                  <w:noWrap w:val="0"/>
                  <w:vAlign w:val="center"/>
                </w:tcPr>
                <w:p>
                  <w:pPr>
                    <w:pStyle w:val="106"/>
                    <w:bidi w:val="0"/>
                    <w:spacing w:line="240" w:lineRule="auto"/>
                    <w:rPr>
                      <w:rFonts w:hint="default" w:ascii="Times New Roman" w:hAnsi="Times New Roman" w:eastAsia="宋体" w:cs="Times New Roman"/>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60" w:hRule="atLeast"/>
                <w:jc w:val="center"/>
              </w:trPr>
              <w:tc>
                <w:tcPr>
                  <w:tcW w:w="782" w:type="pct"/>
                  <w:tcBorders>
                    <w:tl2br w:val="nil"/>
                    <w:tr2bl w:val="nil"/>
                  </w:tcBorders>
                  <w:noWrap w:val="0"/>
                  <w:vAlign w:val="center"/>
                </w:tcPr>
                <w:p>
                  <w:pPr>
                    <w:pStyle w:val="106"/>
                    <w:bidi w:val="0"/>
                    <w:spacing w:line="240" w:lineRule="auto"/>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氨</w:t>
                  </w:r>
                </w:p>
              </w:tc>
              <w:tc>
                <w:tcPr>
                  <w:tcW w:w="1230" w:type="pct"/>
                  <w:tcBorders>
                    <w:tl2br w:val="nil"/>
                    <w:tr2bl w:val="nil"/>
                  </w:tcBorders>
                  <w:noWrap w:val="0"/>
                  <w:vAlign w:val="center"/>
                </w:tcPr>
                <w:p>
                  <w:pPr>
                    <w:pStyle w:val="106"/>
                    <w:bidi w:val="0"/>
                    <w:spacing w:line="240" w:lineRule="auto"/>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1</w:t>
                  </w:r>
                  <w:r>
                    <w:rPr>
                      <w:rFonts w:hint="default" w:ascii="Times New Roman" w:hAnsi="Times New Roman" w:eastAsia="宋体" w:cs="Times New Roman"/>
                      <w:color w:val="auto"/>
                      <w:sz w:val="21"/>
                      <w:szCs w:val="21"/>
                      <w:u w:val="none"/>
                      <w:lang w:val="en-US" w:eastAsia="zh-CN"/>
                    </w:rPr>
                    <w:t>h</w:t>
                  </w:r>
                  <w:r>
                    <w:rPr>
                      <w:rFonts w:hint="default" w:ascii="Times New Roman" w:hAnsi="Times New Roman" w:eastAsia="宋体" w:cs="Times New Roman"/>
                      <w:color w:val="auto"/>
                      <w:sz w:val="21"/>
                      <w:szCs w:val="21"/>
                      <w:u w:val="none"/>
                    </w:rPr>
                    <w:t>平均</w:t>
                  </w:r>
                </w:p>
              </w:tc>
              <w:tc>
                <w:tcPr>
                  <w:tcW w:w="958" w:type="pct"/>
                  <w:tcBorders>
                    <w:tl2br w:val="nil"/>
                    <w:tr2bl w:val="nil"/>
                  </w:tcBorders>
                  <w:noWrap w:val="0"/>
                  <w:vAlign w:val="center"/>
                </w:tcPr>
                <w:p>
                  <w:pPr>
                    <w:pStyle w:val="106"/>
                    <w:bidi w:val="0"/>
                    <w:spacing w:line="240" w:lineRule="auto"/>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200</w:t>
                  </w:r>
                </w:p>
              </w:tc>
              <w:tc>
                <w:tcPr>
                  <w:tcW w:w="2028" w:type="pct"/>
                  <w:vMerge w:val="restart"/>
                  <w:tcBorders>
                    <w:tl2br w:val="nil"/>
                    <w:tr2bl w:val="nil"/>
                  </w:tcBorders>
                  <w:noWrap w:val="0"/>
                  <w:vAlign w:val="center"/>
                </w:tcPr>
                <w:p>
                  <w:pPr>
                    <w:pStyle w:val="106"/>
                    <w:bidi w:val="0"/>
                    <w:spacing w:line="240" w:lineRule="auto"/>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《环境影响评价技术导则大气环境》（HJ2.2-2018）附录D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782" w:type="pct"/>
                  <w:tcBorders>
                    <w:tl2br w:val="nil"/>
                    <w:tr2bl w:val="nil"/>
                  </w:tcBorders>
                  <w:noWrap w:val="0"/>
                  <w:vAlign w:val="center"/>
                </w:tcPr>
                <w:p>
                  <w:pPr>
                    <w:pStyle w:val="106"/>
                    <w:bidi w:val="0"/>
                    <w:spacing w:line="240" w:lineRule="auto"/>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硫化氢</w:t>
                  </w:r>
                </w:p>
              </w:tc>
              <w:tc>
                <w:tcPr>
                  <w:tcW w:w="1230" w:type="pct"/>
                  <w:tcBorders>
                    <w:tl2br w:val="nil"/>
                    <w:tr2bl w:val="nil"/>
                  </w:tcBorders>
                  <w:noWrap w:val="0"/>
                  <w:vAlign w:val="center"/>
                </w:tcPr>
                <w:p>
                  <w:pPr>
                    <w:pStyle w:val="106"/>
                    <w:bidi w:val="0"/>
                    <w:spacing w:line="240" w:lineRule="auto"/>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1</w:t>
                  </w:r>
                  <w:r>
                    <w:rPr>
                      <w:rFonts w:hint="default" w:ascii="Times New Roman" w:hAnsi="Times New Roman" w:eastAsia="宋体" w:cs="Times New Roman"/>
                      <w:color w:val="auto"/>
                      <w:sz w:val="21"/>
                      <w:szCs w:val="21"/>
                      <w:u w:val="none"/>
                      <w:lang w:val="en-US" w:eastAsia="zh-CN"/>
                    </w:rPr>
                    <w:t>h</w:t>
                  </w:r>
                  <w:r>
                    <w:rPr>
                      <w:rFonts w:hint="default" w:ascii="Times New Roman" w:hAnsi="Times New Roman" w:eastAsia="宋体" w:cs="Times New Roman"/>
                      <w:color w:val="auto"/>
                      <w:sz w:val="21"/>
                      <w:szCs w:val="21"/>
                      <w:u w:val="none"/>
                    </w:rPr>
                    <w:t>平均</w:t>
                  </w:r>
                </w:p>
              </w:tc>
              <w:tc>
                <w:tcPr>
                  <w:tcW w:w="958" w:type="pct"/>
                  <w:tcBorders>
                    <w:tl2br w:val="nil"/>
                    <w:tr2bl w:val="nil"/>
                  </w:tcBorders>
                  <w:noWrap w:val="0"/>
                  <w:vAlign w:val="center"/>
                </w:tcPr>
                <w:p>
                  <w:pPr>
                    <w:pStyle w:val="106"/>
                    <w:bidi w:val="0"/>
                    <w:spacing w:line="240" w:lineRule="auto"/>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10</w:t>
                  </w:r>
                </w:p>
              </w:tc>
              <w:tc>
                <w:tcPr>
                  <w:tcW w:w="2028" w:type="pct"/>
                  <w:vMerge w:val="continue"/>
                  <w:tcBorders>
                    <w:tl2br w:val="nil"/>
                    <w:tr2bl w:val="nil"/>
                  </w:tcBorders>
                  <w:noWrap w:val="0"/>
                  <w:vAlign w:val="center"/>
                </w:tcPr>
                <w:p>
                  <w:pPr>
                    <w:pStyle w:val="106"/>
                    <w:bidi w:val="0"/>
                    <w:spacing w:line="240" w:lineRule="auto"/>
                    <w:ind w:firstLine="0" w:firstLineChars="0"/>
                    <w:rPr>
                      <w:rFonts w:hint="default" w:ascii="Times New Roman" w:hAnsi="Times New Roman" w:eastAsia="宋体" w:cs="Times New Roman"/>
                      <w:color w:val="auto"/>
                      <w:kern w:val="2"/>
                      <w:sz w:val="21"/>
                      <w:szCs w:val="21"/>
                      <w:u w:val="none"/>
                      <w:lang w:val="en-US" w:eastAsia="zh-CN" w:bidi="ar-SA"/>
                    </w:rPr>
                  </w:pPr>
                </w:p>
              </w:tc>
            </w:tr>
          </w:tbl>
          <w:p>
            <w:pPr>
              <w:kinsoku w:val="0"/>
              <w:overflowPunct w:val="0"/>
              <w:autoSpaceDE w:val="0"/>
              <w:autoSpaceDN w:val="0"/>
              <w:adjustRightInd w:val="0"/>
              <w:snapToGrid w:val="0"/>
              <w:spacing w:line="360" w:lineRule="auto"/>
              <w:ind w:firstLine="482" w:firstLineChars="200"/>
              <w:rPr>
                <w:rFonts w:hint="default" w:ascii="Times New Roman" w:hAnsi="Times New Roman" w:eastAsia="宋体" w:cs="Times New Roman"/>
                <w:b/>
                <w:color w:val="auto"/>
                <w:sz w:val="24"/>
                <w:szCs w:val="24"/>
                <w:u w:val="none"/>
              </w:rPr>
            </w:pPr>
            <w:r>
              <w:rPr>
                <w:rFonts w:hint="default" w:ascii="Times New Roman" w:hAnsi="Times New Roman" w:eastAsia="宋体" w:cs="Times New Roman"/>
                <w:b/>
                <w:color w:val="auto"/>
                <w:sz w:val="24"/>
                <w:szCs w:val="24"/>
                <w:u w:val="none"/>
                <w:lang w:eastAsia="zh-CN"/>
              </w:rPr>
              <w:t>（</w:t>
            </w:r>
            <w:r>
              <w:rPr>
                <w:rFonts w:hint="default" w:ascii="Times New Roman" w:hAnsi="Times New Roman" w:eastAsia="宋体" w:cs="Times New Roman"/>
                <w:b/>
                <w:color w:val="auto"/>
                <w:sz w:val="24"/>
                <w:szCs w:val="24"/>
                <w:u w:val="none"/>
              </w:rPr>
              <w:t>2</w:t>
            </w:r>
            <w:r>
              <w:rPr>
                <w:rFonts w:hint="default" w:ascii="Times New Roman" w:hAnsi="Times New Roman" w:eastAsia="宋体" w:cs="Times New Roman"/>
                <w:b/>
                <w:color w:val="auto"/>
                <w:sz w:val="24"/>
                <w:szCs w:val="24"/>
                <w:u w:val="none"/>
                <w:lang w:eastAsia="zh-CN"/>
              </w:rPr>
              <w:t>）</w:t>
            </w:r>
            <w:r>
              <w:rPr>
                <w:rFonts w:hint="default" w:ascii="Times New Roman" w:hAnsi="Times New Roman" w:eastAsia="宋体" w:cs="Times New Roman"/>
                <w:b/>
                <w:color w:val="auto"/>
                <w:sz w:val="24"/>
                <w:szCs w:val="24"/>
                <w:u w:val="none"/>
              </w:rPr>
              <w:t>地表水环境质量标准</w:t>
            </w:r>
          </w:p>
          <w:p>
            <w:pPr>
              <w:kinsoku w:val="0"/>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本项目</w:t>
            </w:r>
            <w:r>
              <w:rPr>
                <w:rFonts w:hint="eastAsia" w:cs="Times New Roman"/>
                <w:color w:val="auto"/>
                <w:sz w:val="24"/>
                <w:szCs w:val="24"/>
                <w:u w:val="none"/>
                <w:lang w:val="en-US" w:eastAsia="zh-CN"/>
              </w:rPr>
              <w:t>横岭湖</w:t>
            </w:r>
            <w:r>
              <w:rPr>
                <w:rFonts w:hint="default" w:ascii="Times New Roman" w:hAnsi="Times New Roman" w:eastAsia="宋体" w:cs="Times New Roman"/>
                <w:color w:val="auto"/>
                <w:sz w:val="24"/>
                <w:szCs w:val="24"/>
                <w:u w:val="none"/>
                <w:lang w:eastAsia="zh-CN"/>
              </w:rPr>
              <w:t>地表水环境质量</w:t>
            </w:r>
            <w:r>
              <w:rPr>
                <w:rFonts w:hint="default" w:ascii="Times New Roman" w:hAnsi="Times New Roman" w:eastAsia="宋体" w:cs="Times New Roman"/>
                <w:color w:val="auto"/>
                <w:sz w:val="24"/>
                <w:szCs w:val="24"/>
                <w:u w:val="none"/>
              </w:rPr>
              <w:t>执行《地表水环境质量标准》（GB3838-2002）</w:t>
            </w:r>
            <w:r>
              <w:rPr>
                <w:rFonts w:hint="default" w:ascii="Times New Roman" w:hAnsi="Times New Roman" w:eastAsia="宋体" w:cs="Times New Roman"/>
                <w:color w:val="auto"/>
                <w:sz w:val="24"/>
                <w:szCs w:val="24"/>
                <w:u w:val="none"/>
                <w:lang w:eastAsia="zh-CN"/>
              </w:rPr>
              <w:t>Ⅲ</w:t>
            </w:r>
            <w:r>
              <w:rPr>
                <w:rFonts w:hint="default" w:ascii="Times New Roman" w:hAnsi="Times New Roman" w:eastAsia="宋体" w:cs="Times New Roman"/>
                <w:color w:val="auto"/>
                <w:sz w:val="24"/>
                <w:szCs w:val="24"/>
                <w:u w:val="none"/>
              </w:rPr>
              <w:t>类标准，具体标准值见下表。</w:t>
            </w:r>
          </w:p>
          <w:p>
            <w:pPr>
              <w:kinsoku w:val="0"/>
              <w:overflowPunct w:val="0"/>
              <w:autoSpaceDE w:val="0"/>
              <w:autoSpaceDN w:val="0"/>
              <w:adjustRightInd w:val="0"/>
              <w:snapToGrid w:val="0"/>
              <w:jc w:val="both"/>
              <w:rPr>
                <w:rFonts w:hint="default" w:ascii="Times New Roman" w:hAnsi="Times New Roman" w:eastAsia="宋体" w:cs="Times New Roman"/>
                <w:b/>
                <w:iCs/>
                <w:color w:val="auto"/>
                <w:sz w:val="21"/>
                <w:szCs w:val="21"/>
                <w:u w:val="none"/>
              </w:rPr>
            </w:pPr>
            <w:r>
              <w:rPr>
                <w:rFonts w:hint="default" w:ascii="Times New Roman" w:hAnsi="Times New Roman" w:eastAsia="宋体" w:cs="Times New Roman"/>
                <w:b/>
                <w:iCs/>
                <w:color w:val="auto"/>
                <w:sz w:val="21"/>
                <w:szCs w:val="21"/>
                <w:u w:val="none"/>
              </w:rPr>
              <w:t>表</w:t>
            </w:r>
            <w:r>
              <w:rPr>
                <w:rFonts w:hint="default" w:ascii="Times New Roman" w:hAnsi="Times New Roman" w:eastAsia="宋体" w:cs="Times New Roman"/>
                <w:b/>
                <w:iCs/>
                <w:color w:val="auto"/>
                <w:sz w:val="21"/>
                <w:szCs w:val="21"/>
                <w:u w:val="none"/>
                <w:lang w:val="en-US" w:eastAsia="zh-CN"/>
              </w:rPr>
              <w:t>3-</w:t>
            </w:r>
            <w:r>
              <w:rPr>
                <w:rFonts w:hint="eastAsia" w:cs="Times New Roman"/>
                <w:b/>
                <w:iCs/>
                <w:color w:val="auto"/>
                <w:sz w:val="21"/>
                <w:szCs w:val="21"/>
                <w:u w:val="none"/>
                <w:lang w:val="en-US" w:eastAsia="zh-CN"/>
              </w:rPr>
              <w:t xml:space="preserve">13        </w:t>
            </w:r>
            <w:r>
              <w:rPr>
                <w:rFonts w:hint="default" w:ascii="Times New Roman" w:hAnsi="Times New Roman" w:eastAsia="宋体" w:cs="Times New Roman"/>
                <w:b/>
                <w:iCs/>
                <w:color w:val="auto"/>
                <w:sz w:val="21"/>
                <w:szCs w:val="21"/>
                <w:u w:val="none"/>
                <w:lang w:eastAsia="zh-CN"/>
              </w:rPr>
              <w:t>地表水环境质量标准（GB3095-2012）</w:t>
            </w:r>
            <w:r>
              <w:rPr>
                <w:rFonts w:hint="default" w:ascii="Times New Roman" w:hAnsi="Times New Roman" w:eastAsia="宋体" w:cs="Times New Roman"/>
                <w:b/>
                <w:iCs/>
                <w:color w:val="auto"/>
                <w:sz w:val="21"/>
                <w:szCs w:val="21"/>
                <w:u w:val="none"/>
              </w:rPr>
              <w:t>标准限值</w:t>
            </w:r>
          </w:p>
          <w:tbl>
            <w:tblPr>
              <w:tblStyle w:val="32"/>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65"/>
              <w:gridCol w:w="760"/>
              <w:gridCol w:w="952"/>
              <w:gridCol w:w="870"/>
              <w:gridCol w:w="967"/>
              <w:gridCol w:w="760"/>
              <w:gridCol w:w="761"/>
              <w:gridCol w:w="10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4" w:type="pct"/>
                  <w:tcBorders>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监测指标</w:t>
                  </w:r>
                </w:p>
              </w:tc>
              <w:tc>
                <w:tcPr>
                  <w:tcW w:w="484" w:type="pct"/>
                  <w:tcBorders>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pH</w:t>
                  </w:r>
                </w:p>
              </w:tc>
              <w:tc>
                <w:tcPr>
                  <w:tcW w:w="606" w:type="pct"/>
                  <w:tcBorders>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COD</w:t>
                  </w:r>
                  <w:r>
                    <w:rPr>
                      <w:rFonts w:hint="default" w:ascii="Times New Roman" w:hAnsi="Times New Roman" w:eastAsia="宋体" w:cs="Times New Roman"/>
                      <w:color w:val="auto"/>
                      <w:u w:val="none"/>
                      <w:vertAlign w:val="subscript"/>
                    </w:rPr>
                    <w:t>Cr</w:t>
                  </w:r>
                </w:p>
              </w:tc>
              <w:tc>
                <w:tcPr>
                  <w:tcW w:w="554" w:type="pct"/>
                  <w:tcBorders>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BOD</w:t>
                  </w:r>
                  <w:r>
                    <w:rPr>
                      <w:rFonts w:hint="default" w:ascii="Times New Roman" w:hAnsi="Times New Roman" w:eastAsia="宋体" w:cs="Times New Roman"/>
                      <w:color w:val="auto"/>
                      <w:u w:val="none"/>
                      <w:vertAlign w:val="subscript"/>
                    </w:rPr>
                    <w:t>5</w:t>
                  </w:r>
                </w:p>
              </w:tc>
              <w:tc>
                <w:tcPr>
                  <w:tcW w:w="616"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rPr>
                    <w:t>NH</w:t>
                  </w:r>
                  <w:r>
                    <w:rPr>
                      <w:rFonts w:hint="default" w:ascii="Times New Roman" w:hAnsi="Times New Roman" w:eastAsia="宋体" w:cs="Times New Roman"/>
                      <w:color w:val="auto"/>
                      <w:u w:val="none"/>
                      <w:vertAlign w:val="subscript"/>
                    </w:rPr>
                    <w:t>3</w:t>
                  </w:r>
                  <w:r>
                    <w:rPr>
                      <w:rFonts w:hint="default" w:ascii="Times New Roman" w:hAnsi="Times New Roman" w:eastAsia="宋体" w:cs="Times New Roman"/>
                      <w:color w:val="auto"/>
                      <w:u w:val="none"/>
                    </w:rPr>
                    <w:t>-N</w:t>
                  </w:r>
                </w:p>
              </w:tc>
              <w:tc>
                <w:tcPr>
                  <w:tcW w:w="484" w:type="pct"/>
                  <w:tcBorders>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总氮</w:t>
                  </w:r>
                </w:p>
              </w:tc>
              <w:tc>
                <w:tcPr>
                  <w:tcW w:w="484" w:type="pct"/>
                  <w:tcBorders>
                    <w:tl2br w:val="nil"/>
                    <w:tr2bl w:val="nil"/>
                  </w:tcBorders>
                  <w:noWrap w:val="0"/>
                  <w:vAlign w:val="center"/>
                </w:tcPr>
                <w:p>
                  <w:pPr>
                    <w:pStyle w:val="106"/>
                    <w:bidi w:val="0"/>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总磷</w:t>
                  </w:r>
                </w:p>
              </w:tc>
              <w:tc>
                <w:tcPr>
                  <w:tcW w:w="644" w:type="pct"/>
                  <w:tcBorders>
                    <w:tl2br w:val="nil"/>
                    <w:tr2bl w:val="nil"/>
                  </w:tcBorders>
                  <w:noWrap w:val="0"/>
                  <w:vAlign w:val="center"/>
                </w:tcPr>
                <w:p>
                  <w:pPr>
                    <w:pStyle w:val="106"/>
                    <w:bidi w:val="0"/>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石油类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24" w:type="pct"/>
                  <w:tcBorders>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eastAsia="zh-CN"/>
                    </w:rPr>
                    <w:t>Ⅲ</w:t>
                  </w:r>
                  <w:r>
                    <w:rPr>
                      <w:rFonts w:hint="default" w:ascii="Times New Roman" w:hAnsi="Times New Roman" w:eastAsia="宋体" w:cs="Times New Roman"/>
                      <w:color w:val="auto"/>
                      <w:u w:val="none"/>
                    </w:rPr>
                    <w:t>类标准限值</w:t>
                  </w:r>
                </w:p>
              </w:tc>
              <w:tc>
                <w:tcPr>
                  <w:tcW w:w="484" w:type="pct"/>
                  <w:tcBorders>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6～9</w:t>
                  </w:r>
                </w:p>
              </w:tc>
              <w:tc>
                <w:tcPr>
                  <w:tcW w:w="606" w:type="pct"/>
                  <w:tcBorders>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20</w:t>
                  </w:r>
                </w:p>
              </w:tc>
              <w:tc>
                <w:tcPr>
                  <w:tcW w:w="554" w:type="pct"/>
                  <w:tcBorders>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4</w:t>
                  </w:r>
                </w:p>
              </w:tc>
              <w:tc>
                <w:tcPr>
                  <w:tcW w:w="616"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1.0</w:t>
                  </w:r>
                </w:p>
              </w:tc>
              <w:tc>
                <w:tcPr>
                  <w:tcW w:w="484" w:type="pct"/>
                  <w:tcBorders>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1.0</w:t>
                  </w:r>
                </w:p>
              </w:tc>
              <w:tc>
                <w:tcPr>
                  <w:tcW w:w="484"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rPr>
                    <w:t>0.</w:t>
                  </w:r>
                  <w:r>
                    <w:rPr>
                      <w:rFonts w:hint="eastAsia" w:cs="Times New Roman"/>
                      <w:color w:val="auto"/>
                      <w:u w:val="none"/>
                      <w:lang w:val="en-US" w:eastAsia="zh-CN"/>
                    </w:rPr>
                    <w:t>05</w:t>
                  </w:r>
                </w:p>
              </w:tc>
              <w:tc>
                <w:tcPr>
                  <w:tcW w:w="644"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0.05</w:t>
                  </w:r>
                </w:p>
              </w:tc>
            </w:tr>
          </w:tbl>
          <w:p>
            <w:pPr>
              <w:kinsoku w:val="0"/>
              <w:overflowPunct w:val="0"/>
              <w:autoSpaceDE w:val="0"/>
              <w:autoSpaceDN w:val="0"/>
              <w:adjustRightInd w:val="0"/>
              <w:snapToGrid w:val="0"/>
              <w:spacing w:line="360" w:lineRule="auto"/>
              <w:ind w:firstLine="482" w:firstLineChars="200"/>
              <w:rPr>
                <w:rFonts w:hint="default" w:ascii="Times New Roman" w:hAnsi="Times New Roman" w:eastAsia="宋体" w:cs="Times New Roman"/>
                <w:b/>
                <w:color w:val="auto"/>
                <w:sz w:val="24"/>
                <w:szCs w:val="24"/>
                <w:u w:val="none"/>
              </w:rPr>
            </w:pPr>
            <w:r>
              <w:rPr>
                <w:rFonts w:hint="default" w:ascii="Times New Roman" w:hAnsi="Times New Roman" w:eastAsia="宋体" w:cs="Times New Roman"/>
                <w:b/>
                <w:color w:val="auto"/>
                <w:sz w:val="24"/>
                <w:szCs w:val="24"/>
                <w:u w:val="none"/>
                <w:lang w:eastAsia="zh-CN"/>
              </w:rPr>
              <w:t>（</w:t>
            </w:r>
            <w:r>
              <w:rPr>
                <w:rFonts w:hint="default" w:ascii="Times New Roman" w:hAnsi="Times New Roman" w:eastAsia="宋体" w:cs="Times New Roman"/>
                <w:b/>
                <w:color w:val="auto"/>
                <w:sz w:val="24"/>
                <w:szCs w:val="24"/>
                <w:u w:val="none"/>
                <w:lang w:val="en-US" w:eastAsia="zh-CN"/>
              </w:rPr>
              <w:t>3</w:t>
            </w:r>
            <w:r>
              <w:rPr>
                <w:rFonts w:hint="default" w:ascii="Times New Roman" w:hAnsi="Times New Roman" w:eastAsia="宋体" w:cs="Times New Roman"/>
                <w:b/>
                <w:color w:val="auto"/>
                <w:sz w:val="24"/>
                <w:szCs w:val="24"/>
                <w:u w:val="none"/>
                <w:lang w:eastAsia="zh-CN"/>
              </w:rPr>
              <w:t>）</w:t>
            </w:r>
            <w:r>
              <w:rPr>
                <w:rFonts w:hint="default" w:ascii="Times New Roman" w:hAnsi="Times New Roman" w:eastAsia="宋体" w:cs="Times New Roman"/>
                <w:b/>
                <w:color w:val="auto"/>
                <w:sz w:val="24"/>
                <w:szCs w:val="24"/>
                <w:u w:val="none"/>
              </w:rPr>
              <w:t>声环境质量标准</w:t>
            </w:r>
          </w:p>
          <w:p>
            <w:pPr>
              <w:kinsoku w:val="0"/>
              <w:overflowPunct w:val="0"/>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sz w:val="24"/>
                <w:u w:val="none"/>
              </w:rPr>
            </w:pPr>
            <w:r>
              <w:rPr>
                <w:rFonts w:hint="default" w:ascii="Times New Roman" w:hAnsi="Times New Roman" w:eastAsia="宋体" w:cs="Times New Roman"/>
                <w:color w:val="auto"/>
                <w:kern w:val="0"/>
                <w:sz w:val="24"/>
                <w:u w:val="none"/>
              </w:rPr>
              <w:t>本项目评价区域执行《声环境质量标准》（GB3096-2008）</w:t>
            </w:r>
            <w:r>
              <w:rPr>
                <w:rFonts w:hint="default" w:ascii="Times New Roman" w:hAnsi="Times New Roman" w:eastAsia="宋体" w:cs="Times New Roman"/>
                <w:color w:val="auto"/>
                <w:kern w:val="0"/>
                <w:sz w:val="24"/>
                <w:szCs w:val="22"/>
                <w:u w:val="none"/>
              </w:rPr>
              <w:t>中</w:t>
            </w:r>
            <w:r>
              <w:rPr>
                <w:rFonts w:hint="default" w:ascii="Times New Roman" w:hAnsi="Times New Roman" w:eastAsia="宋体" w:cs="Times New Roman"/>
                <w:color w:val="auto"/>
                <w:kern w:val="0"/>
                <w:sz w:val="24"/>
                <w:szCs w:val="22"/>
                <w:u w:val="none"/>
                <w:lang w:val="en-US" w:eastAsia="zh-CN"/>
              </w:rPr>
              <w:t>2</w:t>
            </w:r>
            <w:r>
              <w:rPr>
                <w:rFonts w:hint="default" w:ascii="Times New Roman" w:hAnsi="Times New Roman" w:eastAsia="宋体" w:cs="Times New Roman"/>
                <w:color w:val="auto"/>
                <w:kern w:val="0"/>
                <w:sz w:val="24"/>
                <w:szCs w:val="22"/>
                <w:u w:val="none"/>
              </w:rPr>
              <w:t>类</w:t>
            </w:r>
            <w:r>
              <w:rPr>
                <w:rFonts w:hint="default" w:ascii="Times New Roman" w:hAnsi="Times New Roman" w:eastAsia="宋体" w:cs="Times New Roman"/>
                <w:color w:val="auto"/>
                <w:kern w:val="0"/>
                <w:sz w:val="24"/>
                <w:u w:val="none"/>
              </w:rPr>
              <w:t>标准。具体见表</w:t>
            </w:r>
            <w:r>
              <w:rPr>
                <w:rFonts w:hint="default" w:ascii="Times New Roman" w:hAnsi="Times New Roman" w:eastAsia="宋体" w:cs="Times New Roman"/>
                <w:color w:val="auto"/>
                <w:kern w:val="0"/>
                <w:sz w:val="24"/>
                <w:u w:val="none"/>
                <w:lang w:val="en-US" w:eastAsia="zh-CN"/>
              </w:rPr>
              <w:t>3-</w:t>
            </w:r>
            <w:r>
              <w:rPr>
                <w:rFonts w:hint="eastAsia" w:cs="Times New Roman"/>
                <w:color w:val="auto"/>
                <w:kern w:val="0"/>
                <w:sz w:val="24"/>
                <w:u w:val="none"/>
                <w:lang w:val="en-US" w:eastAsia="zh-CN"/>
              </w:rPr>
              <w:t>14</w:t>
            </w:r>
            <w:r>
              <w:rPr>
                <w:rFonts w:hint="default" w:ascii="Times New Roman" w:hAnsi="Times New Roman" w:eastAsia="宋体" w:cs="Times New Roman"/>
                <w:color w:val="auto"/>
                <w:kern w:val="0"/>
                <w:sz w:val="24"/>
                <w:u w:val="none"/>
              </w:rPr>
              <w:t>。</w:t>
            </w:r>
          </w:p>
          <w:p>
            <w:pPr>
              <w:kinsoku w:val="0"/>
              <w:overflowPunct w:val="0"/>
              <w:autoSpaceDE w:val="0"/>
              <w:autoSpaceDN w:val="0"/>
              <w:adjustRightInd w:val="0"/>
              <w:snapToGrid w:val="0"/>
              <w:jc w:val="both"/>
              <w:rPr>
                <w:rFonts w:hint="default" w:ascii="Times New Roman" w:hAnsi="Times New Roman" w:eastAsia="宋体" w:cs="Times New Roman"/>
                <w:b/>
                <w:bCs w:val="0"/>
                <w:color w:val="auto"/>
                <w:sz w:val="21"/>
                <w:szCs w:val="21"/>
                <w:u w:val="none"/>
              </w:rPr>
            </w:pPr>
            <w:r>
              <w:rPr>
                <w:rFonts w:hint="default" w:ascii="Times New Roman" w:hAnsi="Times New Roman" w:eastAsia="宋体" w:cs="Times New Roman"/>
                <w:b/>
                <w:bCs w:val="0"/>
                <w:color w:val="auto"/>
                <w:sz w:val="21"/>
                <w:szCs w:val="21"/>
                <w:u w:val="none"/>
              </w:rPr>
              <w:t>表</w:t>
            </w:r>
            <w:r>
              <w:rPr>
                <w:rFonts w:hint="default" w:ascii="Times New Roman" w:hAnsi="Times New Roman" w:eastAsia="宋体" w:cs="Times New Roman"/>
                <w:b/>
                <w:bCs w:val="0"/>
                <w:color w:val="auto"/>
                <w:sz w:val="21"/>
                <w:szCs w:val="21"/>
                <w:u w:val="none"/>
                <w:lang w:val="en-US" w:eastAsia="zh-CN"/>
              </w:rPr>
              <w:t>3-</w:t>
            </w:r>
            <w:r>
              <w:rPr>
                <w:rFonts w:hint="eastAsia" w:cs="Times New Roman"/>
                <w:b/>
                <w:bCs w:val="0"/>
                <w:color w:val="auto"/>
                <w:sz w:val="21"/>
                <w:szCs w:val="21"/>
                <w:u w:val="none"/>
                <w:lang w:val="en-US" w:eastAsia="zh-CN"/>
              </w:rPr>
              <w:t xml:space="preserve">14              </w:t>
            </w:r>
            <w:r>
              <w:rPr>
                <w:rFonts w:hint="default" w:ascii="Times New Roman" w:hAnsi="Times New Roman" w:eastAsia="宋体" w:cs="Times New Roman"/>
                <w:b/>
                <w:bCs w:val="0"/>
                <w:color w:val="auto"/>
                <w:sz w:val="21"/>
                <w:szCs w:val="21"/>
                <w:u w:val="none"/>
              </w:rPr>
              <w:t>声环境质量标准（GB3096-2008）</w:t>
            </w:r>
            <w:r>
              <w:rPr>
                <w:rFonts w:hint="eastAsia" w:cs="Times New Roman"/>
                <w:b/>
                <w:bCs w:val="0"/>
                <w:color w:val="auto"/>
                <w:sz w:val="21"/>
                <w:szCs w:val="21"/>
                <w:u w:val="none"/>
                <w:lang w:val="en-US" w:eastAsia="zh-CN"/>
              </w:rPr>
              <w:t xml:space="preserve">        </w:t>
            </w:r>
            <w:r>
              <w:rPr>
                <w:rFonts w:hint="default" w:ascii="Times New Roman" w:hAnsi="Times New Roman" w:eastAsia="宋体" w:cs="Times New Roman"/>
                <w:b/>
                <w:bCs w:val="0"/>
                <w:color w:val="auto"/>
                <w:sz w:val="21"/>
                <w:szCs w:val="21"/>
                <w:u w:val="none"/>
              </w:rPr>
              <w:t>单位：dB（A）</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20"/>
              <w:gridCol w:w="2615"/>
              <w:gridCol w:w="26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8" w:type="pct"/>
                  <w:tcBorders>
                    <w:tl2br w:val="nil"/>
                    <w:tr2bl w:val="nil"/>
                  </w:tcBorders>
                  <w:noWrap w:val="0"/>
                  <w:vAlign w:val="center"/>
                </w:tcPr>
                <w:p>
                  <w:pPr>
                    <w:kinsoku w:val="0"/>
                    <w:overflowPunct w:val="0"/>
                    <w:autoSpaceDE w:val="0"/>
                    <w:autoSpaceDN w:val="0"/>
                    <w:adjustRightInd w:val="0"/>
                    <w:snapToGrid w:val="0"/>
                    <w:jc w:val="center"/>
                    <w:rPr>
                      <w:rFonts w:hint="default" w:ascii="Times New Roman" w:hAnsi="Times New Roman" w:eastAsia="宋体" w:cs="Times New Roman"/>
                      <w:color w:val="auto"/>
                      <w:szCs w:val="24"/>
                      <w:u w:val="none"/>
                    </w:rPr>
                  </w:pPr>
                  <w:r>
                    <w:rPr>
                      <w:rFonts w:hint="default" w:ascii="Times New Roman" w:hAnsi="Times New Roman" w:eastAsia="宋体" w:cs="Times New Roman"/>
                      <w:color w:val="auto"/>
                      <w:szCs w:val="24"/>
                      <w:u w:val="none"/>
                    </w:rPr>
                    <w:t>类别</w:t>
                  </w:r>
                </w:p>
              </w:tc>
              <w:tc>
                <w:tcPr>
                  <w:tcW w:w="1665" w:type="pct"/>
                  <w:tcBorders>
                    <w:tl2br w:val="nil"/>
                    <w:tr2bl w:val="nil"/>
                  </w:tcBorders>
                  <w:noWrap w:val="0"/>
                  <w:vAlign w:val="center"/>
                </w:tcPr>
                <w:p>
                  <w:pPr>
                    <w:kinsoku w:val="0"/>
                    <w:overflowPunct w:val="0"/>
                    <w:autoSpaceDE w:val="0"/>
                    <w:autoSpaceDN w:val="0"/>
                    <w:adjustRightInd w:val="0"/>
                    <w:snapToGrid w:val="0"/>
                    <w:jc w:val="center"/>
                    <w:rPr>
                      <w:rFonts w:hint="default" w:ascii="Times New Roman" w:hAnsi="Times New Roman" w:eastAsia="宋体" w:cs="Times New Roman"/>
                      <w:color w:val="auto"/>
                      <w:szCs w:val="24"/>
                      <w:u w:val="none"/>
                    </w:rPr>
                  </w:pPr>
                  <w:r>
                    <w:rPr>
                      <w:rFonts w:hint="default" w:ascii="Times New Roman" w:hAnsi="Times New Roman" w:eastAsia="宋体" w:cs="Times New Roman"/>
                      <w:color w:val="auto"/>
                      <w:szCs w:val="24"/>
                      <w:u w:val="none"/>
                    </w:rPr>
                    <w:t>昼间</w:t>
                  </w:r>
                </w:p>
              </w:tc>
              <w:tc>
                <w:tcPr>
                  <w:tcW w:w="1665" w:type="pct"/>
                  <w:tcBorders>
                    <w:tl2br w:val="nil"/>
                    <w:tr2bl w:val="nil"/>
                  </w:tcBorders>
                  <w:noWrap w:val="0"/>
                  <w:vAlign w:val="center"/>
                </w:tcPr>
                <w:p>
                  <w:pPr>
                    <w:kinsoku w:val="0"/>
                    <w:overflowPunct w:val="0"/>
                    <w:autoSpaceDE w:val="0"/>
                    <w:autoSpaceDN w:val="0"/>
                    <w:adjustRightInd w:val="0"/>
                    <w:snapToGrid w:val="0"/>
                    <w:jc w:val="center"/>
                    <w:rPr>
                      <w:rFonts w:hint="default" w:ascii="Times New Roman" w:hAnsi="Times New Roman" w:eastAsia="宋体" w:cs="Times New Roman"/>
                      <w:color w:val="auto"/>
                      <w:szCs w:val="24"/>
                      <w:u w:val="none"/>
                    </w:rPr>
                  </w:pPr>
                  <w:r>
                    <w:rPr>
                      <w:rFonts w:hint="default" w:ascii="Times New Roman" w:hAnsi="Times New Roman" w:eastAsia="宋体" w:cs="Times New Roman"/>
                      <w:color w:val="auto"/>
                      <w:szCs w:val="24"/>
                      <w:u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8" w:type="pct"/>
                  <w:tcBorders>
                    <w:tl2br w:val="nil"/>
                    <w:tr2bl w:val="nil"/>
                  </w:tcBorders>
                  <w:noWrap w:val="0"/>
                  <w:vAlign w:val="center"/>
                </w:tcPr>
                <w:p>
                  <w:pPr>
                    <w:kinsoku w:val="0"/>
                    <w:overflowPunct w:val="0"/>
                    <w:autoSpaceDE w:val="0"/>
                    <w:autoSpaceDN w:val="0"/>
                    <w:adjustRightInd w:val="0"/>
                    <w:snapToGrid w:val="0"/>
                    <w:jc w:val="center"/>
                    <w:rPr>
                      <w:rFonts w:hint="default" w:ascii="Times New Roman" w:hAnsi="Times New Roman" w:eastAsia="宋体" w:cs="Times New Roman"/>
                      <w:color w:val="auto"/>
                      <w:szCs w:val="24"/>
                      <w:u w:val="none"/>
                    </w:rPr>
                  </w:pPr>
                  <w:r>
                    <w:rPr>
                      <w:rFonts w:hint="default" w:ascii="Times New Roman" w:hAnsi="Times New Roman" w:eastAsia="宋体" w:cs="Times New Roman"/>
                      <w:color w:val="auto"/>
                      <w:szCs w:val="24"/>
                      <w:u w:val="none"/>
                      <w:lang w:val="en-US" w:eastAsia="zh-CN"/>
                    </w:rPr>
                    <w:t>2</w:t>
                  </w:r>
                  <w:r>
                    <w:rPr>
                      <w:rFonts w:hint="default" w:ascii="Times New Roman" w:hAnsi="Times New Roman" w:eastAsia="宋体" w:cs="Times New Roman"/>
                      <w:color w:val="auto"/>
                      <w:szCs w:val="24"/>
                      <w:u w:val="none"/>
                    </w:rPr>
                    <w:t>类</w:t>
                  </w:r>
                </w:p>
              </w:tc>
              <w:tc>
                <w:tcPr>
                  <w:tcW w:w="1665" w:type="pct"/>
                  <w:tcBorders>
                    <w:tl2br w:val="nil"/>
                    <w:tr2bl w:val="nil"/>
                  </w:tcBorders>
                  <w:noWrap w:val="0"/>
                  <w:vAlign w:val="center"/>
                </w:tcPr>
                <w:p>
                  <w:pPr>
                    <w:kinsoku w:val="0"/>
                    <w:overflowPunct w:val="0"/>
                    <w:autoSpaceDE w:val="0"/>
                    <w:autoSpaceDN w:val="0"/>
                    <w:adjustRightInd w:val="0"/>
                    <w:snapToGrid w:val="0"/>
                    <w:jc w:val="center"/>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60</w:t>
                  </w:r>
                </w:p>
              </w:tc>
              <w:tc>
                <w:tcPr>
                  <w:tcW w:w="1665" w:type="pct"/>
                  <w:tcBorders>
                    <w:tl2br w:val="nil"/>
                    <w:tr2bl w:val="nil"/>
                  </w:tcBorders>
                  <w:noWrap w:val="0"/>
                  <w:vAlign w:val="center"/>
                </w:tcPr>
                <w:p>
                  <w:pPr>
                    <w:kinsoku w:val="0"/>
                    <w:overflowPunct w:val="0"/>
                    <w:autoSpaceDE w:val="0"/>
                    <w:autoSpaceDN w:val="0"/>
                    <w:adjustRightInd w:val="0"/>
                    <w:snapToGrid w:val="0"/>
                    <w:jc w:val="center"/>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50</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361" w:firstLineChars="150"/>
              <w:textAlignment w:val="auto"/>
              <w:rPr>
                <w:rFonts w:hint="default" w:ascii="Times New Roman" w:hAnsi="Times New Roman" w:eastAsia="宋体" w:cs="Times New Roman"/>
                <w:b/>
                <w:color w:val="auto"/>
                <w:sz w:val="24"/>
                <w:u w:val="none"/>
                <w:lang w:eastAsia="zh-CN"/>
              </w:rPr>
            </w:pPr>
            <w:r>
              <w:rPr>
                <w:rFonts w:hint="default" w:ascii="Times New Roman" w:hAnsi="Times New Roman" w:eastAsia="宋体" w:cs="Times New Roman"/>
                <w:b/>
                <w:color w:val="auto"/>
                <w:sz w:val="24"/>
                <w:u w:val="none"/>
                <w:lang w:eastAsia="zh-CN"/>
              </w:rPr>
              <w:t>（</w:t>
            </w:r>
            <w:r>
              <w:rPr>
                <w:rFonts w:hint="default" w:ascii="Times New Roman" w:hAnsi="Times New Roman" w:eastAsia="宋体" w:cs="Times New Roman"/>
                <w:b/>
                <w:color w:val="auto"/>
                <w:sz w:val="24"/>
                <w:u w:val="none"/>
                <w:lang w:val="en-US" w:eastAsia="zh-CN"/>
              </w:rPr>
              <w:t>4</w:t>
            </w:r>
            <w:r>
              <w:rPr>
                <w:rFonts w:hint="default" w:ascii="Times New Roman" w:hAnsi="Times New Roman" w:eastAsia="宋体" w:cs="Times New Roman"/>
                <w:b/>
                <w:color w:val="auto"/>
                <w:sz w:val="24"/>
                <w:u w:val="none"/>
                <w:lang w:eastAsia="zh-CN"/>
              </w:rPr>
              <w:t>）土壤环境质量标准</w:t>
            </w:r>
          </w:p>
          <w:p>
            <w:pPr>
              <w:kinsoku w:val="0"/>
              <w:overflowPunct w:val="0"/>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sz w:val="24"/>
                <w:u w:val="none"/>
              </w:rPr>
            </w:pPr>
            <w:r>
              <w:rPr>
                <w:rFonts w:hint="default" w:ascii="Times New Roman" w:hAnsi="Times New Roman" w:eastAsia="宋体" w:cs="Times New Roman"/>
                <w:color w:val="auto"/>
                <w:kern w:val="0"/>
                <w:sz w:val="24"/>
                <w:u w:val="none"/>
              </w:rPr>
              <w:t>本项目</w:t>
            </w:r>
            <w:r>
              <w:rPr>
                <w:rFonts w:hint="default" w:ascii="Times New Roman" w:hAnsi="Times New Roman" w:eastAsia="宋体" w:cs="Times New Roman"/>
                <w:color w:val="auto"/>
                <w:kern w:val="0"/>
                <w:sz w:val="24"/>
                <w:u w:val="none"/>
                <w:lang w:val="en-US" w:eastAsia="zh-CN"/>
              </w:rPr>
              <w:t>底泥</w:t>
            </w:r>
            <w:r>
              <w:rPr>
                <w:rFonts w:hint="default" w:ascii="Times New Roman" w:hAnsi="Times New Roman" w:eastAsia="宋体" w:cs="Times New Roman"/>
                <w:color w:val="auto"/>
                <w:kern w:val="0"/>
                <w:sz w:val="24"/>
                <w:u w:val="none"/>
              </w:rPr>
              <w:t>执行</w:t>
            </w:r>
            <w:r>
              <w:rPr>
                <w:rFonts w:hint="default" w:ascii="Times New Roman" w:hAnsi="Times New Roman" w:eastAsia="宋体" w:cs="Times New Roman"/>
                <w:color w:val="auto"/>
                <w:kern w:val="0"/>
                <w:sz w:val="24"/>
                <w:u w:val="none"/>
                <w:lang w:val="en-US" w:eastAsia="zh-CN"/>
              </w:rPr>
              <w:t>《土壤环境质量农用地土壤污染风险管控标准》</w:t>
            </w:r>
            <w:r>
              <w:rPr>
                <w:rFonts w:hint="default" w:ascii="Times New Roman" w:hAnsi="Times New Roman" w:eastAsia="宋体" w:cs="Times New Roman"/>
                <w:color w:val="auto"/>
                <w:kern w:val="0"/>
                <w:sz w:val="24"/>
                <w:u w:val="none"/>
                <w:lang w:val="en-US" w:eastAsia="zh-CN"/>
              </w:rPr>
              <w:fldChar w:fldCharType="begin"/>
            </w:r>
            <w:r>
              <w:rPr>
                <w:rFonts w:hint="default" w:ascii="Times New Roman" w:hAnsi="Times New Roman" w:eastAsia="宋体" w:cs="Times New Roman"/>
                <w:color w:val="auto"/>
                <w:kern w:val="0"/>
                <w:sz w:val="24"/>
                <w:u w:val="none"/>
                <w:lang w:val="en-US" w:eastAsia="zh-CN"/>
              </w:rPr>
              <w:instrText xml:space="preserve"> HYPERLINK "http://www.mee.gov.cn/ywgz/fgbz/bz/bzwb/trhj/201807/W020190626595212456114.pdf" </w:instrText>
            </w:r>
            <w:r>
              <w:rPr>
                <w:rFonts w:hint="default" w:ascii="Times New Roman" w:hAnsi="Times New Roman" w:eastAsia="宋体" w:cs="Times New Roman"/>
                <w:color w:val="auto"/>
                <w:kern w:val="0"/>
                <w:sz w:val="24"/>
                <w:u w:val="none"/>
                <w:lang w:val="en-US" w:eastAsia="zh-CN"/>
              </w:rPr>
              <w:fldChar w:fldCharType="separate"/>
            </w:r>
            <w:r>
              <w:rPr>
                <w:rFonts w:hint="default" w:ascii="Times New Roman" w:hAnsi="Times New Roman" w:eastAsia="宋体" w:cs="Times New Roman"/>
                <w:color w:val="auto"/>
                <w:kern w:val="0"/>
                <w:sz w:val="24"/>
                <w:u w:val="none"/>
                <w:lang w:val="en-US" w:eastAsia="zh-CN"/>
              </w:rPr>
              <w:t>（试行）(GB15618—2018</w:t>
            </w:r>
            <w:r>
              <w:rPr>
                <w:rFonts w:hint="default" w:ascii="Times New Roman" w:hAnsi="Times New Roman" w:eastAsia="宋体" w:cs="Times New Roman"/>
                <w:color w:val="auto"/>
                <w:kern w:val="0"/>
                <w:sz w:val="24"/>
                <w:u w:val="none"/>
                <w:lang w:val="en-US" w:eastAsia="zh-CN"/>
              </w:rPr>
              <w:fldChar w:fldCharType="end"/>
            </w:r>
            <w:r>
              <w:rPr>
                <w:rFonts w:hint="default" w:ascii="Times New Roman" w:hAnsi="Times New Roman" w:eastAsia="宋体" w:cs="Times New Roman"/>
                <w:color w:val="auto"/>
                <w:kern w:val="0"/>
                <w:sz w:val="24"/>
                <w:u w:val="none"/>
                <w:lang w:val="en-US" w:eastAsia="zh-CN"/>
              </w:rPr>
              <w:t>）其他用地中筛选值标准</w:t>
            </w:r>
            <w:r>
              <w:rPr>
                <w:rFonts w:hint="default" w:ascii="Times New Roman" w:hAnsi="Times New Roman" w:eastAsia="宋体" w:cs="Times New Roman"/>
                <w:color w:val="auto"/>
                <w:kern w:val="0"/>
                <w:sz w:val="24"/>
                <w:u w:val="none"/>
              </w:rPr>
              <w:t>。具体见表</w:t>
            </w:r>
            <w:r>
              <w:rPr>
                <w:rFonts w:hint="default" w:ascii="Times New Roman" w:hAnsi="Times New Roman" w:eastAsia="宋体" w:cs="Times New Roman"/>
                <w:color w:val="auto"/>
                <w:kern w:val="0"/>
                <w:sz w:val="24"/>
                <w:u w:val="none"/>
                <w:lang w:val="en-US" w:eastAsia="zh-CN"/>
              </w:rPr>
              <w:t>3-1</w:t>
            </w:r>
            <w:r>
              <w:rPr>
                <w:rFonts w:hint="eastAsia" w:cs="Times New Roman"/>
                <w:color w:val="auto"/>
                <w:kern w:val="0"/>
                <w:sz w:val="24"/>
                <w:u w:val="none"/>
                <w:lang w:val="en-US" w:eastAsia="zh-CN"/>
              </w:rPr>
              <w:t>5</w:t>
            </w:r>
            <w:r>
              <w:rPr>
                <w:rFonts w:hint="default" w:ascii="Times New Roman" w:hAnsi="Times New Roman" w:eastAsia="宋体" w:cs="Times New Roman"/>
                <w:color w:val="auto"/>
                <w:kern w:val="0"/>
                <w:sz w:val="24"/>
                <w:u w:val="none"/>
              </w:rPr>
              <w:t>。</w:t>
            </w:r>
          </w:p>
          <w:p>
            <w:pPr>
              <w:kinsoku w:val="0"/>
              <w:overflowPunct w:val="0"/>
              <w:autoSpaceDE w:val="0"/>
              <w:autoSpaceDN w:val="0"/>
              <w:adjustRightInd w:val="0"/>
              <w:snapToGrid w:val="0"/>
              <w:spacing w:line="240" w:lineRule="auto"/>
              <w:jc w:val="both"/>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表</w:t>
            </w:r>
            <w:r>
              <w:rPr>
                <w:rFonts w:hint="default" w:ascii="Times New Roman" w:hAnsi="Times New Roman" w:eastAsia="宋体" w:cs="Times New Roman"/>
                <w:b/>
                <w:color w:val="auto"/>
                <w:sz w:val="21"/>
                <w:szCs w:val="21"/>
                <w:u w:val="none"/>
                <w:lang w:val="en-US" w:eastAsia="zh-CN"/>
              </w:rPr>
              <w:t>3-1</w:t>
            </w:r>
            <w:r>
              <w:rPr>
                <w:rFonts w:hint="eastAsia" w:cs="Times New Roman"/>
                <w:b/>
                <w:color w:val="auto"/>
                <w:sz w:val="21"/>
                <w:szCs w:val="21"/>
                <w:u w:val="none"/>
                <w:lang w:val="en-US" w:eastAsia="zh-CN"/>
              </w:rPr>
              <w:t>5</w:t>
            </w:r>
            <w:r>
              <w:rPr>
                <w:rFonts w:hint="default" w:ascii="Times New Roman" w:hAnsi="Times New Roman" w:eastAsia="宋体" w:cs="Times New Roman"/>
                <w:b/>
                <w:color w:val="auto"/>
                <w:sz w:val="21"/>
                <w:szCs w:val="21"/>
                <w:u w:val="none"/>
              </w:rPr>
              <w:tab/>
            </w:r>
            <w:r>
              <w:rPr>
                <w:rFonts w:hint="eastAsia" w:cs="Times New Roman"/>
                <w:b/>
                <w:color w:val="auto"/>
                <w:sz w:val="21"/>
                <w:szCs w:val="21"/>
                <w:u w:val="none"/>
                <w:lang w:val="en-US" w:eastAsia="zh-CN"/>
              </w:rPr>
              <w:t xml:space="preserve">           </w:t>
            </w:r>
            <w:r>
              <w:rPr>
                <w:rFonts w:hint="default" w:ascii="Times New Roman" w:hAnsi="Times New Roman" w:eastAsia="宋体" w:cs="Times New Roman"/>
                <w:b/>
                <w:color w:val="auto"/>
                <w:sz w:val="21"/>
                <w:szCs w:val="21"/>
                <w:u w:val="none"/>
              </w:rPr>
              <w:t>农用地土壤污染风险筛选值</w:t>
            </w:r>
            <w:r>
              <w:rPr>
                <w:rFonts w:hint="eastAsia" w:cs="Times New Roman"/>
                <w:b/>
                <w:color w:val="auto"/>
                <w:sz w:val="21"/>
                <w:szCs w:val="21"/>
                <w:u w:val="none"/>
                <w:lang w:val="en-US" w:eastAsia="zh-CN"/>
              </w:rPr>
              <w:t xml:space="preserve">      </w:t>
            </w:r>
            <w:r>
              <w:rPr>
                <w:rFonts w:hint="default" w:ascii="Times New Roman" w:hAnsi="Times New Roman" w:eastAsia="宋体" w:cs="Times New Roman"/>
                <w:b/>
                <w:color w:val="auto"/>
                <w:sz w:val="21"/>
                <w:szCs w:val="21"/>
                <w:u w:val="none"/>
              </w:rPr>
              <w:t>单位：mg/kg（pH值除外）</w:t>
            </w:r>
          </w:p>
          <w:tbl>
            <w:tblPr>
              <w:tblStyle w:val="3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33"/>
              <w:gridCol w:w="2062"/>
              <w:gridCol w:w="47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序号</w:t>
                  </w:r>
                </w:p>
              </w:tc>
              <w:tc>
                <w:tcPr>
                  <w:tcW w:w="1313"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污染物项目</w:t>
                  </w:r>
                </w:p>
              </w:tc>
              <w:tc>
                <w:tcPr>
                  <w:tcW w:w="302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u w:val="none"/>
                      <w:lang w:eastAsia="zh-CN"/>
                    </w:rPr>
                  </w:pPr>
                  <w:r>
                    <w:rPr>
                      <w:rFonts w:hint="default" w:ascii="Times New Roman" w:hAnsi="Times New Roman" w:eastAsia="宋体" w:cs="Times New Roman"/>
                      <w:b/>
                      <w:bCs/>
                      <w:color w:val="auto"/>
                      <w:sz w:val="21"/>
                      <w:szCs w:val="21"/>
                      <w:u w:val="none"/>
                    </w:rPr>
                    <w:t>风险筛选值</w:t>
                  </w:r>
                  <w:r>
                    <w:rPr>
                      <w:rFonts w:hint="default" w:ascii="Times New Roman" w:hAnsi="Times New Roman" w:eastAsia="宋体" w:cs="Times New Roman"/>
                      <w:b/>
                      <w:bCs/>
                      <w:color w:val="auto"/>
                      <w:sz w:val="21"/>
                      <w:szCs w:val="21"/>
                      <w:u w:val="none"/>
                      <w:lang w:eastAsia="zh-CN"/>
                    </w:rPr>
                    <w:t>（6.5＜PH≤7.5）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w:t>
                  </w:r>
                </w:p>
              </w:tc>
              <w:tc>
                <w:tcPr>
                  <w:tcW w:w="1313"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rPr>
                    <w:t>镉</w:t>
                  </w:r>
                </w:p>
              </w:tc>
              <w:tc>
                <w:tcPr>
                  <w:tcW w:w="302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w:t>
                  </w:r>
                </w:p>
              </w:tc>
              <w:tc>
                <w:tcPr>
                  <w:tcW w:w="1313"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rPr>
                    <w:t>汞</w:t>
                  </w:r>
                </w:p>
              </w:tc>
              <w:tc>
                <w:tcPr>
                  <w:tcW w:w="302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3</w:t>
                  </w:r>
                </w:p>
              </w:tc>
              <w:tc>
                <w:tcPr>
                  <w:tcW w:w="1313"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rPr>
                    <w:t>砷</w:t>
                  </w:r>
                </w:p>
              </w:tc>
              <w:tc>
                <w:tcPr>
                  <w:tcW w:w="302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4</w:t>
                  </w:r>
                </w:p>
              </w:tc>
              <w:tc>
                <w:tcPr>
                  <w:tcW w:w="1313"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rPr>
                    <w:t>铅</w:t>
                  </w:r>
                </w:p>
              </w:tc>
              <w:tc>
                <w:tcPr>
                  <w:tcW w:w="302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5</w:t>
                  </w:r>
                </w:p>
              </w:tc>
              <w:tc>
                <w:tcPr>
                  <w:tcW w:w="1313"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rPr>
                    <w:t>铬</w:t>
                  </w:r>
                </w:p>
              </w:tc>
              <w:tc>
                <w:tcPr>
                  <w:tcW w:w="302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6</w:t>
                  </w:r>
                </w:p>
              </w:tc>
              <w:tc>
                <w:tcPr>
                  <w:tcW w:w="1313"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rPr>
                    <w:t>铜</w:t>
                  </w:r>
                </w:p>
              </w:tc>
              <w:tc>
                <w:tcPr>
                  <w:tcW w:w="302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7</w:t>
                  </w:r>
                </w:p>
              </w:tc>
              <w:tc>
                <w:tcPr>
                  <w:tcW w:w="1313"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镍</w:t>
                  </w:r>
                </w:p>
              </w:tc>
              <w:tc>
                <w:tcPr>
                  <w:tcW w:w="302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8</w:t>
                  </w:r>
                </w:p>
              </w:tc>
              <w:tc>
                <w:tcPr>
                  <w:tcW w:w="1313"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锌</w:t>
                  </w:r>
                </w:p>
              </w:tc>
              <w:tc>
                <w:tcPr>
                  <w:tcW w:w="302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lang w:val="en-US"/>
                    </w:rPr>
                  </w:pPr>
                  <w:r>
                    <w:rPr>
                      <w:rFonts w:hint="default" w:ascii="Times New Roman" w:hAnsi="Times New Roman" w:eastAsia="宋体" w:cs="Times New Roman"/>
                      <w:color w:val="auto"/>
                      <w:sz w:val="21"/>
                      <w:szCs w:val="21"/>
                      <w:u w:val="none"/>
                      <w:lang w:val="en-US"/>
                    </w:rPr>
                    <w:t>9</w:t>
                  </w:r>
                </w:p>
              </w:tc>
              <w:tc>
                <w:tcPr>
                  <w:tcW w:w="1313"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苯并芘</w:t>
                  </w:r>
                </w:p>
              </w:tc>
              <w:tc>
                <w:tcPr>
                  <w:tcW w:w="3028" w:type="pct"/>
                  <w:tcBorders>
                    <w:tl2br w:val="nil"/>
                    <w:tr2bl w:val="nil"/>
                  </w:tcBorders>
                  <w:noWrap w:val="0"/>
                  <w:vAlign w:val="center"/>
                </w:tcPr>
                <w:p>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lang w:val="en-US"/>
                    </w:rPr>
                    <w:t>0.55</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361" w:firstLineChars="150"/>
              <w:textAlignment w:val="auto"/>
              <w:rPr>
                <w:rFonts w:hint="default" w:ascii="Times New Roman" w:hAnsi="Times New Roman" w:eastAsia="宋体" w:cs="Times New Roman"/>
                <w:b/>
                <w:color w:val="auto"/>
                <w:sz w:val="24"/>
                <w:u w:val="none"/>
              </w:rPr>
            </w:pPr>
            <w:r>
              <w:rPr>
                <w:rFonts w:hint="default" w:ascii="Times New Roman" w:hAnsi="Times New Roman" w:eastAsia="宋体" w:cs="Times New Roman"/>
                <w:b/>
                <w:color w:val="auto"/>
                <w:sz w:val="24"/>
                <w:u w:val="none"/>
              </w:rPr>
              <w:t>2、污染物排放标准</w:t>
            </w:r>
          </w:p>
          <w:p>
            <w:pPr>
              <w:kinsoku w:val="0"/>
              <w:overflowPunct w:val="0"/>
              <w:autoSpaceDE w:val="0"/>
              <w:autoSpaceDN w:val="0"/>
              <w:adjustRightInd w:val="0"/>
              <w:snapToGrid w:val="0"/>
              <w:spacing w:line="360" w:lineRule="auto"/>
              <w:ind w:firstLine="361" w:firstLineChars="150"/>
              <w:rPr>
                <w:rFonts w:hint="default" w:ascii="Times New Roman" w:hAnsi="Times New Roman" w:eastAsia="宋体" w:cs="Times New Roman"/>
                <w:b/>
                <w:color w:val="auto"/>
                <w:sz w:val="24"/>
                <w:szCs w:val="24"/>
                <w:u w:val="none"/>
              </w:rPr>
            </w:pPr>
            <w:r>
              <w:rPr>
                <w:rFonts w:hint="default" w:ascii="Times New Roman" w:hAnsi="Times New Roman" w:eastAsia="宋体" w:cs="Times New Roman"/>
                <w:b/>
                <w:color w:val="auto"/>
                <w:sz w:val="24"/>
                <w:szCs w:val="24"/>
                <w:u w:val="none"/>
                <w:lang w:eastAsia="zh-CN"/>
              </w:rPr>
              <w:t>（</w:t>
            </w:r>
            <w:r>
              <w:rPr>
                <w:rFonts w:hint="default" w:ascii="Times New Roman" w:hAnsi="Times New Roman" w:eastAsia="宋体" w:cs="Times New Roman"/>
                <w:b/>
                <w:color w:val="auto"/>
                <w:sz w:val="24"/>
                <w:szCs w:val="24"/>
                <w:u w:val="none"/>
              </w:rPr>
              <w:t>1</w:t>
            </w:r>
            <w:r>
              <w:rPr>
                <w:rFonts w:hint="default" w:ascii="Times New Roman" w:hAnsi="Times New Roman" w:eastAsia="宋体" w:cs="Times New Roman"/>
                <w:b/>
                <w:color w:val="auto"/>
                <w:sz w:val="24"/>
                <w:szCs w:val="24"/>
                <w:u w:val="none"/>
                <w:lang w:eastAsia="zh-CN"/>
              </w:rPr>
              <w:t>）</w:t>
            </w:r>
            <w:r>
              <w:rPr>
                <w:rFonts w:hint="default" w:ascii="Times New Roman" w:hAnsi="Times New Roman" w:eastAsia="宋体" w:cs="Times New Roman"/>
                <w:b/>
                <w:color w:val="auto"/>
                <w:sz w:val="24"/>
                <w:szCs w:val="24"/>
                <w:u w:val="none"/>
              </w:rPr>
              <w:t>废气</w:t>
            </w:r>
          </w:p>
          <w:p>
            <w:pPr>
              <w:keepNext w:val="0"/>
              <w:keepLines w:val="0"/>
              <w:pageBreakBefore w:val="0"/>
              <w:widowControl w:val="0"/>
              <w:kinsoku/>
              <w:wordWrap/>
              <w:overflowPunct/>
              <w:topLinePunct w:val="0"/>
              <w:autoSpaceDE w:val="0"/>
              <w:autoSpaceDN w:val="0"/>
              <w:bidi w:val="0"/>
              <w:adjustRightInd w:val="0"/>
              <w:snapToGrid w:val="0"/>
              <w:spacing w:before="0" w:line="360" w:lineRule="auto"/>
              <w:ind w:left="0" w:firstLine="496" w:firstLineChars="200"/>
              <w:textAlignment w:val="auto"/>
              <w:rPr>
                <w:rFonts w:hint="default" w:ascii="Times New Roman" w:hAnsi="Times New Roman" w:eastAsia="宋体" w:cs="Times New Roman"/>
                <w:color w:val="auto"/>
                <w:spacing w:val="4"/>
                <w:sz w:val="24"/>
                <w:u w:val="none"/>
              </w:rPr>
            </w:pPr>
            <w:r>
              <w:rPr>
                <w:rFonts w:hint="default" w:ascii="Times New Roman" w:hAnsi="Times New Roman" w:eastAsia="宋体" w:cs="Times New Roman"/>
                <w:color w:val="auto"/>
                <w:spacing w:val="4"/>
                <w:sz w:val="24"/>
                <w:u w:val="none"/>
              </w:rPr>
              <w:t>施工废气排放执行《大气污染物综合排放标准》（GB16297-1996）的表2二级标准</w:t>
            </w:r>
            <w:r>
              <w:rPr>
                <w:rFonts w:hint="default" w:ascii="Times New Roman" w:hAnsi="Times New Roman" w:eastAsia="宋体" w:cs="Times New Roman"/>
                <w:color w:val="auto"/>
                <w:sz w:val="24"/>
                <w:u w:val="none"/>
                <w:lang w:eastAsia="zh-CN"/>
              </w:rPr>
              <w:t>。</w:t>
            </w:r>
          </w:p>
          <w:p>
            <w:pPr>
              <w:pStyle w:val="19"/>
              <w:adjustRightInd w:val="0"/>
              <w:snapToGrid w:val="0"/>
              <w:spacing w:line="240" w:lineRule="auto"/>
              <w:jc w:val="left"/>
              <w:rPr>
                <w:rFonts w:hint="default" w:ascii="Times New Roman" w:hAnsi="Times New Roman" w:eastAsia="宋体" w:cs="Times New Roman"/>
                <w:color w:val="auto"/>
                <w:spacing w:val="4"/>
                <w:sz w:val="21"/>
                <w:szCs w:val="21"/>
                <w:u w:val="none"/>
              </w:rPr>
            </w:pPr>
            <w:r>
              <w:rPr>
                <w:rFonts w:hint="default" w:ascii="Times New Roman" w:hAnsi="Times New Roman" w:eastAsia="宋体" w:cs="Times New Roman"/>
                <w:b/>
                <w:bCs/>
                <w:color w:val="auto"/>
                <w:sz w:val="21"/>
                <w:szCs w:val="21"/>
                <w:u w:val="none"/>
              </w:rPr>
              <w:t>表</w:t>
            </w:r>
            <w:r>
              <w:rPr>
                <w:rFonts w:hint="default" w:ascii="Times New Roman" w:hAnsi="Times New Roman" w:eastAsia="宋体" w:cs="Times New Roman"/>
                <w:b/>
                <w:bCs/>
                <w:color w:val="auto"/>
                <w:sz w:val="21"/>
                <w:szCs w:val="21"/>
                <w:u w:val="none"/>
                <w:lang w:val="en-US" w:eastAsia="zh-CN"/>
              </w:rPr>
              <w:t>3-1</w:t>
            </w:r>
            <w:r>
              <w:rPr>
                <w:rFonts w:hint="eastAsia" w:ascii="Times New Roman" w:hAnsi="Times New Roman" w:cs="Times New Roman"/>
                <w:b/>
                <w:bCs/>
                <w:color w:val="auto"/>
                <w:sz w:val="21"/>
                <w:szCs w:val="21"/>
                <w:u w:val="none"/>
                <w:lang w:val="en-US" w:eastAsia="zh-CN"/>
              </w:rPr>
              <w:t xml:space="preserve">6            </w:t>
            </w:r>
            <w:r>
              <w:rPr>
                <w:rFonts w:hint="default" w:ascii="Times New Roman" w:hAnsi="Times New Roman" w:eastAsia="宋体" w:cs="Times New Roman"/>
                <w:b/>
                <w:bCs/>
                <w:color w:val="auto"/>
                <w:sz w:val="21"/>
                <w:szCs w:val="21"/>
                <w:u w:val="none"/>
              </w:rPr>
              <w:t>《大气污染物综合排放标准》（GB16297-1996）</w:t>
            </w:r>
          </w:p>
          <w:tbl>
            <w:tblPr>
              <w:tblStyle w:val="32"/>
              <w:tblW w:w="78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660"/>
              <w:gridCol w:w="42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7" w:hRule="atLeast"/>
                <w:jc w:val="center"/>
              </w:trPr>
              <w:tc>
                <w:tcPr>
                  <w:tcW w:w="36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污染因子</w:t>
                  </w:r>
                </w:p>
              </w:tc>
              <w:tc>
                <w:tcPr>
                  <w:tcW w:w="42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无组织监控点浓度限值（mg/m</w:t>
                  </w:r>
                  <w:r>
                    <w:rPr>
                      <w:rFonts w:hint="default" w:ascii="Times New Roman" w:hAnsi="Times New Roman" w:eastAsia="宋体" w:cs="Times New Roman"/>
                      <w:color w:val="auto"/>
                      <w:sz w:val="21"/>
                      <w:szCs w:val="21"/>
                      <w:u w:val="none"/>
                      <w:vertAlign w:val="superscript"/>
                    </w:rPr>
                    <w:t>3</w:t>
                  </w:r>
                  <w:r>
                    <w:rPr>
                      <w:rFonts w:hint="default" w:ascii="Times New Roman" w:hAnsi="Times New Roman" w:eastAsia="宋体" w:cs="Times New Roman"/>
                      <w:color w:val="auto"/>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6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颗粒物</w:t>
                  </w:r>
                </w:p>
              </w:tc>
              <w:tc>
                <w:tcPr>
                  <w:tcW w:w="42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color w:val="auto"/>
                      <w:kern w:val="2"/>
                      <w:sz w:val="21"/>
                      <w:szCs w:val="21"/>
                      <w:u w:val="none"/>
                      <w:lang w:bidi="ar-SA"/>
                    </w:rPr>
                  </w:pPr>
                  <w:r>
                    <w:rPr>
                      <w:rFonts w:hint="default" w:ascii="Times New Roman" w:hAnsi="Times New Roman" w:eastAsia="宋体" w:cs="Times New Roman"/>
                      <w:color w:val="auto"/>
                      <w:sz w:val="21"/>
                      <w:szCs w:val="21"/>
                      <w:u w:val="none"/>
                    </w:rPr>
                    <w:t>1.0</w:t>
                  </w:r>
                </w:p>
              </w:tc>
            </w:tr>
          </w:tbl>
          <w:p>
            <w:pPr>
              <w:autoSpaceDE w:val="0"/>
              <w:autoSpaceDN w:val="0"/>
              <w:adjustRightInd w:val="0"/>
              <w:spacing w:line="360" w:lineRule="auto"/>
              <w:ind w:firstLine="480" w:firstLineChars="200"/>
              <w:rPr>
                <w:rFonts w:hint="default" w:ascii="Times New Roman" w:hAnsi="Times New Roman" w:eastAsia="宋体" w:cs="Times New Roman"/>
                <w:b/>
                <w:color w:val="auto"/>
                <w:sz w:val="24"/>
                <w:szCs w:val="21"/>
                <w:u w:val="none"/>
              </w:rPr>
            </w:pPr>
            <w:r>
              <w:rPr>
                <w:rFonts w:hint="default" w:ascii="Times New Roman" w:hAnsi="Times New Roman" w:eastAsia="宋体" w:cs="Times New Roman"/>
                <w:color w:val="auto"/>
                <w:sz w:val="24"/>
                <w:u w:val="none"/>
              </w:rPr>
              <w:t>本项目运行期产生少量的NH</w:t>
            </w:r>
            <w:r>
              <w:rPr>
                <w:rFonts w:hint="default" w:ascii="Times New Roman" w:hAnsi="Times New Roman" w:eastAsia="宋体" w:cs="Times New Roman"/>
                <w:color w:val="auto"/>
                <w:sz w:val="24"/>
                <w:u w:val="none"/>
                <w:vertAlign w:val="subscript"/>
              </w:rPr>
              <w:t>3</w:t>
            </w:r>
            <w:r>
              <w:rPr>
                <w:rFonts w:hint="default" w:ascii="Times New Roman" w:hAnsi="Times New Roman" w:eastAsia="宋体" w:cs="Times New Roman"/>
                <w:color w:val="auto"/>
                <w:sz w:val="24"/>
                <w:u w:val="none"/>
              </w:rPr>
              <w:t>和H</w:t>
            </w:r>
            <w:r>
              <w:rPr>
                <w:rFonts w:hint="default" w:ascii="Times New Roman" w:hAnsi="Times New Roman" w:eastAsia="宋体" w:cs="Times New Roman"/>
                <w:color w:val="auto"/>
                <w:sz w:val="24"/>
                <w:u w:val="none"/>
                <w:vertAlign w:val="subscript"/>
              </w:rPr>
              <w:t>2</w:t>
            </w:r>
            <w:r>
              <w:rPr>
                <w:rFonts w:hint="default" w:ascii="Times New Roman" w:hAnsi="Times New Roman" w:eastAsia="宋体" w:cs="Times New Roman"/>
                <w:color w:val="auto"/>
                <w:sz w:val="24"/>
                <w:u w:val="none"/>
              </w:rPr>
              <w:t>S均为无组织排</w:t>
            </w:r>
            <w:r>
              <w:rPr>
                <w:rFonts w:hint="default" w:ascii="Times New Roman" w:hAnsi="Times New Roman" w:eastAsia="宋体" w:cs="Times New Roman"/>
                <w:color w:val="auto"/>
                <w:sz w:val="24"/>
                <w:szCs w:val="22"/>
                <w:u w:val="none"/>
              </w:rPr>
              <w:t>放，执行《恶臭污染物排放标准》（GB14554-93）中无组织厂界标准值要求</w:t>
            </w:r>
            <w:r>
              <w:rPr>
                <w:rFonts w:hint="default" w:ascii="Times New Roman" w:hAnsi="Times New Roman" w:eastAsia="宋体" w:cs="Times New Roman"/>
                <w:color w:val="auto"/>
                <w:sz w:val="24"/>
                <w:u w:val="none"/>
              </w:rPr>
              <w:t>。主要指标限值见</w:t>
            </w:r>
            <w:r>
              <w:rPr>
                <w:rFonts w:hint="default" w:ascii="Times New Roman" w:hAnsi="Times New Roman" w:eastAsia="宋体" w:cs="Times New Roman"/>
                <w:color w:val="auto"/>
                <w:sz w:val="24"/>
                <w:u w:val="none"/>
                <w:lang w:val="en-US" w:eastAsia="zh-CN"/>
              </w:rPr>
              <w:t>下表</w:t>
            </w:r>
            <w:r>
              <w:rPr>
                <w:rFonts w:hint="default" w:ascii="Times New Roman" w:hAnsi="Times New Roman" w:eastAsia="宋体" w:cs="Times New Roman"/>
                <w:color w:val="auto"/>
                <w:sz w:val="24"/>
                <w:u w:val="none"/>
              </w:rPr>
              <w:t>。</w:t>
            </w:r>
          </w:p>
          <w:p>
            <w:pPr>
              <w:pStyle w:val="80"/>
              <w:jc w:val="left"/>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表</w:t>
            </w:r>
            <w:r>
              <w:rPr>
                <w:rFonts w:hint="default" w:ascii="Times New Roman" w:hAnsi="Times New Roman" w:eastAsia="宋体" w:cs="Times New Roman"/>
                <w:b/>
                <w:color w:val="auto"/>
                <w:sz w:val="21"/>
                <w:szCs w:val="21"/>
                <w:u w:val="none"/>
                <w:lang w:val="en-US" w:eastAsia="zh-CN"/>
              </w:rPr>
              <w:t>3-1</w:t>
            </w:r>
            <w:r>
              <w:rPr>
                <w:rFonts w:hint="eastAsia" w:ascii="Times New Roman" w:eastAsia="宋体" w:cs="Times New Roman"/>
                <w:b/>
                <w:color w:val="auto"/>
                <w:sz w:val="21"/>
                <w:szCs w:val="21"/>
                <w:u w:val="none"/>
                <w:lang w:val="en-US" w:eastAsia="zh-CN"/>
              </w:rPr>
              <w:t xml:space="preserve">7                   </w:t>
            </w:r>
            <w:r>
              <w:rPr>
                <w:rFonts w:hint="default" w:ascii="Times New Roman" w:hAnsi="Times New Roman" w:eastAsia="宋体" w:cs="Times New Roman"/>
                <w:b/>
                <w:color w:val="auto"/>
                <w:sz w:val="21"/>
                <w:szCs w:val="21"/>
                <w:u w:val="none"/>
              </w:rPr>
              <w:t>大气污染物排放标准</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2556"/>
              <w:gridCol w:w="1127"/>
              <w:gridCol w:w="923"/>
              <w:gridCol w:w="1010"/>
              <w:gridCol w:w="16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7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类别</w:t>
                  </w:r>
                </w:p>
              </w:tc>
              <w:tc>
                <w:tcPr>
                  <w:tcW w:w="256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标准名称及级（类）别</w:t>
                  </w:r>
                </w:p>
              </w:tc>
              <w:tc>
                <w:tcPr>
                  <w:tcW w:w="113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污染</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因子</w:t>
                  </w:r>
                </w:p>
              </w:tc>
              <w:tc>
                <w:tcPr>
                  <w:tcW w:w="193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标准值</w:t>
                  </w:r>
                </w:p>
              </w:tc>
              <w:tc>
                <w:tcPr>
                  <w:tcW w:w="167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rPr>
                  </w:pPr>
                </w:p>
              </w:tc>
              <w:tc>
                <w:tcPr>
                  <w:tcW w:w="256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rPr>
                  </w:pPr>
                </w:p>
              </w:tc>
              <w:tc>
                <w:tcPr>
                  <w:tcW w:w="11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rPr>
                  </w:pPr>
                </w:p>
              </w:tc>
              <w:tc>
                <w:tcPr>
                  <w:tcW w:w="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单位</w:t>
                  </w:r>
                </w:p>
              </w:tc>
              <w:tc>
                <w:tcPr>
                  <w:tcW w:w="1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数值</w:t>
                  </w:r>
                </w:p>
              </w:tc>
              <w:tc>
                <w:tcPr>
                  <w:tcW w:w="167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7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大气</w:t>
                  </w:r>
                </w:p>
              </w:tc>
              <w:tc>
                <w:tcPr>
                  <w:tcW w:w="256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《恶臭污染物排放标准》（GB14554-93）</w:t>
                  </w: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2"/>
                      <w:sz w:val="21"/>
                      <w:szCs w:val="21"/>
                      <w:u w:val="none"/>
                    </w:rPr>
                  </w:pPr>
                  <w:r>
                    <w:rPr>
                      <w:rFonts w:hint="default" w:ascii="Times New Roman" w:hAnsi="Times New Roman" w:eastAsia="宋体" w:cs="Times New Roman"/>
                      <w:color w:val="auto"/>
                      <w:sz w:val="21"/>
                      <w:szCs w:val="21"/>
                      <w:u w:val="none"/>
                    </w:rPr>
                    <w:t>NH</w:t>
                  </w:r>
                  <w:r>
                    <w:rPr>
                      <w:rFonts w:hint="default" w:ascii="Times New Roman" w:hAnsi="Times New Roman" w:eastAsia="宋体" w:cs="Times New Roman"/>
                      <w:color w:val="auto"/>
                      <w:sz w:val="21"/>
                      <w:szCs w:val="21"/>
                      <w:u w:val="none"/>
                      <w:vertAlign w:val="subscript"/>
                    </w:rPr>
                    <w:t>3</w:t>
                  </w:r>
                </w:p>
              </w:tc>
              <w:tc>
                <w:tcPr>
                  <w:tcW w:w="92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2"/>
                      <w:sz w:val="21"/>
                      <w:szCs w:val="21"/>
                      <w:u w:val="none"/>
                    </w:rPr>
                  </w:pPr>
                  <w:r>
                    <w:rPr>
                      <w:rFonts w:hint="default" w:ascii="Times New Roman" w:hAnsi="Times New Roman" w:eastAsia="宋体" w:cs="Times New Roman"/>
                      <w:color w:val="auto"/>
                      <w:sz w:val="21"/>
                      <w:szCs w:val="21"/>
                      <w:u w:val="none"/>
                    </w:rPr>
                    <w:t>mg/m</w:t>
                  </w:r>
                  <w:r>
                    <w:rPr>
                      <w:rFonts w:hint="default" w:ascii="Times New Roman" w:hAnsi="Times New Roman" w:eastAsia="宋体" w:cs="Times New Roman"/>
                      <w:color w:val="auto"/>
                      <w:sz w:val="21"/>
                      <w:szCs w:val="21"/>
                      <w:u w:val="none"/>
                      <w:vertAlign w:val="superscript"/>
                    </w:rPr>
                    <w:t>3</w:t>
                  </w:r>
                </w:p>
              </w:tc>
              <w:tc>
                <w:tcPr>
                  <w:tcW w:w="1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1.5</w:t>
                  </w:r>
                </w:p>
              </w:tc>
              <w:tc>
                <w:tcPr>
                  <w:tcW w:w="167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无组织厂界</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p>
              </w:tc>
              <w:tc>
                <w:tcPr>
                  <w:tcW w:w="256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H</w:t>
                  </w:r>
                  <w:r>
                    <w:rPr>
                      <w:rFonts w:hint="default" w:ascii="Times New Roman" w:hAnsi="Times New Roman" w:eastAsia="宋体" w:cs="Times New Roman"/>
                      <w:color w:val="auto"/>
                      <w:sz w:val="21"/>
                      <w:szCs w:val="21"/>
                      <w:u w:val="none"/>
                      <w:vertAlign w:val="subscript"/>
                    </w:rPr>
                    <w:t>2</w:t>
                  </w:r>
                  <w:r>
                    <w:rPr>
                      <w:rFonts w:hint="default" w:ascii="Times New Roman" w:hAnsi="Times New Roman" w:eastAsia="宋体" w:cs="Times New Roman"/>
                      <w:color w:val="auto"/>
                      <w:sz w:val="21"/>
                      <w:szCs w:val="21"/>
                      <w:u w:val="none"/>
                    </w:rPr>
                    <w:t>S</w:t>
                  </w:r>
                </w:p>
              </w:tc>
              <w:tc>
                <w:tcPr>
                  <w:tcW w:w="92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p>
              </w:tc>
              <w:tc>
                <w:tcPr>
                  <w:tcW w:w="1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0.06</w:t>
                  </w:r>
                </w:p>
              </w:tc>
              <w:tc>
                <w:tcPr>
                  <w:tcW w:w="167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p>
              </w:tc>
              <w:tc>
                <w:tcPr>
                  <w:tcW w:w="256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p>
              </w:tc>
              <w:tc>
                <w:tcPr>
                  <w:tcW w:w="1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臭气浓度</w:t>
                  </w:r>
                </w:p>
              </w:tc>
              <w:tc>
                <w:tcPr>
                  <w:tcW w:w="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无量纲</w:t>
                  </w:r>
                </w:p>
              </w:tc>
              <w:tc>
                <w:tcPr>
                  <w:tcW w:w="1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20</w:t>
                  </w:r>
                </w:p>
              </w:tc>
              <w:tc>
                <w:tcPr>
                  <w:tcW w:w="167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u w:val="none"/>
                    </w:rPr>
                  </w:pPr>
                </w:p>
              </w:tc>
            </w:tr>
          </w:tbl>
          <w:p>
            <w:pPr>
              <w:kinsoku w:val="0"/>
              <w:overflowPunct w:val="0"/>
              <w:autoSpaceDE w:val="0"/>
              <w:autoSpaceDN w:val="0"/>
              <w:adjustRightInd w:val="0"/>
              <w:snapToGrid w:val="0"/>
              <w:spacing w:line="360" w:lineRule="auto"/>
              <w:ind w:firstLine="361" w:firstLineChars="150"/>
              <w:rPr>
                <w:rFonts w:hint="default" w:ascii="Times New Roman" w:hAnsi="Times New Roman" w:eastAsia="宋体" w:cs="Times New Roman"/>
                <w:b/>
                <w:color w:val="auto"/>
                <w:sz w:val="24"/>
                <w:szCs w:val="24"/>
                <w:u w:val="none"/>
              </w:rPr>
            </w:pPr>
            <w:r>
              <w:rPr>
                <w:rFonts w:hint="default" w:ascii="Times New Roman" w:hAnsi="Times New Roman" w:eastAsia="宋体" w:cs="Times New Roman"/>
                <w:b/>
                <w:color w:val="auto"/>
                <w:sz w:val="24"/>
                <w:szCs w:val="24"/>
                <w:u w:val="none"/>
                <w:lang w:eastAsia="zh-CN"/>
              </w:rPr>
              <w:t>（</w:t>
            </w:r>
            <w:r>
              <w:rPr>
                <w:rFonts w:hint="default" w:ascii="Times New Roman" w:hAnsi="Times New Roman" w:eastAsia="宋体" w:cs="Times New Roman"/>
                <w:b/>
                <w:color w:val="auto"/>
                <w:sz w:val="24"/>
                <w:szCs w:val="24"/>
                <w:u w:val="none"/>
              </w:rPr>
              <w:t>2</w:t>
            </w:r>
            <w:r>
              <w:rPr>
                <w:rFonts w:hint="default" w:ascii="Times New Roman" w:hAnsi="Times New Roman" w:eastAsia="宋体" w:cs="Times New Roman"/>
                <w:b/>
                <w:color w:val="auto"/>
                <w:sz w:val="24"/>
                <w:szCs w:val="24"/>
                <w:u w:val="none"/>
                <w:lang w:eastAsia="zh-CN"/>
              </w:rPr>
              <w:t>）</w:t>
            </w:r>
            <w:r>
              <w:rPr>
                <w:rFonts w:hint="default" w:ascii="Times New Roman" w:hAnsi="Times New Roman" w:eastAsia="宋体" w:cs="Times New Roman"/>
                <w:b/>
                <w:color w:val="auto"/>
                <w:sz w:val="24"/>
                <w:szCs w:val="24"/>
                <w:u w:val="none"/>
              </w:rPr>
              <w:t>废水</w:t>
            </w:r>
          </w:p>
          <w:p>
            <w:pPr>
              <w:autoSpaceDE w:val="0"/>
              <w:autoSpaceDN w:val="0"/>
              <w:adjustRightInd w:val="0"/>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本项目进水为</w:t>
            </w:r>
            <w:r>
              <w:rPr>
                <w:rFonts w:hint="eastAsia" w:cs="Times New Roman"/>
                <w:color w:val="auto"/>
                <w:sz w:val="24"/>
                <w:u w:val="none"/>
                <w:lang w:val="en-US" w:eastAsia="zh-CN"/>
              </w:rPr>
              <w:t>鱼塘</w:t>
            </w:r>
            <w:r>
              <w:rPr>
                <w:rFonts w:hint="default" w:ascii="Times New Roman" w:hAnsi="Times New Roman" w:eastAsia="宋体" w:cs="Times New Roman"/>
                <w:color w:val="auto"/>
                <w:sz w:val="24"/>
                <w:u w:val="none"/>
                <w:lang w:val="en-US" w:eastAsia="zh-CN"/>
              </w:rPr>
              <w:t>，本项目出水</w:t>
            </w:r>
            <w:r>
              <w:rPr>
                <w:rFonts w:hint="eastAsia" w:cs="Times New Roman"/>
                <w:color w:val="auto"/>
                <w:sz w:val="24"/>
                <w:szCs w:val="24"/>
                <w:u w:val="none"/>
                <w:lang w:val="en-US" w:eastAsia="zh-CN"/>
              </w:rPr>
              <w:t>通过提升泵站抽至上游鱼塘养殖。pH：6~9、COD≤20mg/L、总氮≤1.0mg/L、总磷≤0.05mg/L。</w:t>
            </w:r>
          </w:p>
          <w:p>
            <w:pPr>
              <w:kinsoku w:val="0"/>
              <w:overflowPunct w:val="0"/>
              <w:autoSpaceDE w:val="0"/>
              <w:autoSpaceDN w:val="0"/>
              <w:adjustRightInd w:val="0"/>
              <w:snapToGrid w:val="0"/>
              <w:spacing w:line="360" w:lineRule="auto"/>
              <w:ind w:firstLine="482" w:firstLineChars="200"/>
              <w:rPr>
                <w:rFonts w:hint="default" w:ascii="Times New Roman" w:hAnsi="Times New Roman" w:eastAsia="宋体" w:cs="Times New Roman"/>
                <w:b/>
                <w:color w:val="auto"/>
                <w:sz w:val="24"/>
                <w:szCs w:val="24"/>
                <w:u w:val="none"/>
              </w:rPr>
            </w:pPr>
            <w:r>
              <w:rPr>
                <w:rFonts w:hint="default" w:ascii="Times New Roman" w:hAnsi="Times New Roman" w:eastAsia="宋体" w:cs="Times New Roman"/>
                <w:b/>
                <w:color w:val="auto"/>
                <w:sz w:val="24"/>
                <w:szCs w:val="24"/>
                <w:u w:val="none"/>
                <w:lang w:eastAsia="zh-CN"/>
              </w:rPr>
              <w:t>（</w:t>
            </w:r>
            <w:r>
              <w:rPr>
                <w:rFonts w:hint="default" w:ascii="Times New Roman" w:hAnsi="Times New Roman" w:eastAsia="宋体" w:cs="Times New Roman"/>
                <w:b/>
                <w:color w:val="auto"/>
                <w:sz w:val="24"/>
                <w:szCs w:val="24"/>
                <w:u w:val="none"/>
              </w:rPr>
              <w:t>3</w:t>
            </w:r>
            <w:r>
              <w:rPr>
                <w:rFonts w:hint="default" w:ascii="Times New Roman" w:hAnsi="Times New Roman" w:eastAsia="宋体" w:cs="Times New Roman"/>
                <w:b/>
                <w:color w:val="auto"/>
                <w:sz w:val="24"/>
                <w:szCs w:val="24"/>
                <w:u w:val="none"/>
                <w:lang w:eastAsia="zh-CN"/>
              </w:rPr>
              <w:t>）</w:t>
            </w:r>
            <w:r>
              <w:rPr>
                <w:rFonts w:hint="default" w:ascii="Times New Roman" w:hAnsi="Times New Roman" w:eastAsia="宋体" w:cs="Times New Roman"/>
                <w:b/>
                <w:color w:val="auto"/>
                <w:sz w:val="24"/>
                <w:szCs w:val="24"/>
                <w:u w:val="none"/>
              </w:rPr>
              <w:t>噪声</w:t>
            </w:r>
          </w:p>
          <w:p>
            <w:pPr>
              <w:kinsoku w:val="0"/>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szCs w:val="24"/>
                <w:u w:val="none"/>
              </w:rPr>
              <w:t>施工期噪声执行《建筑施工场界环境噪声排放标准》（GB12523-2011）。</w:t>
            </w:r>
            <w:r>
              <w:rPr>
                <w:rFonts w:hint="default" w:ascii="Times New Roman" w:hAnsi="Times New Roman" w:eastAsia="宋体" w:cs="Times New Roman"/>
                <w:color w:val="auto"/>
                <w:sz w:val="24"/>
                <w:u w:val="none"/>
              </w:rPr>
              <w:t>详见</w:t>
            </w:r>
            <w:r>
              <w:rPr>
                <w:rFonts w:hint="default" w:ascii="Times New Roman" w:hAnsi="Times New Roman" w:eastAsia="宋体" w:cs="Times New Roman"/>
                <w:color w:val="auto"/>
                <w:sz w:val="24"/>
                <w:u w:val="none"/>
                <w:lang w:eastAsia="zh-CN"/>
              </w:rPr>
              <w:t>下表</w:t>
            </w:r>
            <w:r>
              <w:rPr>
                <w:rFonts w:hint="default" w:ascii="Times New Roman" w:hAnsi="Times New Roman" w:eastAsia="宋体" w:cs="Times New Roman"/>
                <w:color w:val="auto"/>
                <w:sz w:val="24"/>
                <w:u w:val="none"/>
              </w:rPr>
              <w:t>。</w:t>
            </w:r>
          </w:p>
          <w:p>
            <w:pPr>
              <w:pStyle w:val="80"/>
              <w:jc w:val="left"/>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表</w:t>
            </w:r>
            <w:r>
              <w:rPr>
                <w:rFonts w:hint="default" w:ascii="Times New Roman" w:hAnsi="Times New Roman" w:eastAsia="宋体" w:cs="Times New Roman"/>
                <w:b/>
                <w:color w:val="auto"/>
                <w:sz w:val="21"/>
                <w:szCs w:val="21"/>
                <w:u w:val="none"/>
                <w:lang w:val="en-US" w:eastAsia="zh-CN"/>
              </w:rPr>
              <w:t>3-1</w:t>
            </w:r>
            <w:r>
              <w:rPr>
                <w:rFonts w:hint="eastAsia" w:ascii="Times New Roman" w:eastAsia="宋体" w:cs="Times New Roman"/>
                <w:b/>
                <w:color w:val="auto"/>
                <w:sz w:val="21"/>
                <w:szCs w:val="21"/>
                <w:u w:val="none"/>
                <w:lang w:val="en-US" w:eastAsia="zh-CN"/>
              </w:rPr>
              <w:t xml:space="preserve">8                </w:t>
            </w:r>
            <w:r>
              <w:rPr>
                <w:rFonts w:hint="default" w:ascii="Times New Roman" w:hAnsi="Times New Roman" w:eastAsia="宋体" w:cs="Times New Roman"/>
                <w:b/>
                <w:color w:val="auto"/>
                <w:sz w:val="21"/>
                <w:szCs w:val="21"/>
                <w:u w:val="none"/>
              </w:rPr>
              <w:t>《建筑施工场界环境噪声排放标准》</w:t>
            </w:r>
          </w:p>
          <w:tbl>
            <w:tblPr>
              <w:tblStyle w:val="3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45"/>
              <w:gridCol w:w="2847"/>
              <w:gridCol w:w="19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52" w:type="pct"/>
                  <w:gridSpan w:val="2"/>
                  <w:tcBorders>
                    <w:tl2br w:val="nil"/>
                    <w:tr2bl w:val="nil"/>
                  </w:tcBorders>
                  <w:noWrap w:val="0"/>
                  <w:vAlign w:val="center"/>
                </w:tcPr>
                <w:p>
                  <w:pPr>
                    <w:snapToGrid w:val="0"/>
                    <w:jc w:val="center"/>
                    <w:rPr>
                      <w:rFonts w:hint="default" w:ascii="Times New Roman" w:hAnsi="Times New Roman" w:eastAsia="宋体" w:cs="Times New Roman"/>
                      <w:b/>
                      <w:bCs/>
                      <w:color w:val="auto"/>
                      <w:szCs w:val="21"/>
                      <w:u w:val="none"/>
                    </w:rPr>
                  </w:pPr>
                  <w:r>
                    <w:rPr>
                      <w:rFonts w:hint="default" w:ascii="Times New Roman" w:hAnsi="Times New Roman" w:eastAsia="宋体" w:cs="Times New Roman"/>
                      <w:b/>
                      <w:bCs/>
                      <w:color w:val="auto"/>
                      <w:szCs w:val="21"/>
                      <w:u w:val="none"/>
                    </w:rPr>
                    <w:t>标准值dB(A)</w:t>
                  </w:r>
                </w:p>
              </w:tc>
              <w:tc>
                <w:tcPr>
                  <w:tcW w:w="1247" w:type="pct"/>
                  <w:vMerge w:val="restart"/>
                  <w:tcBorders>
                    <w:tl2br w:val="nil"/>
                    <w:tr2bl w:val="nil"/>
                  </w:tcBorders>
                  <w:noWrap w:val="0"/>
                  <w:vAlign w:val="center"/>
                </w:tcPr>
                <w:p>
                  <w:pPr>
                    <w:snapToGrid w:val="0"/>
                    <w:jc w:val="center"/>
                    <w:rPr>
                      <w:rFonts w:hint="default" w:ascii="Times New Roman" w:hAnsi="Times New Roman" w:eastAsia="宋体" w:cs="Times New Roman"/>
                      <w:b/>
                      <w:bCs/>
                      <w:color w:val="auto"/>
                      <w:szCs w:val="21"/>
                      <w:u w:val="none"/>
                    </w:rPr>
                  </w:pPr>
                  <w:r>
                    <w:rPr>
                      <w:rFonts w:hint="default" w:ascii="Times New Roman" w:hAnsi="Times New Roman" w:eastAsia="宋体" w:cs="Times New Roman"/>
                      <w:b/>
                      <w:bCs/>
                      <w:color w:val="auto"/>
                      <w:szCs w:val="21"/>
                      <w:u w:val="none"/>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tcBorders>
                    <w:tl2br w:val="nil"/>
                    <w:tr2bl w:val="nil"/>
                  </w:tcBorders>
                  <w:noWrap w:val="0"/>
                  <w:vAlign w:val="center"/>
                </w:tcPr>
                <w:p>
                  <w:pPr>
                    <w:snapToGrid w:val="0"/>
                    <w:jc w:val="center"/>
                    <w:rPr>
                      <w:rFonts w:hint="default" w:ascii="Times New Roman" w:hAnsi="Times New Roman" w:eastAsia="宋体" w:cs="Times New Roman"/>
                      <w:b/>
                      <w:bCs/>
                      <w:color w:val="auto"/>
                      <w:szCs w:val="21"/>
                      <w:u w:val="none"/>
                    </w:rPr>
                  </w:pPr>
                  <w:r>
                    <w:rPr>
                      <w:rFonts w:hint="default" w:ascii="Times New Roman" w:hAnsi="Times New Roman" w:eastAsia="宋体" w:cs="Times New Roman"/>
                      <w:b/>
                      <w:bCs/>
                      <w:color w:val="auto"/>
                      <w:szCs w:val="21"/>
                      <w:u w:val="none"/>
                    </w:rPr>
                    <w:t>昼间</w:t>
                  </w:r>
                </w:p>
              </w:tc>
              <w:tc>
                <w:tcPr>
                  <w:tcW w:w="1813" w:type="pct"/>
                  <w:tcBorders>
                    <w:tl2br w:val="nil"/>
                    <w:tr2bl w:val="nil"/>
                  </w:tcBorders>
                  <w:noWrap w:val="0"/>
                  <w:vAlign w:val="center"/>
                </w:tcPr>
                <w:p>
                  <w:pPr>
                    <w:snapToGrid w:val="0"/>
                    <w:jc w:val="center"/>
                    <w:rPr>
                      <w:rFonts w:hint="default" w:ascii="Times New Roman" w:hAnsi="Times New Roman" w:eastAsia="宋体" w:cs="Times New Roman"/>
                      <w:b/>
                      <w:bCs/>
                      <w:color w:val="auto"/>
                      <w:szCs w:val="21"/>
                      <w:u w:val="none"/>
                    </w:rPr>
                  </w:pPr>
                  <w:r>
                    <w:rPr>
                      <w:rFonts w:hint="default" w:ascii="Times New Roman" w:hAnsi="Times New Roman" w:eastAsia="宋体" w:cs="Times New Roman"/>
                      <w:b/>
                      <w:bCs/>
                      <w:color w:val="auto"/>
                      <w:szCs w:val="21"/>
                      <w:u w:val="none"/>
                    </w:rPr>
                    <w:t>夜间</w:t>
                  </w:r>
                </w:p>
              </w:tc>
              <w:tc>
                <w:tcPr>
                  <w:tcW w:w="1247" w:type="pct"/>
                  <w:vMerge w:val="continue"/>
                  <w:tcBorders>
                    <w:tl2br w:val="nil"/>
                    <w:tr2bl w:val="nil"/>
                  </w:tcBorders>
                  <w:noWrap w:val="0"/>
                  <w:vAlign w:val="center"/>
                </w:tcPr>
                <w:p>
                  <w:pPr>
                    <w:snapToGrid w:val="0"/>
                    <w:ind w:firstLine="420" w:firstLineChars="200"/>
                    <w:jc w:val="center"/>
                    <w:rPr>
                      <w:rFonts w:hint="default" w:ascii="Times New Roman" w:hAnsi="Times New Roman" w:eastAsia="宋体" w:cs="Times New Roman"/>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39" w:type="pct"/>
                  <w:tcBorders>
                    <w:tl2br w:val="nil"/>
                    <w:tr2bl w:val="nil"/>
                  </w:tcBorders>
                  <w:noWrap w:val="0"/>
                  <w:vAlign w:val="center"/>
                </w:tcPr>
                <w:p>
                  <w:pPr>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70</w:t>
                  </w:r>
                </w:p>
              </w:tc>
              <w:tc>
                <w:tcPr>
                  <w:tcW w:w="1813" w:type="pct"/>
                  <w:tcBorders>
                    <w:tl2br w:val="nil"/>
                    <w:tr2bl w:val="nil"/>
                  </w:tcBorders>
                  <w:noWrap w:val="0"/>
                  <w:vAlign w:val="center"/>
                </w:tcPr>
                <w:p>
                  <w:pPr>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55</w:t>
                  </w:r>
                </w:p>
              </w:tc>
              <w:tc>
                <w:tcPr>
                  <w:tcW w:w="1247" w:type="pct"/>
                  <w:tcBorders>
                    <w:tl2br w:val="nil"/>
                    <w:tr2bl w:val="nil"/>
                  </w:tcBorders>
                  <w:noWrap w:val="0"/>
                  <w:vAlign w:val="center"/>
                </w:tcPr>
                <w:p>
                  <w:pPr>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GB22337-2011</w:t>
                  </w:r>
                </w:p>
              </w:tc>
            </w:tr>
          </w:tbl>
          <w:p>
            <w:pPr>
              <w:kinsoku w:val="0"/>
              <w:overflowPunct w:val="0"/>
              <w:autoSpaceDE w:val="0"/>
              <w:autoSpaceDN w:val="0"/>
              <w:adjustRightInd w:val="0"/>
              <w:snapToGrid w:val="0"/>
              <w:spacing w:line="360" w:lineRule="auto"/>
              <w:ind w:firstLine="482" w:firstLineChars="200"/>
              <w:rPr>
                <w:rFonts w:hint="default" w:ascii="Times New Roman" w:hAnsi="Times New Roman" w:eastAsia="宋体" w:cs="Times New Roman"/>
                <w:b/>
                <w:color w:val="auto"/>
                <w:sz w:val="24"/>
                <w:szCs w:val="24"/>
                <w:u w:val="none"/>
              </w:rPr>
            </w:pPr>
            <w:r>
              <w:rPr>
                <w:rFonts w:hint="default" w:ascii="Times New Roman" w:hAnsi="Times New Roman" w:eastAsia="宋体" w:cs="Times New Roman"/>
                <w:b/>
                <w:color w:val="auto"/>
                <w:sz w:val="24"/>
                <w:szCs w:val="24"/>
                <w:u w:val="none"/>
                <w:lang w:eastAsia="zh-CN"/>
              </w:rPr>
              <w:t>（</w:t>
            </w:r>
            <w:r>
              <w:rPr>
                <w:rFonts w:hint="default" w:ascii="Times New Roman" w:hAnsi="Times New Roman" w:eastAsia="宋体" w:cs="Times New Roman"/>
                <w:b/>
                <w:color w:val="auto"/>
                <w:sz w:val="24"/>
                <w:szCs w:val="24"/>
                <w:u w:val="none"/>
              </w:rPr>
              <w:t>4</w:t>
            </w:r>
            <w:r>
              <w:rPr>
                <w:rFonts w:hint="default" w:ascii="Times New Roman" w:hAnsi="Times New Roman" w:eastAsia="宋体" w:cs="Times New Roman"/>
                <w:b/>
                <w:color w:val="auto"/>
                <w:sz w:val="24"/>
                <w:szCs w:val="24"/>
                <w:u w:val="none"/>
                <w:lang w:eastAsia="zh-CN"/>
              </w:rPr>
              <w:t>）</w:t>
            </w:r>
            <w:r>
              <w:rPr>
                <w:rFonts w:hint="default" w:ascii="Times New Roman" w:hAnsi="Times New Roman" w:eastAsia="宋体" w:cs="Times New Roman"/>
                <w:b/>
                <w:color w:val="auto"/>
                <w:sz w:val="24"/>
                <w:szCs w:val="24"/>
                <w:u w:val="none"/>
              </w:rPr>
              <w:t>固废</w:t>
            </w:r>
          </w:p>
          <w:p>
            <w:pPr>
              <w:kinsoku w:val="0"/>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sz w:val="24"/>
                <w:szCs w:val="24"/>
                <w:u w:val="none"/>
              </w:rPr>
              <w:t>一般固体废物执行</w:t>
            </w:r>
            <w:r>
              <w:rPr>
                <w:rFonts w:hint="default" w:ascii="Times New Roman" w:hAnsi="Times New Roman" w:eastAsia="宋体" w:cs="Times New Roman"/>
                <w:color w:val="auto"/>
                <w:sz w:val="24"/>
                <w:szCs w:val="24"/>
                <w:u w:val="none"/>
                <w:lang w:val="en-US" w:eastAsia="zh-CN"/>
              </w:rPr>
              <w:t>《一般工业固体废物贮存、处置场污染控制标准》（GB18599-2020）</w:t>
            </w:r>
            <w:r>
              <w:rPr>
                <w:rFonts w:hint="default" w:ascii="Times New Roman" w:hAnsi="Times New Roman" w:eastAsia="宋体" w:cs="Times New Roman"/>
                <w:color w:val="auto"/>
                <w:sz w:val="24"/>
                <w:szCs w:val="24"/>
                <w:u w:val="none"/>
              </w:rPr>
              <w:t>的</w:t>
            </w:r>
            <w:r>
              <w:rPr>
                <w:rFonts w:hint="default" w:ascii="Times New Roman" w:hAnsi="Times New Roman" w:eastAsia="宋体" w:cs="Times New Roman"/>
                <w:color w:val="auto"/>
                <w:sz w:val="24"/>
                <w:szCs w:val="24"/>
                <w:u w:val="none"/>
                <w:lang w:eastAsia="zh-CN"/>
              </w:rPr>
              <w:t>相关</w:t>
            </w:r>
            <w:r>
              <w:rPr>
                <w:rFonts w:hint="default" w:ascii="Times New Roman" w:hAnsi="Times New Roman" w:eastAsia="宋体" w:cs="Times New Roman"/>
                <w:color w:val="auto"/>
                <w:sz w:val="24"/>
                <w:szCs w:val="24"/>
                <w:u w:val="none"/>
              </w:rPr>
              <w:t>规定</w:t>
            </w:r>
            <w:r>
              <w:rPr>
                <w:rFonts w:hint="default" w:ascii="Times New Roman" w:hAnsi="Times New Roman" w:eastAsia="宋体" w:cs="Times New Roman"/>
                <w:color w:val="auto"/>
                <w:sz w:val="24"/>
                <w:szCs w:val="24"/>
                <w:u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353" w:type="pct"/>
            <w:noWrap w:val="0"/>
            <w:vAlign w:val="center"/>
          </w:tcPr>
          <w:p>
            <w:pPr>
              <w:adjustRightInd w:val="0"/>
              <w:snapToGrid w:val="0"/>
              <w:jc w:val="center"/>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kern w:val="0"/>
                <w:szCs w:val="21"/>
                <w:u w:val="none"/>
              </w:rPr>
              <w:t>其他</w:t>
            </w:r>
          </w:p>
        </w:tc>
        <w:tc>
          <w:tcPr>
            <w:tcW w:w="4646" w:type="pct"/>
            <w:noWrap w:val="0"/>
            <w:vAlign w:val="center"/>
          </w:tcPr>
          <w:p>
            <w:pPr>
              <w:rPr>
                <w:rFonts w:hint="default" w:ascii="Times New Roman" w:hAnsi="Times New Roman" w:eastAsia="宋体" w:cs="Times New Roman"/>
                <w:color w:val="auto"/>
                <w:u w:val="none"/>
              </w:rPr>
            </w:pPr>
          </w:p>
          <w:p>
            <w:pPr>
              <w:kinsoku w:val="0"/>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val="en-US" w:eastAsia="zh-CN"/>
              </w:rPr>
              <w:t>无</w:t>
            </w:r>
          </w:p>
          <w:p>
            <w:pPr>
              <w:kinsoku w:val="0"/>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u w:val="none"/>
              </w:rPr>
            </w:pPr>
          </w:p>
          <w:p>
            <w:pPr>
              <w:kinsoku w:val="0"/>
              <w:overflowPunct w:val="0"/>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u w:val="none"/>
              </w:rPr>
            </w:pPr>
          </w:p>
          <w:p>
            <w:pPr>
              <w:kinsoku w:val="0"/>
              <w:overflowPunct w:val="0"/>
              <w:autoSpaceDE w:val="0"/>
              <w:autoSpaceDN w:val="0"/>
              <w:adjustRightInd w:val="0"/>
              <w:snapToGrid w:val="0"/>
              <w:spacing w:line="360" w:lineRule="auto"/>
              <w:ind w:firstLine="420" w:firstLineChars="200"/>
              <w:rPr>
                <w:rFonts w:hint="default" w:ascii="Times New Roman" w:hAnsi="Times New Roman" w:eastAsia="宋体" w:cs="Times New Roman"/>
                <w:color w:val="auto"/>
                <w:u w:val="none"/>
                <w:lang w:eastAsia="zh-CN"/>
              </w:rPr>
            </w:pPr>
          </w:p>
        </w:tc>
      </w:tr>
    </w:tbl>
    <w:p>
      <w:pPr>
        <w:pStyle w:val="29"/>
        <w:adjustRightInd w:val="0"/>
        <w:snapToGrid w:val="0"/>
        <w:spacing w:before="0" w:beforeAutospacing="0" w:after="0" w:afterAutospacing="0" w:line="14" w:lineRule="auto"/>
        <w:jc w:val="both"/>
        <w:outlineLvl w:val="9"/>
        <w:rPr>
          <w:rFonts w:hint="default" w:ascii="Times New Roman" w:hAnsi="Times New Roman" w:eastAsia="宋体" w:cs="Times New Roman"/>
          <w:snapToGrid w:val="0"/>
          <w:color w:val="auto"/>
          <w:kern w:val="2"/>
          <w:sz w:val="36"/>
          <w:szCs w:val="36"/>
          <w:u w:val="none"/>
        </w:rPr>
      </w:pPr>
    </w:p>
    <w:p>
      <w:pPr>
        <w:pStyle w:val="29"/>
        <w:jc w:val="center"/>
        <w:outlineLvl w:val="0"/>
        <w:rPr>
          <w:rFonts w:hint="default" w:ascii="Times New Roman" w:hAnsi="Times New Roman" w:eastAsia="宋体" w:cs="Times New Roman"/>
          <w:snapToGrid w:val="0"/>
          <w:color w:val="auto"/>
          <w:sz w:val="30"/>
          <w:szCs w:val="30"/>
          <w:u w:val="none"/>
        </w:rPr>
      </w:pPr>
      <w:r>
        <w:rPr>
          <w:rFonts w:hint="default" w:ascii="Times New Roman" w:hAnsi="Times New Roman" w:eastAsia="宋体" w:cs="Times New Roman"/>
          <w:snapToGrid w:val="0"/>
          <w:color w:val="auto"/>
          <w:kern w:val="2"/>
          <w:sz w:val="36"/>
          <w:szCs w:val="36"/>
          <w:u w:val="none"/>
        </w:rPr>
        <w:br w:type="page"/>
      </w:r>
      <w:bookmarkStart w:id="27" w:name="_Toc14706"/>
      <w:bookmarkStart w:id="28" w:name="_Toc28417"/>
      <w:bookmarkStart w:id="29" w:name="_Toc15907"/>
      <w:bookmarkStart w:id="30" w:name="_Toc6889"/>
      <w:bookmarkStart w:id="31" w:name="_Toc20392"/>
      <w:bookmarkStart w:id="32" w:name="_Toc5967"/>
      <w:r>
        <w:rPr>
          <w:rFonts w:hint="default" w:ascii="Times New Roman" w:hAnsi="Times New Roman" w:eastAsia="宋体" w:cs="Times New Roman"/>
          <w:snapToGrid w:val="0"/>
          <w:color w:val="auto"/>
          <w:sz w:val="30"/>
          <w:szCs w:val="30"/>
          <w:u w:val="none"/>
        </w:rPr>
        <w:t>四、生态环境影响分析</w:t>
      </w:r>
      <w:bookmarkEnd w:id="27"/>
      <w:bookmarkEnd w:id="28"/>
      <w:bookmarkEnd w:id="29"/>
      <w:bookmarkEnd w:id="30"/>
      <w:bookmarkEnd w:id="31"/>
      <w:bookmarkEnd w:id="32"/>
    </w:p>
    <w:tbl>
      <w:tblPr>
        <w:tblStyle w:val="32"/>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6" w:hRule="atLeast"/>
          <w:jc w:val="center"/>
        </w:trPr>
        <w:tc>
          <w:tcPr>
            <w:tcW w:w="879" w:type="dxa"/>
            <w:noWrap w:val="0"/>
            <w:tcMar>
              <w:left w:w="28" w:type="dxa"/>
              <w:right w:w="28" w:type="dxa"/>
            </w:tcMar>
            <w:vAlign w:val="center"/>
          </w:tcPr>
          <w:p>
            <w:pPr>
              <w:pStyle w:val="29"/>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u w:val="none"/>
                <w:lang w:val="en-US" w:eastAsia="zh-CN"/>
              </w:rPr>
            </w:pPr>
            <w:bookmarkStart w:id="33" w:name="_Hlk49796138"/>
            <w:r>
              <w:rPr>
                <w:rFonts w:hint="default" w:ascii="Times New Roman" w:hAnsi="Times New Roman" w:eastAsia="宋体" w:cs="Times New Roman"/>
                <w:bCs/>
                <w:color w:val="auto"/>
                <w:spacing w:val="10"/>
                <w:kern w:val="2"/>
                <w:sz w:val="21"/>
                <w:szCs w:val="21"/>
                <w:u w:val="none"/>
                <w:lang w:val="en-US" w:eastAsia="zh-CN"/>
              </w:rPr>
              <w:t>施工期生态环境影响分析</w:t>
            </w:r>
            <w:bookmarkEnd w:id="33"/>
          </w:p>
        </w:tc>
        <w:tc>
          <w:tcPr>
            <w:tcW w:w="836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本项目对环境的不利影响主要在施工期，本项目施工期对环境的影响为：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（一）生态环境影响分析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①对水生生态的影响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本项目对水生生态环境的影响主要是施工期围堰施工产生的悬浮物可能对水生生态环境造成污染影响，进而影响水生生物的生存环境。其中，施工废水通过加强管理，收集处理后基本不会影响水域生态环境。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对水域生态环境影响较大的主要是：围堰区域内开挖，产生的底质扰动和悬浮物浓度增加对水生生态的影响，局限在围堰内。本项目围堰拆除，</w:t>
            </w:r>
            <w:r>
              <w:rPr>
                <w:rFonts w:hint="default" w:ascii="Times New Roman" w:hAnsi="Times New Roman" w:eastAsia="宋体" w:cs="Times New Roman"/>
                <w:color w:val="auto"/>
                <w:sz w:val="24"/>
                <w:szCs w:val="24"/>
                <w:u w:val="none"/>
                <w:lang w:eastAsia="zh-CN"/>
              </w:rPr>
              <w:t>工程完成后，</w:t>
            </w:r>
            <w:r>
              <w:rPr>
                <w:rFonts w:hint="default" w:ascii="Times New Roman" w:hAnsi="Times New Roman" w:eastAsia="宋体" w:cs="Times New Roman"/>
                <w:color w:val="auto"/>
                <w:sz w:val="24"/>
                <w:szCs w:val="24"/>
                <w:u w:val="none"/>
                <w:lang w:val="en-US" w:eastAsia="zh-CN"/>
              </w:rPr>
              <w:t>对围堰区域内的生态环境将得到</w:t>
            </w:r>
            <w:r>
              <w:rPr>
                <w:rFonts w:hint="default" w:ascii="Times New Roman" w:hAnsi="Times New Roman" w:eastAsia="宋体" w:cs="Times New Roman"/>
                <w:color w:val="auto"/>
                <w:sz w:val="24"/>
                <w:szCs w:val="24"/>
                <w:u w:val="none"/>
                <w:lang w:eastAsia="zh-CN"/>
              </w:rPr>
              <w:t>缓解和消除，因</w:t>
            </w:r>
            <w:r>
              <w:rPr>
                <w:rFonts w:hint="default" w:ascii="Times New Roman" w:hAnsi="Times New Roman" w:eastAsia="宋体" w:cs="Times New Roman"/>
                <w:color w:val="auto"/>
                <w:sz w:val="24"/>
                <w:szCs w:val="24"/>
                <w:u w:val="none"/>
                <w:lang w:val="en-US" w:eastAsia="zh-CN"/>
              </w:rPr>
              <w:t>围堰区域内</w:t>
            </w:r>
            <w:r>
              <w:rPr>
                <w:rFonts w:hint="default" w:ascii="Times New Roman" w:hAnsi="Times New Roman" w:eastAsia="宋体" w:cs="Times New Roman"/>
                <w:color w:val="auto"/>
                <w:sz w:val="24"/>
                <w:szCs w:val="24"/>
                <w:u w:val="none"/>
                <w:lang w:eastAsia="zh-CN"/>
              </w:rPr>
              <w:t>的水生态系统将逐步恢复，随着</w:t>
            </w:r>
            <w:r>
              <w:rPr>
                <w:rFonts w:hint="eastAsia" w:cs="Times New Roman"/>
                <w:color w:val="auto"/>
                <w:sz w:val="24"/>
                <w:szCs w:val="24"/>
                <w:u w:val="none"/>
                <w:lang w:val="en-US" w:eastAsia="zh-CN"/>
              </w:rPr>
              <w:t>青山岛鱼塘</w:t>
            </w:r>
            <w:r>
              <w:rPr>
                <w:rFonts w:hint="default" w:ascii="Times New Roman" w:hAnsi="Times New Roman" w:eastAsia="宋体" w:cs="Times New Roman"/>
                <w:color w:val="auto"/>
                <w:sz w:val="24"/>
                <w:szCs w:val="24"/>
                <w:u w:val="none"/>
                <w:lang w:eastAsia="zh-CN"/>
              </w:rPr>
              <w:t>水环境质量的改善，</w:t>
            </w:r>
            <w:r>
              <w:rPr>
                <w:rFonts w:hint="eastAsia" w:cs="Times New Roman"/>
                <w:color w:val="auto"/>
                <w:sz w:val="24"/>
                <w:szCs w:val="24"/>
                <w:u w:val="none"/>
                <w:lang w:val="en-US" w:eastAsia="zh-CN"/>
              </w:rPr>
              <w:t>横岭湖</w:t>
            </w:r>
            <w:r>
              <w:rPr>
                <w:rFonts w:hint="default" w:ascii="Times New Roman" w:hAnsi="Times New Roman" w:eastAsia="宋体" w:cs="Times New Roman"/>
                <w:color w:val="auto"/>
                <w:sz w:val="24"/>
                <w:szCs w:val="24"/>
                <w:u w:val="none"/>
                <w:lang w:eastAsia="zh-CN"/>
              </w:rPr>
              <w:t>水生生态系统的状态</w:t>
            </w:r>
            <w:r>
              <w:rPr>
                <w:rFonts w:hint="default" w:ascii="Times New Roman" w:hAnsi="Times New Roman" w:eastAsia="宋体" w:cs="Times New Roman"/>
                <w:color w:val="auto"/>
                <w:sz w:val="24"/>
                <w:szCs w:val="24"/>
                <w:u w:val="none"/>
                <w:lang w:val="en-US" w:eastAsia="zh-CN"/>
              </w:rPr>
              <w:t>将有正面影响</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lang w:val="en-US" w:eastAsia="zh-CN"/>
              </w:rPr>
              <w:t>具体影响如下：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1）对水生维管束植物的影响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水生植物种群数量变化和演替，受到光（透明度）、营养、温度和摄食压力等因素的影响。围堰作业产生的浊水将导致围堰周边水体悬浮物大量增加，水体透明度降低，初级生产力降低，最终影响围堰周边区域内水生植物的生长；施工完成后将恢复</w:t>
            </w:r>
            <w:r>
              <w:rPr>
                <w:rFonts w:hint="eastAsia" w:cs="Times New Roman"/>
                <w:color w:val="auto"/>
                <w:sz w:val="24"/>
                <w:szCs w:val="24"/>
                <w:u w:val="none"/>
                <w:lang w:val="en-US" w:eastAsia="zh-CN"/>
              </w:rPr>
              <w:t>青山岛鱼塘</w:t>
            </w:r>
            <w:r>
              <w:rPr>
                <w:rFonts w:hint="default" w:ascii="Times New Roman" w:hAnsi="Times New Roman" w:eastAsia="宋体" w:cs="Times New Roman"/>
                <w:color w:val="auto"/>
                <w:sz w:val="24"/>
                <w:szCs w:val="24"/>
                <w:u w:val="none"/>
                <w:lang w:val="en-US" w:eastAsia="zh-CN"/>
              </w:rPr>
              <w:t>原有生境，紊乱的水流将趋于平稳，生境条件的改变浮游植物群落也会发生相应的更替，随着时间的推移，群落结构会趋于稳定。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根据现场踏勘，项目区大部分已进行人工边坡修整和人工植被绿化，无大片的水生维管束植物群落水草，原生水草基本不在，故本项目施工活动对水生维管束植物的影响不大。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2）对浮游生物的影响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藻类是具有叶绿素和其他光合色素，能进行光合作用的原始、低等的植物。多数藻类是鱼类和其他经济动物的直接或间接的饵料。围堰作业过程会引起局部水域中悬浮颗粒增加，水中悬浮物浓度升高降低了水体的透光率，不利于藻类生长繁殖，导致其数量阶段性减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在水域生态系统的食物链和能量转换中，浮游动物与水生植物、底栖动物、浮游植物一起，各占有重要位置。浮游动物与浮游植物一样，在施工阶段以浮游植物为食的浮游动物在单位水体所拥有的生物量将相应出现减少。根据有关试验结论，水中过量的悬浮物会堵塞桡足类等浮游动物的食物过滤系统和消化器官，尤以悬浮物浓度达到300mg/L以上、悬浮物为黏性淤泥时为甚，如只能分辨颗粒大小的滤食性浮游动物可能会摄入大量的泥沙，会造成其内部系统紊乱而亡。但整治后水流趋于平缓，流速降低，则泥沙含量减少，水深增加，水体透明度增加，有利于浮游植物光合作用，可促进藻类繁殖，不受影响水域藻类的数量可很快恢复到原有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另一方面，水体的流动性保证了水体中浮游生物和营养盐的更新，上游来水挟带丰富的浮游生物覆盖施工区，施工区域的浮游生物损失量会立即得到补充。围堰施工时挟带浮游生物死体的水流，在下游汇流后，其中的浮游生物损失量也会逐渐得到补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浮游动物以细菌、有机碎屑和藻类等为食，因此，从总体上来讲，这些营养对象的数量高低，决定着浮游动物数量的多少。浮游动物在清理作业期也会和浮游植物一样，其种类组成、群落结构等也会随悬浮物增加，透明度降低，水体初级生产力降低等一系列的变化而发生改变，生物量会有所降低；后续期则会逐渐趋于稳定；整体而言，工程并未改变区域营养源的状况，对浮游动物的影响有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综上所述，本项目会在围堰施工周边较小范围、短时间内对浮游生物产生影响。但根据项目区的底泥特性、影响的范围及引起SS增加浓度均较小，因此本项目施工对浮游生物的影响较小。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3）对底栖生物的影响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底栖动物是长期定居在水域底部泥沙、石块或其他水底物体上生活的动物。自然水体中底栖动物的种类和数量与底层杂食性鱼类有着极大的关系。疏浚工程直接改变了底栖动物的生活环境，导致其分布范围、种类组成及其数量均发生了不同程度的改变，对其影响较大。根据现场调查，工程区域的底栖生物主要栖息于泥（硬泥和淤泥）、泥沙等缓流底质区域。底栖生物相对运动能力差，疏浚工程将直接导致原河床底部的底栖生物被掩埋。河道底栖生物最常见的门类为环节动物、软体动物和节肢动物，其中以水生昆虫的种类最多。围堰施工作业对水体的扰动较大，对水域原来状态会有较大的改变，因此相比来说，底栖生物损失较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施工活动对区域的现有底栖动植物和水生动物存在一定的影响，但是仅疏浚范围内的个体损失，未导致区域内现有种类和底栖动植物类型的消失灭绝，且随着作业的结束，经过水生态系统建设，生态系统会得到逐步恢复，可弥补底栖动植物和水生动物物种数量的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本项目实施后局部区域原有底质将发生改变，生境也会发生改变。但由于施工范围有限，对生态环境的改变同样有限，本项目施工完成后将重新构建生态系统，局部底栖动物种类增加，从而其生物多样性更丰富。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FF0000"/>
                <w:sz w:val="24"/>
                <w:szCs w:val="24"/>
                <w:u w:val="single"/>
                <w:lang w:val="en-US" w:eastAsia="zh-CN"/>
              </w:rPr>
            </w:pPr>
            <w:r>
              <w:rPr>
                <w:rFonts w:hint="default" w:ascii="Times New Roman" w:hAnsi="Times New Roman" w:eastAsia="宋体" w:cs="Times New Roman"/>
                <w:b/>
                <w:bCs/>
                <w:color w:val="FF0000"/>
                <w:sz w:val="24"/>
                <w:szCs w:val="24"/>
                <w:u w:val="single"/>
                <w:lang w:val="en-US" w:eastAsia="zh-CN"/>
              </w:rPr>
              <w:t>4）对鱼类的影响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施工期间，施工水域的繁育与索饵生境质量大大退化。施工期清理作业会暂时驱散在工程水域栖息活动的鱼，施工噪音对施工区鱼类产生惊吓，但不会对鱼类造成明显的伤害或导致其死亡。但是在持续噪音刺激下，一些种类的个体会出现行为紊乱，从而妨碍其正常生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施工期悬浮物扩散，将影响水体初级生产力，而天然水域鱼产力主要来源于水体初级生产力，因此，施工区及悬浮物扩散受影响区域鱼产力将随着初级生产力的降低而降低，因工程施工不改变水域整体营养状况，工程施工对整个水域鱼产力的影响有限。施工作业完成后，水质指标中溶解氧和透明度增加，营养盐类有降低的趋势；水域面积扩大，水深增加，将增加鱼类的生活空间，有利于鱼类越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本项目施工作业对成年鱼类的影响主要表现为“驱散效应”。但工程施工安排在枯水期进行，施工所在地多为裸露或浅水区域，此时鱼类多进入深水区域。因此，施工阶段不会对作业区的鱼类带来较大的影响，其主要影响是改变了鱼类的暂时空间分布，不会导致鱼类资源量的明显变化。项目施工对鱼类的影响是阶段性的，一旦施工作业终止并进行生态修复，就可能会恢复。由于本项目对浮游生物影响程度较小，因此，不会改变水生生物现有食物链结构，鱼类不会因为食物问题而受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在工程施工区域，未发现珍稀保护鱼类，不属于鱼类三场及自然保护区等敏感区，因此，本项目不存在影响鱼类三场及保护物种的问题。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FF0000"/>
                <w:sz w:val="24"/>
                <w:szCs w:val="24"/>
                <w:u w:val="single"/>
                <w:lang w:val="en-US" w:eastAsia="zh-CN"/>
              </w:rPr>
              <w:t>此外，鱼类相对浮游生物和底栖生物具有较强的回避能力，因此，总体来说，项目施工对鱼类的生活环境造成一定的不利影响，但不会造成物种损失。</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②对陆生生态的影响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1）对植被的影响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本项目施工区域主要为</w:t>
            </w:r>
            <w:r>
              <w:rPr>
                <w:rFonts w:hint="eastAsia" w:cs="Times New Roman"/>
                <w:color w:val="auto"/>
                <w:sz w:val="24"/>
                <w:szCs w:val="24"/>
                <w:u w:val="none"/>
                <w:lang w:val="en-US" w:eastAsia="zh-CN"/>
              </w:rPr>
              <w:t>青山岛人工养殖鱼塘</w:t>
            </w:r>
            <w:r>
              <w:rPr>
                <w:rFonts w:hint="default" w:ascii="Times New Roman" w:hAnsi="Times New Roman" w:eastAsia="宋体" w:cs="Times New Roman"/>
                <w:color w:val="auto"/>
                <w:sz w:val="24"/>
                <w:szCs w:val="24"/>
                <w:u w:val="none"/>
                <w:lang w:val="en-US" w:eastAsia="zh-CN"/>
              </w:rPr>
              <w:t>，施工期粉尘对周边植被生长环境产生不良影响。</w:t>
            </w:r>
            <w:r>
              <w:rPr>
                <w:rFonts w:hint="default" w:ascii="Times New Roman" w:hAnsi="Times New Roman" w:eastAsia="宋体" w:cs="Times New Roman"/>
                <w:color w:val="auto"/>
                <w:sz w:val="24"/>
                <w:szCs w:val="24"/>
                <w:u w:val="none"/>
                <w:lang w:eastAsia="zh-CN"/>
              </w:rPr>
              <w:t>本项目工程完成后，将进行植被恢复。陆生植被经恢复后，对区域陆生生态系统影响不大</w:t>
            </w:r>
            <w:r>
              <w:rPr>
                <w:rFonts w:hint="default" w:ascii="Times New Roman" w:hAnsi="Times New Roman" w:eastAsia="宋体" w:cs="Times New Roman"/>
                <w:color w:val="auto"/>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2）对两栖、爬行动物的影响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本项目实施过程中</w:t>
            </w:r>
            <w:r>
              <w:rPr>
                <w:rFonts w:hint="eastAsia" w:cs="Times New Roman"/>
                <w:color w:val="auto"/>
                <w:sz w:val="24"/>
                <w:szCs w:val="24"/>
                <w:u w:val="none"/>
                <w:lang w:val="en-US" w:eastAsia="zh-CN"/>
              </w:rPr>
              <w:t>青山岛部分人工养殖鱼塘</w:t>
            </w:r>
            <w:r>
              <w:rPr>
                <w:rFonts w:hint="default" w:ascii="Times New Roman" w:hAnsi="Times New Roman" w:eastAsia="宋体" w:cs="Times New Roman"/>
                <w:color w:val="auto"/>
                <w:sz w:val="24"/>
                <w:szCs w:val="24"/>
                <w:u w:val="none"/>
                <w:lang w:val="en-US" w:eastAsia="zh-CN"/>
              </w:rPr>
              <w:t>湿地生境遭到破坏，两栖、爬行动物的栖息环境发生改变，一定程度上影响其繁殖活动，根据调查资料显示，区域内两栖、爬行动物较少，因此本项目对两栖爬行动物的影响程度较小。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FF0000"/>
                <w:sz w:val="24"/>
                <w:szCs w:val="24"/>
                <w:u w:val="single"/>
                <w:lang w:val="en-US" w:eastAsia="zh-CN"/>
              </w:rPr>
            </w:pPr>
            <w:r>
              <w:rPr>
                <w:rFonts w:hint="default" w:ascii="Times New Roman" w:hAnsi="Times New Roman" w:eastAsia="宋体" w:cs="Times New Roman"/>
                <w:b/>
                <w:bCs/>
                <w:color w:val="FF0000"/>
                <w:sz w:val="24"/>
                <w:szCs w:val="24"/>
                <w:u w:val="single"/>
                <w:lang w:val="en-US" w:eastAsia="zh-CN"/>
              </w:rPr>
              <w:t>3）对鸟类的影响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FF0000"/>
                <w:sz w:val="24"/>
                <w:u w:val="single"/>
                <w:lang w:val="en-US" w:eastAsia="zh-CN"/>
              </w:rPr>
            </w:pPr>
            <w:r>
              <w:rPr>
                <w:rFonts w:hint="eastAsia"/>
                <w:color w:val="FF0000"/>
                <w:sz w:val="24"/>
                <w:u w:val="single"/>
                <w:lang w:val="en-US" w:eastAsia="zh-CN"/>
              </w:rPr>
              <w:t>本项目所在区域，在秋冬季有大量候鸟来此过冬。本项目秋冬季的施工，将对这些候鸟造成一定的影响。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u w:val="single"/>
                <w:lang w:val="en-US" w:eastAsia="zh-CN"/>
              </w:rPr>
            </w:pPr>
            <w:r>
              <w:rPr>
                <w:rFonts w:hint="eastAsia"/>
                <w:color w:val="FF0000"/>
                <w:sz w:val="24"/>
                <w:u w:val="single"/>
              </w:rPr>
              <w:t>项目评价区对鸟类的影响主要是施工占地、施工噪声及施工灯光影响，这些因素将</w:t>
            </w:r>
            <w:r>
              <w:rPr>
                <w:rFonts w:hint="eastAsia"/>
                <w:color w:val="FF0000"/>
                <w:sz w:val="24"/>
                <w:u w:val="single"/>
                <w:lang w:val="en-US" w:eastAsia="zh-CN"/>
              </w:rPr>
              <w:t>施工区域</w:t>
            </w:r>
            <w:r>
              <w:rPr>
                <w:rFonts w:hint="eastAsia"/>
                <w:color w:val="FF0000"/>
                <w:sz w:val="24"/>
                <w:u w:val="single"/>
              </w:rPr>
              <w:t>分布的鸟类数量减少，在采取适当的减缓措施，影响是局部的、短期的和可逆的，当</w:t>
            </w:r>
            <w:r>
              <w:rPr>
                <w:rFonts w:hint="eastAsia"/>
                <w:color w:val="FF0000"/>
                <w:sz w:val="24"/>
                <w:u w:val="single"/>
                <w:lang w:val="en-US" w:eastAsia="zh-CN"/>
              </w:rPr>
              <w:t>施工期</w:t>
            </w:r>
            <w:r>
              <w:rPr>
                <w:rFonts w:hint="eastAsia"/>
                <w:color w:val="FF0000"/>
                <w:sz w:val="24"/>
                <w:u w:val="single"/>
              </w:rPr>
              <w:t>作业完成后，其影响基本可以消除。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u w:val="single"/>
                <w:lang w:val="en-US" w:eastAsia="zh-CN"/>
              </w:rPr>
            </w:pPr>
            <w:r>
              <w:rPr>
                <w:rFonts w:hint="eastAsia" w:cs="Times New Roman"/>
                <w:color w:val="FF0000"/>
                <w:sz w:val="24"/>
                <w:szCs w:val="24"/>
                <w:u w:val="single"/>
                <w:lang w:val="en-US" w:eastAsia="zh-CN"/>
              </w:rPr>
              <w:t>a.</w:t>
            </w:r>
            <w:r>
              <w:rPr>
                <w:rFonts w:hint="default" w:ascii="Times New Roman" w:hAnsi="Times New Roman" w:eastAsia="宋体" w:cs="Times New Roman"/>
                <w:color w:val="FF0000"/>
                <w:sz w:val="24"/>
                <w:szCs w:val="24"/>
                <w:u w:val="single"/>
                <w:lang w:val="en-US" w:eastAsia="zh-CN"/>
              </w:rPr>
              <w:t>施工噪声影响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施工期间，噪声源主要为施工作业机械，受施工机械噪声影响，施工现场一定范围内将不适合鸟类的栖息和觅食，导致鸟类隐蔽空间、觅食空间，迫使鸟类等向周边适宜生境迁移。</w:t>
            </w:r>
            <w:r>
              <w:rPr>
                <w:rFonts w:hint="eastAsia" w:cs="Times New Roman"/>
                <w:color w:val="FF0000"/>
                <w:sz w:val="24"/>
                <w:szCs w:val="24"/>
                <w:u w:val="single"/>
                <w:lang w:val="en-US" w:eastAsia="zh-CN"/>
              </w:rPr>
              <w:t>本项目施工主要集中在人工湿地，占地范围较小，候鸟可以</w:t>
            </w:r>
            <w:r>
              <w:rPr>
                <w:rFonts w:hint="default" w:ascii="Times New Roman" w:hAnsi="Times New Roman" w:eastAsia="宋体" w:cs="Times New Roman"/>
                <w:color w:val="FF0000"/>
                <w:sz w:val="24"/>
                <w:szCs w:val="24"/>
                <w:u w:val="single"/>
                <w:lang w:val="en-US" w:eastAsia="zh-CN"/>
              </w:rPr>
              <w:t>较轻松地就近寻找到其它适于栖息和生活的地方。因而，总体上施工噪声对鸟类栖息影响较小。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u w:val="single"/>
                <w:lang w:val="en-US" w:eastAsia="zh-CN"/>
              </w:rPr>
            </w:pPr>
            <w:r>
              <w:rPr>
                <w:rFonts w:hint="eastAsia" w:cs="Times New Roman"/>
                <w:color w:val="FF0000"/>
                <w:sz w:val="24"/>
                <w:szCs w:val="24"/>
                <w:u w:val="single"/>
                <w:lang w:val="en-US" w:eastAsia="zh-CN"/>
              </w:rPr>
              <w:t>b.</w:t>
            </w:r>
            <w:r>
              <w:rPr>
                <w:rFonts w:hint="default" w:ascii="Times New Roman" w:hAnsi="Times New Roman" w:eastAsia="宋体" w:cs="Times New Roman"/>
                <w:color w:val="FF0000"/>
                <w:sz w:val="24"/>
                <w:szCs w:val="24"/>
                <w:u w:val="single"/>
                <w:lang w:val="en-US" w:eastAsia="zh-CN"/>
              </w:rPr>
              <w:t>灯光影响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早晨、黄昏及晚上是鸟类活动、繁殖和觅食的高峰时段。若夜间施工，施工场地灯光光照强度较大，将对保护区内的夜行性鸟类如夜鹭等产生一定影响，影响鸟类正常的繁殖和觅食等活动。</w:t>
            </w:r>
            <w:r>
              <w:rPr>
                <w:rFonts w:hint="eastAsia" w:cs="Times New Roman"/>
                <w:color w:val="FF0000"/>
                <w:sz w:val="24"/>
                <w:szCs w:val="24"/>
                <w:u w:val="single"/>
                <w:lang w:val="en-US" w:eastAsia="zh-CN"/>
              </w:rPr>
              <w:t>故本项目要求</w:t>
            </w:r>
            <w:r>
              <w:rPr>
                <w:rFonts w:hint="default" w:ascii="Times New Roman" w:hAnsi="Times New Roman" w:eastAsia="宋体" w:cs="Times New Roman"/>
                <w:color w:val="FF0000"/>
                <w:sz w:val="24"/>
                <w:szCs w:val="24"/>
                <w:u w:val="single"/>
                <w:lang w:val="en-US" w:eastAsia="zh-CN"/>
              </w:rPr>
              <w:t>施工时间为早7:00——晚7:00，禁止夜间作业，这种影响较小。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u w:val="single"/>
                <w:lang w:val="en-US" w:eastAsia="zh-CN"/>
              </w:rPr>
            </w:pPr>
            <w:r>
              <w:rPr>
                <w:rFonts w:hint="eastAsia" w:cs="Times New Roman"/>
                <w:color w:val="FF0000"/>
                <w:sz w:val="24"/>
                <w:szCs w:val="24"/>
                <w:u w:val="single"/>
                <w:lang w:val="en-US" w:eastAsia="zh-CN"/>
              </w:rPr>
              <w:t>c.</w:t>
            </w:r>
            <w:r>
              <w:rPr>
                <w:rFonts w:hint="default" w:ascii="Times New Roman" w:hAnsi="Times New Roman" w:eastAsia="宋体" w:cs="Times New Roman"/>
                <w:color w:val="FF0000"/>
                <w:sz w:val="24"/>
                <w:szCs w:val="24"/>
                <w:u w:val="single"/>
                <w:lang w:val="en-US" w:eastAsia="zh-CN"/>
              </w:rPr>
              <w:t>水污染影响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评价区内有一些在水体中或水体附近活动的鸟类，如水禽、亚水禽和傍水禽，工程对它们的影响除了噪声影响之外，更重要的是施工对水质的影响将影响它们的栖息环境。因此，施工时应务必加强施工环境监理和环境管理，尽量减小对水质的扰动和污染，以减小水质变化对水域附近鸟类的影响。</w:t>
            </w:r>
            <w:r>
              <w:rPr>
                <w:rFonts w:hint="eastAsia" w:cs="Times New Roman"/>
                <w:color w:val="FF0000"/>
                <w:sz w:val="24"/>
                <w:szCs w:val="24"/>
                <w:u w:val="single"/>
                <w:lang w:val="en-US" w:eastAsia="zh-CN"/>
              </w:rPr>
              <w:t>本项目对水体的扰动，集中在青山岛的鱼塘内，不会对青山岛外的的水体造成扰动等不利影响。候鸟可以</w:t>
            </w:r>
            <w:r>
              <w:rPr>
                <w:rFonts w:hint="default" w:ascii="Times New Roman" w:hAnsi="Times New Roman" w:eastAsia="宋体" w:cs="Times New Roman"/>
                <w:color w:val="FF0000"/>
                <w:sz w:val="24"/>
                <w:szCs w:val="24"/>
                <w:u w:val="single"/>
                <w:lang w:val="en-US" w:eastAsia="zh-CN"/>
              </w:rPr>
              <w:t>较轻松地就近寻找到</w:t>
            </w:r>
            <w:r>
              <w:rPr>
                <w:rFonts w:hint="eastAsia" w:ascii="Times New Roman" w:hAnsi="Times New Roman" w:eastAsia="宋体" w:cs="Times New Roman"/>
                <w:color w:val="FF0000"/>
                <w:sz w:val="24"/>
                <w:szCs w:val="24"/>
                <w:u w:val="single"/>
                <w:lang w:val="en-US" w:eastAsia="zh-CN"/>
              </w:rPr>
              <w:t>其他水源，不会影响到候鸟栖息环境。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因此，从拟建项目周边整个生态环境角度出发，工程建设不会使周边鸟类生境发生较大改变，不会对鸟类的生存产生较大影响。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4）对哺乳动物的影响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本项目施工过程中产生的噪声污染和粉尘会对兽类的生存和活动产生一定的负面影响项目人为活动较多，大型兽类较少，且无濒危物种，哺乳动物主要为田鼠、食虫类等常见小型兽类，适应能力较强，因此工程建设对兽类影响程度较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③水土流失影响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本项目水土流失主要时段在工程施工期，施工过程中土方临时堆存防护措施等。本项目施工过程中，遇降雨应采取彩条布及时对开挖面进行覆盖，彩布条可重复利用。同时在施工营地周边布置临时排水沟，临时排水沟采用土沟形式、内壁夯实，临时排水沟采用梯形断面。临时排水沟末端设置临时沉沙池。</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④对景观影响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景观是由斑块、基质和廊道组成。从现有的景观类型和格局来看，现有景观以人工绿化景观和河湖等</w:t>
            </w:r>
            <w:r>
              <w:rPr>
                <w:rFonts w:hint="eastAsia" w:cs="Times New Roman"/>
                <w:color w:val="auto"/>
                <w:sz w:val="24"/>
                <w:szCs w:val="24"/>
                <w:u w:val="none"/>
                <w:lang w:val="en-US" w:eastAsia="zh-CN"/>
              </w:rPr>
              <w:t>乡村</w:t>
            </w:r>
            <w:r>
              <w:rPr>
                <w:rFonts w:hint="default" w:ascii="Times New Roman" w:hAnsi="Times New Roman" w:eastAsia="宋体" w:cs="Times New Roman"/>
                <w:color w:val="auto"/>
                <w:sz w:val="24"/>
                <w:szCs w:val="24"/>
                <w:u w:val="none"/>
                <w:lang w:val="en-US" w:eastAsia="zh-CN"/>
              </w:rPr>
              <w:t>景观为主，景观结构相对单一，施工过程中，土方的开挖使局部地形、地貌景观破碎化程度加剧，影响到周围环境的整体性和连续性，改变了原有景观的格局和动态，使区域景观多样性下降，工程建设过程中修筑临时坡道，将产生一定数量的裸露边坡，对视觉景观产生一定影响，但由于施工区域集中在工程用地范围内，因此，直接影响范围相对较小。虽然施工对景观的影响无法避免，但总体影响使暂时的，随着施工结束，通过对所占地的恢复及绿化美化措施，景观可恢复到之前的水平，并且施工结束后，部分水域两岸堆存的垃圾杂物等得到清理，使河水域两侧的景观得到恢复。</w:t>
            </w:r>
          </w:p>
          <w:p>
            <w:pPr>
              <w:spacing w:line="360" w:lineRule="auto"/>
              <w:ind w:firstLine="482" w:firstLineChars="200"/>
              <w:rPr>
                <w:rFonts w:hint="default" w:ascii="Times New Roman" w:hAnsi="Times New Roman" w:eastAsia="宋体" w:cs="Times New Roman"/>
                <w:b/>
                <w:bCs/>
                <w:color w:val="auto"/>
                <w:sz w:val="24"/>
                <w:szCs w:val="20"/>
                <w:u w:val="none"/>
              </w:rPr>
            </w:pPr>
            <w:r>
              <w:rPr>
                <w:rFonts w:hint="default" w:ascii="Times New Roman" w:hAnsi="Times New Roman" w:eastAsia="宋体" w:cs="Times New Roman"/>
                <w:b/>
                <w:bCs/>
                <w:color w:val="auto"/>
                <w:sz w:val="24"/>
                <w:szCs w:val="20"/>
                <w:u w:val="none"/>
                <w:lang w:val="en-US" w:eastAsia="zh-CN"/>
              </w:rPr>
              <w:t>（二）</w:t>
            </w:r>
            <w:r>
              <w:rPr>
                <w:rFonts w:hint="default" w:ascii="Times New Roman" w:hAnsi="Times New Roman" w:eastAsia="宋体" w:cs="Times New Roman"/>
                <w:b/>
                <w:bCs/>
                <w:color w:val="auto"/>
                <w:sz w:val="24"/>
                <w:u w:val="none"/>
              </w:rPr>
              <w:t>废气</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施工期大气污染源主要为施工扬尘、施工机械汽车尾气</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lang w:val="en-US" w:eastAsia="zh-CN"/>
              </w:rPr>
              <w:t>围堰区域内开挖产生的恶臭</w:t>
            </w:r>
            <w:r>
              <w:rPr>
                <w:rFonts w:hint="default" w:ascii="Times New Roman" w:hAnsi="Times New Roman" w:eastAsia="宋体" w:cs="Times New Roman"/>
                <w:color w:val="auto"/>
                <w:sz w:val="24"/>
                <w:u w:val="none"/>
              </w:rPr>
              <w:t>。</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（1）施工扬尘</w:t>
            </w:r>
          </w:p>
          <w:p>
            <w:pPr>
              <w:spacing w:line="360" w:lineRule="auto"/>
              <w:ind w:firstLine="480" w:firstLineChars="200"/>
              <w:rPr>
                <w:rFonts w:hint="default" w:ascii="Times New Roman" w:hAnsi="Times New Roman" w:eastAsia="宋体" w:cs="Times New Roman"/>
                <w:color w:val="auto"/>
                <w:spacing w:val="-2"/>
                <w:sz w:val="24"/>
                <w:u w:val="none"/>
              </w:rPr>
            </w:pPr>
            <w:r>
              <w:rPr>
                <w:rFonts w:hint="default" w:ascii="Times New Roman" w:hAnsi="Times New Roman" w:eastAsia="宋体" w:cs="Times New Roman"/>
                <w:color w:val="auto"/>
                <w:sz w:val="24"/>
                <w:u w:val="none"/>
              </w:rPr>
              <w:t>施工期废气污染物主要来自施工扬尘和施工车辆运输产生的扬尘，主要为</w:t>
            </w:r>
            <w:r>
              <w:rPr>
                <w:rFonts w:hint="default" w:ascii="Times New Roman" w:hAnsi="Times New Roman" w:eastAsia="宋体" w:cs="Times New Roman"/>
                <w:color w:val="auto"/>
                <w:spacing w:val="-2"/>
                <w:sz w:val="24"/>
                <w:u w:val="none"/>
              </w:rPr>
              <w:t>施工场地的土方挖掘、装卸和运输过程产生的扬尘、填方扬尘；建筑材料、砂子等装卸、堆放的扬尘；建筑物料的车辆运输造成的道路扬尘；施工垃圾的堆放造成的扬尘。</w:t>
            </w:r>
          </w:p>
          <w:p>
            <w:pPr>
              <w:spacing w:line="360" w:lineRule="auto"/>
              <w:ind w:firstLine="480" w:firstLineChars="200"/>
              <w:rPr>
                <w:rFonts w:hint="default" w:ascii="Times New Roman" w:hAnsi="Times New Roman" w:eastAsia="宋体" w:cs="Times New Roman"/>
                <w:color w:val="auto"/>
                <w:sz w:val="24"/>
                <w:szCs w:val="22"/>
                <w:u w:val="none"/>
              </w:rPr>
            </w:pPr>
            <w:r>
              <w:rPr>
                <w:rFonts w:hint="default" w:ascii="Times New Roman" w:hAnsi="Times New Roman" w:eastAsia="宋体" w:cs="Times New Roman"/>
                <w:color w:val="auto"/>
                <w:sz w:val="24"/>
                <w:szCs w:val="22"/>
                <w:u w:val="none"/>
              </w:rPr>
              <w:t>根据国内外有关研究资料，施工扬尘起尘量与许多因素有关。挖土机等在工作时的起尘量与挖坑深度、挖土机抓斗与地面的相对高度、风速、土壤的颗粒度、土壤含水量等有关。对于渣土堆场而言，起尘量还与堆放方式、起动风速及堆场有无防护措施等有关。国内外的研究结果和类比研究表明，在起动风速以上，影响起尘量的主要因素分别为：防护措施、风速、土壤湿度、挖土方式或土堆的堆放方式等。施工扬尘的情况随着施工阶段的不同而不同，其造成的污染影响是局部和短期的，施工结束后就会消失。</w:t>
            </w:r>
          </w:p>
          <w:p>
            <w:pPr>
              <w:spacing w:line="360" w:lineRule="auto"/>
              <w:ind w:firstLine="480" w:firstLineChars="200"/>
              <w:rPr>
                <w:rFonts w:hint="default" w:ascii="Times New Roman" w:hAnsi="Times New Roman" w:eastAsia="宋体" w:cs="Times New Roman"/>
                <w:color w:val="auto"/>
                <w:kern w:val="0"/>
                <w:sz w:val="24"/>
                <w:u w:val="none"/>
                <w:lang w:bidi="ar"/>
              </w:rPr>
            </w:pPr>
            <w:r>
              <w:rPr>
                <w:rFonts w:hint="default" w:ascii="Times New Roman" w:hAnsi="Times New Roman" w:eastAsia="宋体" w:cs="Times New Roman"/>
                <w:color w:val="auto"/>
                <w:sz w:val="24"/>
                <w:szCs w:val="22"/>
                <w:u w:val="none"/>
              </w:rPr>
              <w:t>施工阶段，应在工程施工边界设置高</w:t>
            </w:r>
            <w:r>
              <w:rPr>
                <w:rFonts w:hint="default" w:ascii="Times New Roman" w:hAnsi="Times New Roman" w:eastAsia="宋体" w:cs="Times New Roman"/>
                <w:color w:val="auto"/>
                <w:sz w:val="24"/>
                <w:szCs w:val="22"/>
                <w:u w:val="none"/>
                <w:lang w:val="en-US" w:eastAsia="zh-CN"/>
              </w:rPr>
              <w:t>2</w:t>
            </w:r>
            <w:r>
              <w:rPr>
                <w:rFonts w:hint="default" w:ascii="Times New Roman" w:hAnsi="Times New Roman" w:eastAsia="宋体" w:cs="Times New Roman"/>
                <w:color w:val="auto"/>
                <w:sz w:val="24"/>
                <w:szCs w:val="22"/>
                <w:u w:val="none"/>
              </w:rPr>
              <w:t>m的围挡，并定期洒水降尘，尽可能的降低扬尘对敏感点的影响。</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（2）汽车尾气</w:t>
            </w:r>
          </w:p>
          <w:p>
            <w:pPr>
              <w:spacing w:line="360" w:lineRule="auto"/>
              <w:ind w:firstLine="480" w:firstLineChars="200"/>
              <w:rPr>
                <w:rFonts w:hint="default" w:ascii="Times New Roman" w:hAnsi="Times New Roman" w:eastAsia="宋体" w:cs="Times New Roman"/>
                <w:color w:val="auto"/>
                <w:sz w:val="24"/>
                <w:szCs w:val="22"/>
                <w:u w:val="none"/>
              </w:rPr>
            </w:pPr>
            <w:r>
              <w:rPr>
                <w:rFonts w:hint="default" w:ascii="Times New Roman" w:hAnsi="Times New Roman" w:eastAsia="宋体" w:cs="Times New Roman"/>
                <w:color w:val="auto"/>
                <w:sz w:val="24"/>
                <w:u w:val="none"/>
              </w:rPr>
              <w:t>本项目施工过程中</w:t>
            </w:r>
            <w:r>
              <w:rPr>
                <w:rFonts w:hint="eastAsia" w:cs="Times New Roman"/>
                <w:color w:val="auto"/>
                <w:sz w:val="24"/>
                <w:u w:val="none"/>
                <w:lang w:val="en-US" w:eastAsia="zh-CN"/>
              </w:rPr>
              <w:t>混凝土</w:t>
            </w:r>
            <w:r>
              <w:rPr>
                <w:rFonts w:hint="default" w:ascii="Times New Roman" w:hAnsi="Times New Roman" w:eastAsia="宋体" w:cs="Times New Roman"/>
                <w:color w:val="auto"/>
                <w:sz w:val="24"/>
                <w:u w:val="none"/>
              </w:rPr>
              <w:t>、水泥、砂子、建材、垃圾和弃土等需汽车运输，有汽车尾气排放。工程施工周期较长，施工期运输车辆较多，大型施工运输车辆产生车辆尾气会在期间对周围空气产生一定的影响。</w:t>
            </w:r>
            <w:r>
              <w:rPr>
                <w:rFonts w:hint="default" w:ascii="Times New Roman" w:hAnsi="Times New Roman" w:eastAsia="宋体" w:cs="Times New Roman"/>
                <w:color w:val="auto"/>
                <w:sz w:val="24"/>
                <w:szCs w:val="22"/>
                <w:u w:val="none"/>
              </w:rPr>
              <w:t>由于烟气排放量较小，且工程施工场地地形开阔，年均风速较大，有利于大气污染物扩散，同时废气污染源具有间歇性和流动性，因此施工机械尾气对周边环境空气影响较小。</w:t>
            </w:r>
          </w:p>
          <w:p>
            <w:pPr>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lang w:val="en-US" w:eastAsia="zh-CN"/>
              </w:rPr>
              <w:t>3</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lang w:val="en-US" w:eastAsia="zh-CN"/>
              </w:rPr>
              <w:t>围堰区域内开挖产生的恶臭</w:t>
            </w:r>
          </w:p>
          <w:p>
            <w:pPr>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由于本项目</w:t>
            </w:r>
            <w:r>
              <w:rPr>
                <w:rFonts w:hint="eastAsia" w:cs="Times New Roman"/>
                <w:color w:val="auto"/>
                <w:sz w:val="24"/>
                <w:u w:val="none"/>
                <w:lang w:val="en-US" w:eastAsia="zh-CN"/>
              </w:rPr>
              <w:t>鱼塘</w:t>
            </w:r>
            <w:r>
              <w:rPr>
                <w:rFonts w:hint="default" w:ascii="Times New Roman" w:hAnsi="Times New Roman" w:eastAsia="宋体" w:cs="Times New Roman"/>
                <w:color w:val="auto"/>
                <w:sz w:val="24"/>
                <w:u w:val="none"/>
                <w:lang w:val="en-US" w:eastAsia="zh-CN"/>
              </w:rPr>
              <w:t>底泥中掺杂有部分腐殖质，围堰区域内开挖过程中，在受到扰动的情况下，会引起恶臭物质呈无组织状态释放，从而影响周围的环境空气质量，附近空气中的恶臭污染物浓度将增高，根据类似工程的调查结果，作业区和压滤场内均能感受到恶臭气味的存在，恶臭强度约为2~3级（臭气强度可分为6级，即0~5级，3级为明显臭，4级为强臭，5级为剧臭），影响范围在50m左右，有风时，下风向影响范围越大，本次环评采用类比法分析恶臭物质污染级别，参照类似河湖清淤疏浚工程污染物恶臭级别见下表。</w:t>
            </w:r>
          </w:p>
          <w:p>
            <w:pPr>
              <w:pStyle w:val="14"/>
              <w:keepNext w:val="0"/>
              <w:keepLines w:val="0"/>
              <w:pageBreakBefore w:val="0"/>
              <w:widowControl w:val="0"/>
              <w:kinsoku/>
              <w:wordWrap/>
              <w:overflowPunct/>
              <w:topLinePunct w:val="0"/>
              <w:autoSpaceDE/>
              <w:autoSpaceDN/>
              <w:bidi w:val="0"/>
              <w:adjustRightInd/>
              <w:snapToGrid/>
              <w:spacing w:before="0" w:beforeLines="0" w:line="240" w:lineRule="auto"/>
              <w:jc w:val="left"/>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表4-1</w:t>
            </w:r>
            <w:r>
              <w:rPr>
                <w:rFonts w:hint="eastAsia" w:cs="Times New Roman"/>
                <w:color w:val="auto"/>
                <w:u w:val="none"/>
                <w:lang w:val="en-US" w:eastAsia="zh-CN"/>
              </w:rPr>
              <w:t xml:space="preserve">                  </w:t>
            </w:r>
            <w:r>
              <w:rPr>
                <w:rFonts w:hint="default" w:ascii="Times New Roman" w:hAnsi="Times New Roman" w:eastAsia="宋体" w:cs="Times New Roman"/>
                <w:color w:val="auto"/>
                <w:u w:val="none"/>
                <w:lang w:val="en-US" w:eastAsia="zh-CN"/>
              </w:rPr>
              <w:t xml:space="preserve"> 底泥疏挖臭气浓度表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1"/>
              <w:gridCol w:w="2711"/>
              <w:gridCol w:w="2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noWrap w:val="0"/>
                  <w:vAlign w:val="center"/>
                </w:tcPr>
                <w:p>
                  <w:pPr>
                    <w:pStyle w:val="106"/>
                    <w:bidi w:val="0"/>
                    <w:rPr>
                      <w:rFonts w:hint="default" w:ascii="Times New Roman" w:hAnsi="Times New Roman" w:eastAsia="宋体" w:cs="Times New Roman"/>
                      <w:color w:val="auto"/>
                      <w:u w:val="none"/>
                      <w:lang w:val="en-US" w:eastAsia="zh-CN" w:bidi="ar-SA"/>
                    </w:rPr>
                  </w:pPr>
                  <w:r>
                    <w:rPr>
                      <w:rFonts w:hint="default" w:ascii="Times New Roman" w:hAnsi="Times New Roman" w:eastAsia="宋体" w:cs="Times New Roman"/>
                      <w:color w:val="auto"/>
                      <w:u w:val="none"/>
                      <w:lang w:val="en-US" w:eastAsia="zh-CN" w:bidi="ar-SA"/>
                    </w:rPr>
                    <w:t>距离</w:t>
                  </w:r>
                </w:p>
              </w:tc>
              <w:tc>
                <w:tcPr>
                  <w:tcW w:w="1666" w:type="pct"/>
                  <w:noWrap w:val="0"/>
                  <w:vAlign w:val="center"/>
                </w:tcPr>
                <w:p>
                  <w:pPr>
                    <w:pStyle w:val="106"/>
                    <w:bidi w:val="0"/>
                    <w:rPr>
                      <w:rFonts w:hint="default" w:ascii="Times New Roman" w:hAnsi="Times New Roman" w:eastAsia="宋体" w:cs="Times New Roman"/>
                      <w:color w:val="auto"/>
                      <w:u w:val="none"/>
                      <w:lang w:val="en-US" w:eastAsia="zh-CN" w:bidi="ar-SA"/>
                    </w:rPr>
                  </w:pPr>
                  <w:r>
                    <w:rPr>
                      <w:rFonts w:hint="default" w:ascii="Times New Roman" w:hAnsi="Times New Roman" w:eastAsia="宋体" w:cs="Times New Roman"/>
                      <w:color w:val="auto"/>
                      <w:u w:val="none"/>
                      <w:lang w:val="en-US" w:eastAsia="zh-CN" w:bidi="ar-SA"/>
                    </w:rPr>
                    <w:t>臭气感觉强度</w:t>
                  </w:r>
                </w:p>
              </w:tc>
              <w:tc>
                <w:tcPr>
                  <w:tcW w:w="1666" w:type="pct"/>
                  <w:noWrap w:val="0"/>
                  <w:vAlign w:val="center"/>
                </w:tcPr>
                <w:p>
                  <w:pPr>
                    <w:pStyle w:val="106"/>
                    <w:bidi w:val="0"/>
                    <w:rPr>
                      <w:rFonts w:hint="default" w:ascii="Times New Roman" w:hAnsi="Times New Roman" w:eastAsia="宋体" w:cs="Times New Roman"/>
                      <w:color w:val="auto"/>
                      <w:u w:val="none"/>
                      <w:lang w:val="en-US" w:eastAsia="zh-CN" w:bidi="ar-SA"/>
                    </w:rPr>
                  </w:pPr>
                  <w:r>
                    <w:rPr>
                      <w:rFonts w:hint="default" w:ascii="Times New Roman" w:hAnsi="Times New Roman" w:eastAsia="宋体" w:cs="Times New Roman"/>
                      <w:color w:val="auto"/>
                      <w:u w:val="none"/>
                      <w:lang w:val="en-US" w:eastAsia="zh-CN" w:bidi="ar-SA"/>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noWrap w:val="0"/>
                  <w:vAlign w:val="center"/>
                </w:tcPr>
                <w:p>
                  <w:pPr>
                    <w:pStyle w:val="106"/>
                    <w:bidi w:val="0"/>
                    <w:rPr>
                      <w:rFonts w:hint="default" w:ascii="Times New Roman" w:hAnsi="Times New Roman" w:eastAsia="宋体" w:cs="Times New Roman"/>
                      <w:color w:val="auto"/>
                      <w:u w:val="none"/>
                      <w:lang w:val="en-US" w:eastAsia="zh-CN" w:bidi="ar-SA"/>
                    </w:rPr>
                  </w:pPr>
                  <w:r>
                    <w:rPr>
                      <w:rFonts w:hint="default" w:ascii="Times New Roman" w:hAnsi="Times New Roman" w:eastAsia="宋体" w:cs="Times New Roman"/>
                      <w:color w:val="auto"/>
                      <w:u w:val="none"/>
                      <w:lang w:val="en-US" w:eastAsia="zh-CN" w:bidi="ar-SA"/>
                    </w:rPr>
                    <w:t>岸边</w:t>
                  </w:r>
                </w:p>
              </w:tc>
              <w:tc>
                <w:tcPr>
                  <w:tcW w:w="1666" w:type="pct"/>
                  <w:noWrap w:val="0"/>
                  <w:vAlign w:val="center"/>
                </w:tcPr>
                <w:p>
                  <w:pPr>
                    <w:pStyle w:val="106"/>
                    <w:bidi w:val="0"/>
                    <w:rPr>
                      <w:rFonts w:hint="default" w:ascii="Times New Roman" w:hAnsi="Times New Roman" w:eastAsia="宋体" w:cs="Times New Roman"/>
                      <w:color w:val="auto"/>
                      <w:u w:val="none"/>
                      <w:lang w:val="en-US" w:eastAsia="zh-CN" w:bidi="ar-SA"/>
                    </w:rPr>
                  </w:pPr>
                  <w:r>
                    <w:rPr>
                      <w:rFonts w:hint="default" w:ascii="Times New Roman" w:hAnsi="Times New Roman" w:eastAsia="宋体" w:cs="Times New Roman"/>
                      <w:color w:val="auto"/>
                      <w:u w:val="none"/>
                      <w:lang w:val="en-US" w:eastAsia="zh-CN" w:bidi="ar-SA"/>
                    </w:rPr>
                    <w:t>有较明显的臭味</w:t>
                  </w:r>
                </w:p>
              </w:tc>
              <w:tc>
                <w:tcPr>
                  <w:tcW w:w="1666" w:type="pct"/>
                  <w:noWrap w:val="0"/>
                  <w:vAlign w:val="center"/>
                </w:tcPr>
                <w:p>
                  <w:pPr>
                    <w:pStyle w:val="106"/>
                    <w:bidi w:val="0"/>
                    <w:rPr>
                      <w:rFonts w:hint="default" w:ascii="Times New Roman" w:hAnsi="Times New Roman" w:eastAsia="宋体" w:cs="Times New Roman"/>
                      <w:color w:val="auto"/>
                      <w:u w:val="none"/>
                      <w:lang w:val="en-US" w:eastAsia="zh-CN" w:bidi="ar-SA"/>
                    </w:rPr>
                  </w:pPr>
                  <w:r>
                    <w:rPr>
                      <w:rFonts w:hint="default" w:ascii="Times New Roman" w:hAnsi="Times New Roman" w:eastAsia="宋体" w:cs="Times New Roman"/>
                      <w:color w:val="auto"/>
                      <w:u w:val="none"/>
                      <w:lang w:val="en-US" w:eastAsia="zh-CN" w:bidi="ar-SA"/>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noWrap w:val="0"/>
                  <w:vAlign w:val="center"/>
                </w:tcPr>
                <w:p>
                  <w:pPr>
                    <w:pStyle w:val="106"/>
                    <w:bidi w:val="0"/>
                    <w:rPr>
                      <w:rFonts w:hint="default" w:ascii="Times New Roman" w:hAnsi="Times New Roman" w:eastAsia="宋体" w:cs="Times New Roman"/>
                      <w:color w:val="auto"/>
                      <w:u w:val="none"/>
                      <w:lang w:val="en-US" w:eastAsia="zh-CN" w:bidi="ar-SA"/>
                    </w:rPr>
                  </w:pPr>
                  <w:r>
                    <w:rPr>
                      <w:rFonts w:hint="default" w:ascii="Times New Roman" w:hAnsi="Times New Roman" w:eastAsia="宋体" w:cs="Times New Roman"/>
                      <w:color w:val="auto"/>
                      <w:u w:val="none"/>
                      <w:lang w:val="en-US" w:eastAsia="zh-CN" w:bidi="ar-SA"/>
                    </w:rPr>
                    <w:t>岸边30m</w:t>
                  </w:r>
                </w:p>
              </w:tc>
              <w:tc>
                <w:tcPr>
                  <w:tcW w:w="1666" w:type="pct"/>
                  <w:noWrap w:val="0"/>
                  <w:vAlign w:val="center"/>
                </w:tcPr>
                <w:p>
                  <w:pPr>
                    <w:pStyle w:val="106"/>
                    <w:bidi w:val="0"/>
                    <w:rPr>
                      <w:rFonts w:hint="default" w:ascii="Times New Roman" w:hAnsi="Times New Roman" w:eastAsia="宋体" w:cs="Times New Roman"/>
                      <w:color w:val="auto"/>
                      <w:u w:val="none"/>
                      <w:lang w:val="en-US" w:eastAsia="zh-CN" w:bidi="ar-SA"/>
                    </w:rPr>
                  </w:pPr>
                  <w:r>
                    <w:rPr>
                      <w:rFonts w:hint="default" w:ascii="Times New Roman" w:hAnsi="Times New Roman" w:eastAsia="宋体" w:cs="Times New Roman"/>
                      <w:color w:val="auto"/>
                      <w:u w:val="none"/>
                      <w:lang w:val="en-US" w:eastAsia="zh-CN" w:bidi="ar-SA"/>
                    </w:rPr>
                    <w:t>轻微</w:t>
                  </w:r>
                </w:p>
              </w:tc>
              <w:tc>
                <w:tcPr>
                  <w:tcW w:w="1666" w:type="pct"/>
                  <w:noWrap w:val="0"/>
                  <w:vAlign w:val="center"/>
                </w:tcPr>
                <w:p>
                  <w:pPr>
                    <w:pStyle w:val="106"/>
                    <w:bidi w:val="0"/>
                    <w:rPr>
                      <w:rFonts w:hint="default" w:ascii="Times New Roman" w:hAnsi="Times New Roman" w:eastAsia="宋体" w:cs="Times New Roman"/>
                      <w:color w:val="auto"/>
                      <w:u w:val="none"/>
                      <w:lang w:val="en-US" w:eastAsia="zh-CN" w:bidi="ar-SA"/>
                    </w:rPr>
                  </w:pPr>
                  <w:r>
                    <w:rPr>
                      <w:rFonts w:hint="default" w:ascii="Times New Roman" w:hAnsi="Times New Roman" w:eastAsia="宋体" w:cs="Times New Roman"/>
                      <w:color w:val="auto"/>
                      <w:u w:val="none"/>
                      <w:lang w:val="en-US" w:eastAsia="zh-CN" w:bidi="ar-SA"/>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noWrap w:val="0"/>
                  <w:vAlign w:val="center"/>
                </w:tcPr>
                <w:p>
                  <w:pPr>
                    <w:pStyle w:val="106"/>
                    <w:bidi w:val="0"/>
                    <w:rPr>
                      <w:rFonts w:hint="default" w:ascii="Times New Roman" w:hAnsi="Times New Roman" w:eastAsia="宋体" w:cs="Times New Roman"/>
                      <w:color w:val="auto"/>
                      <w:u w:val="none"/>
                      <w:lang w:val="en-US" w:eastAsia="zh-CN" w:bidi="ar-SA"/>
                    </w:rPr>
                  </w:pPr>
                  <w:r>
                    <w:rPr>
                      <w:rFonts w:hint="default" w:ascii="Times New Roman" w:hAnsi="Times New Roman" w:eastAsia="宋体" w:cs="Times New Roman"/>
                      <w:color w:val="auto"/>
                      <w:u w:val="none"/>
                      <w:lang w:val="en-US" w:eastAsia="zh-CN" w:bidi="ar-SA"/>
                    </w:rPr>
                    <w:t>岸边80m</w:t>
                  </w:r>
                </w:p>
              </w:tc>
              <w:tc>
                <w:tcPr>
                  <w:tcW w:w="1666" w:type="pct"/>
                  <w:noWrap w:val="0"/>
                  <w:vAlign w:val="center"/>
                </w:tcPr>
                <w:p>
                  <w:pPr>
                    <w:pStyle w:val="106"/>
                    <w:bidi w:val="0"/>
                    <w:rPr>
                      <w:rFonts w:hint="default" w:ascii="Times New Roman" w:hAnsi="Times New Roman" w:eastAsia="宋体" w:cs="Times New Roman"/>
                      <w:color w:val="auto"/>
                      <w:u w:val="none"/>
                      <w:lang w:val="en-US" w:eastAsia="zh-CN" w:bidi="ar-SA"/>
                    </w:rPr>
                  </w:pPr>
                  <w:r>
                    <w:rPr>
                      <w:rFonts w:hint="default" w:ascii="Times New Roman" w:hAnsi="Times New Roman" w:eastAsia="宋体" w:cs="Times New Roman"/>
                      <w:color w:val="auto"/>
                      <w:u w:val="none"/>
                      <w:lang w:val="en-US" w:eastAsia="zh-CN" w:bidi="ar-SA"/>
                    </w:rPr>
                    <w:t>轻微</w:t>
                  </w:r>
                </w:p>
              </w:tc>
              <w:tc>
                <w:tcPr>
                  <w:tcW w:w="1666" w:type="pct"/>
                  <w:noWrap w:val="0"/>
                  <w:vAlign w:val="center"/>
                </w:tcPr>
                <w:p>
                  <w:pPr>
                    <w:pStyle w:val="106"/>
                    <w:bidi w:val="0"/>
                    <w:rPr>
                      <w:rFonts w:hint="default" w:ascii="Times New Roman" w:hAnsi="Times New Roman" w:eastAsia="宋体" w:cs="Times New Roman"/>
                      <w:color w:val="auto"/>
                      <w:u w:val="none"/>
                      <w:lang w:val="en-US" w:eastAsia="zh-CN" w:bidi="ar-SA"/>
                    </w:rPr>
                  </w:pPr>
                  <w:r>
                    <w:rPr>
                      <w:rFonts w:hint="default" w:ascii="Times New Roman" w:hAnsi="Times New Roman" w:eastAsia="宋体" w:cs="Times New Roman"/>
                      <w:color w:val="auto"/>
                      <w:u w:val="none"/>
                      <w:lang w:val="en-US" w:eastAsia="zh-CN" w:bidi="ar-SA"/>
                    </w:rPr>
                    <w:t>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noWrap w:val="0"/>
                  <w:vAlign w:val="center"/>
                </w:tcPr>
                <w:p>
                  <w:pPr>
                    <w:pStyle w:val="106"/>
                    <w:bidi w:val="0"/>
                    <w:rPr>
                      <w:rFonts w:hint="default" w:ascii="Times New Roman" w:hAnsi="Times New Roman" w:eastAsia="宋体" w:cs="Times New Roman"/>
                      <w:color w:val="auto"/>
                      <w:u w:val="none"/>
                      <w:lang w:val="en-US" w:eastAsia="zh-CN" w:bidi="ar-SA"/>
                    </w:rPr>
                  </w:pPr>
                  <w:r>
                    <w:rPr>
                      <w:rFonts w:hint="default" w:ascii="Times New Roman" w:hAnsi="Times New Roman" w:eastAsia="宋体" w:cs="Times New Roman"/>
                      <w:color w:val="auto"/>
                      <w:u w:val="none"/>
                      <w:lang w:val="en-US" w:eastAsia="zh-CN" w:bidi="ar-SA"/>
                    </w:rPr>
                    <w:t>岸边100m外</w:t>
                  </w:r>
                </w:p>
              </w:tc>
              <w:tc>
                <w:tcPr>
                  <w:tcW w:w="1666" w:type="pct"/>
                  <w:noWrap w:val="0"/>
                  <w:vAlign w:val="center"/>
                </w:tcPr>
                <w:p>
                  <w:pPr>
                    <w:pStyle w:val="106"/>
                    <w:bidi w:val="0"/>
                    <w:rPr>
                      <w:rFonts w:hint="default" w:ascii="Times New Roman" w:hAnsi="Times New Roman" w:eastAsia="宋体" w:cs="Times New Roman"/>
                      <w:color w:val="auto"/>
                      <w:u w:val="none"/>
                      <w:lang w:val="en-US" w:eastAsia="zh-CN" w:bidi="ar-SA"/>
                    </w:rPr>
                  </w:pPr>
                  <w:r>
                    <w:rPr>
                      <w:rFonts w:hint="default" w:ascii="Times New Roman" w:hAnsi="Times New Roman" w:eastAsia="宋体" w:cs="Times New Roman"/>
                      <w:color w:val="auto"/>
                      <w:u w:val="none"/>
                      <w:lang w:val="en-US" w:eastAsia="zh-CN" w:bidi="ar-SA"/>
                    </w:rPr>
                    <w:t>无</w:t>
                  </w:r>
                </w:p>
              </w:tc>
              <w:tc>
                <w:tcPr>
                  <w:tcW w:w="1666" w:type="pct"/>
                  <w:noWrap w:val="0"/>
                  <w:vAlign w:val="center"/>
                </w:tcPr>
                <w:p>
                  <w:pPr>
                    <w:pStyle w:val="106"/>
                    <w:bidi w:val="0"/>
                    <w:rPr>
                      <w:rFonts w:hint="default" w:ascii="Times New Roman" w:hAnsi="Times New Roman" w:eastAsia="宋体" w:cs="Times New Roman"/>
                      <w:color w:val="auto"/>
                      <w:u w:val="none"/>
                      <w:lang w:val="en-US" w:eastAsia="zh-CN" w:bidi="ar-SA"/>
                    </w:rPr>
                  </w:pPr>
                  <w:r>
                    <w:rPr>
                      <w:rFonts w:hint="default" w:ascii="Times New Roman" w:hAnsi="Times New Roman" w:eastAsia="宋体" w:cs="Times New Roman"/>
                      <w:color w:val="auto"/>
                      <w:u w:val="none"/>
                      <w:lang w:val="en-US" w:eastAsia="zh-CN" w:bidi="ar-SA"/>
                    </w:rPr>
                    <w:t>0级</w:t>
                  </w:r>
                </w:p>
              </w:tc>
            </w:tr>
          </w:tbl>
          <w:p>
            <w:pPr>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从上表可知，在岸边30m气味已经轻微，在岸边100m处无影响。根据现场踏勘，本项目疏浚河湖两边30m内居民较少，另外，运输底泥过程中也会散发臭味，应合理安排运输时间，避开休息时间，采取封闭式渣土车运输底泥，尽量减少臭气对运输线路附近大气环境的影响。</w:t>
            </w:r>
          </w:p>
          <w:p>
            <w:pPr>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综上，建设单位采取措施后，本项目施工对大气环境影响较小。</w:t>
            </w:r>
          </w:p>
          <w:p>
            <w:pPr>
              <w:spacing w:line="360" w:lineRule="auto"/>
              <w:ind w:firstLine="482" w:firstLineChars="200"/>
              <w:rPr>
                <w:rFonts w:hint="default" w:ascii="Times New Roman" w:hAnsi="Times New Roman" w:eastAsia="宋体" w:cs="Times New Roman"/>
                <w:color w:val="auto"/>
                <w:spacing w:val="3"/>
                <w:sz w:val="24"/>
                <w:szCs w:val="20"/>
                <w:u w:val="none"/>
              </w:rPr>
            </w:pPr>
            <w:r>
              <w:rPr>
                <w:rFonts w:hint="default" w:ascii="Times New Roman" w:hAnsi="Times New Roman" w:eastAsia="宋体" w:cs="Times New Roman"/>
                <w:b/>
                <w:bCs/>
                <w:color w:val="auto"/>
                <w:sz w:val="24"/>
                <w:szCs w:val="20"/>
                <w:u w:val="none"/>
                <w:lang w:val="en-US" w:eastAsia="zh-CN"/>
              </w:rPr>
              <w:t>（三）</w:t>
            </w:r>
            <w:r>
              <w:rPr>
                <w:rFonts w:hint="default" w:ascii="Times New Roman" w:hAnsi="Times New Roman" w:eastAsia="宋体" w:cs="Times New Roman"/>
                <w:b/>
                <w:bCs/>
                <w:color w:val="auto"/>
                <w:sz w:val="24"/>
                <w:u w:val="none"/>
              </w:rPr>
              <w:t>噪声</w:t>
            </w:r>
          </w:p>
          <w:p>
            <w:pPr>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本项目施工期对声环境的影响主要是各种机械噪声和车辆行驶的交通噪声，噪声源强为60~100dB（A），在施工过程中，这些施工机械往往是同时作业，噪声源辐射的相互叠加，声级值将更高，辐射范围也更大。施工噪声对周边声环境的影响，采用《建筑施工场界环境噪声排放标准》（GB12523-2011）进行评价。</w:t>
            </w:r>
          </w:p>
          <w:p>
            <w:pPr>
              <w:adjustRightInd w:val="0"/>
              <w:snapToGrid w:val="0"/>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施工期的主要噪声源是各类施工机械产生的噪声，以及原材料运输时车辆引起的交通噪声。施工机械大都具有噪声高、无规律、突发性等特点，如不采取措施加以控制，往往会产生较大的噪声污染，会对施工场地附近住户的工作、生活、学习产生一定的影响。由污染源分析可知，施工机械噪声源大都为高噪声施工机械，且施工机械大都露天运行。机械噪声随距离的衰减按下式进行计算：</w:t>
            </w:r>
          </w:p>
          <w:p>
            <w:pPr>
              <w:adjustRightInd w:val="0"/>
              <w:snapToGrid w:val="0"/>
              <w:spacing w:line="360" w:lineRule="auto"/>
              <w:ind w:firstLine="420" w:firstLineChars="200"/>
              <w:jc w:val="center"/>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position w:val="-10"/>
                <w:u w:val="none"/>
              </w:rPr>
              <w:object>
                <v:shape id="_x0000_i1025" o:spt="75" type="#_x0000_t75" style="height:19.5pt;width:99.75pt;" o:ole="t" fillcolor="#6D6D6D" filled="f" o:preferrelative="t" stroked="f" coordsize="21600,21600">
                  <v:path/>
                  <v:fill on="f" focussize="0,0"/>
                  <v:stroke on="f"/>
                  <v:imagedata r:id="rId26" o:title=""/>
                  <o:lock v:ext="edit" aspectratio="t"/>
                  <w10:wrap type="none"/>
                  <w10:anchorlock/>
                </v:shape>
                <o:OLEObject Type="Embed" ProgID="Equation.3" ShapeID="_x0000_i1025" DrawAspect="Content" ObjectID="_1468075725" r:id="rId25">
                  <o:LockedField>false</o:LockedField>
                </o:OLEObject>
              </w:object>
            </w:r>
          </w:p>
          <w:p>
            <w:pPr>
              <w:adjustRightInd w:val="0"/>
              <w:snapToGrid w:val="0"/>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式中：L</w:t>
            </w:r>
            <w:r>
              <w:rPr>
                <w:rFonts w:hint="default" w:ascii="Times New Roman" w:hAnsi="Times New Roman" w:eastAsia="宋体" w:cs="Times New Roman"/>
                <w:color w:val="auto"/>
                <w:sz w:val="24"/>
                <w:u w:val="none"/>
                <w:vertAlign w:val="subscript"/>
              </w:rPr>
              <w:t>1</w:t>
            </w:r>
            <w:r>
              <w:rPr>
                <w:rFonts w:hint="default" w:ascii="Times New Roman" w:hAnsi="Times New Roman" w:eastAsia="宋体" w:cs="Times New Roman"/>
                <w:color w:val="auto"/>
                <w:sz w:val="24"/>
                <w:u w:val="none"/>
              </w:rPr>
              <w:t>、L</w:t>
            </w:r>
            <w:r>
              <w:rPr>
                <w:rFonts w:hint="default" w:ascii="Times New Roman" w:hAnsi="Times New Roman" w:eastAsia="宋体" w:cs="Times New Roman"/>
                <w:color w:val="auto"/>
                <w:sz w:val="24"/>
                <w:u w:val="none"/>
                <w:vertAlign w:val="subscript"/>
              </w:rPr>
              <w:t>2</w:t>
            </w:r>
            <w:r>
              <w:rPr>
                <w:rFonts w:hint="default" w:ascii="Times New Roman" w:hAnsi="Times New Roman" w:eastAsia="宋体" w:cs="Times New Roman"/>
                <w:color w:val="auto"/>
                <w:sz w:val="24"/>
                <w:u w:val="none"/>
              </w:rPr>
              <w:t>分别为距声源r</w:t>
            </w:r>
            <w:r>
              <w:rPr>
                <w:rFonts w:hint="default" w:ascii="Times New Roman" w:hAnsi="Times New Roman" w:eastAsia="宋体" w:cs="Times New Roman"/>
                <w:color w:val="auto"/>
                <w:sz w:val="24"/>
                <w:u w:val="none"/>
                <w:vertAlign w:val="subscript"/>
              </w:rPr>
              <w:t>1</w:t>
            </w:r>
            <w:r>
              <w:rPr>
                <w:rFonts w:hint="default" w:ascii="Times New Roman" w:hAnsi="Times New Roman" w:eastAsia="宋体" w:cs="Times New Roman"/>
                <w:color w:val="auto"/>
                <w:sz w:val="24"/>
                <w:u w:val="none"/>
              </w:rPr>
              <w:t>、r</w:t>
            </w:r>
            <w:r>
              <w:rPr>
                <w:rFonts w:hint="default" w:ascii="Times New Roman" w:hAnsi="Times New Roman" w:eastAsia="宋体" w:cs="Times New Roman"/>
                <w:color w:val="auto"/>
                <w:sz w:val="24"/>
                <w:u w:val="none"/>
                <w:vertAlign w:val="subscript"/>
              </w:rPr>
              <w:t>2</w:t>
            </w:r>
            <w:r>
              <w:rPr>
                <w:rFonts w:hint="default" w:ascii="Times New Roman" w:hAnsi="Times New Roman" w:eastAsia="宋体" w:cs="Times New Roman"/>
                <w:color w:val="auto"/>
                <w:sz w:val="24"/>
                <w:u w:val="none"/>
              </w:rPr>
              <w:t>处的等效A声级dB(A)；</w:t>
            </w:r>
          </w:p>
          <w:p>
            <w:pPr>
              <w:adjustRightInd w:val="0"/>
              <w:snapToGrid w:val="0"/>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 xml:space="preserve">      r</w:t>
            </w:r>
            <w:r>
              <w:rPr>
                <w:rFonts w:hint="default" w:ascii="Times New Roman" w:hAnsi="Times New Roman" w:eastAsia="宋体" w:cs="Times New Roman"/>
                <w:color w:val="auto"/>
                <w:sz w:val="24"/>
                <w:u w:val="none"/>
                <w:vertAlign w:val="subscript"/>
              </w:rPr>
              <w:t>1</w:t>
            </w:r>
            <w:r>
              <w:rPr>
                <w:rFonts w:hint="default" w:ascii="Times New Roman" w:hAnsi="Times New Roman" w:eastAsia="宋体" w:cs="Times New Roman"/>
                <w:color w:val="auto"/>
                <w:sz w:val="24"/>
                <w:u w:val="none"/>
              </w:rPr>
              <w:t>、r</w:t>
            </w:r>
            <w:r>
              <w:rPr>
                <w:rFonts w:hint="default" w:ascii="Times New Roman" w:hAnsi="Times New Roman" w:eastAsia="宋体" w:cs="Times New Roman"/>
                <w:color w:val="auto"/>
                <w:sz w:val="24"/>
                <w:u w:val="none"/>
                <w:vertAlign w:val="subscript"/>
              </w:rPr>
              <w:t>2</w:t>
            </w:r>
            <w:r>
              <w:rPr>
                <w:rFonts w:hint="default" w:ascii="Times New Roman" w:hAnsi="Times New Roman" w:eastAsia="宋体" w:cs="Times New Roman"/>
                <w:color w:val="auto"/>
                <w:sz w:val="24"/>
                <w:u w:val="none"/>
              </w:rPr>
              <w:t>为接受点距声源的距离，m；计算时，r</w:t>
            </w:r>
            <w:r>
              <w:rPr>
                <w:rFonts w:hint="default" w:ascii="Times New Roman" w:hAnsi="Times New Roman" w:eastAsia="宋体" w:cs="Times New Roman"/>
                <w:color w:val="auto"/>
                <w:sz w:val="24"/>
                <w:u w:val="none"/>
                <w:vertAlign w:val="subscript"/>
              </w:rPr>
              <w:t>1</w:t>
            </w:r>
            <w:r>
              <w:rPr>
                <w:rFonts w:hint="default" w:ascii="Times New Roman" w:hAnsi="Times New Roman" w:eastAsia="宋体" w:cs="Times New Roman"/>
                <w:color w:val="auto"/>
                <w:sz w:val="24"/>
                <w:u w:val="none"/>
              </w:rPr>
              <w:t>为1m。</w:t>
            </w:r>
          </w:p>
          <w:p>
            <w:pPr>
              <w:adjustRightInd w:val="0"/>
              <w:snapToGrid w:val="0"/>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各种施工机械在施工时随距离的衰减（不计施工场界围挡、周边树木的噪声衰减作用）见下表。</w:t>
            </w:r>
          </w:p>
          <w:p>
            <w:pPr>
              <w:pStyle w:val="14"/>
              <w:jc w:val="left"/>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rPr>
              <w:t>表</w:t>
            </w:r>
            <w:r>
              <w:rPr>
                <w:rFonts w:hint="default" w:ascii="Times New Roman" w:hAnsi="Times New Roman" w:eastAsia="宋体" w:cs="Times New Roman"/>
                <w:color w:val="auto"/>
                <w:u w:val="none"/>
                <w:lang w:val="en-US" w:eastAsia="zh-CN"/>
              </w:rPr>
              <w:t xml:space="preserve">4-2 </w:t>
            </w:r>
            <w:r>
              <w:rPr>
                <w:rFonts w:hint="eastAsia" w:cs="Times New Roman"/>
                <w:color w:val="auto"/>
                <w:u w:val="none"/>
                <w:lang w:val="en-US" w:eastAsia="zh-CN"/>
              </w:rPr>
              <w:t xml:space="preserve">                </w:t>
            </w:r>
            <w:r>
              <w:rPr>
                <w:rFonts w:hint="default" w:ascii="Times New Roman" w:hAnsi="Times New Roman" w:eastAsia="宋体" w:cs="Times New Roman"/>
                <w:b/>
                <w:bCs/>
                <w:color w:val="auto"/>
                <w:kern w:val="2"/>
                <w:szCs w:val="24"/>
                <w:u w:val="none"/>
              </w:rPr>
              <w:t>施工机械</w:t>
            </w:r>
            <w:r>
              <w:rPr>
                <w:rFonts w:hint="default" w:ascii="Times New Roman" w:hAnsi="Times New Roman" w:eastAsia="宋体" w:cs="Times New Roman"/>
                <w:b/>
                <w:bCs/>
                <w:color w:val="auto"/>
                <w:kern w:val="2"/>
                <w:szCs w:val="24"/>
                <w:u w:val="none"/>
                <w:lang w:eastAsia="zh-CN"/>
              </w:rPr>
              <w:t>在</w:t>
            </w:r>
            <w:r>
              <w:rPr>
                <w:rFonts w:hint="default" w:ascii="Times New Roman" w:hAnsi="Times New Roman" w:eastAsia="宋体" w:cs="Times New Roman"/>
                <w:color w:val="auto"/>
                <w:u w:val="none"/>
              </w:rPr>
              <w:t>不同距离的噪声预测值</w:t>
            </w:r>
            <w:r>
              <w:rPr>
                <w:rFonts w:hint="default" w:ascii="Times New Roman" w:hAnsi="Times New Roman" w:eastAsia="宋体" w:cs="Times New Roman"/>
                <w:color w:val="auto"/>
                <w:u w:val="none"/>
                <w:lang w:eastAsia="zh-CN"/>
              </w:rPr>
              <w:t>表</w:t>
            </w:r>
            <w:r>
              <w:rPr>
                <w:rFonts w:hint="eastAsia" w:cs="Times New Roman"/>
                <w:color w:val="auto"/>
                <w:u w:val="none"/>
                <w:lang w:val="en-US" w:eastAsia="zh-CN"/>
              </w:rPr>
              <w:t xml:space="preserve">       </w:t>
            </w:r>
            <w:r>
              <w:rPr>
                <w:rFonts w:hint="default" w:ascii="Times New Roman" w:hAnsi="Times New Roman" w:eastAsia="宋体" w:cs="Times New Roman"/>
                <w:b/>
                <w:bCs/>
                <w:color w:val="auto"/>
                <w:kern w:val="2"/>
                <w:szCs w:val="24"/>
                <w:u w:val="none"/>
              </w:rPr>
              <w:t xml:space="preserve"> </w:t>
            </w:r>
            <w:r>
              <w:rPr>
                <w:rFonts w:hint="default" w:ascii="Times New Roman" w:hAnsi="Times New Roman" w:eastAsia="宋体" w:cs="Times New Roman"/>
                <w:b/>
                <w:bCs/>
                <w:color w:val="auto"/>
                <w:kern w:val="2"/>
                <w:szCs w:val="24"/>
                <w:u w:val="none"/>
                <w:lang w:val="en-US" w:eastAsia="zh-CN"/>
              </w:rPr>
              <w:t xml:space="preserve"> </w:t>
            </w:r>
            <w:r>
              <w:rPr>
                <w:rFonts w:hint="default" w:ascii="Times New Roman" w:hAnsi="Times New Roman" w:eastAsia="宋体" w:cs="Times New Roman"/>
                <w:b/>
                <w:bCs/>
                <w:color w:val="auto"/>
                <w:kern w:val="2"/>
                <w:szCs w:val="24"/>
                <w:u w:val="none"/>
              </w:rPr>
              <w:t>单位：dB（A）</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666"/>
              <w:gridCol w:w="814"/>
              <w:gridCol w:w="814"/>
              <w:gridCol w:w="814"/>
              <w:gridCol w:w="814"/>
              <w:gridCol w:w="814"/>
              <w:gridCol w:w="960"/>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9" w:type="pct"/>
                  <w:tcBorders>
                    <w:top w:val="single" w:color="000000" w:sz="4" w:space="0"/>
                    <w:tl2br w:val="nil"/>
                    <w:tr2bl w:val="nil"/>
                  </w:tcBorders>
                  <w:noWrap w:val="0"/>
                  <w:vAlign w:val="center"/>
                </w:tcPr>
                <w:p>
                  <w:pPr>
                    <w:pStyle w:val="106"/>
                    <w:bidi w:val="0"/>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施工设备</w:t>
                  </w:r>
                </w:p>
              </w:tc>
              <w:tc>
                <w:tcPr>
                  <w:tcW w:w="410" w:type="pct"/>
                  <w:tcBorders>
                    <w:top w:val="single" w:color="000000" w:sz="4" w:space="0"/>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5m</w:t>
                  </w:r>
                </w:p>
              </w:tc>
              <w:tc>
                <w:tcPr>
                  <w:tcW w:w="500" w:type="pct"/>
                  <w:tcBorders>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10m</w:t>
                  </w:r>
                </w:p>
              </w:tc>
              <w:tc>
                <w:tcPr>
                  <w:tcW w:w="500" w:type="pct"/>
                  <w:tcBorders>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20m</w:t>
                  </w:r>
                </w:p>
              </w:tc>
              <w:tc>
                <w:tcPr>
                  <w:tcW w:w="500" w:type="pct"/>
                  <w:tcBorders>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4</w:t>
                  </w:r>
                  <w:r>
                    <w:rPr>
                      <w:rFonts w:hint="default" w:ascii="Times New Roman" w:hAnsi="Times New Roman" w:eastAsia="宋体" w:cs="Times New Roman"/>
                      <w:color w:val="auto"/>
                      <w:u w:val="none"/>
                    </w:rPr>
                    <w:t>0m</w:t>
                  </w:r>
                </w:p>
              </w:tc>
              <w:tc>
                <w:tcPr>
                  <w:tcW w:w="500" w:type="pct"/>
                  <w:tcBorders>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6</w:t>
                  </w:r>
                  <w:r>
                    <w:rPr>
                      <w:rFonts w:hint="default" w:ascii="Times New Roman" w:hAnsi="Times New Roman" w:eastAsia="宋体" w:cs="Times New Roman"/>
                      <w:color w:val="auto"/>
                      <w:u w:val="none"/>
                    </w:rPr>
                    <w:t>0m</w:t>
                  </w:r>
                </w:p>
              </w:tc>
              <w:tc>
                <w:tcPr>
                  <w:tcW w:w="500" w:type="pct"/>
                  <w:tcBorders>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8</w:t>
                  </w:r>
                  <w:r>
                    <w:rPr>
                      <w:rFonts w:hint="default" w:ascii="Times New Roman" w:hAnsi="Times New Roman" w:eastAsia="宋体" w:cs="Times New Roman"/>
                      <w:color w:val="auto"/>
                      <w:u w:val="none"/>
                    </w:rPr>
                    <w:t>0m</w:t>
                  </w:r>
                </w:p>
              </w:tc>
              <w:tc>
                <w:tcPr>
                  <w:tcW w:w="590" w:type="pct"/>
                  <w:tcBorders>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100m</w:t>
                  </w:r>
                </w:p>
              </w:tc>
              <w:tc>
                <w:tcPr>
                  <w:tcW w:w="597" w:type="pct"/>
                  <w:tcBorders>
                    <w:right w:val="single" w:color="000000" w:sz="4" w:space="0"/>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20</w:t>
                  </w:r>
                  <w:r>
                    <w:rPr>
                      <w:rFonts w:hint="default" w:ascii="Times New Roman" w:hAnsi="Times New Roman" w:eastAsia="宋体" w:cs="Times New Roman"/>
                      <w:color w:val="auto"/>
                      <w:u w:val="none"/>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9" w:type="pct"/>
                  <w:tcBorders>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挖掘机</w:t>
                  </w:r>
                </w:p>
              </w:tc>
              <w:tc>
                <w:tcPr>
                  <w:tcW w:w="410"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75</w:t>
                  </w:r>
                </w:p>
              </w:tc>
              <w:tc>
                <w:tcPr>
                  <w:tcW w:w="500"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69</w:t>
                  </w:r>
                </w:p>
              </w:tc>
              <w:tc>
                <w:tcPr>
                  <w:tcW w:w="500"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63</w:t>
                  </w:r>
                </w:p>
              </w:tc>
              <w:tc>
                <w:tcPr>
                  <w:tcW w:w="500"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57</w:t>
                  </w:r>
                </w:p>
              </w:tc>
              <w:tc>
                <w:tcPr>
                  <w:tcW w:w="500"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53.5</w:t>
                  </w:r>
                </w:p>
              </w:tc>
              <w:tc>
                <w:tcPr>
                  <w:tcW w:w="500"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51</w:t>
                  </w:r>
                </w:p>
              </w:tc>
              <w:tc>
                <w:tcPr>
                  <w:tcW w:w="590"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49</w:t>
                  </w:r>
                </w:p>
              </w:tc>
              <w:tc>
                <w:tcPr>
                  <w:tcW w:w="597"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9" w:type="pct"/>
                  <w:tcBorders>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推土机</w:t>
                  </w:r>
                </w:p>
              </w:tc>
              <w:tc>
                <w:tcPr>
                  <w:tcW w:w="410" w:type="pct"/>
                  <w:tcBorders>
                    <w:tl2br w:val="nil"/>
                    <w:tr2bl w:val="nil"/>
                  </w:tcBorders>
                  <w:noWrap w:val="0"/>
                  <w:vAlign w:val="center"/>
                </w:tcPr>
                <w:p>
                  <w:pPr>
                    <w:pStyle w:val="106"/>
                    <w:bidi w:val="0"/>
                    <w:ind w:firstLine="0" w:firstLineChars="0"/>
                    <w:rPr>
                      <w:rFonts w:hint="default" w:ascii="Times New Roman" w:hAnsi="Times New Roman" w:eastAsia="宋体" w:cs="Times New Roman"/>
                      <w:color w:val="auto"/>
                      <w:kern w:val="44"/>
                      <w:sz w:val="21"/>
                      <w:u w:val="none"/>
                      <w:lang w:val="en-US" w:eastAsia="zh-CN"/>
                    </w:rPr>
                  </w:pPr>
                  <w:r>
                    <w:rPr>
                      <w:rFonts w:hint="default" w:ascii="Times New Roman" w:hAnsi="Times New Roman" w:eastAsia="宋体" w:cs="Times New Roman"/>
                      <w:color w:val="auto"/>
                      <w:u w:val="none"/>
                      <w:lang w:val="en-US" w:eastAsia="zh-CN"/>
                    </w:rPr>
                    <w:t>85</w:t>
                  </w:r>
                </w:p>
              </w:tc>
              <w:tc>
                <w:tcPr>
                  <w:tcW w:w="500" w:type="pct"/>
                  <w:tcBorders>
                    <w:tl2br w:val="nil"/>
                    <w:tr2bl w:val="nil"/>
                  </w:tcBorders>
                  <w:noWrap w:val="0"/>
                  <w:vAlign w:val="center"/>
                </w:tcPr>
                <w:p>
                  <w:pPr>
                    <w:pStyle w:val="106"/>
                    <w:bidi w:val="0"/>
                    <w:ind w:firstLine="0" w:firstLineChars="0"/>
                    <w:rPr>
                      <w:rFonts w:hint="default" w:ascii="Times New Roman" w:hAnsi="Times New Roman" w:eastAsia="宋体" w:cs="Times New Roman"/>
                      <w:color w:val="auto"/>
                      <w:kern w:val="44"/>
                      <w:sz w:val="21"/>
                      <w:u w:val="none"/>
                      <w:lang w:val="en-US" w:eastAsia="zh-CN"/>
                    </w:rPr>
                  </w:pPr>
                  <w:r>
                    <w:rPr>
                      <w:rFonts w:hint="default" w:ascii="Times New Roman" w:hAnsi="Times New Roman" w:eastAsia="宋体" w:cs="Times New Roman"/>
                      <w:color w:val="auto"/>
                      <w:u w:val="none"/>
                      <w:lang w:val="en-US" w:eastAsia="zh-CN"/>
                    </w:rPr>
                    <w:t>79</w:t>
                  </w:r>
                </w:p>
              </w:tc>
              <w:tc>
                <w:tcPr>
                  <w:tcW w:w="500" w:type="pct"/>
                  <w:tcBorders>
                    <w:tl2br w:val="nil"/>
                    <w:tr2bl w:val="nil"/>
                  </w:tcBorders>
                  <w:noWrap w:val="0"/>
                  <w:vAlign w:val="center"/>
                </w:tcPr>
                <w:p>
                  <w:pPr>
                    <w:pStyle w:val="106"/>
                    <w:bidi w:val="0"/>
                    <w:ind w:firstLine="0" w:firstLineChars="0"/>
                    <w:rPr>
                      <w:rFonts w:hint="default" w:ascii="Times New Roman" w:hAnsi="Times New Roman" w:eastAsia="宋体" w:cs="Times New Roman"/>
                      <w:color w:val="auto"/>
                      <w:kern w:val="44"/>
                      <w:sz w:val="21"/>
                      <w:u w:val="none"/>
                      <w:lang w:val="en-US" w:eastAsia="zh-CN"/>
                    </w:rPr>
                  </w:pPr>
                  <w:r>
                    <w:rPr>
                      <w:rFonts w:hint="default" w:ascii="Times New Roman" w:hAnsi="Times New Roman" w:eastAsia="宋体" w:cs="Times New Roman"/>
                      <w:color w:val="auto"/>
                      <w:u w:val="none"/>
                      <w:lang w:val="en-US" w:eastAsia="zh-CN"/>
                    </w:rPr>
                    <w:t>73</w:t>
                  </w:r>
                </w:p>
              </w:tc>
              <w:tc>
                <w:tcPr>
                  <w:tcW w:w="500" w:type="pct"/>
                  <w:tcBorders>
                    <w:tl2br w:val="nil"/>
                    <w:tr2bl w:val="nil"/>
                  </w:tcBorders>
                  <w:noWrap w:val="0"/>
                  <w:vAlign w:val="center"/>
                </w:tcPr>
                <w:p>
                  <w:pPr>
                    <w:pStyle w:val="106"/>
                    <w:bidi w:val="0"/>
                    <w:ind w:firstLine="0" w:firstLineChars="0"/>
                    <w:rPr>
                      <w:rFonts w:hint="default" w:ascii="Times New Roman" w:hAnsi="Times New Roman" w:eastAsia="宋体" w:cs="Times New Roman"/>
                      <w:color w:val="auto"/>
                      <w:kern w:val="44"/>
                      <w:sz w:val="21"/>
                      <w:u w:val="none"/>
                      <w:lang w:val="en-US" w:eastAsia="zh-CN"/>
                    </w:rPr>
                  </w:pPr>
                  <w:r>
                    <w:rPr>
                      <w:rFonts w:hint="default" w:ascii="Times New Roman" w:hAnsi="Times New Roman" w:eastAsia="宋体" w:cs="Times New Roman"/>
                      <w:color w:val="auto"/>
                      <w:u w:val="none"/>
                      <w:lang w:val="en-US" w:eastAsia="zh-CN"/>
                    </w:rPr>
                    <w:t>67</w:t>
                  </w:r>
                </w:p>
              </w:tc>
              <w:tc>
                <w:tcPr>
                  <w:tcW w:w="500" w:type="pct"/>
                  <w:tcBorders>
                    <w:tl2br w:val="nil"/>
                    <w:tr2bl w:val="nil"/>
                  </w:tcBorders>
                  <w:noWrap w:val="0"/>
                  <w:vAlign w:val="center"/>
                </w:tcPr>
                <w:p>
                  <w:pPr>
                    <w:pStyle w:val="106"/>
                    <w:bidi w:val="0"/>
                    <w:ind w:firstLine="0" w:firstLineChars="0"/>
                    <w:rPr>
                      <w:rFonts w:hint="default" w:ascii="Times New Roman" w:hAnsi="Times New Roman" w:eastAsia="宋体" w:cs="Times New Roman"/>
                      <w:color w:val="auto"/>
                      <w:kern w:val="44"/>
                      <w:sz w:val="21"/>
                      <w:u w:val="none"/>
                      <w:lang w:val="en-US" w:eastAsia="zh-CN"/>
                    </w:rPr>
                  </w:pPr>
                  <w:r>
                    <w:rPr>
                      <w:rFonts w:hint="default" w:ascii="Times New Roman" w:hAnsi="Times New Roman" w:eastAsia="宋体" w:cs="Times New Roman"/>
                      <w:color w:val="auto"/>
                      <w:u w:val="none"/>
                      <w:lang w:val="en-US" w:eastAsia="zh-CN"/>
                    </w:rPr>
                    <w:t>63.5</w:t>
                  </w:r>
                </w:p>
              </w:tc>
              <w:tc>
                <w:tcPr>
                  <w:tcW w:w="500" w:type="pct"/>
                  <w:tcBorders>
                    <w:tl2br w:val="nil"/>
                    <w:tr2bl w:val="nil"/>
                  </w:tcBorders>
                  <w:noWrap w:val="0"/>
                  <w:vAlign w:val="center"/>
                </w:tcPr>
                <w:p>
                  <w:pPr>
                    <w:pStyle w:val="106"/>
                    <w:bidi w:val="0"/>
                    <w:ind w:firstLine="0" w:firstLineChars="0"/>
                    <w:rPr>
                      <w:rFonts w:hint="default" w:ascii="Times New Roman" w:hAnsi="Times New Roman" w:eastAsia="宋体" w:cs="Times New Roman"/>
                      <w:color w:val="auto"/>
                      <w:kern w:val="44"/>
                      <w:sz w:val="21"/>
                      <w:u w:val="none"/>
                      <w:lang w:val="en-US" w:eastAsia="zh-CN"/>
                    </w:rPr>
                  </w:pPr>
                  <w:r>
                    <w:rPr>
                      <w:rFonts w:hint="default" w:ascii="Times New Roman" w:hAnsi="Times New Roman" w:eastAsia="宋体" w:cs="Times New Roman"/>
                      <w:color w:val="auto"/>
                      <w:u w:val="none"/>
                      <w:lang w:val="en-US" w:eastAsia="zh-CN"/>
                    </w:rPr>
                    <w:t>61</w:t>
                  </w:r>
                </w:p>
              </w:tc>
              <w:tc>
                <w:tcPr>
                  <w:tcW w:w="590" w:type="pct"/>
                  <w:tcBorders>
                    <w:tl2br w:val="nil"/>
                    <w:tr2bl w:val="nil"/>
                  </w:tcBorders>
                  <w:noWrap w:val="0"/>
                  <w:vAlign w:val="center"/>
                </w:tcPr>
                <w:p>
                  <w:pPr>
                    <w:pStyle w:val="106"/>
                    <w:bidi w:val="0"/>
                    <w:ind w:firstLine="0" w:firstLineChars="0"/>
                    <w:rPr>
                      <w:rFonts w:hint="default" w:ascii="Times New Roman" w:hAnsi="Times New Roman" w:eastAsia="宋体" w:cs="Times New Roman"/>
                      <w:color w:val="auto"/>
                      <w:kern w:val="44"/>
                      <w:sz w:val="21"/>
                      <w:u w:val="none"/>
                      <w:lang w:val="en-US" w:eastAsia="zh-CN"/>
                    </w:rPr>
                  </w:pPr>
                  <w:r>
                    <w:rPr>
                      <w:rFonts w:hint="default" w:ascii="Times New Roman" w:hAnsi="Times New Roman" w:eastAsia="宋体" w:cs="Times New Roman"/>
                      <w:color w:val="auto"/>
                      <w:u w:val="none"/>
                      <w:lang w:val="en-US" w:eastAsia="zh-CN"/>
                    </w:rPr>
                    <w:t>59</w:t>
                  </w:r>
                </w:p>
              </w:tc>
              <w:tc>
                <w:tcPr>
                  <w:tcW w:w="597" w:type="pct"/>
                  <w:tcBorders>
                    <w:tl2br w:val="nil"/>
                    <w:tr2bl w:val="nil"/>
                  </w:tcBorders>
                  <w:noWrap w:val="0"/>
                  <w:vAlign w:val="center"/>
                </w:tcPr>
                <w:p>
                  <w:pPr>
                    <w:pStyle w:val="106"/>
                    <w:bidi w:val="0"/>
                    <w:ind w:firstLine="0" w:firstLineChars="0"/>
                    <w:rPr>
                      <w:rFonts w:hint="default" w:ascii="Times New Roman" w:hAnsi="Times New Roman" w:eastAsia="宋体" w:cs="Times New Roman"/>
                      <w:color w:val="auto"/>
                      <w:kern w:val="44"/>
                      <w:sz w:val="21"/>
                      <w:u w:val="none"/>
                      <w:lang w:val="en-US" w:eastAsia="zh-CN"/>
                    </w:rPr>
                  </w:pPr>
                  <w:r>
                    <w:rPr>
                      <w:rFonts w:hint="default" w:ascii="Times New Roman" w:hAnsi="Times New Roman" w:eastAsia="宋体" w:cs="Times New Roman"/>
                      <w:color w:val="auto"/>
                      <w:u w:val="none"/>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9" w:type="pct"/>
                  <w:tcBorders>
                    <w:tl2br w:val="nil"/>
                    <w:tr2bl w:val="nil"/>
                  </w:tcBorders>
                  <w:noWrap w:val="0"/>
                  <w:vAlign w:val="center"/>
                </w:tcPr>
                <w:p>
                  <w:pPr>
                    <w:pStyle w:val="106"/>
                    <w:bidi w:val="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自卸汽车</w:t>
                  </w:r>
                </w:p>
              </w:tc>
              <w:tc>
                <w:tcPr>
                  <w:tcW w:w="410"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85</w:t>
                  </w:r>
                </w:p>
              </w:tc>
              <w:tc>
                <w:tcPr>
                  <w:tcW w:w="500"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79</w:t>
                  </w:r>
                </w:p>
              </w:tc>
              <w:tc>
                <w:tcPr>
                  <w:tcW w:w="500"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73</w:t>
                  </w:r>
                </w:p>
              </w:tc>
              <w:tc>
                <w:tcPr>
                  <w:tcW w:w="500"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67</w:t>
                  </w:r>
                </w:p>
              </w:tc>
              <w:tc>
                <w:tcPr>
                  <w:tcW w:w="500"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63.5</w:t>
                  </w:r>
                </w:p>
              </w:tc>
              <w:tc>
                <w:tcPr>
                  <w:tcW w:w="500"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61</w:t>
                  </w:r>
                </w:p>
              </w:tc>
              <w:tc>
                <w:tcPr>
                  <w:tcW w:w="590"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59</w:t>
                  </w:r>
                </w:p>
              </w:tc>
              <w:tc>
                <w:tcPr>
                  <w:tcW w:w="597" w:type="pct"/>
                  <w:tcBorders>
                    <w:tl2br w:val="nil"/>
                    <w:tr2bl w:val="nil"/>
                  </w:tcBorders>
                  <w:noWrap w:val="0"/>
                  <w:vAlign w:val="center"/>
                </w:tcPr>
                <w:p>
                  <w:pPr>
                    <w:pStyle w:val="106"/>
                    <w:bidi w:val="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53</w:t>
                  </w:r>
                </w:p>
              </w:tc>
            </w:tr>
          </w:tbl>
          <w:p>
            <w:pPr>
              <w:adjustRightInd w:val="0"/>
              <w:snapToGrid w:val="0"/>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根据上表可知，本项目施工噪声将对周边声环境质量产生一定的影响。施工单位应严格控制高噪声机械设备的使用，尽量采用低噪声的设备。施工过程中</w:t>
            </w:r>
            <w:r>
              <w:rPr>
                <w:rFonts w:hint="default" w:ascii="Times New Roman" w:hAnsi="Times New Roman" w:eastAsia="宋体" w:cs="Times New Roman"/>
                <w:color w:val="auto"/>
                <w:sz w:val="24"/>
                <w:u w:val="none"/>
                <w:lang w:eastAsia="zh-CN"/>
              </w:rPr>
              <w:t>设置施工围挡</w:t>
            </w:r>
            <w:r>
              <w:rPr>
                <w:rFonts w:hint="default" w:ascii="Times New Roman" w:hAnsi="Times New Roman" w:eastAsia="宋体" w:cs="Times New Roman"/>
                <w:color w:val="auto"/>
                <w:sz w:val="24"/>
                <w:u w:val="none"/>
              </w:rPr>
              <w:t>。避免在同一时间集中大量使用动力机械设备，统筹安排好施工时间，禁止夜间施工</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通过采取上述措施，施工场界噪声的排放</w:t>
            </w:r>
            <w:r>
              <w:rPr>
                <w:rFonts w:hint="default" w:ascii="Times New Roman" w:hAnsi="Times New Roman" w:eastAsia="宋体" w:cs="Times New Roman"/>
                <w:color w:val="auto"/>
                <w:sz w:val="24"/>
                <w:u w:val="none"/>
                <w:lang w:eastAsia="zh-CN"/>
              </w:rPr>
              <w:t>可以</w:t>
            </w:r>
            <w:r>
              <w:rPr>
                <w:rFonts w:hint="default" w:ascii="Times New Roman" w:hAnsi="Times New Roman" w:eastAsia="宋体" w:cs="Times New Roman"/>
                <w:color w:val="auto"/>
                <w:sz w:val="24"/>
                <w:u w:val="none"/>
              </w:rPr>
              <w:t>满足《建筑施工场界环境噪声排放标准》（GB12523-2011）的要求，对周边声环境影响较小。</w:t>
            </w:r>
          </w:p>
          <w:p>
            <w:pPr>
              <w:adjustRightInd w:val="0"/>
              <w:snapToGrid w:val="0"/>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eastAsia="zh-CN"/>
              </w:rPr>
              <w:t>本项目</w:t>
            </w:r>
            <w:r>
              <w:rPr>
                <w:rFonts w:hint="default" w:ascii="Times New Roman" w:hAnsi="Times New Roman" w:eastAsia="宋体" w:cs="Times New Roman"/>
                <w:color w:val="auto"/>
                <w:sz w:val="24"/>
                <w:u w:val="none"/>
              </w:rPr>
              <w:t>施工期噪声影响是短期的、暂时的，一旦施工活动结束，施工噪声影响也就随之结束。施工期某一区域居民影响时段都很短，且随着施工活动的结束，施工噪声也就随之结束</w:t>
            </w:r>
            <w:r>
              <w:rPr>
                <w:rFonts w:hint="default" w:ascii="Times New Roman" w:hAnsi="Times New Roman" w:eastAsia="宋体" w:cs="Times New Roman"/>
                <w:color w:val="auto"/>
                <w:sz w:val="24"/>
                <w:u w:val="none"/>
                <w:lang w:eastAsia="zh-CN"/>
              </w:rPr>
              <w:t>，因此本项目施工噪声对居民影响较小</w:t>
            </w:r>
            <w:r>
              <w:rPr>
                <w:rFonts w:hint="default" w:ascii="Times New Roman" w:hAnsi="Times New Roman" w:eastAsia="宋体" w:cs="Times New Roman"/>
                <w:color w:val="auto"/>
                <w:sz w:val="24"/>
                <w:u w:val="none"/>
              </w:rPr>
              <w:t>。</w:t>
            </w:r>
          </w:p>
          <w:p>
            <w:pPr>
              <w:spacing w:line="360" w:lineRule="auto"/>
              <w:ind w:firstLine="482"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b/>
                <w:bCs/>
                <w:color w:val="auto"/>
                <w:sz w:val="24"/>
                <w:u w:val="none"/>
                <w:lang w:val="en-US" w:eastAsia="zh-CN"/>
              </w:rPr>
              <w:t>（四）</w:t>
            </w:r>
            <w:r>
              <w:rPr>
                <w:rFonts w:hint="default" w:ascii="Times New Roman" w:hAnsi="Times New Roman" w:eastAsia="宋体" w:cs="Times New Roman"/>
                <w:b/>
                <w:bCs/>
                <w:color w:val="auto"/>
                <w:sz w:val="24"/>
                <w:u w:val="none"/>
              </w:rPr>
              <w:t>废水</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施工期废水主要是施工建筑队人员产生的生活污水</w:t>
            </w:r>
            <w:r>
              <w:rPr>
                <w:rFonts w:hint="default" w:ascii="Times New Roman" w:hAnsi="Times New Roman" w:eastAsia="宋体" w:cs="Times New Roman"/>
                <w:color w:val="auto"/>
                <w:sz w:val="24"/>
                <w:u w:val="none"/>
                <w:lang w:eastAsia="zh-CN"/>
              </w:rPr>
              <w:t>、施工废水</w:t>
            </w:r>
            <w:r>
              <w:rPr>
                <w:rFonts w:hint="default" w:ascii="Times New Roman" w:hAnsi="Times New Roman" w:eastAsia="宋体" w:cs="Times New Roman"/>
                <w:color w:val="auto"/>
                <w:sz w:val="24"/>
                <w:u w:val="none"/>
              </w:rPr>
              <w:t>。</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1）</w:t>
            </w:r>
            <w:r>
              <w:rPr>
                <w:rFonts w:hint="default" w:ascii="Times New Roman" w:hAnsi="Times New Roman" w:eastAsia="宋体" w:cs="Times New Roman"/>
                <w:color w:val="auto"/>
                <w:sz w:val="24"/>
                <w:szCs w:val="28"/>
                <w:u w:val="none"/>
              </w:rPr>
              <w:t>生活污水</w:t>
            </w:r>
          </w:p>
          <w:p>
            <w:pPr>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rPr>
              <w:t>本项</w:t>
            </w:r>
            <w:r>
              <w:rPr>
                <w:rFonts w:hint="default" w:ascii="Times New Roman" w:hAnsi="Times New Roman" w:eastAsia="宋体" w:cs="Times New Roman"/>
                <w:color w:val="auto"/>
                <w:sz w:val="24"/>
                <w:u w:val="none"/>
                <w:lang w:eastAsia="zh-CN"/>
              </w:rPr>
              <w:t>目</w:t>
            </w:r>
            <w:r>
              <w:rPr>
                <w:rFonts w:hint="default" w:ascii="Times New Roman" w:hAnsi="Times New Roman" w:eastAsia="宋体" w:cs="Times New Roman"/>
                <w:color w:val="auto"/>
                <w:sz w:val="24"/>
                <w:u w:val="none"/>
              </w:rPr>
              <w:t>就近租用</w:t>
            </w:r>
            <w:r>
              <w:rPr>
                <w:rFonts w:hint="default" w:ascii="Times New Roman" w:hAnsi="Times New Roman" w:eastAsia="宋体" w:cs="Times New Roman"/>
                <w:color w:val="auto"/>
                <w:sz w:val="24"/>
                <w:u w:val="none"/>
                <w:lang w:val="en-US" w:eastAsia="zh-CN"/>
              </w:rPr>
              <w:t>现有施工营地</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lang w:val="en-US" w:eastAsia="zh-CN"/>
              </w:rPr>
              <w:t>生活污水</w:t>
            </w:r>
            <w:r>
              <w:rPr>
                <w:rFonts w:hint="default" w:ascii="Times New Roman" w:hAnsi="Times New Roman" w:eastAsia="宋体" w:cs="Times New Roman"/>
                <w:color w:val="auto"/>
                <w:sz w:val="24"/>
                <w:u w:val="none"/>
              </w:rPr>
              <w:t>经</w:t>
            </w:r>
            <w:r>
              <w:rPr>
                <w:rFonts w:hint="default" w:ascii="Times New Roman" w:hAnsi="Times New Roman" w:eastAsia="宋体" w:cs="Times New Roman"/>
                <w:color w:val="auto"/>
                <w:sz w:val="24"/>
                <w:u w:val="none"/>
                <w:lang w:val="en-US" w:eastAsia="zh-CN"/>
              </w:rPr>
              <w:t>施工营地</w:t>
            </w:r>
            <w:r>
              <w:rPr>
                <w:rFonts w:hint="default" w:ascii="Times New Roman" w:hAnsi="Times New Roman" w:eastAsia="宋体" w:cs="Times New Roman"/>
                <w:color w:val="auto"/>
                <w:sz w:val="24"/>
                <w:u w:val="none"/>
              </w:rPr>
              <w:t>现有化粪池处理后</w:t>
            </w:r>
            <w:r>
              <w:rPr>
                <w:rFonts w:hint="eastAsia" w:cs="Times New Roman"/>
                <w:color w:val="auto"/>
                <w:sz w:val="24"/>
                <w:u w:val="none"/>
                <w:lang w:val="en-US" w:eastAsia="zh-CN"/>
              </w:rPr>
              <w:t>定期清掏</w:t>
            </w:r>
            <w:r>
              <w:rPr>
                <w:rFonts w:hint="default" w:ascii="Times New Roman" w:hAnsi="Times New Roman" w:eastAsia="宋体" w:cs="Times New Roman"/>
                <w:color w:val="auto"/>
                <w:sz w:val="24"/>
                <w:u w:val="none"/>
                <w:lang w:val="en-US" w:eastAsia="zh-CN"/>
              </w:rPr>
              <w:t>，</w:t>
            </w:r>
            <w:r>
              <w:rPr>
                <w:rFonts w:hint="default" w:ascii="Times New Roman" w:hAnsi="Times New Roman" w:eastAsia="宋体" w:cs="Times New Roman"/>
                <w:color w:val="auto"/>
                <w:sz w:val="24"/>
                <w:u w:val="none"/>
              </w:rPr>
              <w:t>对水环境的影响较小。</w:t>
            </w:r>
          </w:p>
          <w:p>
            <w:pPr>
              <w:spacing w:line="360" w:lineRule="auto"/>
              <w:ind w:firstLine="480" w:firstLineChars="200"/>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lang w:val="en-US" w:eastAsia="zh-CN"/>
              </w:rPr>
              <w:t>2）施工废水</w:t>
            </w:r>
          </w:p>
          <w:p>
            <w:pPr>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eastAsia="zh-CN"/>
              </w:rPr>
              <w:t>本项目</w:t>
            </w:r>
            <w:r>
              <w:rPr>
                <w:rFonts w:hint="default" w:ascii="Times New Roman" w:hAnsi="Times New Roman" w:eastAsia="宋体" w:cs="Times New Roman"/>
                <w:color w:val="auto"/>
                <w:sz w:val="24"/>
                <w:u w:val="none"/>
              </w:rPr>
              <w:t>施工废水主要为施工机械、运输车辆冲洗废水，废水中主要污染物为SS、石油类等。据初步估算，冲洗1台施工机械/运输车辆约产生废水</w:t>
            </w:r>
            <w:r>
              <w:rPr>
                <w:rFonts w:hint="default" w:ascii="Times New Roman" w:hAnsi="Times New Roman" w:eastAsia="宋体" w:cs="Times New Roman"/>
                <w:color w:val="auto"/>
                <w:sz w:val="24"/>
                <w:u w:val="none"/>
                <w:lang w:val="en-US" w:eastAsia="zh-CN"/>
              </w:rPr>
              <w:t>1</w:t>
            </w:r>
            <w:r>
              <w:rPr>
                <w:rFonts w:hint="default" w:ascii="Times New Roman" w:hAnsi="Times New Roman" w:eastAsia="宋体" w:cs="Times New Roman"/>
                <w:color w:val="auto"/>
                <w:sz w:val="24"/>
                <w:u w:val="none"/>
              </w:rPr>
              <w:t>00L，按平均每天冲洗5台计，则废水产生量约为</w:t>
            </w:r>
            <w:r>
              <w:rPr>
                <w:rFonts w:hint="default" w:ascii="Times New Roman" w:hAnsi="Times New Roman" w:eastAsia="宋体" w:cs="Times New Roman"/>
                <w:color w:val="auto"/>
                <w:sz w:val="24"/>
                <w:u w:val="none"/>
                <w:lang w:val="en-US" w:eastAsia="zh-CN"/>
              </w:rPr>
              <w:t>0.5</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/d。类比同类型废水水质</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其</w:t>
            </w:r>
            <w:r>
              <w:rPr>
                <w:rFonts w:hint="default" w:ascii="Times New Roman" w:hAnsi="Times New Roman" w:eastAsia="宋体" w:cs="Times New Roman"/>
                <w:color w:val="auto"/>
                <w:sz w:val="24"/>
                <w:u w:val="none"/>
                <w:lang w:val="en-US" w:eastAsia="zh-CN"/>
              </w:rPr>
              <w:t>SS</w:t>
            </w:r>
            <w:r>
              <w:rPr>
                <w:rFonts w:hint="default" w:ascii="Times New Roman" w:hAnsi="Times New Roman" w:eastAsia="宋体" w:cs="Times New Roman"/>
                <w:color w:val="auto"/>
                <w:sz w:val="24"/>
                <w:u w:val="none"/>
              </w:rPr>
              <w:t>最大浓度约为2000mg/L</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石油类浓度约为20mg/L</w:t>
            </w:r>
            <w:r>
              <w:rPr>
                <w:rFonts w:hint="default" w:ascii="Times New Roman" w:hAnsi="Times New Roman" w:eastAsia="宋体" w:cs="Times New Roman"/>
                <w:color w:val="auto"/>
                <w:sz w:val="24"/>
                <w:u w:val="none"/>
                <w:lang w:eastAsia="zh-CN"/>
              </w:rPr>
              <w:t>。本项目拟在施工</w:t>
            </w:r>
            <w:r>
              <w:rPr>
                <w:rFonts w:hint="default" w:ascii="Times New Roman" w:hAnsi="Times New Roman" w:eastAsia="宋体" w:cs="Times New Roman"/>
                <w:color w:val="auto"/>
                <w:sz w:val="24"/>
                <w:u w:val="none"/>
                <w:lang w:val="en-US" w:eastAsia="zh-CN"/>
              </w:rPr>
              <w:t>场地进出口</w:t>
            </w:r>
            <w:r>
              <w:rPr>
                <w:rFonts w:hint="default" w:ascii="Times New Roman" w:hAnsi="Times New Roman" w:eastAsia="宋体" w:cs="Times New Roman"/>
                <w:color w:val="auto"/>
                <w:sz w:val="24"/>
                <w:u w:val="none"/>
                <w:lang w:eastAsia="zh-CN"/>
              </w:rPr>
              <w:t>修建临时的隔油沉淀池，施工废水经收集处理后，</w:t>
            </w:r>
            <w:r>
              <w:rPr>
                <w:rFonts w:hint="default" w:ascii="Times New Roman" w:hAnsi="Times New Roman" w:eastAsia="宋体" w:cs="Times New Roman"/>
                <w:color w:val="FF0000"/>
                <w:sz w:val="24"/>
                <w:u w:val="single"/>
                <w:lang w:eastAsia="zh-CN"/>
              </w:rPr>
              <w:t>回用于</w:t>
            </w:r>
            <w:r>
              <w:rPr>
                <w:rFonts w:hint="eastAsia" w:cs="Times New Roman"/>
                <w:color w:val="FF0000"/>
                <w:sz w:val="24"/>
                <w:u w:val="single"/>
                <w:lang w:val="en-US" w:eastAsia="zh-CN"/>
              </w:rPr>
              <w:t>运输车辆的清洗</w:t>
            </w:r>
            <w:r>
              <w:rPr>
                <w:rFonts w:hint="default" w:ascii="Times New Roman" w:hAnsi="Times New Roman" w:eastAsia="宋体" w:cs="Times New Roman"/>
                <w:color w:val="auto"/>
                <w:sz w:val="24"/>
                <w:u w:val="none"/>
                <w:lang w:eastAsia="zh-CN"/>
              </w:rPr>
              <w:t>，不外排，对周边水环境基本无影响。</w:t>
            </w:r>
          </w:p>
          <w:p>
            <w:pPr>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3）</w:t>
            </w:r>
            <w:r>
              <w:rPr>
                <w:rFonts w:hint="default" w:ascii="Times New Roman" w:hAnsi="Times New Roman" w:eastAsia="宋体" w:cs="Times New Roman"/>
                <w:color w:val="auto"/>
                <w:sz w:val="24"/>
                <w:u w:val="none"/>
                <w:lang w:eastAsia="zh-CN"/>
              </w:rPr>
              <w:t>围堰废水</w:t>
            </w:r>
          </w:p>
          <w:p>
            <w:pPr>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本项目施工期选择在秋冬季，水位较低的季节。修建围堰后，将围堰内水抽至施工营地的沉淀池中，围堰废水经沉淀后，</w:t>
            </w:r>
            <w:r>
              <w:rPr>
                <w:rFonts w:hint="default" w:ascii="Times New Roman" w:hAnsi="Times New Roman" w:eastAsia="宋体" w:cs="Times New Roman"/>
                <w:color w:val="FF0000"/>
                <w:sz w:val="24"/>
                <w:u w:val="single"/>
                <w:lang w:eastAsia="zh-CN"/>
              </w:rPr>
              <w:t>回用于</w:t>
            </w:r>
            <w:r>
              <w:rPr>
                <w:rFonts w:hint="eastAsia" w:cs="Times New Roman"/>
                <w:color w:val="FF0000"/>
                <w:sz w:val="24"/>
                <w:u w:val="single"/>
                <w:lang w:val="en-US" w:eastAsia="zh-CN"/>
              </w:rPr>
              <w:t>运输车辆的清洗</w:t>
            </w:r>
            <w:r>
              <w:rPr>
                <w:rFonts w:hint="default" w:ascii="Times New Roman" w:hAnsi="Times New Roman" w:eastAsia="宋体" w:cs="Times New Roman"/>
                <w:color w:val="auto"/>
                <w:sz w:val="24"/>
                <w:u w:val="none"/>
                <w:lang w:val="en-US" w:eastAsia="zh-CN"/>
              </w:rPr>
              <w:t>。</w:t>
            </w:r>
          </w:p>
          <w:p>
            <w:pPr>
              <w:spacing w:line="360" w:lineRule="auto"/>
              <w:ind w:firstLine="494" w:firstLineChars="200"/>
              <w:rPr>
                <w:rFonts w:hint="default" w:ascii="Times New Roman" w:hAnsi="Times New Roman" w:eastAsia="宋体" w:cs="Times New Roman"/>
                <w:color w:val="auto"/>
                <w:sz w:val="24"/>
                <w:szCs w:val="20"/>
                <w:u w:val="none"/>
              </w:rPr>
            </w:pPr>
            <w:r>
              <w:rPr>
                <w:rFonts w:hint="default" w:ascii="Times New Roman" w:hAnsi="Times New Roman" w:eastAsia="宋体" w:cs="Times New Roman"/>
                <w:b/>
                <w:bCs/>
                <w:color w:val="auto"/>
                <w:spacing w:val="3"/>
                <w:sz w:val="24"/>
                <w:szCs w:val="20"/>
                <w:u w:val="none"/>
                <w:lang w:eastAsia="zh-CN"/>
              </w:rPr>
              <w:t>（</w:t>
            </w:r>
            <w:r>
              <w:rPr>
                <w:rFonts w:hint="default" w:ascii="Times New Roman" w:hAnsi="Times New Roman" w:eastAsia="宋体" w:cs="Times New Roman"/>
                <w:b/>
                <w:bCs/>
                <w:color w:val="auto"/>
                <w:spacing w:val="3"/>
                <w:sz w:val="24"/>
                <w:szCs w:val="20"/>
                <w:u w:val="none"/>
                <w:lang w:val="en-US" w:eastAsia="zh-CN"/>
              </w:rPr>
              <w:t>五</w:t>
            </w:r>
            <w:r>
              <w:rPr>
                <w:rFonts w:hint="default" w:ascii="Times New Roman" w:hAnsi="Times New Roman" w:eastAsia="宋体" w:cs="Times New Roman"/>
                <w:b/>
                <w:bCs/>
                <w:color w:val="auto"/>
                <w:spacing w:val="3"/>
                <w:sz w:val="24"/>
                <w:szCs w:val="20"/>
                <w:u w:val="none"/>
                <w:lang w:eastAsia="zh-CN"/>
              </w:rPr>
              <w:t>）</w:t>
            </w:r>
            <w:r>
              <w:rPr>
                <w:rFonts w:hint="default" w:ascii="Times New Roman" w:hAnsi="Times New Roman" w:eastAsia="宋体" w:cs="Times New Roman"/>
                <w:b/>
                <w:bCs/>
                <w:color w:val="auto"/>
                <w:spacing w:val="3"/>
                <w:sz w:val="24"/>
                <w:szCs w:val="20"/>
                <w:u w:val="none"/>
              </w:rPr>
              <w:t>固废</w:t>
            </w:r>
          </w:p>
          <w:p>
            <w:pPr>
              <w:spacing w:line="360" w:lineRule="auto"/>
              <w:ind w:firstLine="492" w:firstLineChars="200"/>
              <w:rPr>
                <w:rFonts w:hint="default" w:ascii="Times New Roman" w:hAnsi="Times New Roman" w:eastAsia="宋体" w:cs="Times New Roman"/>
                <w:color w:val="auto"/>
                <w:spacing w:val="3"/>
                <w:sz w:val="24"/>
                <w:szCs w:val="20"/>
                <w:u w:val="none"/>
              </w:rPr>
            </w:pPr>
            <w:r>
              <w:rPr>
                <w:rFonts w:hint="default" w:ascii="Times New Roman" w:hAnsi="Times New Roman" w:eastAsia="宋体" w:cs="Times New Roman"/>
                <w:color w:val="auto"/>
                <w:spacing w:val="3"/>
                <w:sz w:val="24"/>
                <w:szCs w:val="20"/>
                <w:u w:val="none"/>
              </w:rPr>
              <w:t>施工期产生的固体废物主要是建筑垃圾、</w:t>
            </w:r>
            <w:r>
              <w:rPr>
                <w:rFonts w:hint="default" w:ascii="Times New Roman" w:hAnsi="Times New Roman" w:eastAsia="宋体" w:cs="Times New Roman"/>
                <w:color w:val="auto"/>
                <w:sz w:val="24"/>
                <w:szCs w:val="20"/>
                <w:u w:val="none"/>
              </w:rPr>
              <w:t>土石方弃土、底泥</w:t>
            </w:r>
            <w:r>
              <w:rPr>
                <w:rFonts w:hint="default" w:ascii="Times New Roman" w:hAnsi="Times New Roman" w:eastAsia="宋体" w:cs="Times New Roman"/>
                <w:color w:val="auto"/>
                <w:spacing w:val="3"/>
                <w:sz w:val="24"/>
                <w:szCs w:val="20"/>
                <w:u w:val="none"/>
              </w:rPr>
              <w:t>和施工人员的生活垃圾。</w:t>
            </w:r>
          </w:p>
          <w:p>
            <w:pPr>
              <w:spacing w:line="360" w:lineRule="auto"/>
              <w:ind w:firstLine="492" w:firstLineChars="200"/>
              <w:rPr>
                <w:rFonts w:hint="default" w:ascii="Times New Roman" w:hAnsi="Times New Roman" w:eastAsia="宋体" w:cs="Times New Roman"/>
                <w:color w:val="auto"/>
                <w:spacing w:val="3"/>
                <w:sz w:val="24"/>
                <w:szCs w:val="20"/>
                <w:u w:val="none"/>
              </w:rPr>
            </w:pPr>
            <w:r>
              <w:rPr>
                <w:rFonts w:hint="default" w:ascii="Times New Roman" w:hAnsi="Times New Roman" w:eastAsia="宋体" w:cs="Times New Roman"/>
                <w:color w:val="auto"/>
                <w:spacing w:val="3"/>
                <w:sz w:val="24"/>
                <w:szCs w:val="20"/>
                <w:u w:val="none"/>
              </w:rPr>
              <w:t>（1）生活垃圾</w:t>
            </w:r>
          </w:p>
          <w:p>
            <w:pPr>
              <w:spacing w:line="360" w:lineRule="auto"/>
              <w:ind w:firstLine="492" w:firstLineChars="200"/>
              <w:rPr>
                <w:rFonts w:hint="default" w:ascii="Times New Roman" w:hAnsi="Times New Roman" w:eastAsia="宋体" w:cs="Times New Roman"/>
                <w:color w:val="auto"/>
                <w:spacing w:val="3"/>
                <w:sz w:val="24"/>
                <w:szCs w:val="20"/>
                <w:u w:val="none"/>
              </w:rPr>
            </w:pPr>
            <w:r>
              <w:rPr>
                <w:rFonts w:hint="default" w:ascii="Times New Roman" w:hAnsi="Times New Roman" w:eastAsia="宋体" w:cs="Times New Roman"/>
                <w:color w:val="auto"/>
                <w:spacing w:val="3"/>
                <w:sz w:val="24"/>
                <w:szCs w:val="20"/>
                <w:u w:val="none"/>
              </w:rPr>
              <w:t>本项目施工人数为50人，施工人员生活垃圾按0.5kg/（d·人）计，则施工期生活垃圾产生量为25kg/d，则施工期累计产生生活垃圾</w:t>
            </w:r>
            <w:r>
              <w:rPr>
                <w:rFonts w:hint="default" w:ascii="Times New Roman" w:hAnsi="Times New Roman" w:eastAsia="宋体" w:cs="Times New Roman"/>
                <w:color w:val="auto"/>
                <w:spacing w:val="3"/>
                <w:sz w:val="24"/>
                <w:szCs w:val="20"/>
                <w:u w:val="none"/>
                <w:lang w:val="en-US" w:eastAsia="zh-CN"/>
              </w:rPr>
              <w:t>158</w:t>
            </w:r>
            <w:r>
              <w:rPr>
                <w:rFonts w:hint="default" w:ascii="Times New Roman" w:hAnsi="Times New Roman" w:eastAsia="宋体" w:cs="Times New Roman"/>
                <w:color w:val="auto"/>
                <w:spacing w:val="3"/>
                <w:sz w:val="24"/>
                <w:szCs w:val="20"/>
                <w:u w:val="none"/>
              </w:rPr>
              <w:t>t。生活垃圾集中收集，定期清运至环卫部门指定的垃圾中转站处理。</w:t>
            </w:r>
          </w:p>
          <w:p>
            <w:pPr>
              <w:spacing w:line="360" w:lineRule="auto"/>
              <w:ind w:firstLine="492" w:firstLineChars="200"/>
              <w:rPr>
                <w:rFonts w:hint="default" w:ascii="Times New Roman" w:hAnsi="Times New Roman" w:eastAsia="宋体" w:cs="Times New Roman"/>
                <w:color w:val="auto"/>
                <w:spacing w:val="3"/>
                <w:sz w:val="24"/>
                <w:szCs w:val="20"/>
                <w:u w:val="none"/>
              </w:rPr>
            </w:pPr>
            <w:r>
              <w:rPr>
                <w:rFonts w:hint="default" w:ascii="Times New Roman" w:hAnsi="Times New Roman" w:eastAsia="宋体" w:cs="Times New Roman"/>
                <w:color w:val="auto"/>
                <w:spacing w:val="3"/>
                <w:sz w:val="24"/>
                <w:szCs w:val="20"/>
                <w:u w:val="none"/>
              </w:rPr>
              <w:t>（2）建筑垃圾</w:t>
            </w:r>
          </w:p>
          <w:p>
            <w:pPr>
              <w:spacing w:line="360" w:lineRule="auto"/>
              <w:ind w:firstLine="492" w:firstLineChars="200"/>
              <w:rPr>
                <w:rFonts w:hint="default" w:ascii="Times New Roman" w:hAnsi="Times New Roman" w:eastAsia="宋体" w:cs="Times New Roman"/>
                <w:color w:val="auto"/>
                <w:sz w:val="24"/>
                <w:szCs w:val="20"/>
                <w:u w:val="none"/>
              </w:rPr>
            </w:pPr>
            <w:r>
              <w:rPr>
                <w:rFonts w:hint="default" w:ascii="Times New Roman" w:hAnsi="Times New Roman" w:eastAsia="宋体" w:cs="Times New Roman"/>
                <w:color w:val="auto"/>
                <w:spacing w:val="3"/>
                <w:sz w:val="24"/>
                <w:szCs w:val="20"/>
                <w:u w:val="none"/>
              </w:rPr>
              <w:t>施工建设过程中会产生建筑垃圾，主要包括散落的混凝土、散落的地基土、废砖头等，其产生量约为</w:t>
            </w:r>
            <w:r>
              <w:rPr>
                <w:rFonts w:hint="default" w:ascii="Times New Roman" w:hAnsi="Times New Roman" w:eastAsia="宋体" w:cs="Times New Roman"/>
                <w:color w:val="auto"/>
                <w:spacing w:val="3"/>
                <w:sz w:val="24"/>
                <w:szCs w:val="20"/>
                <w:u w:val="none"/>
                <w:lang w:val="en-US" w:eastAsia="zh-CN"/>
              </w:rPr>
              <w:t>6</w:t>
            </w:r>
            <w:r>
              <w:rPr>
                <w:rFonts w:hint="default" w:ascii="Times New Roman" w:hAnsi="Times New Roman" w:eastAsia="宋体" w:cs="Times New Roman"/>
                <w:color w:val="auto"/>
                <w:spacing w:val="3"/>
                <w:sz w:val="24"/>
                <w:szCs w:val="20"/>
                <w:u w:val="none"/>
              </w:rPr>
              <w:t>t。评价建议</w:t>
            </w:r>
            <w:r>
              <w:rPr>
                <w:rFonts w:hint="default" w:ascii="Times New Roman" w:hAnsi="Times New Roman" w:eastAsia="宋体" w:cs="Times New Roman"/>
                <w:color w:val="auto"/>
                <w:sz w:val="24"/>
                <w:szCs w:val="20"/>
                <w:u w:val="none"/>
              </w:rPr>
              <w:t>将建筑垃圾可回收的部分回收作为建筑材料进行再利用，其余的运送至建筑垃圾临时堆放场分类收集、统一处理，严禁随意丢弃，以免造成环境污染和物质浪费。</w:t>
            </w:r>
          </w:p>
          <w:p>
            <w:pPr>
              <w:spacing w:line="360" w:lineRule="auto"/>
              <w:ind w:firstLine="480" w:firstLineChars="200"/>
              <w:rPr>
                <w:rFonts w:hint="default" w:ascii="Times New Roman" w:hAnsi="Times New Roman" w:eastAsia="宋体" w:cs="Times New Roman"/>
                <w:color w:val="auto"/>
                <w:sz w:val="24"/>
                <w:szCs w:val="20"/>
                <w:u w:val="none"/>
              </w:rPr>
            </w:pPr>
            <w:r>
              <w:rPr>
                <w:rFonts w:hint="default" w:ascii="Times New Roman" w:hAnsi="Times New Roman" w:eastAsia="宋体" w:cs="Times New Roman"/>
                <w:color w:val="auto"/>
                <w:sz w:val="24"/>
                <w:szCs w:val="20"/>
                <w:u w:val="none"/>
              </w:rPr>
              <w:t>施工过程做好编织袋拦挡、防尘网苫盖等防护措施，可最大限度降低水土流失影响，不会对景观环境造成不利影响。</w:t>
            </w:r>
          </w:p>
          <w:p>
            <w:pPr>
              <w:spacing w:line="360" w:lineRule="auto"/>
              <w:ind w:firstLine="482" w:firstLineChars="200"/>
              <w:rPr>
                <w:rFonts w:hint="default" w:ascii="Times New Roman" w:hAnsi="Times New Roman" w:eastAsia="宋体" w:cs="Times New Roman"/>
                <w:color w:val="auto"/>
                <w:sz w:val="24"/>
                <w:szCs w:val="20"/>
                <w:u w:val="none"/>
              </w:rPr>
            </w:pPr>
            <w:r>
              <w:rPr>
                <w:rFonts w:hint="default" w:ascii="Times New Roman" w:hAnsi="Times New Roman" w:eastAsia="宋体" w:cs="Times New Roman"/>
                <w:b/>
                <w:bCs/>
                <w:color w:val="auto"/>
                <w:sz w:val="24"/>
                <w:szCs w:val="20"/>
                <w:u w:val="none"/>
                <w:lang w:eastAsia="zh-CN"/>
              </w:rPr>
              <w:t>（</w:t>
            </w:r>
            <w:r>
              <w:rPr>
                <w:rFonts w:hint="default" w:ascii="Times New Roman" w:hAnsi="Times New Roman" w:eastAsia="宋体" w:cs="Times New Roman"/>
                <w:b/>
                <w:bCs/>
                <w:color w:val="auto"/>
                <w:sz w:val="24"/>
                <w:szCs w:val="20"/>
                <w:u w:val="none"/>
                <w:lang w:val="en-US" w:eastAsia="zh-CN"/>
              </w:rPr>
              <w:t>六</w:t>
            </w:r>
            <w:r>
              <w:rPr>
                <w:rFonts w:hint="default" w:ascii="Times New Roman" w:hAnsi="Times New Roman" w:eastAsia="宋体" w:cs="Times New Roman"/>
                <w:b/>
                <w:bCs/>
                <w:color w:val="auto"/>
                <w:sz w:val="24"/>
                <w:szCs w:val="20"/>
                <w:u w:val="none"/>
                <w:lang w:eastAsia="zh-CN"/>
              </w:rPr>
              <w:t>）</w:t>
            </w:r>
            <w:r>
              <w:rPr>
                <w:rFonts w:hint="default" w:ascii="Times New Roman" w:hAnsi="Times New Roman" w:eastAsia="宋体" w:cs="Times New Roman"/>
                <w:b/>
                <w:bCs/>
                <w:color w:val="auto"/>
                <w:sz w:val="24"/>
                <w:szCs w:val="20"/>
                <w:u w:val="none"/>
              </w:rPr>
              <w:t>土壤</w:t>
            </w:r>
          </w:p>
          <w:p>
            <w:pPr>
              <w:spacing w:line="360" w:lineRule="auto"/>
              <w:ind w:firstLine="480" w:firstLineChars="200"/>
              <w:rPr>
                <w:rFonts w:hint="default" w:ascii="Times New Roman" w:hAnsi="Times New Roman" w:eastAsia="宋体" w:cs="Times New Roman"/>
                <w:color w:val="auto"/>
                <w:sz w:val="24"/>
                <w:szCs w:val="20"/>
                <w:u w:val="none"/>
              </w:rPr>
            </w:pPr>
            <w:r>
              <w:rPr>
                <w:rFonts w:hint="default" w:ascii="Times New Roman" w:hAnsi="Times New Roman" w:eastAsia="宋体" w:cs="Times New Roman"/>
                <w:color w:val="auto"/>
                <w:sz w:val="24"/>
                <w:szCs w:val="20"/>
                <w:u w:val="none"/>
              </w:rPr>
              <w:t>本项目施工期景观工程种植土仅通过施加有机肥改良土壤，不会对周围土壤环境造成影响，建设过程中对原状土有不同程度的干扰破坏，对土壤环境影响表现在：</w:t>
            </w:r>
          </w:p>
          <w:p>
            <w:pPr>
              <w:spacing w:line="360" w:lineRule="auto"/>
              <w:ind w:firstLine="480" w:firstLineChars="200"/>
              <w:rPr>
                <w:rFonts w:hint="default" w:ascii="Times New Roman" w:hAnsi="Times New Roman" w:eastAsia="宋体" w:cs="Times New Roman"/>
                <w:color w:val="auto"/>
                <w:sz w:val="24"/>
                <w:szCs w:val="20"/>
                <w:u w:val="none"/>
                <w:lang w:eastAsia="zh-CN"/>
              </w:rPr>
            </w:pPr>
            <w:r>
              <w:rPr>
                <w:rFonts w:hint="default" w:ascii="Times New Roman" w:hAnsi="Times New Roman" w:eastAsia="宋体" w:cs="Times New Roman"/>
                <w:color w:val="auto"/>
                <w:sz w:val="24"/>
                <w:szCs w:val="20"/>
                <w:u w:val="none"/>
              </w:rPr>
              <w:t>（1）破坏土壤结构。土壤结构的形成需要经过漫长的时间，土壤的结构是表示土壤环境质量的重要指标，特别是团粒结构是表示土壤结构的主要质量指标，团粒结构占的比重越高表示土壤质量越好，一旦被破坏，恢复需要较长时间。本项目土方开挖和回填时，由于团粒结构抗外界干扰的能力比较弱，易破损，所以在施工过程中机械碾压、开挖扰动，都会对土壤结构产生不良影响。</w:t>
            </w:r>
          </w:p>
          <w:p>
            <w:pPr>
              <w:spacing w:line="360" w:lineRule="auto"/>
              <w:ind w:firstLine="480" w:firstLineChars="200"/>
              <w:rPr>
                <w:rFonts w:hint="default" w:ascii="Times New Roman" w:hAnsi="Times New Roman" w:eastAsia="宋体" w:cs="Times New Roman"/>
                <w:color w:val="auto"/>
                <w:sz w:val="24"/>
                <w:szCs w:val="20"/>
                <w:u w:val="none"/>
                <w:lang w:eastAsia="zh-CN"/>
              </w:rPr>
            </w:pPr>
            <w:r>
              <w:rPr>
                <w:rFonts w:hint="default" w:ascii="Times New Roman" w:hAnsi="Times New Roman" w:eastAsia="宋体" w:cs="Times New Roman"/>
                <w:color w:val="auto"/>
                <w:sz w:val="24"/>
                <w:szCs w:val="20"/>
                <w:u w:val="none"/>
              </w:rPr>
              <w:t>（2）破坏土壤层次，影响土壤质地。土方开挖和回填，对土壤层次、土壤质地有一定程度的改变影响。土壤表层是腐殖质层，中层是淋溶淀积层，底层是成土母质层。各类土壤类型及土壤层次、化学成分组成、颗粒（质地）组成均有差异，形成不同的壤质、粘质、砂质、轻壤质等。在许多地方同一类型的土壤，同一剖面的上、中、下层质地也会不一致。在耕作区，土壤经过人类有目的的改造，其土壤层次、深度与自然条件下形成的土壤还有一定差异，表层为耕作层，深度约0cm~25cm，中层为犁底层，深度约25cm~40cm，40cm以下为母质层。耕地是农业生产的重要生产资料和国民经济发展的基础，耕作层是作物根系分布密集区，是土壤肥力、水分集中分布区。在土方开挖和回填过程中，必然会对土壤原有层次产生扰动和破坏。在开挖的部位，土壤层次变动最为明显。在土方开挖和回填中，会破坏土壤的耕作层，如果不注意分层开挖和回填，混合了原有的在长期发展过程中形成的层次，使不同质地、不同层次的土体混合，就会影响到原有耕作层土壤的肥力，同时也会影响到农作物的生产和产量。</w:t>
            </w:r>
          </w:p>
          <w:p>
            <w:pPr>
              <w:spacing w:line="360" w:lineRule="auto"/>
              <w:ind w:firstLine="480" w:firstLineChars="200"/>
              <w:rPr>
                <w:rFonts w:hint="default" w:ascii="Times New Roman" w:hAnsi="Times New Roman" w:eastAsia="宋体" w:cs="Times New Roman"/>
                <w:color w:val="auto"/>
                <w:sz w:val="24"/>
                <w:szCs w:val="20"/>
                <w:u w:val="none"/>
                <w:lang w:eastAsia="zh-CN"/>
              </w:rPr>
            </w:pPr>
            <w:r>
              <w:rPr>
                <w:rFonts w:hint="default" w:ascii="Times New Roman" w:hAnsi="Times New Roman" w:eastAsia="宋体" w:cs="Times New Roman"/>
                <w:color w:val="auto"/>
                <w:sz w:val="24"/>
                <w:szCs w:val="20"/>
                <w:u w:val="none"/>
              </w:rPr>
              <w:t>（3）影响土壤的紧实度。紧实度也是表征土壤物理性质的指标之一。在土壤开挖部位，表现为施工机械对土壤的破坏，而在施工机械作业中，机械设备的碾压、施工人员的践踏等都会对土壤的紧实度产生影响，机械碾压的结果是使土壤紧实度增高，地表水入渗减少，土体过于紧实而不利于农作物的生长。</w:t>
            </w:r>
          </w:p>
          <w:p>
            <w:pPr>
              <w:spacing w:line="360" w:lineRule="auto"/>
              <w:ind w:firstLine="480" w:firstLineChars="200"/>
              <w:rPr>
                <w:rFonts w:hint="default" w:ascii="Times New Roman" w:hAnsi="Times New Roman" w:eastAsia="宋体" w:cs="Times New Roman"/>
                <w:color w:val="auto"/>
                <w:sz w:val="24"/>
                <w:szCs w:val="20"/>
                <w:u w:val="none"/>
              </w:rPr>
            </w:pPr>
            <w:r>
              <w:rPr>
                <w:rFonts w:hint="default" w:ascii="Times New Roman" w:hAnsi="Times New Roman" w:eastAsia="宋体" w:cs="Times New Roman"/>
                <w:color w:val="auto"/>
                <w:sz w:val="24"/>
                <w:szCs w:val="20"/>
                <w:u w:val="none"/>
              </w:rPr>
              <w:t>（4）土壤养分流失。土体构型是土壤剖面中各种土层的组合。不同土层的特征及理化性质差异较大。就养分状况而言，表土层（腐殖质层、耕作层）远较新土层好，其有机质、全氮、全磷较其它层次高，施工作业对原有土体构型必产生扰动，使土壤养分状况受到影响，严重时使土壤性质恶化，并波及其生产的植物。本项目</w:t>
            </w:r>
            <w:r>
              <w:rPr>
                <w:rFonts w:hint="default" w:ascii="Times New Roman" w:hAnsi="Times New Roman" w:eastAsia="宋体" w:cs="Times New Roman"/>
                <w:color w:val="auto"/>
                <w:sz w:val="24"/>
                <w:szCs w:val="20"/>
                <w:u w:val="none"/>
                <w:lang w:val="en-US" w:eastAsia="zh-CN"/>
              </w:rPr>
              <w:t>周边绿化</w:t>
            </w:r>
            <w:r>
              <w:rPr>
                <w:rFonts w:hint="default" w:ascii="Times New Roman" w:hAnsi="Times New Roman" w:eastAsia="宋体" w:cs="Times New Roman"/>
                <w:color w:val="auto"/>
                <w:sz w:val="24"/>
                <w:szCs w:val="20"/>
                <w:u w:val="none"/>
              </w:rPr>
              <w:t>用地较多，因此，在土方开挖施工过程中，必须严格执行分层开挖、分层堆放、分层覆土，使工程对土壤的影响尽可能降到最低。</w:t>
            </w:r>
          </w:p>
          <w:p>
            <w:pPr>
              <w:spacing w:line="360" w:lineRule="auto"/>
              <w:ind w:firstLine="482" w:firstLineChars="200"/>
              <w:rPr>
                <w:rFonts w:hint="default" w:ascii="Times New Roman" w:hAnsi="Times New Roman" w:eastAsia="宋体" w:cs="Times New Roman"/>
                <w:b/>
                <w:bCs/>
                <w:color w:val="auto"/>
                <w:sz w:val="24"/>
                <w:szCs w:val="20"/>
                <w:u w:val="none"/>
              </w:rPr>
            </w:pPr>
            <w:r>
              <w:rPr>
                <w:rFonts w:hint="default" w:ascii="Times New Roman" w:hAnsi="Times New Roman" w:eastAsia="宋体" w:cs="Times New Roman"/>
                <w:b/>
                <w:bCs/>
                <w:color w:val="auto"/>
                <w:sz w:val="24"/>
                <w:szCs w:val="20"/>
                <w:u w:val="none"/>
                <w:lang w:eastAsia="zh-CN"/>
              </w:rPr>
              <w:t>（</w:t>
            </w:r>
            <w:r>
              <w:rPr>
                <w:rFonts w:hint="default" w:ascii="Times New Roman" w:hAnsi="Times New Roman" w:eastAsia="宋体" w:cs="Times New Roman"/>
                <w:b/>
                <w:bCs/>
                <w:color w:val="auto"/>
                <w:sz w:val="24"/>
                <w:szCs w:val="20"/>
                <w:u w:val="none"/>
                <w:lang w:val="en-US" w:eastAsia="zh-CN"/>
              </w:rPr>
              <w:t>七</w:t>
            </w:r>
            <w:r>
              <w:rPr>
                <w:rFonts w:hint="default" w:ascii="Times New Roman" w:hAnsi="Times New Roman" w:eastAsia="宋体" w:cs="Times New Roman"/>
                <w:b/>
                <w:bCs/>
                <w:color w:val="auto"/>
                <w:sz w:val="24"/>
                <w:szCs w:val="20"/>
                <w:u w:val="none"/>
                <w:lang w:eastAsia="zh-CN"/>
              </w:rPr>
              <w:t>）</w:t>
            </w:r>
            <w:r>
              <w:rPr>
                <w:rFonts w:hint="default" w:ascii="Times New Roman" w:hAnsi="Times New Roman" w:eastAsia="宋体" w:cs="Times New Roman"/>
                <w:b/>
                <w:bCs/>
                <w:color w:val="auto"/>
                <w:sz w:val="24"/>
                <w:szCs w:val="20"/>
                <w:u w:val="none"/>
              </w:rPr>
              <w:t>地下水</w:t>
            </w:r>
          </w:p>
          <w:p>
            <w:pPr>
              <w:spacing w:line="360" w:lineRule="auto"/>
              <w:ind w:firstLine="480" w:firstLineChars="200"/>
              <w:rPr>
                <w:rFonts w:hint="default" w:ascii="Times New Roman" w:hAnsi="Times New Roman" w:eastAsia="宋体" w:cs="Times New Roman"/>
                <w:color w:val="auto"/>
                <w:sz w:val="24"/>
                <w:szCs w:val="20"/>
                <w:u w:val="none"/>
              </w:rPr>
            </w:pPr>
            <w:r>
              <w:rPr>
                <w:rFonts w:hint="default" w:ascii="Times New Roman" w:hAnsi="Times New Roman" w:eastAsia="宋体" w:cs="Times New Roman"/>
                <w:color w:val="auto"/>
                <w:sz w:val="24"/>
                <w:szCs w:val="20"/>
                <w:u w:val="none"/>
              </w:rPr>
              <w:t>本项目施工期对地下水环境的影响主要表现在施工期含油废水、建筑材料堆放期间产生的淋渗水等对地下水环境的影响。材料堆场物料堆放若不严格管理，施工机械设备漏油、机械维修残油均可能对地下水产生污染影响。因此，为防止油料等物质不慎泄露对堆放场地及周边地下水环境造成影响，建筑材料堆场应采取防渗措施化。类比同类型工地，堆场百分百硬化后，对地下水影响甚微。</w:t>
            </w:r>
          </w:p>
          <w:p>
            <w:pPr>
              <w:spacing w:line="360" w:lineRule="auto"/>
              <w:ind w:firstLine="482" w:firstLineChars="200"/>
              <w:rPr>
                <w:rFonts w:hint="default" w:ascii="Times New Roman" w:hAnsi="Times New Roman" w:eastAsia="宋体" w:cs="Times New Roman"/>
                <w:b/>
                <w:bCs/>
                <w:color w:val="auto"/>
                <w:sz w:val="24"/>
                <w:szCs w:val="20"/>
                <w:u w:val="none"/>
                <w:lang w:val="en-US" w:eastAsia="zh-CN"/>
              </w:rPr>
            </w:pPr>
            <w:r>
              <w:rPr>
                <w:rFonts w:hint="eastAsia" w:cs="Times New Roman"/>
                <w:b/>
                <w:bCs/>
                <w:color w:val="auto"/>
                <w:sz w:val="24"/>
                <w:szCs w:val="20"/>
                <w:u w:val="none"/>
                <w:lang w:eastAsia="zh-CN"/>
              </w:rPr>
              <w:t>（</w:t>
            </w:r>
            <w:r>
              <w:rPr>
                <w:rFonts w:hint="eastAsia" w:cs="Times New Roman"/>
                <w:b/>
                <w:bCs/>
                <w:color w:val="auto"/>
                <w:sz w:val="24"/>
                <w:szCs w:val="20"/>
                <w:u w:val="none"/>
                <w:lang w:val="en-US" w:eastAsia="zh-CN"/>
              </w:rPr>
              <w:t>八</w:t>
            </w:r>
            <w:r>
              <w:rPr>
                <w:rFonts w:hint="eastAsia" w:cs="Times New Roman"/>
                <w:b/>
                <w:bCs/>
                <w:color w:val="auto"/>
                <w:sz w:val="24"/>
                <w:szCs w:val="20"/>
                <w:u w:val="none"/>
                <w:lang w:eastAsia="zh-CN"/>
              </w:rPr>
              <w:t>）</w:t>
            </w:r>
            <w:r>
              <w:rPr>
                <w:rFonts w:hint="eastAsia" w:cs="Times New Roman"/>
                <w:b/>
                <w:bCs/>
                <w:color w:val="auto"/>
                <w:sz w:val="24"/>
                <w:szCs w:val="20"/>
                <w:u w:val="none"/>
                <w:lang w:val="en-US" w:eastAsia="zh-CN"/>
              </w:rPr>
              <w:t>对湖南湘阴横岭湖省级自然保护区影响分析</w:t>
            </w:r>
          </w:p>
          <w:p>
            <w:pPr>
              <w:spacing w:line="360" w:lineRule="auto"/>
              <w:ind w:firstLine="480" w:firstLineChars="200"/>
              <w:rPr>
                <w:rFonts w:hint="eastAsia" w:cs="Times New Roman"/>
                <w:b/>
                <w:bCs/>
                <w:color w:val="auto"/>
                <w:sz w:val="24"/>
                <w:szCs w:val="20"/>
                <w:u w:val="none"/>
                <w:lang w:val="en-US" w:eastAsia="zh-CN"/>
              </w:rPr>
            </w:pPr>
            <w:r>
              <w:rPr>
                <w:rFonts w:hint="eastAsia" w:cs="Times New Roman"/>
                <w:color w:val="auto"/>
                <w:sz w:val="24"/>
                <w:szCs w:val="20"/>
                <w:u w:val="none"/>
                <w:lang w:val="en-US" w:eastAsia="zh-CN"/>
              </w:rPr>
              <w:t>1、</w:t>
            </w:r>
            <w:r>
              <w:rPr>
                <w:rFonts w:hint="eastAsia" w:cs="Times New Roman"/>
                <w:b/>
                <w:bCs/>
                <w:color w:val="auto"/>
                <w:sz w:val="24"/>
                <w:szCs w:val="20"/>
                <w:u w:val="none"/>
                <w:lang w:val="en-US" w:eastAsia="zh-CN"/>
              </w:rPr>
              <w:t>湖南湘阴横岭湖省级自然保护区概况</w:t>
            </w:r>
          </w:p>
          <w:p>
            <w:pPr>
              <w:spacing w:line="360" w:lineRule="auto"/>
              <w:ind w:firstLine="482" w:firstLineChars="200"/>
              <w:rPr>
                <w:rFonts w:hint="default" w:cs="Times New Roman"/>
                <w:b/>
                <w:bCs/>
                <w:color w:val="auto"/>
                <w:sz w:val="24"/>
                <w:szCs w:val="20"/>
                <w:u w:val="none"/>
                <w:lang w:val="en-US" w:eastAsia="zh-CN"/>
              </w:rPr>
            </w:pPr>
            <w:r>
              <w:rPr>
                <w:rFonts w:hint="default" w:ascii="Calibri" w:hAnsi="Calibri" w:cs="Calibri"/>
                <w:b/>
                <w:bCs/>
                <w:color w:val="auto"/>
                <w:sz w:val="24"/>
                <w:szCs w:val="20"/>
                <w:u w:val="none"/>
                <w:lang w:val="en-US" w:eastAsia="zh-CN"/>
              </w:rPr>
              <w:t>①</w:t>
            </w:r>
            <w:r>
              <w:rPr>
                <w:rFonts w:hint="eastAsia" w:cs="Times New Roman"/>
                <w:b/>
                <w:bCs/>
                <w:color w:val="auto"/>
                <w:sz w:val="24"/>
                <w:szCs w:val="20"/>
                <w:u w:val="none"/>
                <w:lang w:val="en-US" w:eastAsia="zh-CN"/>
              </w:rPr>
              <w:t>基本情况</w:t>
            </w:r>
          </w:p>
          <w:p>
            <w:pPr>
              <w:spacing w:line="360" w:lineRule="auto"/>
              <w:ind w:firstLine="480" w:firstLineChars="200"/>
              <w:rPr>
                <w:rFonts w:hint="eastAsia" w:cs="Times New Roman"/>
                <w:b w:val="0"/>
                <w:bCs w:val="0"/>
                <w:color w:val="auto"/>
                <w:sz w:val="24"/>
                <w:szCs w:val="20"/>
                <w:u w:val="none"/>
                <w:lang w:val="en-US" w:eastAsia="zh-CN"/>
              </w:rPr>
            </w:pPr>
            <w:r>
              <w:rPr>
                <w:rFonts w:hint="eastAsia" w:cs="Times New Roman"/>
                <w:b w:val="0"/>
                <w:bCs w:val="0"/>
                <w:color w:val="auto"/>
                <w:sz w:val="24"/>
                <w:szCs w:val="20"/>
                <w:u w:val="none"/>
                <w:lang w:val="en-US" w:eastAsia="zh-CN"/>
              </w:rPr>
              <w:t>湖南湘阴横岭湖省级自然保护区（以下简称“横岭湖”或“保护区”）在地理上处于湖南东北部的南洞庭湖与东洞庭湖交汇区，在行政区域上位于岳阳市湘阴县境北部，地理坐标介于东经112°38′~112°57′，北纬28°35′~29° 03′之间，总面积4.3万公顷，其中永久性陆地2.2万公顷，洲滩0.6 万公顷，永久性水面1.5万公顷。横岭湖自然保护区是洞庭湖湿地的重要组成部分，由大小二十四个常年性湖泊和三大片季节性洲土珠连玉缀而成。由于湘、资、沅、澧四水所夹带的泥沙长期淤积而渐与洞庭湖形成季节性分裂，丰水期与洞庭湖碧波相连。同时，横岭湖为西洞庭湖、南洞庭湖通往 东洞庭湖的咽喉要道，是洞庭湖重要的行、蓄洪通道，它的生态环境状况直接影响到洞庭湖的蓄洪和行洪能力。</w:t>
            </w:r>
          </w:p>
          <w:p>
            <w:pPr>
              <w:spacing w:line="360" w:lineRule="auto"/>
              <w:ind w:firstLine="480" w:firstLineChars="200"/>
              <w:rPr>
                <w:rFonts w:hint="eastAsia" w:cs="Times New Roman"/>
                <w:b w:val="0"/>
                <w:bCs w:val="0"/>
                <w:color w:val="auto"/>
                <w:sz w:val="24"/>
                <w:szCs w:val="20"/>
                <w:u w:val="none"/>
                <w:lang w:val="en-US" w:eastAsia="zh-CN"/>
              </w:rPr>
            </w:pPr>
            <w:r>
              <w:rPr>
                <w:rFonts w:hint="eastAsia" w:cs="Times New Roman"/>
                <w:b w:val="0"/>
                <w:bCs w:val="0"/>
                <w:color w:val="auto"/>
                <w:sz w:val="24"/>
                <w:szCs w:val="20"/>
                <w:u w:val="none"/>
                <w:lang w:val="en-US" w:eastAsia="zh-CN"/>
              </w:rPr>
              <w:t>2000年6月，经湘阴县人民政府批准，成立了湘阴县横岭湖鸟类和湿地自然保护区，2003年4月经湖南省人民政府批准，晋升为省级自然保护区。</w:t>
            </w:r>
          </w:p>
          <w:p>
            <w:pPr>
              <w:spacing w:line="360" w:lineRule="auto"/>
              <w:ind w:firstLine="480" w:firstLineChars="200"/>
              <w:rPr>
                <w:rFonts w:hint="eastAsia" w:cs="Times New Roman"/>
                <w:b w:val="0"/>
                <w:bCs w:val="0"/>
                <w:color w:val="auto"/>
                <w:sz w:val="24"/>
                <w:szCs w:val="20"/>
                <w:u w:val="none"/>
                <w:lang w:val="en-US" w:eastAsia="zh-CN"/>
              </w:rPr>
            </w:pPr>
            <w:r>
              <w:rPr>
                <w:rFonts w:hint="eastAsia" w:cs="Times New Roman"/>
                <w:b w:val="0"/>
                <w:bCs w:val="0"/>
                <w:color w:val="auto"/>
                <w:sz w:val="24"/>
                <w:szCs w:val="20"/>
                <w:u w:val="none"/>
                <w:lang w:val="en-US" w:eastAsia="zh-CN"/>
              </w:rPr>
              <w:t>保护区内野生动植物资源十分丰富，维管束植物106科（196属） 397种，有各类野生动物440种。其中鱼类12目21科112种，鸟类16目47 科207种，爬行类8科29种；兽类16科28种；两栖类5科12种，虾蟹类5科11种，贝类5科41种。属国家重点保护的野生动植物50种余种。横岭湖是国家一级重点保护物种中华秋沙鸭主要越冬区，也是国家二级重点保护物种江豚主要分布区，同时还是我国麋鹿自然野化种群的栖息地之一。</w:t>
            </w:r>
          </w:p>
          <w:p>
            <w:pPr>
              <w:spacing w:line="360" w:lineRule="auto"/>
              <w:ind w:firstLine="480" w:firstLineChars="200"/>
              <w:rPr>
                <w:rFonts w:hint="eastAsia" w:cs="Times New Roman"/>
                <w:b w:val="0"/>
                <w:bCs w:val="0"/>
                <w:color w:val="auto"/>
                <w:sz w:val="24"/>
                <w:szCs w:val="20"/>
                <w:u w:val="none"/>
                <w:lang w:val="en-US" w:eastAsia="zh-CN"/>
              </w:rPr>
            </w:pPr>
            <w:r>
              <w:rPr>
                <w:rFonts w:hint="eastAsia" w:cs="Times New Roman"/>
                <w:b w:val="0"/>
                <w:bCs w:val="0"/>
                <w:color w:val="auto"/>
                <w:sz w:val="24"/>
                <w:szCs w:val="20"/>
                <w:u w:val="none"/>
                <w:lang w:val="en-US" w:eastAsia="zh-CN"/>
              </w:rPr>
              <w:t>保护区是以保护洞庭湖区典型的自然湿地生态系统、珍稀动植物物种及其栖息地为主，保护自然景观和人文景观为辅，保护与适度开发利用相结合的湿地类型自然保护区。保护区的保护对象为区域内包括野生动植物在内的所有生物物种及由其构成的湿地生态系统、水域景观、地貌景观等。重点保护典型的淡水湿地生态系统；保护大批珍稀濒危动植物物种的天然集中分布区和生物多样性，拯救濒临灭绝的珍稀动植物。</w:t>
            </w:r>
          </w:p>
          <w:p>
            <w:pPr>
              <w:spacing w:line="360" w:lineRule="auto"/>
              <w:ind w:firstLine="482" w:firstLineChars="200"/>
              <w:rPr>
                <w:rFonts w:hint="default" w:cs="Times New Roman"/>
                <w:b/>
                <w:bCs/>
                <w:color w:val="auto"/>
                <w:sz w:val="24"/>
                <w:szCs w:val="20"/>
                <w:u w:val="none"/>
                <w:lang w:val="en-US" w:eastAsia="zh-CN"/>
              </w:rPr>
            </w:pPr>
            <w:r>
              <w:rPr>
                <w:rFonts w:hint="default" w:ascii="Calibri" w:hAnsi="Calibri" w:cs="Calibri"/>
                <w:b/>
                <w:bCs/>
                <w:color w:val="auto"/>
                <w:sz w:val="24"/>
                <w:szCs w:val="20"/>
                <w:u w:val="none"/>
                <w:lang w:val="en-US" w:eastAsia="zh-CN"/>
              </w:rPr>
              <w:t>②</w:t>
            </w:r>
            <w:r>
              <w:rPr>
                <w:rFonts w:hint="eastAsia" w:cs="Times New Roman"/>
                <w:b/>
                <w:bCs/>
                <w:color w:val="auto"/>
                <w:sz w:val="24"/>
                <w:szCs w:val="20"/>
                <w:u w:val="none"/>
                <w:lang w:val="en-US" w:eastAsia="zh-CN"/>
              </w:rPr>
              <w:t>功能区划</w:t>
            </w:r>
          </w:p>
          <w:p>
            <w:pPr>
              <w:spacing w:line="360" w:lineRule="auto"/>
              <w:ind w:firstLine="482" w:firstLineChars="200"/>
              <w:rPr>
                <w:rFonts w:hint="default" w:cs="Times New Roman"/>
                <w:b/>
                <w:bCs/>
                <w:color w:val="auto"/>
                <w:sz w:val="24"/>
                <w:szCs w:val="20"/>
                <w:u w:val="none"/>
                <w:lang w:val="en-US" w:eastAsia="zh-CN"/>
              </w:rPr>
            </w:pPr>
            <w:r>
              <w:rPr>
                <w:rFonts w:hint="default" w:cs="Times New Roman"/>
                <w:b/>
                <w:bCs/>
                <w:color w:val="auto"/>
                <w:sz w:val="24"/>
                <w:szCs w:val="20"/>
                <w:u w:val="none"/>
                <w:lang w:val="en-US" w:eastAsia="zh-CN"/>
              </w:rPr>
              <w:t>核心区</w:t>
            </w:r>
          </w:p>
          <w:p>
            <w:pPr>
              <w:spacing w:line="360" w:lineRule="auto"/>
              <w:ind w:firstLine="480" w:firstLineChars="200"/>
              <w:rPr>
                <w:rFonts w:hint="default" w:cs="Times New Roman"/>
                <w:b w:val="0"/>
                <w:bCs w:val="0"/>
                <w:color w:val="auto"/>
                <w:sz w:val="24"/>
                <w:szCs w:val="20"/>
                <w:u w:val="none"/>
                <w:lang w:val="en-US" w:eastAsia="zh-CN"/>
              </w:rPr>
            </w:pPr>
            <w:r>
              <w:rPr>
                <w:rFonts w:hint="default" w:cs="Times New Roman"/>
                <w:b w:val="0"/>
                <w:bCs w:val="0"/>
                <w:color w:val="auto"/>
                <w:sz w:val="24"/>
                <w:szCs w:val="20"/>
                <w:u w:val="none"/>
                <w:lang w:val="en-US" w:eastAsia="zh-CN"/>
              </w:rPr>
              <w:t>区域范围：横岭湖保护区的核心区包括横岭湖、严家山和青山之间所包绕的水域及沙洲，核心区总面积1.5万hm</w:t>
            </w:r>
            <w:r>
              <w:rPr>
                <w:rFonts w:hint="default" w:cs="Times New Roman"/>
                <w:b w:val="0"/>
                <w:bCs w:val="0"/>
                <w:color w:val="auto"/>
                <w:sz w:val="24"/>
                <w:szCs w:val="20"/>
                <w:u w:val="none"/>
                <w:vertAlign w:val="superscript"/>
                <w:lang w:val="en-US" w:eastAsia="zh-CN"/>
              </w:rPr>
              <w:t>2</w:t>
            </w:r>
            <w:r>
              <w:rPr>
                <w:rFonts w:hint="default" w:cs="Times New Roman"/>
                <w:b w:val="0"/>
                <w:bCs w:val="0"/>
                <w:color w:val="auto"/>
                <w:sz w:val="24"/>
                <w:szCs w:val="20"/>
                <w:u w:val="none"/>
                <w:lang w:val="en-US" w:eastAsia="zh-CN"/>
              </w:rPr>
              <w:t>，其边界东起严家山，沿青山向北至杨么头，西至老龙潭与下神湖，向南达慈场湖，向东经南湖边缘到达严家山。核心区含沈家坪、聚贤围和李家台等永久性陆地0.20万hm</w:t>
            </w:r>
            <w:r>
              <w:rPr>
                <w:rFonts w:hint="default" w:cs="Times New Roman"/>
                <w:b w:val="0"/>
                <w:bCs w:val="0"/>
                <w:color w:val="auto"/>
                <w:sz w:val="24"/>
                <w:szCs w:val="20"/>
                <w:u w:val="none"/>
                <w:vertAlign w:val="superscript"/>
                <w:lang w:val="en-US" w:eastAsia="zh-CN"/>
              </w:rPr>
              <w:t>2</w:t>
            </w:r>
            <w:r>
              <w:rPr>
                <w:rFonts w:hint="default" w:cs="Times New Roman"/>
                <w:b w:val="0"/>
                <w:bCs w:val="0"/>
                <w:color w:val="auto"/>
                <w:sz w:val="24"/>
                <w:szCs w:val="20"/>
                <w:u w:val="none"/>
                <w:lang w:val="en-US" w:eastAsia="zh-CN"/>
              </w:rPr>
              <w:t>及洲滩1.3万hm</w:t>
            </w:r>
            <w:r>
              <w:rPr>
                <w:rFonts w:hint="default" w:cs="Times New Roman"/>
                <w:b w:val="0"/>
                <w:bCs w:val="0"/>
                <w:color w:val="auto"/>
                <w:sz w:val="24"/>
                <w:szCs w:val="20"/>
                <w:u w:val="none"/>
                <w:vertAlign w:val="superscript"/>
                <w:lang w:val="en-US" w:eastAsia="zh-CN"/>
              </w:rPr>
              <w:t>2</w:t>
            </w:r>
            <w:r>
              <w:rPr>
                <w:rFonts w:hint="default" w:cs="Times New Roman"/>
                <w:b w:val="0"/>
                <w:bCs w:val="0"/>
                <w:color w:val="auto"/>
                <w:sz w:val="24"/>
                <w:szCs w:val="20"/>
                <w:u w:val="none"/>
                <w:lang w:val="en-US" w:eastAsia="zh-CN"/>
              </w:rPr>
              <w:t>，将《总体规划2003~2015年》中青山岛调出核心区，划入实验区。核心区为保存完好的自然状态的湿地生态系统以及珍稀、濒危动植物的集中分布地，主要供珍稀鱼类和珍稀鸟类繁殖、栖息。</w:t>
            </w:r>
          </w:p>
          <w:p>
            <w:pPr>
              <w:spacing w:line="360" w:lineRule="auto"/>
              <w:ind w:firstLine="480" w:firstLineChars="200"/>
              <w:rPr>
                <w:rFonts w:hint="default" w:cs="Times New Roman"/>
                <w:b w:val="0"/>
                <w:bCs w:val="0"/>
                <w:color w:val="auto"/>
                <w:sz w:val="24"/>
                <w:szCs w:val="20"/>
                <w:u w:val="none"/>
                <w:lang w:val="en-US" w:eastAsia="zh-CN"/>
              </w:rPr>
            </w:pPr>
            <w:r>
              <w:rPr>
                <w:rFonts w:hint="default" w:cs="Times New Roman"/>
                <w:b w:val="0"/>
                <w:bCs w:val="0"/>
                <w:color w:val="auto"/>
                <w:sz w:val="24"/>
                <w:szCs w:val="20"/>
                <w:u w:val="none"/>
                <w:lang w:val="en-US" w:eastAsia="zh-CN"/>
              </w:rPr>
              <w:t>核心区保护基本要求： 禁止任何人进入自然保护区的核心区。因科学研究的需要，必须进入核心区从事科学研究观测、调查活动的，应当事先向自然保护区管理机构提交申请和活动计划，并经自然保护区行政主管部门批准。在自然保护区的核心区内，不得建设任何生产设施，禁止一切除科学研究以外的人为活动。</w:t>
            </w:r>
          </w:p>
          <w:p>
            <w:pPr>
              <w:spacing w:line="360" w:lineRule="auto"/>
              <w:ind w:firstLine="482" w:firstLineChars="200"/>
              <w:rPr>
                <w:rFonts w:hint="default" w:cs="Times New Roman"/>
                <w:b/>
                <w:bCs/>
                <w:color w:val="auto"/>
                <w:sz w:val="24"/>
                <w:szCs w:val="20"/>
                <w:u w:val="none"/>
                <w:lang w:val="en-US" w:eastAsia="zh-CN"/>
              </w:rPr>
            </w:pPr>
            <w:r>
              <w:rPr>
                <w:rFonts w:hint="default" w:cs="Times New Roman"/>
                <w:b/>
                <w:bCs/>
                <w:color w:val="auto"/>
                <w:sz w:val="24"/>
                <w:szCs w:val="20"/>
                <w:u w:val="none"/>
                <w:lang w:val="en-US" w:eastAsia="zh-CN"/>
              </w:rPr>
              <w:t>缓冲区</w:t>
            </w:r>
          </w:p>
          <w:p>
            <w:pPr>
              <w:spacing w:line="360" w:lineRule="auto"/>
              <w:ind w:firstLine="480" w:firstLineChars="200"/>
              <w:rPr>
                <w:rFonts w:hint="default" w:cs="Times New Roman"/>
                <w:b w:val="0"/>
                <w:bCs w:val="0"/>
                <w:color w:val="auto"/>
                <w:sz w:val="24"/>
                <w:szCs w:val="20"/>
                <w:u w:val="none"/>
                <w:lang w:val="en-US" w:eastAsia="zh-CN"/>
              </w:rPr>
            </w:pPr>
            <w:r>
              <w:rPr>
                <w:rFonts w:hint="default" w:cs="Times New Roman"/>
                <w:b w:val="0"/>
                <w:bCs w:val="0"/>
                <w:color w:val="auto"/>
                <w:sz w:val="24"/>
                <w:szCs w:val="20"/>
                <w:u w:val="none"/>
                <w:lang w:val="en-US" w:eastAsia="zh-CN"/>
              </w:rPr>
              <w:t>区域范围：横岭湖省级自然保护区缓冲区包括沱莲湖、荷叶湖和慈场湖之间所包络的除核心区外的水域及洲滩，总面积1.2万hm2。其边界西起老爷山，向东南经大顺围南端，淳湖下界至慈场湖，向东北经芦林潭至严家山东，向北沿青山至虾湖，向西南经黄土缎至沱莲湖。</w:t>
            </w:r>
          </w:p>
          <w:p>
            <w:pPr>
              <w:spacing w:line="360" w:lineRule="auto"/>
              <w:ind w:firstLine="480" w:firstLineChars="200"/>
              <w:rPr>
                <w:rFonts w:hint="default" w:cs="Times New Roman"/>
                <w:b w:val="0"/>
                <w:bCs w:val="0"/>
                <w:color w:val="auto"/>
                <w:sz w:val="24"/>
                <w:szCs w:val="20"/>
                <w:u w:val="none"/>
                <w:lang w:val="en-US" w:eastAsia="zh-CN"/>
              </w:rPr>
            </w:pPr>
            <w:r>
              <w:rPr>
                <w:rFonts w:hint="default" w:cs="Times New Roman"/>
                <w:b w:val="0"/>
                <w:bCs w:val="0"/>
                <w:color w:val="auto"/>
                <w:sz w:val="24"/>
                <w:szCs w:val="20"/>
                <w:u w:val="none"/>
                <w:lang w:val="en-US" w:eastAsia="zh-CN"/>
              </w:rPr>
              <w:t>缓冲区保护基本要求：缓冲区只准进入从事科学研究观测活动。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上述活动的单位和个人，应当将其活动成果的副本提交自然保护区的管理机构。在自然保护区的缓冲区内，不得建设任何生产设施。</w:t>
            </w:r>
          </w:p>
          <w:p>
            <w:pPr>
              <w:spacing w:line="360" w:lineRule="auto"/>
              <w:ind w:firstLine="482" w:firstLineChars="200"/>
              <w:rPr>
                <w:rFonts w:hint="default" w:cs="Times New Roman"/>
                <w:b/>
                <w:bCs/>
                <w:color w:val="auto"/>
                <w:sz w:val="24"/>
                <w:szCs w:val="20"/>
                <w:u w:val="none"/>
                <w:lang w:val="en-US" w:eastAsia="zh-CN"/>
              </w:rPr>
            </w:pPr>
            <w:r>
              <w:rPr>
                <w:rFonts w:hint="default" w:cs="Times New Roman"/>
                <w:b/>
                <w:bCs/>
                <w:color w:val="auto"/>
                <w:sz w:val="24"/>
                <w:szCs w:val="20"/>
                <w:u w:val="none"/>
                <w:lang w:val="en-US" w:eastAsia="zh-CN"/>
              </w:rPr>
              <w:t>实验区</w:t>
            </w:r>
          </w:p>
          <w:p>
            <w:pPr>
              <w:spacing w:line="360" w:lineRule="auto"/>
              <w:ind w:firstLine="480" w:firstLineChars="200"/>
              <w:rPr>
                <w:rFonts w:hint="default" w:cs="Times New Roman"/>
                <w:b w:val="0"/>
                <w:bCs w:val="0"/>
                <w:color w:val="auto"/>
                <w:sz w:val="24"/>
                <w:szCs w:val="20"/>
                <w:u w:val="none"/>
                <w:lang w:val="en-US" w:eastAsia="zh-CN"/>
              </w:rPr>
            </w:pPr>
            <w:r>
              <w:rPr>
                <w:rFonts w:hint="default" w:cs="Times New Roman"/>
                <w:b w:val="0"/>
                <w:bCs w:val="0"/>
                <w:color w:val="auto"/>
                <w:sz w:val="24"/>
                <w:szCs w:val="20"/>
                <w:u w:val="none"/>
                <w:lang w:val="en-US" w:eastAsia="zh-CN"/>
              </w:rPr>
              <w:t>区域范围：实验区为除核心区和缓冲区以外的其余水域、洲滩及单退垸，包括湘江河、芦苇场及浩河、弯河等退田还湖的“单退垸”，将《总体规划2003~2015年》中核心区的青山岛划入实验区。实验区总面积1.6万hm2。</w:t>
            </w:r>
          </w:p>
          <w:p>
            <w:pPr>
              <w:spacing w:line="360" w:lineRule="auto"/>
              <w:ind w:firstLine="480" w:firstLineChars="200"/>
              <w:rPr>
                <w:rFonts w:hint="default" w:cs="Times New Roman"/>
                <w:b w:val="0"/>
                <w:bCs w:val="0"/>
                <w:color w:val="auto"/>
                <w:sz w:val="24"/>
                <w:szCs w:val="20"/>
                <w:u w:val="none"/>
                <w:lang w:val="en-US" w:eastAsia="zh-CN"/>
              </w:rPr>
            </w:pPr>
            <w:r>
              <w:rPr>
                <w:rFonts w:hint="default" w:cs="Times New Roman"/>
                <w:b w:val="0"/>
                <w:bCs w:val="0"/>
                <w:color w:val="auto"/>
                <w:sz w:val="24"/>
                <w:szCs w:val="20"/>
                <w:u w:val="none"/>
                <w:lang w:val="en-US" w:eastAsia="zh-CN"/>
              </w:rPr>
              <w:t>实验区保护基本要求：在横岭湖省级自然保护区的实验区开展科学试验、教学实习、参观考察、旅游以及驯化、繁殖珍稀、濒危野生动植物等活动的，由自然保护区管理机构提出方案，经由自然保护区管理机构提出方案，经省级自然保护区行政主管部门批准。在自然保护区组织参观、旅游活动的，必须按照批准的方案进行，并加强管理；进入自然保护区参观、旅游的单位和个人，应当服从自然保护区管理机构的管理。严禁开设与自然保护区保护方向不一致的参观、旅游项目。在自然保护区的实验区内，不得建设污染环境、破坏资源或者景观的生产设施：建设其他项目，其污染物排放不得超过国家和地方规定的污染物排放标准。在自然保护区的实验区内已经建成的设施，其污染物排放超过国家和地方规定的排放标准的，应当限期治理：造成损害的，必须采取补救措施。因发生事故或者其他突然性事件，造成或者可能造成自然保护区污染破坏的单位和个人，必须立即采取措施处理，及时通报可能受到危害的单位和居民，并向自然保护区管理机构、当地环境保护行政主管部门和自然保护区行政主管部门报告，接受调查处理。</w:t>
            </w:r>
          </w:p>
          <w:p>
            <w:pPr>
              <w:spacing w:line="360" w:lineRule="auto"/>
              <w:ind w:firstLine="482" w:firstLineChars="200"/>
              <w:rPr>
                <w:rFonts w:hint="default" w:cs="Times New Roman"/>
                <w:b/>
                <w:bCs/>
                <w:color w:val="auto"/>
                <w:sz w:val="24"/>
                <w:szCs w:val="20"/>
                <w:u w:val="none"/>
                <w:lang w:val="en-US" w:eastAsia="zh-CN"/>
              </w:rPr>
            </w:pPr>
            <w:r>
              <w:rPr>
                <w:rFonts w:hint="default" w:ascii="Calibri" w:hAnsi="Calibri" w:cs="Calibri"/>
                <w:b/>
                <w:bCs/>
                <w:color w:val="auto"/>
                <w:sz w:val="24"/>
                <w:szCs w:val="20"/>
                <w:u w:val="none"/>
                <w:lang w:val="en-US" w:eastAsia="zh-CN"/>
              </w:rPr>
              <w:t>③</w:t>
            </w:r>
            <w:r>
              <w:rPr>
                <w:rFonts w:hint="eastAsia" w:ascii="Calibri" w:hAnsi="Calibri" w:cs="Calibri"/>
                <w:b/>
                <w:bCs/>
                <w:color w:val="auto"/>
                <w:sz w:val="24"/>
                <w:szCs w:val="20"/>
                <w:u w:val="none"/>
                <w:lang w:val="en-US" w:eastAsia="zh-CN"/>
              </w:rPr>
              <w:t>主要保护对象</w:t>
            </w:r>
          </w:p>
          <w:p>
            <w:pPr>
              <w:spacing w:line="360" w:lineRule="auto"/>
              <w:ind w:firstLine="480" w:firstLineChars="200"/>
              <w:rPr>
                <w:rFonts w:hint="default" w:ascii="Times New Roman" w:hAnsi="Times New Roman" w:eastAsia="宋体" w:cs="Times New Roman"/>
                <w:color w:val="auto"/>
                <w:sz w:val="24"/>
                <w:szCs w:val="20"/>
                <w:u w:val="none"/>
              </w:rPr>
            </w:pPr>
            <w:r>
              <w:rPr>
                <w:rFonts w:hint="default" w:ascii="Times New Roman" w:hAnsi="Times New Roman" w:eastAsia="宋体" w:cs="Times New Roman"/>
                <w:color w:val="auto"/>
                <w:sz w:val="24"/>
                <w:szCs w:val="20"/>
                <w:u w:val="none"/>
              </w:rPr>
              <w:t>湖南湘阴横岭湖省级自然保护区的保护对象为区域内包括野生动植物在内的所有生物物种及由其构成的湿地生态系统、水域景观、地貌景观等。重点保护典型的淡水湿地生态系统；保护大批珍稀濒危动植物物种的天然集中分布区和生物多样性，拯救濒临灭绝的珍稀动植物。</w:t>
            </w:r>
          </w:p>
          <w:p>
            <w:pPr>
              <w:spacing w:line="360" w:lineRule="auto"/>
              <w:ind w:firstLine="482" w:firstLineChars="200"/>
              <w:rPr>
                <w:rFonts w:hint="default" w:ascii="Times New Roman" w:hAnsi="Times New Roman" w:eastAsia="宋体" w:cs="Times New Roman"/>
                <w:b/>
                <w:bCs/>
                <w:color w:val="auto"/>
                <w:sz w:val="24"/>
                <w:szCs w:val="20"/>
                <w:u w:val="none"/>
              </w:rPr>
            </w:pPr>
            <w:r>
              <w:rPr>
                <w:rFonts w:hint="default" w:ascii="Times New Roman" w:hAnsi="Times New Roman" w:eastAsia="宋体" w:cs="Times New Roman"/>
                <w:b/>
                <w:bCs/>
                <w:color w:val="auto"/>
                <w:sz w:val="24"/>
                <w:szCs w:val="20"/>
                <w:u w:val="none"/>
              </w:rPr>
              <w:t>典型的淡水湖泊型自然湿地生态系统及其生物多样性</w:t>
            </w:r>
          </w:p>
          <w:p>
            <w:pPr>
              <w:spacing w:line="360" w:lineRule="auto"/>
              <w:ind w:firstLine="480" w:firstLineChars="200"/>
              <w:rPr>
                <w:rFonts w:hint="default" w:ascii="Times New Roman" w:hAnsi="Times New Roman" w:eastAsia="宋体" w:cs="Times New Roman"/>
                <w:color w:val="auto"/>
                <w:sz w:val="24"/>
                <w:szCs w:val="20"/>
                <w:u w:val="none"/>
              </w:rPr>
            </w:pPr>
            <w:r>
              <w:rPr>
                <w:rFonts w:hint="default" w:ascii="Times New Roman" w:hAnsi="Times New Roman" w:eastAsia="宋体" w:cs="Times New Roman"/>
                <w:color w:val="auto"/>
                <w:sz w:val="24"/>
                <w:szCs w:val="20"/>
                <w:u w:val="none"/>
              </w:rPr>
              <w:t>横岭湖湿地环境完整、自然，自然资源丰富，植被类型多样且保存较完好，已知的维管束植物106科（196属）397种，有各类野生动物440种。其中鱼类12目21科112种，鸟类16目47科207种，爬行类8科29种；兽类16科28种；两栖类5科12种，虾蟹类5科11种，贝类5科41种。横岭湖原生性湿地生态系统在我国乃至世界湿地自然保护区网络中占有极其重要的地位，包括横岭湖在内的洞庭湖在1992年中国加入《国际湿地公约》时被列入首批指定的7块国际重要湿地之一，具有全球影响，生态区位非常重要。</w:t>
            </w:r>
          </w:p>
          <w:p>
            <w:pPr>
              <w:spacing w:line="360" w:lineRule="auto"/>
              <w:ind w:firstLine="482" w:firstLineChars="200"/>
              <w:rPr>
                <w:rFonts w:hint="default" w:ascii="Times New Roman" w:hAnsi="Times New Roman" w:eastAsia="宋体" w:cs="Times New Roman"/>
                <w:b/>
                <w:bCs/>
                <w:color w:val="auto"/>
                <w:sz w:val="24"/>
                <w:szCs w:val="20"/>
                <w:u w:val="none"/>
              </w:rPr>
            </w:pPr>
            <w:r>
              <w:rPr>
                <w:rFonts w:hint="default" w:ascii="Times New Roman" w:hAnsi="Times New Roman" w:eastAsia="宋体" w:cs="Times New Roman"/>
                <w:b/>
                <w:bCs/>
                <w:color w:val="auto"/>
                <w:sz w:val="24"/>
                <w:szCs w:val="20"/>
                <w:u w:val="none"/>
              </w:rPr>
              <w:t>国家保护的珍稀物种及其栖息地</w:t>
            </w:r>
          </w:p>
          <w:p>
            <w:pPr>
              <w:spacing w:line="360" w:lineRule="auto"/>
              <w:ind w:firstLine="480" w:firstLineChars="200"/>
              <w:rPr>
                <w:rFonts w:hint="default" w:ascii="Times New Roman" w:hAnsi="Times New Roman" w:eastAsia="宋体" w:cs="Times New Roman"/>
                <w:color w:val="auto"/>
                <w:sz w:val="24"/>
                <w:szCs w:val="20"/>
                <w:u w:val="none"/>
              </w:rPr>
            </w:pPr>
            <w:r>
              <w:rPr>
                <w:rFonts w:hint="default" w:ascii="Times New Roman" w:hAnsi="Times New Roman" w:eastAsia="宋体" w:cs="Times New Roman"/>
                <w:color w:val="auto"/>
                <w:sz w:val="24"/>
                <w:szCs w:val="20"/>
                <w:u w:val="none"/>
              </w:rPr>
              <w:t>横岭湖省级自然保护区悠久的历史和丰富的水热资源为植物的生存繁衍提供了得天独厚的条件，在动物区系中含有大量的古老孑遗物种，如鱼类中的中华鲟、白鲟，哺乳类的白暨豚等。保护区内仅国家重点保护的Ⅰ、Ⅱ级野生动物50余种，其中Ⅰ级保护动物有东方白鹳、黑鹳、白尾海雕、中华秋沙鸭、大鸨、白鹤、白头鹤，国家Ⅱ级保护动物有江豚、白脸琵鹭、大天鹅、小天鹅、白头鹞、白尾鹞、赤腹鹰、雀鹰、松雀鹰、苍鹰、燕隼、游隼、小杓鹬、虎纹蛙等。部分物种濒于灭绝，其中5种是极危级，7种濒危级，17种近危级，8种低危级，另外2种为中国特有种。长江流域被认为是中国鱼类生物多样性最高的三个区域之一，包含胭脂鱼在内的4种濒危鱼类生活在横岭湖。另有两种具有全球重要意义的哺乳类生活在横岭湖一带，即白鳍豚、江豚，前者为极危种，后者为濒危种。</w:t>
            </w:r>
          </w:p>
          <w:p>
            <w:pPr>
              <w:spacing w:line="360" w:lineRule="auto"/>
              <w:ind w:firstLine="480" w:firstLineChars="200"/>
              <w:rPr>
                <w:rFonts w:hint="default" w:ascii="Times New Roman" w:hAnsi="Times New Roman" w:eastAsia="宋体" w:cs="Times New Roman"/>
                <w:color w:val="auto"/>
                <w:sz w:val="24"/>
                <w:szCs w:val="20"/>
                <w:u w:val="none"/>
              </w:rPr>
            </w:pPr>
            <w:r>
              <w:rPr>
                <w:rFonts w:hint="default" w:ascii="Times New Roman" w:hAnsi="Times New Roman" w:eastAsia="宋体" w:cs="Times New Roman"/>
                <w:color w:val="auto"/>
                <w:sz w:val="24"/>
                <w:szCs w:val="20"/>
                <w:u w:val="none"/>
              </w:rPr>
              <w:t>横岭湖湿地也是亚洲最重要的候鸟越冬地之一，是国家一级重点保护物种中华秋沙鸭主要越冬区，洞庭湖的“标志鸟”白额雁有占全球种群数量50%以上在此栖息，鸿雁在洞庭湖的数量曾多于2万只（全球数量小于3.5万只）。横岭湖还是国家二级重点保护物种江豚主要分布区之一</w:t>
            </w:r>
            <w:r>
              <w:rPr>
                <w:rFonts w:hint="eastAsia" w:cs="Times New Roman"/>
                <w:color w:val="auto"/>
                <w:sz w:val="24"/>
                <w:szCs w:val="20"/>
                <w:u w:val="none"/>
                <w:lang w:eastAsia="zh-CN"/>
              </w:rPr>
              <w:t>，</w:t>
            </w:r>
            <w:r>
              <w:rPr>
                <w:rFonts w:hint="default" w:ascii="Times New Roman" w:hAnsi="Times New Roman" w:eastAsia="宋体" w:cs="Times New Roman"/>
                <w:color w:val="auto"/>
                <w:sz w:val="24"/>
                <w:szCs w:val="20"/>
                <w:u w:val="none"/>
              </w:rPr>
              <w:t>特别适合大型鹿科动物麋鹿（我国野外灭绝种）的栖息活动。</w:t>
            </w:r>
          </w:p>
          <w:p>
            <w:pPr>
              <w:spacing w:line="360" w:lineRule="auto"/>
              <w:ind w:firstLine="482" w:firstLineChars="200"/>
              <w:rPr>
                <w:rFonts w:hint="default" w:ascii="Times New Roman" w:hAnsi="Times New Roman" w:eastAsia="宋体" w:cs="Times New Roman"/>
                <w:b/>
                <w:bCs/>
                <w:color w:val="auto"/>
                <w:sz w:val="24"/>
                <w:szCs w:val="20"/>
                <w:u w:val="none"/>
              </w:rPr>
            </w:pPr>
            <w:r>
              <w:rPr>
                <w:rFonts w:hint="default" w:ascii="Times New Roman" w:hAnsi="Times New Roman" w:eastAsia="宋体" w:cs="Times New Roman"/>
                <w:b/>
                <w:bCs/>
                <w:color w:val="auto"/>
                <w:sz w:val="24"/>
                <w:szCs w:val="20"/>
                <w:u w:val="none"/>
              </w:rPr>
              <w:t>典型的水体与湿地自然景观</w:t>
            </w:r>
          </w:p>
          <w:p>
            <w:pPr>
              <w:spacing w:line="360" w:lineRule="auto"/>
              <w:ind w:firstLine="480" w:firstLineChars="200"/>
              <w:rPr>
                <w:rFonts w:hint="default" w:ascii="Times New Roman" w:hAnsi="Times New Roman" w:eastAsia="宋体" w:cs="Times New Roman"/>
                <w:color w:val="auto"/>
                <w:sz w:val="24"/>
                <w:szCs w:val="20"/>
                <w:u w:val="none"/>
              </w:rPr>
            </w:pPr>
            <w:r>
              <w:rPr>
                <w:rFonts w:hint="default" w:ascii="Times New Roman" w:hAnsi="Times New Roman" w:eastAsia="宋体" w:cs="Times New Roman"/>
                <w:color w:val="auto"/>
                <w:sz w:val="24"/>
                <w:szCs w:val="20"/>
                <w:u w:val="none"/>
              </w:rPr>
              <w:t>横岭湖境内青潭垸沙滩绕岛，绿草茵茵，文物丰富，珍稀鱼类、鸟类汇聚，水体、湿地景观特色鲜明，极为优美。还分布有青山渔村、黄鹤将军家冢、杨幺营寨、杨幺纪念馆等文化积淀厚重的人文景观。</w:t>
            </w:r>
          </w:p>
          <w:p>
            <w:pPr>
              <w:spacing w:line="360" w:lineRule="auto"/>
              <w:ind w:firstLine="480" w:firstLineChars="200"/>
              <w:rPr>
                <w:rFonts w:hint="default" w:cs="Times New Roman"/>
                <w:b/>
                <w:bCs/>
                <w:color w:val="auto"/>
                <w:sz w:val="24"/>
                <w:szCs w:val="20"/>
                <w:u w:val="none"/>
                <w:lang w:val="en-US" w:eastAsia="zh-CN"/>
              </w:rPr>
            </w:pPr>
            <w:r>
              <w:rPr>
                <w:rFonts w:hint="eastAsia" w:cs="Times New Roman"/>
                <w:color w:val="auto"/>
                <w:sz w:val="24"/>
                <w:szCs w:val="20"/>
                <w:u w:val="none"/>
                <w:lang w:val="en-US" w:eastAsia="zh-CN"/>
              </w:rPr>
              <w:t>2、</w:t>
            </w:r>
            <w:r>
              <w:rPr>
                <w:rFonts w:hint="eastAsia" w:cs="Times New Roman"/>
                <w:b/>
                <w:bCs/>
                <w:color w:val="auto"/>
                <w:sz w:val="24"/>
                <w:szCs w:val="20"/>
                <w:u w:val="none"/>
                <w:lang w:val="en-US" w:eastAsia="zh-CN"/>
              </w:rPr>
              <w:t>影响分析</w:t>
            </w:r>
          </w:p>
          <w:p>
            <w:pPr>
              <w:spacing w:line="360" w:lineRule="auto"/>
              <w:ind w:firstLine="480" w:firstLineChars="200"/>
              <w:rPr>
                <w:rFonts w:hint="eastAsia" w:cs="Times New Roman"/>
                <w:color w:val="auto"/>
                <w:sz w:val="24"/>
                <w:szCs w:val="20"/>
                <w:u w:val="none"/>
                <w:lang w:val="en-US" w:eastAsia="zh-CN"/>
              </w:rPr>
            </w:pPr>
            <w:r>
              <w:rPr>
                <w:rFonts w:hint="eastAsia" w:cs="Times New Roman"/>
                <w:color w:val="auto"/>
                <w:sz w:val="24"/>
                <w:szCs w:val="20"/>
                <w:u w:val="none"/>
                <w:lang w:val="en-US" w:eastAsia="zh-CN"/>
              </w:rPr>
              <w:t>本项目配水管网距离湖南湘阴横岭湖省级自然保护区较近，最近距离约10m，体位置关系详见附图9。湖南湘阴横岭湖省级自然保护区位于防洪堤外，配水管网位于防洪堤内，在防洪堤闸口关闭的情况下，防洪堤内的水不会排放至湖南湘阴横岭湖省级自然保护区。</w:t>
            </w:r>
          </w:p>
          <w:p>
            <w:pPr>
              <w:spacing w:line="360" w:lineRule="auto"/>
              <w:ind w:firstLine="480" w:firstLineChars="200"/>
              <w:rPr>
                <w:rFonts w:hint="default" w:cs="Times New Roman"/>
                <w:bCs/>
                <w:color w:val="auto"/>
                <w:szCs w:val="21"/>
                <w:u w:val="none"/>
                <w:lang w:val="en-US" w:eastAsia="zh-CN"/>
              </w:rPr>
            </w:pPr>
            <w:r>
              <w:rPr>
                <w:rFonts w:hint="eastAsia" w:cs="Times New Roman"/>
                <w:color w:val="auto"/>
                <w:sz w:val="24"/>
                <w:szCs w:val="20"/>
                <w:u w:val="none"/>
                <w:lang w:val="en-US" w:eastAsia="zh-CN"/>
              </w:rPr>
              <w:t>本项目施工过程中将造成青山岛内鱼塘水的扰动，将对会青山岛鱼塘水质造成一定的影响。但在防洪堤闸口关闭的情况下，其青山岛鱼塘的水不会排至横岭湖，不会对横岭湖的水造成影响。故本评价要求，施工选择在枯水期，且在施工前，将防洪堤闸口关闭，防止对横岭湖水质造成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879" w:type="dxa"/>
            <w:noWrap w:val="0"/>
            <w:tcMar>
              <w:left w:w="28" w:type="dxa"/>
              <w:right w:w="28" w:type="dxa"/>
            </w:tcMar>
            <w:vAlign w:val="center"/>
          </w:tcPr>
          <w:p>
            <w:pPr>
              <w:pStyle w:val="29"/>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u w:val="none"/>
                <w:lang w:val="en-US" w:eastAsia="zh-CN"/>
              </w:rPr>
            </w:pPr>
            <w:r>
              <w:rPr>
                <w:rFonts w:hint="default" w:ascii="Times New Roman" w:hAnsi="Times New Roman" w:eastAsia="宋体" w:cs="Times New Roman"/>
                <w:bCs/>
                <w:color w:val="auto"/>
                <w:spacing w:val="10"/>
                <w:kern w:val="2"/>
                <w:sz w:val="21"/>
                <w:szCs w:val="21"/>
                <w:u w:val="none"/>
                <w:lang w:val="en-US" w:eastAsia="zh-CN"/>
              </w:rPr>
              <w:t>运营期生态环境影响分析</w:t>
            </w:r>
          </w:p>
        </w:tc>
        <w:tc>
          <w:tcPr>
            <w:tcW w:w="8363" w:type="dxa"/>
            <w:noWrap w:val="0"/>
            <w:vAlign w:val="top"/>
          </w:tcPr>
          <w:p>
            <w:pPr>
              <w:adjustRightInd w:val="0"/>
              <w:snapToGrid w:val="0"/>
              <w:spacing w:line="360" w:lineRule="auto"/>
              <w:ind w:firstLine="482" w:firstLineChars="200"/>
              <w:rPr>
                <w:rFonts w:hint="default" w:ascii="Times New Roman" w:hAnsi="Times New Roman" w:eastAsia="宋体" w:cs="Times New Roman"/>
                <w:b/>
                <w:color w:val="auto"/>
                <w:sz w:val="24"/>
                <w:u w:val="none"/>
              </w:rPr>
            </w:pPr>
            <w:r>
              <w:rPr>
                <w:rFonts w:hint="default" w:ascii="Times New Roman" w:hAnsi="Times New Roman" w:eastAsia="宋体" w:cs="Times New Roman"/>
                <w:b/>
                <w:color w:val="auto"/>
                <w:sz w:val="24"/>
                <w:u w:val="none"/>
                <w:lang w:val="en-US" w:eastAsia="zh-CN"/>
              </w:rPr>
              <w:t>1</w:t>
            </w:r>
            <w:r>
              <w:rPr>
                <w:rFonts w:hint="default" w:ascii="Times New Roman" w:hAnsi="Times New Roman" w:eastAsia="宋体" w:cs="Times New Roman"/>
                <w:b/>
                <w:color w:val="auto"/>
                <w:sz w:val="24"/>
                <w:u w:val="none"/>
              </w:rPr>
              <w:t>、废气</w:t>
            </w:r>
          </w:p>
          <w:p>
            <w:pPr>
              <w:adjustRightInd w:val="0"/>
              <w:snapToGrid w:val="0"/>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本项目运营期废气主要人工湿地在运营过程中</w:t>
            </w:r>
            <w:r>
              <w:rPr>
                <w:rFonts w:hint="default" w:ascii="Times New Roman" w:hAnsi="Times New Roman" w:eastAsia="宋体" w:cs="Times New Roman"/>
                <w:color w:val="auto"/>
                <w:sz w:val="24"/>
                <w:u w:val="none"/>
                <w:lang w:eastAsia="zh-CN"/>
              </w:rPr>
              <w:t>腐败物</w:t>
            </w:r>
            <w:r>
              <w:rPr>
                <w:rFonts w:hint="default" w:ascii="Times New Roman" w:hAnsi="Times New Roman" w:eastAsia="宋体" w:cs="Times New Roman"/>
                <w:color w:val="auto"/>
                <w:sz w:val="24"/>
                <w:u w:val="none"/>
              </w:rPr>
              <w:t>产生</w:t>
            </w:r>
            <w:r>
              <w:rPr>
                <w:rFonts w:hint="default" w:ascii="Times New Roman" w:hAnsi="Times New Roman" w:eastAsia="宋体" w:cs="Times New Roman"/>
                <w:color w:val="auto"/>
                <w:sz w:val="24"/>
                <w:u w:val="none"/>
                <w:lang w:val="en-US" w:eastAsia="zh-CN"/>
              </w:rPr>
              <w:t>的</w:t>
            </w:r>
            <w:r>
              <w:rPr>
                <w:rFonts w:hint="default" w:ascii="Times New Roman" w:hAnsi="Times New Roman" w:eastAsia="宋体" w:cs="Times New Roman"/>
                <w:color w:val="auto"/>
                <w:sz w:val="24"/>
                <w:u w:val="none"/>
              </w:rPr>
              <w:t>恶臭</w:t>
            </w:r>
            <w:r>
              <w:rPr>
                <w:rFonts w:hint="default" w:ascii="Times New Roman" w:hAnsi="Times New Roman" w:eastAsia="宋体" w:cs="Times New Roman"/>
                <w:color w:val="auto"/>
                <w:sz w:val="24"/>
                <w:u w:val="none"/>
                <w:lang w:val="en-US" w:eastAsia="zh-CN"/>
              </w:rPr>
              <w:t>气体</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恶臭</w:t>
            </w:r>
            <w:r>
              <w:rPr>
                <w:rFonts w:hint="default" w:ascii="Times New Roman" w:hAnsi="Times New Roman" w:eastAsia="宋体" w:cs="Times New Roman"/>
                <w:color w:val="auto"/>
                <w:sz w:val="24"/>
                <w:u w:val="none"/>
                <w:lang w:val="en-US" w:eastAsia="zh-CN"/>
              </w:rPr>
              <w:t>来源主要为腐败物不及时清理，产生的恶臭气体。</w:t>
            </w:r>
            <w:r>
              <w:rPr>
                <w:rFonts w:hint="default" w:ascii="Times New Roman" w:hAnsi="Times New Roman" w:eastAsia="宋体" w:cs="Times New Roman"/>
                <w:color w:val="auto"/>
                <w:sz w:val="24"/>
                <w:u w:val="none"/>
              </w:rPr>
              <w:t>考虑本项目建设完成后，湿地植物丰茂，将进一步对微量恶臭气体产生净化和吸附作用。</w:t>
            </w:r>
          </w:p>
          <w:p>
            <w:pPr>
              <w:adjustRightInd w:val="0"/>
              <w:snapToGrid w:val="0"/>
              <w:spacing w:line="360" w:lineRule="auto"/>
              <w:ind w:firstLine="482" w:firstLineChars="200"/>
              <w:textAlignment w:val="baseline"/>
              <w:rPr>
                <w:rFonts w:hint="default" w:ascii="Times New Roman" w:hAnsi="Times New Roman" w:eastAsia="宋体" w:cs="Times New Roman"/>
                <w:b/>
                <w:color w:val="auto"/>
                <w:sz w:val="24"/>
                <w:u w:val="none"/>
              </w:rPr>
            </w:pPr>
            <w:r>
              <w:rPr>
                <w:rFonts w:hint="default" w:ascii="Times New Roman" w:hAnsi="Times New Roman" w:eastAsia="宋体" w:cs="Times New Roman"/>
                <w:b/>
                <w:color w:val="auto"/>
                <w:sz w:val="24"/>
                <w:u w:val="none"/>
                <w:lang w:val="en-US" w:eastAsia="zh-CN"/>
              </w:rPr>
              <w:t>2</w:t>
            </w:r>
            <w:r>
              <w:rPr>
                <w:rFonts w:hint="default" w:ascii="Times New Roman" w:hAnsi="Times New Roman" w:eastAsia="宋体" w:cs="Times New Roman"/>
                <w:b/>
                <w:color w:val="auto"/>
                <w:sz w:val="24"/>
                <w:u w:val="none"/>
              </w:rPr>
              <w:t>、噪声</w:t>
            </w:r>
          </w:p>
          <w:p>
            <w:pPr>
              <w:adjustRightInd w:val="0"/>
              <w:snapToGrid w:val="0"/>
              <w:spacing w:line="360" w:lineRule="auto"/>
              <w:ind w:firstLine="480" w:firstLineChars="200"/>
              <w:textAlignment w:val="baseline"/>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运营期主要高噪声设备是水泵，声压级在70dB（A）左右，经采取隔声、减震措施后，噪声源强在60dB（A）左右。</w:t>
            </w:r>
          </w:p>
          <w:p>
            <w:pPr>
              <w:adjustRightInd w:val="0"/>
              <w:snapToGrid w:val="0"/>
              <w:spacing w:line="360" w:lineRule="auto"/>
              <w:ind w:firstLine="480" w:firstLineChars="200"/>
              <w:textAlignment w:val="baseline"/>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噪声污染物源源强核算结果及相关参数见表4-3。</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val="0"/>
                <w:color w:val="auto"/>
                <w:sz w:val="24"/>
                <w:szCs w:val="24"/>
                <w:u w:val="none"/>
              </w:rPr>
            </w:pPr>
            <w:r>
              <w:rPr>
                <w:rFonts w:hint="default" w:ascii="Times New Roman" w:hAnsi="Times New Roman" w:eastAsia="宋体" w:cs="Times New Roman"/>
                <w:b/>
                <w:bCs w:val="0"/>
                <w:color w:val="auto"/>
                <w:sz w:val="24"/>
                <w:szCs w:val="24"/>
                <w:u w:val="none"/>
              </w:rPr>
              <w:t>表4-3</w:t>
            </w:r>
            <w:r>
              <w:rPr>
                <w:rFonts w:hint="eastAsia" w:cs="Times New Roman"/>
                <w:b/>
                <w:bCs w:val="0"/>
                <w:color w:val="auto"/>
                <w:sz w:val="24"/>
                <w:szCs w:val="24"/>
                <w:u w:val="none"/>
                <w:lang w:val="en-US" w:eastAsia="zh-CN"/>
              </w:rPr>
              <w:t xml:space="preserve">  </w:t>
            </w:r>
            <w:r>
              <w:rPr>
                <w:rFonts w:hint="default" w:ascii="Times New Roman" w:hAnsi="Times New Roman" w:eastAsia="宋体" w:cs="Times New Roman"/>
                <w:b/>
                <w:bCs w:val="0"/>
                <w:color w:val="auto"/>
                <w:sz w:val="24"/>
                <w:szCs w:val="24"/>
                <w:u w:val="none"/>
              </w:rPr>
              <w:t>项目噪声污染物源源强核算结果及相关参数一览表〔</w:t>
            </w:r>
            <w:r>
              <w:rPr>
                <w:rFonts w:hint="default" w:ascii="Times New Roman" w:hAnsi="Times New Roman" w:eastAsia="宋体" w:cs="Times New Roman"/>
                <w:b/>
                <w:bCs w:val="0"/>
                <w:snapToGrid w:val="0"/>
                <w:color w:val="auto"/>
                <w:kern w:val="0"/>
                <w:sz w:val="24"/>
                <w:szCs w:val="24"/>
                <w:u w:val="none"/>
              </w:rPr>
              <w:t>单位：dB（A）</w:t>
            </w:r>
            <w:r>
              <w:rPr>
                <w:rFonts w:hint="default" w:ascii="Times New Roman" w:hAnsi="Times New Roman" w:eastAsia="宋体" w:cs="Times New Roman"/>
                <w:b/>
                <w:bCs w:val="0"/>
                <w:color w:val="auto"/>
                <w:sz w:val="24"/>
                <w:szCs w:val="24"/>
                <w:u w:val="none"/>
              </w:rPr>
              <w:t>〕</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3"/>
              <w:gridCol w:w="797"/>
              <w:gridCol w:w="869"/>
              <w:gridCol w:w="954"/>
              <w:gridCol w:w="1238"/>
              <w:gridCol w:w="1326"/>
              <w:gridCol w:w="910"/>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35" w:type="pct"/>
                  <w:vMerge w:val="restart"/>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噪声源</w:t>
                  </w:r>
                </w:p>
              </w:tc>
              <w:tc>
                <w:tcPr>
                  <w:tcW w:w="490" w:type="pct"/>
                  <w:vMerge w:val="restart"/>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声源</w:t>
                  </w:r>
                </w:p>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类型</w:t>
                  </w:r>
                </w:p>
              </w:tc>
              <w:tc>
                <w:tcPr>
                  <w:tcW w:w="1120" w:type="pct"/>
                  <w:gridSpan w:val="2"/>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噪声产生量</w:t>
                  </w:r>
                </w:p>
              </w:tc>
              <w:tc>
                <w:tcPr>
                  <w:tcW w:w="1576" w:type="pct"/>
                  <w:gridSpan w:val="2"/>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降噪措施</w:t>
                  </w:r>
                </w:p>
              </w:tc>
              <w:tc>
                <w:tcPr>
                  <w:tcW w:w="1179" w:type="pct"/>
                  <w:gridSpan w:val="2"/>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噪声排放量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35" w:type="pct"/>
                  <w:vMerge w:val="continue"/>
                  <w:noWrap w:val="0"/>
                  <w:vAlign w:val="center"/>
                </w:tcPr>
                <w:p>
                  <w:pPr>
                    <w:adjustRightInd w:val="0"/>
                    <w:snapToGrid w:val="0"/>
                    <w:jc w:val="center"/>
                    <w:rPr>
                      <w:rFonts w:hint="default" w:ascii="Times New Roman" w:hAnsi="Times New Roman" w:eastAsia="宋体" w:cs="Times New Roman"/>
                      <w:color w:val="auto"/>
                      <w:szCs w:val="21"/>
                      <w:u w:val="none"/>
                    </w:rPr>
                  </w:pPr>
                </w:p>
              </w:tc>
              <w:tc>
                <w:tcPr>
                  <w:tcW w:w="490" w:type="pct"/>
                  <w:vMerge w:val="continue"/>
                  <w:noWrap w:val="0"/>
                  <w:vAlign w:val="center"/>
                </w:tcPr>
                <w:p>
                  <w:pPr>
                    <w:adjustRightInd w:val="0"/>
                    <w:snapToGrid w:val="0"/>
                    <w:jc w:val="center"/>
                    <w:rPr>
                      <w:rFonts w:hint="default" w:ascii="Times New Roman" w:hAnsi="Times New Roman" w:eastAsia="宋体" w:cs="Times New Roman"/>
                      <w:color w:val="auto"/>
                      <w:szCs w:val="21"/>
                      <w:u w:val="none"/>
                    </w:rPr>
                  </w:pPr>
                </w:p>
              </w:tc>
              <w:tc>
                <w:tcPr>
                  <w:tcW w:w="534" w:type="pct"/>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核算</w:t>
                  </w:r>
                </w:p>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方法</w:t>
                  </w:r>
                </w:p>
              </w:tc>
              <w:tc>
                <w:tcPr>
                  <w:tcW w:w="586" w:type="pct"/>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声源</w:t>
                  </w:r>
                </w:p>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表达量</w:t>
                  </w:r>
                </w:p>
              </w:tc>
              <w:tc>
                <w:tcPr>
                  <w:tcW w:w="761" w:type="pct"/>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工艺</w:t>
                  </w:r>
                </w:p>
              </w:tc>
              <w:tc>
                <w:tcPr>
                  <w:tcW w:w="815" w:type="pct"/>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降噪效果</w:t>
                  </w:r>
                </w:p>
              </w:tc>
              <w:tc>
                <w:tcPr>
                  <w:tcW w:w="559" w:type="pct"/>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核算</w:t>
                  </w:r>
                </w:p>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方法</w:t>
                  </w:r>
                </w:p>
              </w:tc>
              <w:tc>
                <w:tcPr>
                  <w:tcW w:w="620" w:type="pct"/>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声源</w:t>
                  </w:r>
                </w:p>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表达量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 w:hRule="atLeast"/>
              </w:trPr>
              <w:tc>
                <w:tcPr>
                  <w:tcW w:w="635" w:type="pct"/>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水泵</w:t>
                  </w:r>
                </w:p>
              </w:tc>
              <w:tc>
                <w:tcPr>
                  <w:tcW w:w="490" w:type="pct"/>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频发</w:t>
                  </w:r>
                </w:p>
              </w:tc>
              <w:tc>
                <w:tcPr>
                  <w:tcW w:w="534" w:type="pct"/>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实验法</w:t>
                  </w:r>
                </w:p>
              </w:tc>
              <w:tc>
                <w:tcPr>
                  <w:tcW w:w="586" w:type="pct"/>
                  <w:noWrap w:val="0"/>
                  <w:vAlign w:val="center"/>
                </w:tcPr>
                <w:p>
                  <w:pPr>
                    <w:adjustRightInd w:val="0"/>
                    <w:snapToGrid w:val="0"/>
                    <w:jc w:val="center"/>
                    <w:rPr>
                      <w:rFonts w:hint="default" w:ascii="Times New Roman" w:hAnsi="Times New Roman" w:eastAsia="宋体" w:cs="Times New Roman"/>
                      <w:color w:val="auto"/>
                      <w:kern w:val="21"/>
                      <w:szCs w:val="21"/>
                      <w:u w:val="none"/>
                    </w:rPr>
                  </w:pPr>
                  <w:r>
                    <w:rPr>
                      <w:rFonts w:hint="default" w:ascii="Times New Roman" w:hAnsi="Times New Roman" w:eastAsia="宋体" w:cs="Times New Roman"/>
                      <w:color w:val="auto"/>
                      <w:kern w:val="21"/>
                      <w:szCs w:val="21"/>
                      <w:u w:val="none"/>
                    </w:rPr>
                    <w:t>70</w:t>
                  </w:r>
                </w:p>
              </w:tc>
              <w:tc>
                <w:tcPr>
                  <w:tcW w:w="761" w:type="pct"/>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减震、隔声</w:t>
                  </w:r>
                </w:p>
              </w:tc>
              <w:tc>
                <w:tcPr>
                  <w:tcW w:w="815" w:type="pct"/>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10</w:t>
                  </w:r>
                </w:p>
              </w:tc>
              <w:tc>
                <w:tcPr>
                  <w:tcW w:w="559" w:type="pct"/>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实测法</w:t>
                  </w:r>
                </w:p>
              </w:tc>
              <w:tc>
                <w:tcPr>
                  <w:tcW w:w="620" w:type="pct"/>
                  <w:noWrap w:val="0"/>
                  <w:vAlign w:val="center"/>
                </w:tcPr>
                <w:p>
                  <w:pPr>
                    <w:adjustRightInd w:val="0"/>
                    <w:snapToGrid w:val="0"/>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60</w:t>
                  </w:r>
                </w:p>
              </w:tc>
            </w:tr>
          </w:tbl>
          <w:p>
            <w:pPr>
              <w:adjustRightInd w:val="0"/>
              <w:snapToGrid w:val="0"/>
              <w:spacing w:line="360" w:lineRule="auto"/>
              <w:ind w:firstLine="480" w:firstLineChars="200"/>
              <w:rPr>
                <w:rFonts w:hint="default" w:ascii="Times New Roman" w:hAnsi="Times New Roman" w:eastAsia="宋体" w:cs="Times New Roman"/>
                <w:b/>
                <w:color w:val="auto"/>
                <w:sz w:val="24"/>
                <w:u w:val="none"/>
              </w:rPr>
            </w:pPr>
            <w:r>
              <w:rPr>
                <w:rFonts w:hint="default" w:ascii="Times New Roman" w:hAnsi="Times New Roman" w:eastAsia="宋体" w:cs="Times New Roman"/>
                <w:bCs/>
                <w:color w:val="auto"/>
                <w:sz w:val="24"/>
                <w:u w:val="none"/>
              </w:rPr>
              <w:t>本次评价根据《环境影响评价技术导则声环境》（HJ2.4-2009）对项目营运期噪声进行环境影响分析，选用点源的噪声预测模式，将各工序噪声源视为一个点噪声源，在声源传播过程中，噪声受到建筑物的阻挡，经过距离衰减和空气吸收后，到达受声点。</w:t>
            </w:r>
            <w:r>
              <w:rPr>
                <w:rFonts w:hint="default" w:ascii="Times New Roman" w:hAnsi="Times New Roman" w:eastAsia="宋体" w:cs="Times New Roman"/>
                <w:color w:val="auto"/>
                <w:sz w:val="24"/>
                <w:u w:val="none"/>
              </w:rPr>
              <w:t>其预测模式如下：</w:t>
            </w:r>
          </w:p>
          <w:p>
            <w:pPr>
              <w:adjustRightInd w:val="0"/>
              <w:snapToGrid w:val="0"/>
              <w:spacing w:line="360" w:lineRule="auto"/>
              <w:jc w:val="center"/>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L</w:t>
            </w:r>
            <w:r>
              <w:rPr>
                <w:rFonts w:hint="default" w:ascii="Times New Roman" w:hAnsi="Times New Roman" w:eastAsia="宋体" w:cs="Times New Roman"/>
                <w:color w:val="auto"/>
                <w:sz w:val="24"/>
                <w:u w:val="none"/>
                <w:vertAlign w:val="subscript"/>
              </w:rPr>
              <w:t>A</w:t>
            </w:r>
            <w:r>
              <w:rPr>
                <w:rFonts w:hint="default" w:ascii="Times New Roman" w:hAnsi="Times New Roman" w:eastAsia="宋体" w:cs="Times New Roman"/>
                <w:color w:val="auto"/>
                <w:sz w:val="24"/>
                <w:u w:val="none"/>
              </w:rPr>
              <w:t>(r)=L</w:t>
            </w:r>
            <w:r>
              <w:rPr>
                <w:rFonts w:hint="default" w:ascii="Times New Roman" w:hAnsi="Times New Roman" w:eastAsia="宋体" w:cs="Times New Roman"/>
                <w:color w:val="auto"/>
                <w:sz w:val="24"/>
                <w:u w:val="none"/>
                <w:vertAlign w:val="subscript"/>
              </w:rPr>
              <w:t>A</w:t>
            </w:r>
            <w:r>
              <w:rPr>
                <w:rFonts w:hint="default" w:ascii="Times New Roman" w:hAnsi="Times New Roman" w:eastAsia="宋体" w:cs="Times New Roman"/>
                <w:color w:val="auto"/>
                <w:sz w:val="24"/>
                <w:u w:val="none"/>
              </w:rPr>
              <w:t>(r</w:t>
            </w:r>
            <w:r>
              <w:rPr>
                <w:rFonts w:hint="default" w:ascii="Times New Roman" w:hAnsi="Times New Roman" w:eastAsia="宋体" w:cs="Times New Roman"/>
                <w:color w:val="auto"/>
                <w:sz w:val="24"/>
                <w:u w:val="none"/>
                <w:vertAlign w:val="subscript"/>
              </w:rPr>
              <w:t>0</w:t>
            </w:r>
            <w:r>
              <w:rPr>
                <w:rFonts w:hint="default" w:ascii="Times New Roman" w:hAnsi="Times New Roman" w:eastAsia="宋体" w:cs="Times New Roman"/>
                <w:color w:val="auto"/>
                <w:sz w:val="24"/>
                <w:u w:val="none"/>
              </w:rPr>
              <w:t>)-20Lg(r/r</w:t>
            </w:r>
            <w:r>
              <w:rPr>
                <w:rFonts w:hint="default" w:ascii="Times New Roman" w:hAnsi="Times New Roman" w:eastAsia="宋体" w:cs="Times New Roman"/>
                <w:color w:val="auto"/>
                <w:sz w:val="24"/>
                <w:u w:val="none"/>
                <w:vertAlign w:val="subscript"/>
              </w:rPr>
              <w:t>0</w:t>
            </w:r>
            <w:r>
              <w:rPr>
                <w:rFonts w:hint="default" w:ascii="Times New Roman" w:hAnsi="Times New Roman" w:eastAsia="宋体" w:cs="Times New Roman"/>
                <w:color w:val="auto"/>
                <w:sz w:val="24"/>
                <w:u w:val="none"/>
              </w:rPr>
              <w:t>)</w:t>
            </w:r>
          </w:p>
          <w:p>
            <w:pPr>
              <w:adjustRightInd w:val="0"/>
              <w:snapToGrid w:val="0"/>
              <w:spacing w:line="360" w:lineRule="auto"/>
              <w:ind w:firstLine="525"/>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式中：L</w:t>
            </w:r>
            <w:r>
              <w:rPr>
                <w:rFonts w:hint="default" w:ascii="Times New Roman" w:hAnsi="Times New Roman" w:eastAsia="宋体" w:cs="Times New Roman"/>
                <w:color w:val="auto"/>
                <w:sz w:val="24"/>
                <w:u w:val="none"/>
                <w:vertAlign w:val="subscript"/>
              </w:rPr>
              <w:t>A</w:t>
            </w:r>
            <w:r>
              <w:rPr>
                <w:rFonts w:hint="default" w:ascii="Times New Roman" w:hAnsi="Times New Roman" w:eastAsia="宋体" w:cs="Times New Roman"/>
                <w:color w:val="auto"/>
                <w:sz w:val="24"/>
                <w:u w:val="none"/>
              </w:rPr>
              <w:t>(r)—预测点声压级，dB(A)；</w:t>
            </w:r>
          </w:p>
          <w:p>
            <w:pPr>
              <w:adjustRightInd w:val="0"/>
              <w:snapToGrid w:val="0"/>
              <w:spacing w:line="360" w:lineRule="auto"/>
              <w:ind w:firstLine="1200" w:firstLineChars="5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L</w:t>
            </w:r>
            <w:r>
              <w:rPr>
                <w:rFonts w:hint="default" w:ascii="Times New Roman" w:hAnsi="Times New Roman" w:eastAsia="宋体" w:cs="Times New Roman"/>
                <w:color w:val="auto"/>
                <w:sz w:val="24"/>
                <w:u w:val="none"/>
                <w:vertAlign w:val="subscript"/>
              </w:rPr>
              <w:t>A</w:t>
            </w:r>
            <w:r>
              <w:rPr>
                <w:rFonts w:hint="default" w:ascii="Times New Roman" w:hAnsi="Times New Roman" w:eastAsia="宋体" w:cs="Times New Roman"/>
                <w:color w:val="auto"/>
                <w:sz w:val="24"/>
                <w:u w:val="none"/>
              </w:rPr>
              <w:t>(r</w:t>
            </w:r>
            <w:r>
              <w:rPr>
                <w:rFonts w:hint="default" w:ascii="Times New Roman" w:hAnsi="Times New Roman" w:eastAsia="宋体" w:cs="Times New Roman"/>
                <w:color w:val="auto"/>
                <w:sz w:val="24"/>
                <w:u w:val="none"/>
                <w:vertAlign w:val="subscript"/>
              </w:rPr>
              <w:t>0</w:t>
            </w:r>
            <w:r>
              <w:rPr>
                <w:rFonts w:hint="default" w:ascii="Times New Roman" w:hAnsi="Times New Roman" w:eastAsia="宋体" w:cs="Times New Roman"/>
                <w:color w:val="auto"/>
                <w:sz w:val="24"/>
                <w:u w:val="none"/>
              </w:rPr>
              <w:t>)—噪声源声压级，dB(A)</w:t>
            </w:r>
          </w:p>
          <w:p>
            <w:pPr>
              <w:adjustRightInd w:val="0"/>
              <w:snapToGrid w:val="0"/>
              <w:spacing w:line="360" w:lineRule="auto"/>
              <w:ind w:firstLine="1200" w:firstLineChars="5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r—预测点离噪声源的距离，m；</w:t>
            </w:r>
          </w:p>
          <w:p>
            <w:pPr>
              <w:adjustRightInd w:val="0"/>
              <w:snapToGrid w:val="0"/>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在同一受声点接受来自多个点声源的声能，可通过叠加得出该受声点的声压级。噪声叠加公式如下：</w:t>
            </w:r>
          </w:p>
          <w:p>
            <w:pPr>
              <w:adjustRightInd w:val="0"/>
              <w:snapToGrid w:val="0"/>
              <w:spacing w:line="360" w:lineRule="auto"/>
              <w:jc w:val="center"/>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position w:val="-28"/>
                <w:sz w:val="24"/>
                <w:u w:val="none"/>
              </w:rPr>
              <w:object>
                <v:shape id="_x0000_i1026" o:spt="75" type="#_x0000_t75" style="height:33.75pt;width:84.75pt;" o:ole="t" filled="f" o:preferrelative="t" stroked="f" coordsize="21600,21600">
                  <v:path/>
                  <v:fill on="f" focussize="0,0"/>
                  <v:stroke on="f"/>
                  <v:imagedata r:id="rId28" o:title=""/>
                  <o:lock v:ext="edit" aspectratio="t"/>
                  <w10:wrap type="none"/>
                  <w10:anchorlock/>
                </v:shape>
                <o:OLEObject Type="Embed" ProgID="Equation.3" ShapeID="_x0000_i1026" DrawAspect="Content" ObjectID="_1468075726" r:id="rId27">
                  <o:LockedField>false</o:LockedField>
                </o:OLEObject>
              </w:object>
            </w:r>
          </w:p>
          <w:p>
            <w:pPr>
              <w:adjustRightInd w:val="0"/>
              <w:snapToGrid w:val="0"/>
              <w:spacing w:line="360" w:lineRule="auto"/>
              <w:ind w:firstLine="556"/>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式中：L—总声压级，dB(A)；</w:t>
            </w:r>
          </w:p>
          <w:p>
            <w:pPr>
              <w:tabs>
                <w:tab w:val="left" w:pos="3855"/>
              </w:tabs>
              <w:adjustRightInd w:val="0"/>
              <w:snapToGrid w:val="0"/>
              <w:spacing w:line="360" w:lineRule="auto"/>
              <w:ind w:firstLine="1320" w:firstLineChars="55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n—噪声源数。</w:t>
            </w:r>
          </w:p>
          <w:p>
            <w:pPr>
              <w:adjustRightInd w:val="0"/>
              <w:snapToGrid w:val="0"/>
              <w:spacing w:line="360" w:lineRule="auto"/>
              <w:ind w:firstLine="480" w:firstLineChars="200"/>
              <w:rPr>
                <w:rFonts w:hint="default" w:ascii="Times New Roman" w:hAnsi="Times New Roman" w:eastAsia="宋体" w:cs="Times New Roman"/>
                <w:bCs/>
                <w:color w:val="auto"/>
                <w:sz w:val="24"/>
                <w:u w:val="none"/>
              </w:rPr>
            </w:pPr>
            <w:r>
              <w:rPr>
                <w:rFonts w:hint="default" w:ascii="Times New Roman" w:hAnsi="Times New Roman" w:eastAsia="宋体" w:cs="Times New Roman"/>
                <w:color w:val="auto"/>
                <w:sz w:val="24"/>
                <w:u w:val="none"/>
              </w:rPr>
              <w:t>根据项目噪声源的分布，对厂区四周边界噪声排放量进行预测，项目噪声预测结果见</w:t>
            </w:r>
            <w:r>
              <w:rPr>
                <w:rFonts w:hint="default" w:ascii="Times New Roman" w:hAnsi="Times New Roman" w:eastAsia="宋体" w:cs="Times New Roman"/>
                <w:bCs/>
                <w:color w:val="auto"/>
                <w:sz w:val="24"/>
                <w:u w:val="none"/>
              </w:rPr>
              <w:t>表4-4。</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宋体" w:cs="Times New Roman"/>
                <w:b/>
                <w:bCs w:val="0"/>
                <w:color w:val="auto"/>
                <w:sz w:val="24"/>
                <w:szCs w:val="24"/>
                <w:u w:val="none"/>
              </w:rPr>
            </w:pP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宋体" w:cs="Times New Roman"/>
                <w:b/>
                <w:bCs w:val="0"/>
                <w:color w:val="auto"/>
                <w:sz w:val="24"/>
                <w:szCs w:val="24"/>
                <w:u w:val="none"/>
                <w:lang w:eastAsia="zh-CN"/>
              </w:rPr>
            </w:pPr>
            <w:r>
              <w:rPr>
                <w:rFonts w:hint="default" w:ascii="Times New Roman" w:hAnsi="Times New Roman" w:eastAsia="宋体" w:cs="Times New Roman"/>
                <w:b/>
                <w:bCs w:val="0"/>
                <w:color w:val="auto"/>
                <w:sz w:val="24"/>
                <w:szCs w:val="24"/>
                <w:u w:val="none"/>
              </w:rPr>
              <w:t>表4-4</w:t>
            </w:r>
            <w:r>
              <w:rPr>
                <w:rFonts w:hint="eastAsia" w:cs="Times New Roman"/>
                <w:b/>
                <w:bCs w:val="0"/>
                <w:color w:val="auto"/>
                <w:sz w:val="24"/>
                <w:szCs w:val="24"/>
                <w:u w:val="none"/>
                <w:lang w:val="en-US" w:eastAsia="zh-CN"/>
              </w:rPr>
              <w:t xml:space="preserve">                 </w:t>
            </w:r>
            <w:r>
              <w:rPr>
                <w:rFonts w:hint="default" w:ascii="Times New Roman" w:hAnsi="Times New Roman" w:eastAsia="宋体" w:cs="Times New Roman"/>
                <w:b/>
                <w:bCs w:val="0"/>
                <w:color w:val="auto"/>
                <w:sz w:val="24"/>
                <w:szCs w:val="24"/>
                <w:u w:val="none"/>
              </w:rPr>
              <w:t>项目厂界噪声预测结果一览表</w:t>
            </w:r>
          </w:p>
          <w:tbl>
            <w:tblPr>
              <w:tblStyle w:val="3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 w:type="dxa"/>
                <w:bottom w:w="0" w:type="dxa"/>
                <w:right w:w="10" w:type="dxa"/>
              </w:tblCellMar>
            </w:tblPr>
            <w:tblGrid>
              <w:gridCol w:w="2019"/>
              <w:gridCol w:w="870"/>
              <w:gridCol w:w="870"/>
              <w:gridCol w:w="870"/>
              <w:gridCol w:w="870"/>
              <w:gridCol w:w="871"/>
              <w:gridCol w:w="871"/>
              <w:gridCol w:w="8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57" w:hRule="atLeast"/>
                <w:jc w:val="center"/>
              </w:trPr>
              <w:tc>
                <w:tcPr>
                  <w:tcW w:w="1243" w:type="pct"/>
                  <w:tcBorders>
                    <w:tl2br w:val="nil"/>
                    <w:tr2bl w:val="nil"/>
                  </w:tcBorders>
                  <w:noWrap w:val="0"/>
                  <w:vAlign w:val="center"/>
                </w:tcPr>
                <w:p>
                  <w:pPr>
                    <w:pStyle w:val="10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tLeast"/>
                    <w:ind w:left="0" w:right="0" w:firstLine="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0"/>
                      <w:w w:val="100"/>
                      <w:position w:val="0"/>
                      <w:sz w:val="21"/>
                      <w:szCs w:val="21"/>
                      <w:u w:val="none"/>
                    </w:rPr>
                    <w:t>距离</w:t>
                  </w:r>
                  <w:r>
                    <w:rPr>
                      <w:rFonts w:hint="default" w:ascii="Times New Roman" w:hAnsi="Times New Roman" w:eastAsia="宋体" w:cs="Times New Roman"/>
                      <w:color w:val="auto"/>
                      <w:spacing w:val="0"/>
                      <w:w w:val="100"/>
                      <w:position w:val="0"/>
                      <w:sz w:val="21"/>
                      <w:szCs w:val="21"/>
                      <w:u w:val="none"/>
                      <w:lang w:val="en-US" w:eastAsia="en-US" w:bidi="en-US"/>
                    </w:rPr>
                    <w:t>(m)</w:t>
                  </w:r>
                </w:p>
              </w:tc>
              <w:tc>
                <w:tcPr>
                  <w:tcW w:w="536" w:type="pct"/>
                  <w:tcBorders>
                    <w:tl2br w:val="nil"/>
                    <w:tr2bl w:val="nil"/>
                  </w:tcBorders>
                  <w:noWrap w:val="0"/>
                  <w:vAlign w:val="center"/>
                </w:tcPr>
                <w:p>
                  <w:pPr>
                    <w:pStyle w:val="10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tLeast"/>
                    <w:ind w:left="0" w:right="0" w:firstLine="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0"/>
                      <w:w w:val="100"/>
                      <w:position w:val="0"/>
                      <w:sz w:val="21"/>
                      <w:szCs w:val="21"/>
                      <w:u w:val="none"/>
                    </w:rPr>
                    <w:t>10</w:t>
                  </w:r>
                </w:p>
              </w:tc>
              <w:tc>
                <w:tcPr>
                  <w:tcW w:w="536" w:type="pct"/>
                  <w:tcBorders>
                    <w:tl2br w:val="nil"/>
                    <w:tr2bl w:val="nil"/>
                  </w:tcBorders>
                  <w:noWrap w:val="0"/>
                  <w:vAlign w:val="center"/>
                </w:tcPr>
                <w:p>
                  <w:pPr>
                    <w:pStyle w:val="10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tLeast"/>
                    <w:ind w:left="0" w:right="0" w:firstLine="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0"/>
                      <w:w w:val="100"/>
                      <w:position w:val="0"/>
                      <w:sz w:val="21"/>
                      <w:szCs w:val="21"/>
                      <w:u w:val="none"/>
                    </w:rPr>
                    <w:t>50</w:t>
                  </w:r>
                </w:p>
              </w:tc>
              <w:tc>
                <w:tcPr>
                  <w:tcW w:w="536" w:type="pct"/>
                  <w:tcBorders>
                    <w:tl2br w:val="nil"/>
                    <w:tr2bl w:val="nil"/>
                  </w:tcBorders>
                  <w:noWrap w:val="0"/>
                  <w:vAlign w:val="center"/>
                </w:tcPr>
                <w:p>
                  <w:pPr>
                    <w:pStyle w:val="10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tLeast"/>
                    <w:ind w:left="0" w:right="0" w:firstLine="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0"/>
                      <w:w w:val="100"/>
                      <w:position w:val="0"/>
                      <w:sz w:val="21"/>
                      <w:szCs w:val="21"/>
                      <w:u w:val="none"/>
                    </w:rPr>
                    <w:t>100</w:t>
                  </w:r>
                </w:p>
              </w:tc>
              <w:tc>
                <w:tcPr>
                  <w:tcW w:w="536" w:type="pct"/>
                  <w:tcBorders>
                    <w:tl2br w:val="nil"/>
                    <w:tr2bl w:val="nil"/>
                  </w:tcBorders>
                  <w:noWrap w:val="0"/>
                  <w:vAlign w:val="center"/>
                </w:tcPr>
                <w:p>
                  <w:pPr>
                    <w:pStyle w:val="10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tLeast"/>
                    <w:ind w:left="0" w:right="0" w:firstLine="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0"/>
                      <w:w w:val="100"/>
                      <w:position w:val="0"/>
                      <w:sz w:val="21"/>
                      <w:szCs w:val="21"/>
                      <w:u w:val="none"/>
                    </w:rPr>
                    <w:t>200</w:t>
                  </w:r>
                </w:p>
              </w:tc>
              <w:tc>
                <w:tcPr>
                  <w:tcW w:w="536" w:type="pct"/>
                  <w:tcBorders>
                    <w:tl2br w:val="nil"/>
                    <w:tr2bl w:val="nil"/>
                  </w:tcBorders>
                  <w:noWrap w:val="0"/>
                  <w:vAlign w:val="center"/>
                </w:tcPr>
                <w:p>
                  <w:pPr>
                    <w:pStyle w:val="10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tLeast"/>
                    <w:ind w:left="0" w:right="0" w:firstLine="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0"/>
                      <w:w w:val="100"/>
                      <w:position w:val="0"/>
                      <w:sz w:val="21"/>
                      <w:szCs w:val="21"/>
                      <w:u w:val="none"/>
                    </w:rPr>
                    <w:t>300</w:t>
                  </w:r>
                </w:p>
              </w:tc>
              <w:tc>
                <w:tcPr>
                  <w:tcW w:w="536" w:type="pct"/>
                  <w:tcBorders>
                    <w:tl2br w:val="nil"/>
                    <w:tr2bl w:val="nil"/>
                  </w:tcBorders>
                  <w:noWrap w:val="0"/>
                  <w:vAlign w:val="center"/>
                </w:tcPr>
                <w:p>
                  <w:pPr>
                    <w:pStyle w:val="10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tLeast"/>
                    <w:ind w:left="0" w:right="0" w:firstLine="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0"/>
                      <w:w w:val="100"/>
                      <w:position w:val="0"/>
                      <w:sz w:val="21"/>
                      <w:szCs w:val="21"/>
                      <w:u w:val="none"/>
                    </w:rPr>
                    <w:t>400</w:t>
                  </w:r>
                </w:p>
              </w:tc>
              <w:tc>
                <w:tcPr>
                  <w:tcW w:w="536" w:type="pct"/>
                  <w:tcBorders>
                    <w:tl2br w:val="nil"/>
                    <w:tr2bl w:val="nil"/>
                  </w:tcBorders>
                  <w:noWrap w:val="0"/>
                  <w:vAlign w:val="center"/>
                </w:tcPr>
                <w:p>
                  <w:pPr>
                    <w:pStyle w:val="10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tLeast"/>
                    <w:ind w:left="0" w:right="0" w:firstLine="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0"/>
                      <w:w w:val="100"/>
                      <w:position w:val="0"/>
                      <w:sz w:val="21"/>
                      <w:szCs w:val="21"/>
                      <w:u w:val="none"/>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57" w:hRule="atLeast"/>
                <w:jc w:val="center"/>
              </w:trPr>
              <w:tc>
                <w:tcPr>
                  <w:tcW w:w="1243" w:type="pct"/>
                  <w:tcBorders>
                    <w:tl2br w:val="nil"/>
                    <w:tr2bl w:val="nil"/>
                  </w:tcBorders>
                  <w:noWrap w:val="0"/>
                  <w:vAlign w:val="center"/>
                </w:tcPr>
                <w:p>
                  <w:pPr>
                    <w:pStyle w:val="10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tLeast"/>
                    <w:ind w:left="0" w:right="0" w:firstLine="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en-US"/>
                    </w:rPr>
                    <w:t>△</w:t>
                  </w:r>
                  <w:r>
                    <w:rPr>
                      <w:rFonts w:hint="default" w:ascii="Times New Roman" w:hAnsi="Times New Roman" w:eastAsia="宋体" w:cs="Times New Roman"/>
                      <w:color w:val="auto"/>
                      <w:spacing w:val="0"/>
                      <w:w w:val="100"/>
                      <w:position w:val="0"/>
                      <w:sz w:val="21"/>
                      <w:szCs w:val="21"/>
                      <w:u w:val="none"/>
                      <w:lang w:val="en-US" w:eastAsia="en-US" w:bidi="en-US"/>
                    </w:rPr>
                    <w:t>L(dB)</w:t>
                  </w:r>
                </w:p>
              </w:tc>
              <w:tc>
                <w:tcPr>
                  <w:tcW w:w="536" w:type="pct"/>
                  <w:tcBorders>
                    <w:tl2br w:val="nil"/>
                    <w:tr2bl w:val="nil"/>
                  </w:tcBorders>
                  <w:noWrap w:val="0"/>
                  <w:vAlign w:val="center"/>
                </w:tcPr>
                <w:p>
                  <w:pPr>
                    <w:pStyle w:val="10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tLeast"/>
                    <w:ind w:left="0" w:right="0" w:firstLine="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0"/>
                      <w:w w:val="100"/>
                      <w:position w:val="0"/>
                      <w:sz w:val="21"/>
                      <w:szCs w:val="21"/>
                      <w:u w:val="none"/>
                      <w:lang w:val="en-US" w:eastAsia="en-US" w:bidi="en-US"/>
                    </w:rPr>
                    <w:t>20.0</w:t>
                  </w:r>
                </w:p>
              </w:tc>
              <w:tc>
                <w:tcPr>
                  <w:tcW w:w="536" w:type="pct"/>
                  <w:tcBorders>
                    <w:tl2br w:val="nil"/>
                    <w:tr2bl w:val="nil"/>
                  </w:tcBorders>
                  <w:noWrap w:val="0"/>
                  <w:vAlign w:val="center"/>
                </w:tcPr>
                <w:p>
                  <w:pPr>
                    <w:pStyle w:val="10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tLeast"/>
                    <w:ind w:left="0" w:right="0" w:firstLine="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0"/>
                      <w:w w:val="100"/>
                      <w:position w:val="0"/>
                      <w:sz w:val="21"/>
                      <w:szCs w:val="21"/>
                      <w:u w:val="none"/>
                      <w:lang w:val="en-US" w:eastAsia="en-US" w:bidi="en-US"/>
                    </w:rPr>
                    <w:t>34.0</w:t>
                  </w:r>
                </w:p>
              </w:tc>
              <w:tc>
                <w:tcPr>
                  <w:tcW w:w="536" w:type="pct"/>
                  <w:tcBorders>
                    <w:tl2br w:val="nil"/>
                    <w:tr2bl w:val="nil"/>
                  </w:tcBorders>
                  <w:noWrap w:val="0"/>
                  <w:vAlign w:val="center"/>
                </w:tcPr>
                <w:p>
                  <w:pPr>
                    <w:pStyle w:val="10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tLeast"/>
                    <w:ind w:left="0" w:right="0" w:firstLine="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0"/>
                      <w:w w:val="100"/>
                      <w:position w:val="0"/>
                      <w:sz w:val="21"/>
                      <w:szCs w:val="21"/>
                      <w:u w:val="none"/>
                      <w:lang w:val="en-US" w:eastAsia="en-US" w:bidi="en-US"/>
                    </w:rPr>
                    <w:t>40.0</w:t>
                  </w:r>
                </w:p>
              </w:tc>
              <w:tc>
                <w:tcPr>
                  <w:tcW w:w="536" w:type="pct"/>
                  <w:tcBorders>
                    <w:tl2br w:val="nil"/>
                    <w:tr2bl w:val="nil"/>
                  </w:tcBorders>
                  <w:noWrap w:val="0"/>
                  <w:vAlign w:val="center"/>
                </w:tcPr>
                <w:p>
                  <w:pPr>
                    <w:pStyle w:val="10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tLeast"/>
                    <w:ind w:left="0" w:right="0" w:firstLine="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0"/>
                      <w:w w:val="100"/>
                      <w:position w:val="0"/>
                      <w:sz w:val="21"/>
                      <w:szCs w:val="21"/>
                      <w:u w:val="none"/>
                      <w:lang w:val="en-US" w:eastAsia="en-US" w:bidi="en-US"/>
                    </w:rPr>
                    <w:t>46.0</w:t>
                  </w:r>
                </w:p>
              </w:tc>
              <w:tc>
                <w:tcPr>
                  <w:tcW w:w="536" w:type="pct"/>
                  <w:tcBorders>
                    <w:tl2br w:val="nil"/>
                    <w:tr2bl w:val="nil"/>
                  </w:tcBorders>
                  <w:noWrap w:val="0"/>
                  <w:vAlign w:val="center"/>
                </w:tcPr>
                <w:p>
                  <w:pPr>
                    <w:pStyle w:val="10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tLeast"/>
                    <w:ind w:left="0" w:right="0" w:firstLine="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0"/>
                      <w:w w:val="100"/>
                      <w:position w:val="0"/>
                      <w:sz w:val="21"/>
                      <w:szCs w:val="21"/>
                      <w:u w:val="none"/>
                      <w:lang w:val="en-US" w:eastAsia="en-US" w:bidi="en-US"/>
                    </w:rPr>
                    <w:t>49.5</w:t>
                  </w:r>
                </w:p>
              </w:tc>
              <w:tc>
                <w:tcPr>
                  <w:tcW w:w="536" w:type="pct"/>
                  <w:tcBorders>
                    <w:tl2br w:val="nil"/>
                    <w:tr2bl w:val="nil"/>
                  </w:tcBorders>
                  <w:noWrap w:val="0"/>
                  <w:vAlign w:val="center"/>
                </w:tcPr>
                <w:p>
                  <w:pPr>
                    <w:pStyle w:val="10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tLeast"/>
                    <w:ind w:left="0" w:right="0" w:firstLine="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0"/>
                      <w:w w:val="100"/>
                      <w:position w:val="0"/>
                      <w:sz w:val="21"/>
                      <w:szCs w:val="21"/>
                      <w:u w:val="none"/>
                      <w:lang w:val="en-US" w:eastAsia="en-US" w:bidi="en-US"/>
                    </w:rPr>
                    <w:t>52.0</w:t>
                  </w:r>
                </w:p>
              </w:tc>
              <w:tc>
                <w:tcPr>
                  <w:tcW w:w="536" w:type="pct"/>
                  <w:tcBorders>
                    <w:tl2br w:val="nil"/>
                    <w:tr2bl w:val="nil"/>
                  </w:tcBorders>
                  <w:noWrap w:val="0"/>
                  <w:vAlign w:val="center"/>
                </w:tcPr>
                <w:p>
                  <w:pPr>
                    <w:pStyle w:val="10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tLeast"/>
                    <w:ind w:left="0" w:right="0" w:firstLine="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0"/>
                      <w:w w:val="100"/>
                      <w:position w:val="0"/>
                      <w:sz w:val="21"/>
                      <w:szCs w:val="21"/>
                      <w:u w:val="none"/>
                      <w:lang w:val="en-US" w:eastAsia="en-US" w:bidi="en-US"/>
                    </w:rPr>
                    <w:t>55.6</w:t>
                  </w:r>
                </w:p>
              </w:tc>
            </w:tr>
          </w:tbl>
          <w:p>
            <w:pPr>
              <w:pStyle w:val="11"/>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480" w:firstLineChars="200"/>
              <w:textAlignment w:val="auto"/>
              <w:rPr>
                <w:rFonts w:hint="default" w:ascii="Times New Roman" w:hAnsi="Times New Roman" w:eastAsia="宋体" w:cs="Times New Roman"/>
                <w:color w:val="auto"/>
                <w:sz w:val="24"/>
                <w:u w:val="none"/>
                <w:lang w:val="zh-TW" w:eastAsia="zh-CN"/>
              </w:rPr>
            </w:pPr>
            <w:r>
              <w:rPr>
                <w:rFonts w:hint="default" w:ascii="Times New Roman" w:hAnsi="Times New Roman" w:eastAsia="宋体" w:cs="Times New Roman"/>
                <w:color w:val="auto"/>
                <w:sz w:val="24"/>
                <w:u w:val="none"/>
                <w:lang w:val="zh-TW" w:eastAsia="zh-CN"/>
              </w:rPr>
              <w:t>由上表可知，在采取治理措施后，厂界噪声贡献值均能满足《工业企业厂界环境噪声排放标准》（GB12348-2008）2类昼间标准要求。</w:t>
            </w:r>
          </w:p>
          <w:p>
            <w:pPr>
              <w:adjustRightInd w:val="0"/>
              <w:snapToGrid w:val="0"/>
              <w:spacing w:line="360" w:lineRule="auto"/>
              <w:ind w:firstLine="482" w:firstLineChars="200"/>
              <w:rPr>
                <w:rFonts w:hint="default" w:ascii="Times New Roman" w:hAnsi="Times New Roman" w:eastAsia="宋体" w:cs="Times New Roman"/>
                <w:b/>
                <w:color w:val="auto"/>
                <w:sz w:val="24"/>
                <w:u w:val="none"/>
              </w:rPr>
            </w:pPr>
            <w:r>
              <w:rPr>
                <w:rFonts w:hint="default" w:ascii="Times New Roman" w:hAnsi="Times New Roman" w:eastAsia="宋体" w:cs="Times New Roman"/>
                <w:b/>
                <w:color w:val="auto"/>
                <w:sz w:val="24"/>
                <w:u w:val="none"/>
                <w:lang w:val="en-US" w:eastAsia="zh-CN"/>
              </w:rPr>
              <w:t>3</w:t>
            </w:r>
            <w:r>
              <w:rPr>
                <w:rFonts w:hint="default" w:ascii="Times New Roman" w:hAnsi="Times New Roman" w:eastAsia="宋体" w:cs="Times New Roman"/>
                <w:b/>
                <w:color w:val="auto"/>
                <w:sz w:val="24"/>
                <w:u w:val="none"/>
              </w:rPr>
              <w:t>、废水</w:t>
            </w:r>
          </w:p>
          <w:p>
            <w:pPr>
              <w:adjustRightInd w:val="0"/>
              <w:snapToGrid w:val="0"/>
              <w:spacing w:line="360" w:lineRule="auto"/>
              <w:ind w:firstLine="480" w:firstLineChars="200"/>
              <w:jc w:val="left"/>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rPr>
              <w:t>项目</w:t>
            </w:r>
            <w:r>
              <w:rPr>
                <w:rFonts w:hint="default" w:ascii="Times New Roman" w:hAnsi="Times New Roman" w:eastAsia="宋体" w:cs="Times New Roman"/>
                <w:color w:val="auto"/>
                <w:sz w:val="24"/>
                <w:u w:val="none"/>
                <w:lang w:val="en-US" w:eastAsia="zh-CN"/>
              </w:rPr>
              <w:t>所在地不设办公用房，故无废水产生。</w:t>
            </w:r>
          </w:p>
          <w:p>
            <w:pPr>
              <w:adjustRightInd w:val="0"/>
              <w:snapToGrid w:val="0"/>
              <w:spacing w:line="360" w:lineRule="auto"/>
              <w:ind w:firstLine="482" w:firstLineChars="200"/>
              <w:textAlignment w:val="baseline"/>
              <w:rPr>
                <w:rFonts w:hint="default" w:ascii="Times New Roman" w:hAnsi="Times New Roman" w:eastAsia="宋体" w:cs="Times New Roman"/>
                <w:b/>
                <w:color w:val="auto"/>
                <w:sz w:val="24"/>
                <w:u w:val="none"/>
                <w:lang w:val="zh-TW" w:eastAsia="zh-CN"/>
              </w:rPr>
            </w:pPr>
            <w:r>
              <w:rPr>
                <w:rFonts w:hint="eastAsia" w:cs="Times New Roman"/>
                <w:b/>
                <w:color w:val="auto"/>
                <w:sz w:val="24"/>
                <w:u w:val="none"/>
                <w:lang w:val="en-US" w:eastAsia="zh-CN"/>
              </w:rPr>
              <w:t>4</w:t>
            </w:r>
            <w:r>
              <w:rPr>
                <w:rFonts w:hint="default" w:ascii="Times New Roman" w:hAnsi="Times New Roman" w:eastAsia="宋体" w:cs="Times New Roman"/>
                <w:b/>
                <w:color w:val="auto"/>
                <w:sz w:val="24"/>
                <w:u w:val="none"/>
                <w:lang w:val="zh-TW" w:eastAsia="zh-CN"/>
              </w:rPr>
              <w:t>、固废</w:t>
            </w:r>
          </w:p>
          <w:p>
            <w:pPr>
              <w:pStyle w:val="11"/>
              <w:adjustRightInd w:val="0"/>
              <w:snapToGrid w:val="0"/>
              <w:spacing w:line="360" w:lineRule="auto"/>
              <w:ind w:left="8" w:leftChars="4" w:firstLine="480" w:firstLineChars="200"/>
              <w:rPr>
                <w:rFonts w:hint="default" w:ascii="Times New Roman" w:hAnsi="Times New Roman" w:eastAsia="宋体" w:cs="Times New Roman"/>
                <w:color w:val="auto"/>
                <w:sz w:val="24"/>
                <w:u w:val="none"/>
                <w:lang w:val="zh-TW" w:eastAsia="zh-CN"/>
              </w:rPr>
            </w:pPr>
            <w:r>
              <w:rPr>
                <w:rFonts w:hint="default" w:ascii="Times New Roman" w:hAnsi="Times New Roman" w:eastAsia="宋体" w:cs="Times New Roman"/>
                <w:color w:val="auto"/>
                <w:sz w:val="24"/>
                <w:u w:val="none"/>
                <w:lang w:val="zh-TW" w:eastAsia="zh-CN"/>
              </w:rPr>
              <w:t>项目建成后，运行期固体废物影响主要为员收割植物及清除的杂草等，生活垃圾收集在垃圾桶内，由市政环卫部门清运，湿地植物定期收割后</w:t>
            </w:r>
            <w:r>
              <w:rPr>
                <w:rFonts w:hint="default" w:ascii="Times New Roman" w:hAnsi="Times New Roman" w:eastAsia="宋体" w:cs="Times New Roman"/>
                <w:color w:val="auto"/>
                <w:szCs w:val="21"/>
                <w:u w:val="none"/>
              </w:rPr>
              <w:t>交给市政环卫部门进行处理</w:t>
            </w:r>
            <w:r>
              <w:rPr>
                <w:rFonts w:hint="default" w:ascii="Times New Roman" w:hAnsi="Times New Roman" w:eastAsia="宋体" w:cs="Times New Roman"/>
                <w:color w:val="auto"/>
                <w:sz w:val="24"/>
                <w:u w:val="none"/>
                <w:lang w:val="zh-TW" w:eastAsia="zh-CN"/>
              </w:rPr>
              <w:t>。</w:t>
            </w:r>
          </w:p>
          <w:p>
            <w:pPr>
              <w:pStyle w:val="11"/>
              <w:adjustRightInd w:val="0"/>
              <w:snapToGrid w:val="0"/>
              <w:spacing w:line="360" w:lineRule="auto"/>
              <w:ind w:left="8" w:leftChars="4" w:firstLine="480" w:firstLineChars="200"/>
              <w:rPr>
                <w:rFonts w:hint="default" w:ascii="Times New Roman" w:hAnsi="Times New Roman" w:eastAsia="宋体" w:cs="Times New Roman"/>
                <w:color w:val="FF0000"/>
                <w:sz w:val="24"/>
                <w:u w:val="single"/>
                <w:lang w:val="zh-TW" w:eastAsia="zh-CN"/>
              </w:rPr>
            </w:pPr>
            <w:r>
              <w:rPr>
                <w:rFonts w:hint="default" w:ascii="Times New Roman" w:hAnsi="Times New Roman" w:eastAsia="宋体" w:cs="Times New Roman"/>
                <w:color w:val="FF0000"/>
                <w:sz w:val="24"/>
                <w:u w:val="single"/>
                <w:lang w:val="en-US" w:eastAsia="zh-CN"/>
              </w:rPr>
              <w:t>1</w:t>
            </w:r>
            <w:r>
              <w:rPr>
                <w:rFonts w:hint="default" w:ascii="Times New Roman" w:hAnsi="Times New Roman" w:eastAsia="宋体" w:cs="Times New Roman"/>
                <w:color w:val="FF0000"/>
                <w:sz w:val="24"/>
                <w:u w:val="single"/>
                <w:lang w:val="zh-TW" w:eastAsia="zh-CN"/>
              </w:rPr>
              <w:t>）收割植物</w:t>
            </w:r>
          </w:p>
          <w:p>
            <w:pPr>
              <w:pStyle w:val="11"/>
              <w:adjustRightInd w:val="0"/>
              <w:snapToGrid w:val="0"/>
              <w:spacing w:line="360" w:lineRule="auto"/>
              <w:ind w:left="8" w:leftChars="4" w:firstLine="480" w:firstLineChars="200"/>
              <w:rPr>
                <w:rFonts w:hint="default" w:ascii="Times New Roman" w:hAnsi="Times New Roman" w:eastAsia="宋体" w:cs="Times New Roman"/>
                <w:color w:val="FF0000"/>
                <w:sz w:val="24"/>
                <w:u w:val="single"/>
                <w:lang w:val="zh-TW" w:eastAsia="zh-CN"/>
              </w:rPr>
            </w:pPr>
            <w:r>
              <w:rPr>
                <w:rFonts w:hint="default" w:ascii="Times New Roman" w:hAnsi="Times New Roman" w:eastAsia="宋体" w:cs="Times New Roman"/>
                <w:color w:val="FF0000"/>
                <w:sz w:val="24"/>
                <w:u w:val="single"/>
                <w:lang w:val="zh-TW" w:eastAsia="zh-CN"/>
              </w:rPr>
              <w:t>根据项目设计方案，需要根据不同湿地植物生长特性，在其生长茂盛或成熟期及冬季季节性进行计划性人工收割，以此维护湿地的正常运行，植物收割量为</w:t>
            </w:r>
            <w:r>
              <w:rPr>
                <w:rFonts w:hint="default" w:ascii="Times New Roman" w:hAnsi="Times New Roman" w:eastAsia="宋体" w:cs="Times New Roman"/>
                <w:color w:val="FF0000"/>
                <w:sz w:val="24"/>
                <w:u w:val="single"/>
                <w:lang w:val="en-US" w:eastAsia="zh-CN"/>
              </w:rPr>
              <w:t>5</w:t>
            </w:r>
            <w:r>
              <w:rPr>
                <w:rFonts w:hint="default" w:ascii="Times New Roman" w:hAnsi="Times New Roman" w:eastAsia="宋体" w:cs="Times New Roman"/>
                <w:color w:val="FF0000"/>
                <w:sz w:val="24"/>
                <w:u w:val="single"/>
                <w:lang w:val="zh-TW" w:eastAsia="zh-CN"/>
              </w:rPr>
              <w:t>t/a，收割后交给市政环卫部门进行处理。</w:t>
            </w:r>
          </w:p>
          <w:p>
            <w:pPr>
              <w:pStyle w:val="11"/>
              <w:adjustRightInd w:val="0"/>
              <w:snapToGrid w:val="0"/>
              <w:spacing w:line="360" w:lineRule="auto"/>
              <w:ind w:left="8" w:leftChars="4" w:firstLine="480" w:firstLineChars="200"/>
              <w:rPr>
                <w:rFonts w:hint="default" w:ascii="Times New Roman" w:hAnsi="Times New Roman" w:eastAsia="宋体" w:cs="Times New Roman"/>
                <w:color w:val="FF0000"/>
                <w:sz w:val="24"/>
                <w:u w:val="single"/>
                <w:lang w:val="zh-TW" w:eastAsia="zh-CN"/>
              </w:rPr>
            </w:pPr>
            <w:r>
              <w:rPr>
                <w:rFonts w:hint="default" w:ascii="Times New Roman" w:hAnsi="Times New Roman" w:eastAsia="宋体" w:cs="Times New Roman"/>
                <w:color w:val="FF0000"/>
                <w:sz w:val="24"/>
                <w:u w:val="single"/>
                <w:lang w:val="en-US" w:eastAsia="zh-CN"/>
              </w:rPr>
              <w:t>2</w:t>
            </w:r>
            <w:r>
              <w:rPr>
                <w:rFonts w:hint="default" w:ascii="Times New Roman" w:hAnsi="Times New Roman" w:eastAsia="宋体" w:cs="Times New Roman"/>
                <w:color w:val="FF0000"/>
                <w:sz w:val="24"/>
                <w:u w:val="single"/>
                <w:lang w:val="zh-TW" w:eastAsia="zh-CN"/>
              </w:rPr>
              <w:t>）清除的杂草</w:t>
            </w:r>
          </w:p>
          <w:p>
            <w:pPr>
              <w:pStyle w:val="11"/>
              <w:adjustRightInd w:val="0"/>
              <w:snapToGrid w:val="0"/>
              <w:spacing w:line="360" w:lineRule="auto"/>
              <w:ind w:left="8" w:leftChars="4" w:firstLine="480" w:firstLineChars="200"/>
              <w:rPr>
                <w:rFonts w:hint="default" w:ascii="Times New Roman" w:hAnsi="Times New Roman" w:eastAsia="宋体" w:cs="Times New Roman"/>
                <w:color w:val="FF0000"/>
                <w:sz w:val="24"/>
                <w:u w:val="single"/>
                <w:lang w:val="zh-TW" w:eastAsia="zh-CN"/>
              </w:rPr>
            </w:pPr>
            <w:r>
              <w:rPr>
                <w:rFonts w:hint="default" w:ascii="Times New Roman" w:hAnsi="Times New Roman" w:eastAsia="宋体" w:cs="Times New Roman"/>
                <w:color w:val="FF0000"/>
                <w:sz w:val="24"/>
                <w:u w:val="single"/>
                <w:lang w:val="zh-TW" w:eastAsia="zh-CN"/>
              </w:rPr>
              <w:t>本项目人工湿地污水处理处于自然开放系统中，湿地系统难免滋生杂草，杂草将与湿地植物竞争阳光、养分，对湿地植物生长有不利影响，因此需要及时清除杂草。另外，湿地植物在生长过程中产生枯枝落叶将会散落在湿地系统中，为防止枯枝落叶腐烂污染流经湿地水体，需要及时清理。</w:t>
            </w:r>
          </w:p>
          <w:p>
            <w:pPr>
              <w:pStyle w:val="11"/>
              <w:adjustRightInd w:val="0"/>
              <w:snapToGrid w:val="0"/>
              <w:spacing w:line="360" w:lineRule="auto"/>
              <w:ind w:left="8" w:leftChars="4" w:firstLine="480" w:firstLineChars="200"/>
              <w:rPr>
                <w:rFonts w:hint="default" w:ascii="Times New Roman" w:hAnsi="Times New Roman" w:eastAsia="宋体" w:cs="Times New Roman"/>
                <w:color w:val="FF0000"/>
                <w:sz w:val="24"/>
                <w:u w:val="single"/>
                <w:lang w:val="zh-TW" w:eastAsia="zh-CN"/>
              </w:rPr>
            </w:pPr>
            <w:r>
              <w:rPr>
                <w:rFonts w:hint="default" w:ascii="Times New Roman" w:hAnsi="Times New Roman" w:eastAsia="宋体" w:cs="Times New Roman"/>
                <w:color w:val="FF0000"/>
                <w:sz w:val="24"/>
                <w:u w:val="single"/>
                <w:lang w:val="zh-TW" w:eastAsia="zh-CN"/>
              </w:rPr>
              <w:t>根据工程设计方案,结合本项目人工湿地的占地面积及同类人工湿地的实际情况，本项目产生的杂草及落叶量为</w:t>
            </w:r>
            <w:r>
              <w:rPr>
                <w:rFonts w:hint="default" w:ascii="Times New Roman" w:hAnsi="Times New Roman" w:eastAsia="宋体" w:cs="Times New Roman"/>
                <w:color w:val="FF0000"/>
                <w:sz w:val="24"/>
                <w:u w:val="single"/>
                <w:lang w:val="en-US" w:eastAsia="zh-CN"/>
              </w:rPr>
              <w:t>0.5</w:t>
            </w:r>
            <w:r>
              <w:rPr>
                <w:rFonts w:hint="default" w:ascii="Times New Roman" w:hAnsi="Times New Roman" w:eastAsia="宋体" w:cs="Times New Roman"/>
                <w:color w:val="FF0000"/>
                <w:sz w:val="24"/>
                <w:u w:val="single"/>
                <w:lang w:val="zh-TW" w:eastAsia="zh-CN"/>
              </w:rPr>
              <w:t>t/a，清理收集后交给市政环卫部门进行处理。</w:t>
            </w:r>
          </w:p>
          <w:p>
            <w:pPr>
              <w:adjustRightInd w:val="0"/>
              <w:snapToGrid w:val="0"/>
              <w:spacing w:line="360" w:lineRule="auto"/>
              <w:ind w:firstLine="482" w:firstLineChars="200"/>
              <w:textAlignment w:val="baseline"/>
              <w:rPr>
                <w:rFonts w:hint="default" w:ascii="Times New Roman" w:hAnsi="Times New Roman" w:eastAsia="宋体" w:cs="Times New Roman"/>
                <w:b/>
                <w:color w:val="auto"/>
                <w:sz w:val="24"/>
                <w:u w:val="none"/>
                <w:lang w:val="zh-TW" w:eastAsia="zh-CN"/>
              </w:rPr>
            </w:pPr>
            <w:r>
              <w:rPr>
                <w:rFonts w:hint="eastAsia" w:cs="Times New Roman"/>
                <w:b/>
                <w:color w:val="auto"/>
                <w:sz w:val="24"/>
                <w:u w:val="none"/>
                <w:lang w:val="en-US" w:eastAsia="zh-CN"/>
              </w:rPr>
              <w:t>5</w:t>
            </w:r>
            <w:r>
              <w:rPr>
                <w:rFonts w:hint="default" w:ascii="Times New Roman" w:hAnsi="Times New Roman" w:eastAsia="宋体" w:cs="Times New Roman"/>
                <w:b/>
                <w:color w:val="auto"/>
                <w:sz w:val="24"/>
                <w:u w:val="none"/>
                <w:lang w:val="zh-TW" w:eastAsia="zh-CN"/>
              </w:rPr>
              <w:t>、土壤分析</w:t>
            </w:r>
          </w:p>
          <w:p>
            <w:pPr>
              <w:adjustRightInd w:val="0"/>
              <w:snapToGrid w:val="0"/>
              <w:spacing w:line="360" w:lineRule="auto"/>
              <w:ind w:firstLine="480" w:firstLineChars="200"/>
              <w:textAlignment w:val="baseline"/>
              <w:rPr>
                <w:rFonts w:hint="default" w:ascii="Times New Roman" w:hAnsi="Times New Roman" w:eastAsia="宋体" w:cs="Times New Roman"/>
                <w:b w:val="0"/>
                <w:bCs/>
                <w:color w:val="auto"/>
                <w:sz w:val="24"/>
                <w:u w:val="none"/>
                <w:lang w:val="zh-TW" w:eastAsia="zh-CN"/>
              </w:rPr>
            </w:pPr>
            <w:r>
              <w:rPr>
                <w:rFonts w:hint="default" w:ascii="Times New Roman" w:hAnsi="Times New Roman" w:eastAsia="宋体" w:cs="Times New Roman"/>
                <w:b w:val="0"/>
                <w:bCs/>
                <w:color w:val="auto"/>
                <w:sz w:val="24"/>
                <w:u w:val="none"/>
                <w:lang w:val="zh-TW" w:eastAsia="zh-CN"/>
              </w:rPr>
              <w:t>根据《环境影响评价技术导则—土壤环境（试行）》（HJ964-2018）附录A表A.1土壤环境影响评价项目类别，本次人工湿地的项目类别为Ⅳ类，不需要进行土壤环境影响评价。</w:t>
            </w:r>
          </w:p>
          <w:p>
            <w:pPr>
              <w:adjustRightInd w:val="0"/>
              <w:snapToGrid w:val="0"/>
              <w:spacing w:line="360" w:lineRule="auto"/>
              <w:ind w:firstLine="482" w:firstLineChars="200"/>
              <w:textAlignment w:val="baseline"/>
              <w:rPr>
                <w:rFonts w:hint="default" w:ascii="Times New Roman" w:hAnsi="Times New Roman" w:eastAsia="宋体" w:cs="Times New Roman"/>
                <w:b/>
                <w:color w:val="auto"/>
                <w:sz w:val="24"/>
                <w:u w:val="none"/>
                <w:lang w:val="en-US" w:eastAsia="zh-CN"/>
              </w:rPr>
            </w:pPr>
            <w:r>
              <w:rPr>
                <w:rFonts w:hint="eastAsia" w:cs="Times New Roman"/>
                <w:b/>
                <w:color w:val="auto"/>
                <w:sz w:val="24"/>
                <w:u w:val="none"/>
                <w:lang w:val="en-US" w:eastAsia="zh-CN"/>
              </w:rPr>
              <w:t>6</w:t>
            </w:r>
            <w:r>
              <w:rPr>
                <w:rFonts w:hint="default" w:ascii="Times New Roman" w:hAnsi="Times New Roman" w:eastAsia="宋体" w:cs="Times New Roman"/>
                <w:b/>
                <w:color w:val="auto"/>
                <w:sz w:val="24"/>
                <w:u w:val="none"/>
                <w:lang w:val="en-US" w:eastAsia="zh-CN"/>
              </w:rPr>
              <w:t>、地下水影响分析</w:t>
            </w:r>
          </w:p>
          <w:p>
            <w:pPr>
              <w:adjustRightInd w:val="0"/>
              <w:snapToGrid w:val="0"/>
              <w:spacing w:line="360" w:lineRule="auto"/>
              <w:ind w:firstLine="480" w:firstLineChars="200"/>
              <w:textAlignment w:val="baseline"/>
              <w:rPr>
                <w:rFonts w:hint="default" w:ascii="Times New Roman" w:hAnsi="Times New Roman" w:eastAsia="宋体" w:cs="Times New Roman"/>
                <w:b w:val="0"/>
                <w:bCs/>
                <w:color w:val="auto"/>
                <w:sz w:val="24"/>
                <w:u w:val="none"/>
                <w:lang w:val="en-US" w:eastAsia="zh-CN"/>
              </w:rPr>
            </w:pPr>
            <w:r>
              <w:rPr>
                <w:rFonts w:hint="default" w:ascii="Times New Roman" w:hAnsi="Times New Roman" w:eastAsia="宋体" w:cs="Times New Roman"/>
                <w:b w:val="0"/>
                <w:bCs/>
                <w:color w:val="auto"/>
                <w:sz w:val="24"/>
                <w:u w:val="none"/>
                <w:lang w:val="en-US" w:eastAsia="zh-CN"/>
              </w:rPr>
              <w:t>根据《环境影响评价技术导则—地下水环境》（HJ610-2016）附录A表地下水环境影响评价项目类别，本次人工湿地的项目类别为Ⅳ类，不需要进行地下水环境影响评价。</w:t>
            </w:r>
          </w:p>
          <w:p>
            <w:pPr>
              <w:adjustRightInd w:val="0"/>
              <w:snapToGrid w:val="0"/>
              <w:spacing w:line="360" w:lineRule="auto"/>
              <w:ind w:firstLine="482" w:firstLineChars="200"/>
              <w:textAlignment w:val="baseline"/>
              <w:rPr>
                <w:rFonts w:hint="default" w:ascii="Times New Roman" w:hAnsi="Times New Roman" w:eastAsia="宋体" w:cs="Times New Roman"/>
                <w:b/>
                <w:color w:val="auto"/>
                <w:sz w:val="24"/>
                <w:u w:val="none"/>
                <w:lang w:val="zh-TW" w:eastAsia="zh-CN"/>
              </w:rPr>
            </w:pPr>
            <w:r>
              <w:rPr>
                <w:rFonts w:hint="eastAsia" w:cs="Times New Roman"/>
                <w:b/>
                <w:color w:val="auto"/>
                <w:sz w:val="24"/>
                <w:u w:val="none"/>
                <w:lang w:val="en-US" w:eastAsia="zh-CN"/>
              </w:rPr>
              <w:t>7</w:t>
            </w:r>
            <w:r>
              <w:rPr>
                <w:rFonts w:hint="default" w:ascii="Times New Roman" w:hAnsi="Times New Roman" w:eastAsia="宋体" w:cs="Times New Roman"/>
                <w:b/>
                <w:color w:val="auto"/>
                <w:sz w:val="24"/>
                <w:u w:val="none"/>
                <w:lang w:val="en-US" w:eastAsia="zh-CN"/>
              </w:rPr>
              <w:t>、</w:t>
            </w:r>
            <w:r>
              <w:rPr>
                <w:rFonts w:hint="default" w:ascii="Times New Roman" w:hAnsi="Times New Roman" w:eastAsia="宋体" w:cs="Times New Roman"/>
                <w:b/>
                <w:color w:val="auto"/>
                <w:sz w:val="24"/>
                <w:u w:val="none"/>
                <w:lang w:val="zh-TW" w:eastAsia="zh-CN"/>
              </w:rPr>
              <w:t>生态环境</w:t>
            </w:r>
          </w:p>
          <w:p>
            <w:pPr>
              <w:spacing w:line="360" w:lineRule="auto"/>
              <w:ind w:firstLine="480" w:firstLineChars="200"/>
              <w:rPr>
                <w:rFonts w:hint="default" w:ascii="Times New Roman" w:hAnsi="Times New Roman" w:eastAsia="宋体" w:cs="Times New Roman"/>
                <w:bCs/>
                <w:color w:val="auto"/>
                <w:sz w:val="24"/>
                <w:szCs w:val="20"/>
                <w:u w:val="none"/>
                <w:lang w:val="zh-CN"/>
              </w:rPr>
            </w:pPr>
            <w:r>
              <w:rPr>
                <w:rFonts w:hint="default" w:ascii="Times New Roman" w:hAnsi="Times New Roman" w:eastAsia="宋体" w:cs="Times New Roman"/>
                <w:bCs/>
                <w:color w:val="auto"/>
                <w:sz w:val="24"/>
                <w:szCs w:val="20"/>
                <w:u w:val="none"/>
                <w:lang w:val="zh-CN"/>
              </w:rPr>
              <w:t>（</w:t>
            </w:r>
            <w:r>
              <w:rPr>
                <w:rFonts w:hint="default" w:ascii="Times New Roman" w:hAnsi="Times New Roman" w:eastAsia="宋体" w:cs="Times New Roman"/>
                <w:bCs/>
                <w:color w:val="auto"/>
                <w:sz w:val="24"/>
                <w:szCs w:val="20"/>
                <w:u w:val="none"/>
              </w:rPr>
              <w:t>1</w:t>
            </w:r>
            <w:r>
              <w:rPr>
                <w:rFonts w:hint="default" w:ascii="Times New Roman" w:hAnsi="Times New Roman" w:eastAsia="宋体" w:cs="Times New Roman"/>
                <w:bCs/>
                <w:color w:val="auto"/>
                <w:sz w:val="24"/>
                <w:szCs w:val="20"/>
                <w:u w:val="none"/>
                <w:lang w:val="zh-CN"/>
              </w:rPr>
              <w:t>）对陆生生态的影响</w:t>
            </w:r>
          </w:p>
          <w:p>
            <w:pPr>
              <w:spacing w:line="360" w:lineRule="auto"/>
              <w:ind w:firstLine="480" w:firstLineChars="200"/>
              <w:rPr>
                <w:rFonts w:hint="default" w:ascii="Times New Roman" w:hAnsi="Times New Roman" w:eastAsia="宋体" w:cs="Times New Roman"/>
                <w:bCs/>
                <w:color w:val="auto"/>
                <w:sz w:val="24"/>
                <w:szCs w:val="20"/>
                <w:u w:val="none"/>
                <w:lang w:val="zh-CN"/>
              </w:rPr>
            </w:pPr>
            <w:r>
              <w:rPr>
                <w:rFonts w:hint="default" w:ascii="Times New Roman" w:hAnsi="Times New Roman" w:eastAsia="宋体" w:cs="Times New Roman"/>
                <w:bCs/>
                <w:color w:val="auto"/>
                <w:sz w:val="24"/>
                <w:szCs w:val="20"/>
                <w:u w:val="none"/>
              </w:rPr>
              <w:t>项目</w:t>
            </w:r>
            <w:r>
              <w:rPr>
                <w:rFonts w:hint="default" w:ascii="Times New Roman" w:hAnsi="Times New Roman" w:eastAsia="宋体" w:cs="Times New Roman"/>
                <w:bCs/>
                <w:color w:val="auto"/>
                <w:sz w:val="24"/>
                <w:szCs w:val="20"/>
                <w:u w:val="none"/>
                <w:lang w:val="zh-CN"/>
              </w:rPr>
              <w:t>建成后，除水域面积外，其他区域进行人工绿化，绿化、生态景观工程的建设，对生物量损失有补偿作用，其生态服务功能将比建设前有所增加。</w:t>
            </w:r>
          </w:p>
          <w:p>
            <w:pPr>
              <w:spacing w:line="360" w:lineRule="auto"/>
              <w:ind w:firstLine="480" w:firstLineChars="200"/>
              <w:rPr>
                <w:rFonts w:hint="default" w:ascii="Times New Roman" w:hAnsi="Times New Roman" w:eastAsia="宋体" w:cs="Times New Roman"/>
                <w:bCs/>
                <w:color w:val="auto"/>
                <w:sz w:val="24"/>
                <w:szCs w:val="20"/>
                <w:u w:val="none"/>
              </w:rPr>
            </w:pPr>
            <w:r>
              <w:rPr>
                <w:rFonts w:hint="default" w:ascii="Times New Roman" w:hAnsi="Times New Roman" w:eastAsia="宋体" w:cs="Times New Roman"/>
                <w:bCs/>
                <w:color w:val="auto"/>
                <w:sz w:val="24"/>
                <w:szCs w:val="20"/>
                <w:u w:val="none"/>
                <w:lang w:val="zh-CN"/>
              </w:rPr>
              <w:t>（</w:t>
            </w:r>
            <w:r>
              <w:rPr>
                <w:rFonts w:hint="default" w:ascii="Times New Roman" w:hAnsi="Times New Roman" w:eastAsia="宋体" w:cs="Times New Roman"/>
                <w:bCs/>
                <w:color w:val="auto"/>
                <w:sz w:val="24"/>
                <w:szCs w:val="20"/>
                <w:u w:val="none"/>
              </w:rPr>
              <w:t>2</w:t>
            </w:r>
            <w:r>
              <w:rPr>
                <w:rFonts w:hint="default" w:ascii="Times New Roman" w:hAnsi="Times New Roman" w:eastAsia="宋体" w:cs="Times New Roman"/>
                <w:bCs/>
                <w:color w:val="auto"/>
                <w:sz w:val="24"/>
                <w:szCs w:val="20"/>
                <w:u w:val="none"/>
                <w:lang w:val="zh-CN"/>
              </w:rPr>
              <w:t>）</w:t>
            </w:r>
            <w:r>
              <w:rPr>
                <w:rFonts w:hint="default" w:ascii="Times New Roman" w:hAnsi="Times New Roman" w:eastAsia="宋体" w:cs="Times New Roman"/>
                <w:bCs/>
                <w:color w:val="auto"/>
                <w:sz w:val="24"/>
                <w:szCs w:val="20"/>
                <w:u w:val="none"/>
              </w:rPr>
              <w:t>生态系统完整性影响</w:t>
            </w:r>
          </w:p>
          <w:p>
            <w:pPr>
              <w:spacing w:line="360" w:lineRule="auto"/>
              <w:ind w:firstLine="480" w:firstLineChars="200"/>
              <w:rPr>
                <w:rFonts w:hint="default" w:ascii="Times New Roman" w:hAnsi="Times New Roman" w:eastAsia="宋体" w:cs="Times New Roman"/>
                <w:bCs/>
                <w:color w:val="auto"/>
                <w:sz w:val="24"/>
                <w:szCs w:val="20"/>
                <w:u w:val="none"/>
              </w:rPr>
            </w:pPr>
            <w:r>
              <w:rPr>
                <w:rFonts w:hint="default" w:ascii="Times New Roman" w:hAnsi="Times New Roman" w:eastAsia="宋体" w:cs="Times New Roman"/>
                <w:bCs/>
                <w:color w:val="auto"/>
                <w:sz w:val="24"/>
                <w:szCs w:val="20"/>
                <w:u w:val="none"/>
              </w:rPr>
              <w:t>项目运行后，项目区域生态系统的生物量（包括水生生物量和陆生生物量）整体不发生大的变化，项目不会改变项目区域的原有生态系统类型。项目的实施可改善区域水环境，自然生态系统的生产能力有上升趋势。由于水体环境改善，为水生植被及水生生物生长提供了稳定良好的环境，有利于生物量的增加，对生态系统有正效应。</w:t>
            </w:r>
          </w:p>
          <w:p>
            <w:pPr>
              <w:spacing w:line="360" w:lineRule="auto"/>
              <w:ind w:firstLine="480" w:firstLineChars="200"/>
              <w:rPr>
                <w:rFonts w:hint="default" w:ascii="Times New Roman" w:hAnsi="Times New Roman" w:eastAsia="宋体" w:cs="Times New Roman"/>
                <w:bCs/>
                <w:color w:val="auto"/>
                <w:sz w:val="24"/>
                <w:szCs w:val="20"/>
                <w:u w:val="none"/>
              </w:rPr>
            </w:pPr>
            <w:r>
              <w:rPr>
                <w:rFonts w:hint="default" w:ascii="Times New Roman" w:hAnsi="Times New Roman" w:eastAsia="宋体" w:cs="Times New Roman"/>
                <w:bCs/>
                <w:color w:val="auto"/>
                <w:sz w:val="24"/>
                <w:szCs w:val="20"/>
                <w:u w:val="none"/>
              </w:rPr>
              <w:t>（3）景观影响分析</w:t>
            </w:r>
          </w:p>
          <w:p>
            <w:pPr>
              <w:spacing w:line="360" w:lineRule="auto"/>
              <w:ind w:firstLine="480" w:firstLineChars="200"/>
              <w:jc w:val="left"/>
              <w:rPr>
                <w:rFonts w:hint="default" w:ascii="Times New Roman" w:hAnsi="Times New Roman" w:eastAsia="宋体" w:cs="Times New Roman"/>
                <w:color w:val="auto"/>
                <w:sz w:val="24"/>
                <w:szCs w:val="22"/>
                <w:u w:val="none"/>
                <w:lang w:eastAsia="zh-CN"/>
              </w:rPr>
            </w:pPr>
            <w:r>
              <w:rPr>
                <w:rFonts w:hint="default" w:ascii="Times New Roman" w:hAnsi="Times New Roman" w:eastAsia="宋体" w:cs="Times New Roman"/>
                <w:color w:val="auto"/>
                <w:sz w:val="24"/>
                <w:szCs w:val="22"/>
                <w:u w:val="none"/>
              </w:rPr>
              <w:t>本项目实施后，配套建设的绿化美化工程为人们提供了一个亲切怡人的休闲空间和绿化生态空间，达到人与自然的和谐发展，对改善区域生态环境较为有利。</w:t>
            </w:r>
          </w:p>
          <w:p>
            <w:pPr>
              <w:spacing w:line="360" w:lineRule="auto"/>
              <w:ind w:firstLine="480" w:firstLineChars="200"/>
              <w:rPr>
                <w:rFonts w:hint="default" w:ascii="Times New Roman" w:hAnsi="Times New Roman" w:eastAsia="宋体" w:cs="Times New Roman"/>
                <w:color w:val="auto"/>
                <w:sz w:val="24"/>
                <w:szCs w:val="22"/>
                <w:u w:val="none"/>
                <w:lang w:eastAsia="zh-CN"/>
              </w:rPr>
            </w:pPr>
            <w:r>
              <w:rPr>
                <w:rFonts w:hint="default" w:ascii="Times New Roman" w:hAnsi="Times New Roman" w:eastAsia="宋体" w:cs="Times New Roman"/>
                <w:color w:val="auto"/>
                <w:sz w:val="24"/>
                <w:szCs w:val="22"/>
                <w:u w:val="none"/>
              </w:rPr>
              <w:t>随着生活水平和环境意识的提高，人们对保护和创造美好景观的要求越来越强烈。景观影响评价就是识别能够满足人们心理需求的景观资源，防止景观的破坏或影响，以满足人类社会可持续发展的要求。</w:t>
            </w:r>
          </w:p>
          <w:p>
            <w:pPr>
              <w:spacing w:line="360" w:lineRule="auto"/>
              <w:ind w:firstLine="480" w:firstLineChars="200"/>
              <w:rPr>
                <w:rFonts w:hint="default" w:ascii="Times New Roman" w:hAnsi="Times New Roman" w:eastAsia="宋体" w:cs="Times New Roman"/>
                <w:color w:val="auto"/>
                <w:sz w:val="24"/>
                <w:szCs w:val="22"/>
                <w:u w:val="none"/>
              </w:rPr>
            </w:pPr>
            <w:r>
              <w:rPr>
                <w:rFonts w:hint="default" w:ascii="Times New Roman" w:hAnsi="Times New Roman" w:eastAsia="宋体" w:cs="Times New Roman"/>
                <w:color w:val="auto"/>
                <w:sz w:val="24"/>
                <w:szCs w:val="22"/>
                <w:u w:val="none"/>
              </w:rPr>
              <w:t>景观种植主要考虑多样性原则，将乔、灌、藤、草、地被及水生植物相互合理搭配，形成各式各样的人工植物群落，如观赏型植物群、科普型人工植物群落、水生或湿地植物群落。同时多采用乡土树种，通过植物的合理配植建立生态结构相对固定的植物群落，避免因选错草、用错苗而给日后施工和养护带来麻烦。</w:t>
            </w:r>
          </w:p>
          <w:p>
            <w:pPr>
              <w:spacing w:line="360" w:lineRule="auto"/>
              <w:ind w:firstLine="482" w:firstLineChars="200"/>
              <w:jc w:val="left"/>
              <w:rPr>
                <w:rFonts w:hint="default" w:ascii="Times New Roman" w:hAnsi="Times New Roman" w:eastAsia="宋体" w:cs="Times New Roman"/>
                <w:b/>
                <w:bCs/>
                <w:color w:val="FF0000"/>
                <w:sz w:val="24"/>
                <w:u w:val="single"/>
                <w:lang w:val="en-US" w:eastAsia="zh-CN"/>
              </w:rPr>
            </w:pPr>
            <w:r>
              <w:rPr>
                <w:rFonts w:hint="eastAsia" w:ascii="Times New Roman" w:hAnsi="Times New Roman" w:eastAsia="宋体" w:cs="Times New Roman"/>
                <w:b/>
                <w:bCs/>
                <w:color w:val="FF0000"/>
                <w:sz w:val="24"/>
                <w:u w:val="single"/>
                <w:lang w:val="en-US" w:eastAsia="zh-CN"/>
              </w:rPr>
              <w:t>8</w:t>
            </w:r>
            <w:r>
              <w:rPr>
                <w:rFonts w:hint="default" w:ascii="Times New Roman" w:hAnsi="Times New Roman" w:eastAsia="宋体" w:cs="Times New Roman"/>
                <w:b/>
                <w:bCs/>
                <w:color w:val="FF0000"/>
                <w:sz w:val="24"/>
                <w:u w:val="single"/>
              </w:rPr>
              <w:t>、</w:t>
            </w:r>
            <w:r>
              <w:rPr>
                <w:rFonts w:hint="eastAsia" w:ascii="Times New Roman" w:hAnsi="Times New Roman" w:eastAsia="宋体" w:cs="Times New Roman"/>
                <w:b/>
                <w:bCs/>
                <w:color w:val="FF0000"/>
                <w:sz w:val="24"/>
                <w:u w:val="single"/>
                <w:lang w:val="en-US" w:eastAsia="zh-CN"/>
              </w:rPr>
              <w:t>效益分析</w:t>
            </w:r>
          </w:p>
          <w:p>
            <w:pPr>
              <w:spacing w:line="360" w:lineRule="auto"/>
              <w:ind w:firstLine="480" w:firstLineChars="200"/>
              <w:rPr>
                <w:rFonts w:hint="eastAsia" w:ascii="宋体" w:hAnsi="宋体" w:eastAsia="宋体" w:cs="宋体"/>
                <w:color w:val="FF0000"/>
                <w:sz w:val="24"/>
                <w:szCs w:val="24"/>
                <w:u w:val="single"/>
                <w:lang w:val="en-US" w:eastAsia="zh-CN"/>
              </w:rPr>
            </w:pPr>
            <w:r>
              <w:rPr>
                <w:rFonts w:hint="eastAsia" w:ascii="宋体" w:hAnsi="宋体" w:eastAsia="宋体" w:cs="宋体"/>
                <w:color w:val="FF0000"/>
                <w:sz w:val="24"/>
                <w:szCs w:val="24"/>
                <w:u w:val="single"/>
                <w:lang w:val="en-US" w:eastAsia="zh-CN"/>
              </w:rPr>
              <w:t>本项目</w:t>
            </w:r>
            <w:r>
              <w:rPr>
                <w:rFonts w:ascii="宋体" w:hAnsi="宋体" w:eastAsia="宋体" w:cs="宋体"/>
                <w:color w:val="FF0000"/>
                <w:sz w:val="24"/>
                <w:szCs w:val="24"/>
                <w:u w:val="single"/>
              </w:rPr>
              <w:t>的目标是</w:t>
            </w:r>
            <w:r>
              <w:rPr>
                <w:rFonts w:hint="eastAsia" w:ascii="宋体" w:hAnsi="宋体" w:eastAsia="宋体" w:cs="宋体"/>
                <w:color w:val="FF0000"/>
                <w:sz w:val="24"/>
                <w:szCs w:val="24"/>
                <w:u w:val="single"/>
                <w:lang w:val="en-US" w:eastAsia="zh-CN"/>
              </w:rPr>
              <w:t>改善青山岛鱼塘内水质，本项目的实施能够增强青山岛</w:t>
            </w:r>
            <w:r>
              <w:rPr>
                <w:rFonts w:ascii="宋体" w:hAnsi="宋体" w:eastAsia="宋体" w:cs="宋体"/>
                <w:color w:val="FF0000"/>
                <w:sz w:val="24"/>
                <w:szCs w:val="24"/>
                <w:u w:val="single"/>
              </w:rPr>
              <w:t>生态系统稳定性，</w:t>
            </w:r>
            <w:r>
              <w:rPr>
                <w:rFonts w:hint="eastAsia" w:ascii="宋体" w:hAnsi="宋体" w:eastAsia="宋体" w:cs="宋体"/>
                <w:color w:val="FF0000"/>
                <w:sz w:val="24"/>
                <w:szCs w:val="24"/>
                <w:u w:val="single"/>
                <w:lang w:val="en-US" w:eastAsia="zh-CN"/>
              </w:rPr>
              <w:t>稳定横岭湖</w:t>
            </w:r>
            <w:r>
              <w:rPr>
                <w:rFonts w:ascii="宋体" w:hAnsi="宋体" w:eastAsia="宋体" w:cs="宋体"/>
                <w:color w:val="FF0000"/>
                <w:sz w:val="24"/>
                <w:szCs w:val="24"/>
                <w:u w:val="single"/>
              </w:rPr>
              <w:t>湿地生物多样性</w:t>
            </w:r>
            <w:r>
              <w:rPr>
                <w:rFonts w:hint="eastAsia" w:ascii="宋体" w:hAnsi="宋体" w:eastAsia="宋体" w:cs="宋体"/>
                <w:color w:val="FF0000"/>
                <w:sz w:val="24"/>
                <w:szCs w:val="24"/>
                <w:u w:val="single"/>
                <w:lang w:eastAsia="zh-CN"/>
              </w:rPr>
              <w:t>。</w:t>
            </w:r>
            <w:r>
              <w:rPr>
                <w:rFonts w:hint="eastAsia" w:ascii="宋体" w:hAnsi="宋体" w:eastAsia="宋体" w:cs="宋体"/>
                <w:color w:val="FF0000"/>
                <w:sz w:val="24"/>
                <w:szCs w:val="24"/>
                <w:u w:val="single"/>
                <w:lang w:val="en-US" w:eastAsia="zh-CN"/>
              </w:rPr>
              <w:t>根据本项目可研和初步设计，本项目实施后，COD 削减量为29.2t/a，总磷削减量为 0.51t/a，总氮削减量为 1.46t/a。</w:t>
            </w:r>
          </w:p>
          <w:p>
            <w:pPr>
              <w:spacing w:line="360" w:lineRule="auto"/>
              <w:ind w:firstLine="480" w:firstLineChars="200"/>
              <w:rPr>
                <w:rFonts w:hint="default" w:ascii="宋体" w:hAnsi="宋体" w:eastAsia="宋体" w:cs="宋体"/>
                <w:color w:val="FF0000"/>
                <w:sz w:val="24"/>
                <w:szCs w:val="24"/>
                <w:u w:val="single"/>
                <w:lang w:val="en-US" w:eastAsia="zh-CN"/>
              </w:rPr>
            </w:pPr>
            <w:r>
              <w:rPr>
                <w:rFonts w:hint="default" w:ascii="宋体" w:hAnsi="宋体" w:eastAsia="宋体" w:cs="宋体"/>
                <w:color w:val="FF0000"/>
                <w:sz w:val="24"/>
                <w:szCs w:val="24"/>
                <w:u w:val="single"/>
                <w:lang w:val="en-US" w:eastAsia="zh-CN"/>
              </w:rPr>
              <w:t>1、将进一步完善青山岛环保基础设施，有效的保护了当地的水资源，项目实施可在当地招收部分管理人员、技术工人及车辆驾驶员，解决部分人员的就业问题，符合国家可持续发展战略，是一项“功在当代，福泽子孙”的民生工程。</w:t>
            </w:r>
          </w:p>
          <w:p>
            <w:pPr>
              <w:spacing w:line="360" w:lineRule="auto"/>
              <w:ind w:firstLine="480" w:firstLineChars="200"/>
              <w:rPr>
                <w:rFonts w:hint="default" w:ascii="宋体" w:hAnsi="宋体" w:eastAsia="宋体" w:cs="宋体"/>
                <w:color w:val="FF0000"/>
                <w:sz w:val="24"/>
                <w:szCs w:val="24"/>
                <w:u w:val="single"/>
                <w:lang w:val="en-US" w:eastAsia="zh-CN"/>
              </w:rPr>
            </w:pPr>
            <w:r>
              <w:rPr>
                <w:rFonts w:hint="default" w:ascii="宋体" w:hAnsi="宋体" w:eastAsia="宋体" w:cs="宋体"/>
                <w:color w:val="FF0000"/>
                <w:sz w:val="24"/>
                <w:szCs w:val="24"/>
                <w:u w:val="single"/>
                <w:lang w:val="en-US" w:eastAsia="zh-CN"/>
              </w:rPr>
              <w:t>2、改善项目区的人居环境，减少因水质污染、垃圾污染等引发的疾病，提高当地群众的健康水平与卫生水平、人民幸福感。</w:t>
            </w:r>
          </w:p>
          <w:p>
            <w:pPr>
              <w:spacing w:line="360" w:lineRule="auto"/>
              <w:ind w:firstLine="420" w:firstLineChars="200"/>
              <w:rPr>
                <w:rFonts w:hint="default" w:ascii="Times New Roman" w:hAnsi="Times New Roman" w:eastAsia="宋体" w:cs="Times New Roman"/>
                <w:bCs/>
                <w:color w:val="auto"/>
                <w:szCs w:val="21"/>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879" w:type="dxa"/>
            <w:noWrap w:val="0"/>
            <w:vAlign w:val="center"/>
          </w:tcPr>
          <w:p>
            <w:pPr>
              <w:pStyle w:val="29"/>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u w:val="none"/>
                <w:lang w:val="en-US" w:eastAsia="zh-CN"/>
              </w:rPr>
            </w:pPr>
            <w:r>
              <w:rPr>
                <w:rFonts w:hint="default" w:ascii="Times New Roman" w:hAnsi="Times New Roman" w:eastAsia="宋体" w:cs="Times New Roman"/>
                <w:bCs/>
                <w:color w:val="auto"/>
                <w:kern w:val="2"/>
                <w:sz w:val="21"/>
                <w:szCs w:val="21"/>
                <w:u w:val="none"/>
                <w:lang w:val="en-US" w:eastAsia="zh-CN"/>
              </w:rPr>
              <w:t>选址选线环境合理性分析</w:t>
            </w:r>
          </w:p>
        </w:tc>
        <w:tc>
          <w:tcPr>
            <w:tcW w:w="8363" w:type="dxa"/>
            <w:noWrap w:val="0"/>
            <w:vAlign w:val="top"/>
          </w:tcPr>
          <w:p>
            <w:pPr>
              <w:bidi w:val="0"/>
              <w:spacing w:line="360" w:lineRule="auto"/>
              <w:ind w:firstLine="480" w:firstLineChars="200"/>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highlight w:val="none"/>
                <w:u w:val="none"/>
                <w:lang w:eastAsia="zh-CN"/>
              </w:rPr>
              <w:t>本项目不涉及生态红线，不涉及环境敏感区，</w:t>
            </w:r>
            <w:r>
              <w:rPr>
                <w:rFonts w:hint="eastAsia" w:cs="Times New Roman"/>
                <w:color w:val="auto"/>
                <w:sz w:val="24"/>
                <w:szCs w:val="24"/>
                <w:highlight w:val="none"/>
                <w:u w:val="none"/>
                <w:lang w:val="en-US" w:eastAsia="zh-CN"/>
              </w:rPr>
              <w:t>目的是</w:t>
            </w:r>
            <w:r>
              <w:rPr>
                <w:rFonts w:hint="default" w:ascii="Times New Roman" w:hAnsi="Times New Roman" w:eastAsia="宋体" w:cs="Times New Roman"/>
                <w:color w:val="auto"/>
                <w:sz w:val="24"/>
                <w:szCs w:val="24"/>
                <w:highlight w:val="none"/>
                <w:u w:val="none"/>
                <w:lang w:eastAsia="zh-CN"/>
              </w:rPr>
              <w:t>改善</w:t>
            </w:r>
            <w:r>
              <w:rPr>
                <w:rFonts w:hint="eastAsia" w:cs="Times New Roman"/>
                <w:color w:val="auto"/>
                <w:sz w:val="24"/>
                <w:szCs w:val="24"/>
                <w:highlight w:val="none"/>
                <w:u w:val="none"/>
                <w:lang w:val="en-US" w:eastAsia="zh-CN"/>
              </w:rPr>
              <w:t>横岭湖</w:t>
            </w:r>
            <w:r>
              <w:rPr>
                <w:rFonts w:hint="default" w:ascii="Times New Roman" w:hAnsi="Times New Roman" w:eastAsia="宋体" w:cs="Times New Roman"/>
                <w:color w:val="auto"/>
                <w:sz w:val="24"/>
                <w:szCs w:val="24"/>
                <w:highlight w:val="none"/>
                <w:u w:val="none"/>
                <w:lang w:val="en-US" w:eastAsia="zh-CN"/>
              </w:rPr>
              <w:t>流域</w:t>
            </w:r>
            <w:r>
              <w:rPr>
                <w:rFonts w:hint="default" w:ascii="Times New Roman" w:hAnsi="Times New Roman" w:eastAsia="宋体" w:cs="Times New Roman"/>
                <w:color w:val="auto"/>
                <w:sz w:val="24"/>
                <w:szCs w:val="24"/>
                <w:highlight w:val="none"/>
                <w:u w:val="none"/>
                <w:lang w:eastAsia="zh-CN"/>
              </w:rPr>
              <w:t>水质，属于生态影响型项目，营运期工程本身不产生污染物，本项目建设后将有利于改善</w:t>
            </w:r>
            <w:r>
              <w:rPr>
                <w:rFonts w:hint="eastAsia" w:cs="Times New Roman"/>
                <w:color w:val="auto"/>
                <w:sz w:val="24"/>
                <w:szCs w:val="24"/>
                <w:highlight w:val="none"/>
                <w:u w:val="none"/>
                <w:lang w:val="en-US" w:eastAsia="zh-CN"/>
              </w:rPr>
              <w:t>横岭湖</w:t>
            </w:r>
            <w:r>
              <w:rPr>
                <w:rFonts w:hint="default" w:ascii="Times New Roman" w:hAnsi="Times New Roman" w:eastAsia="宋体" w:cs="Times New Roman"/>
                <w:color w:val="auto"/>
                <w:sz w:val="24"/>
                <w:szCs w:val="24"/>
                <w:highlight w:val="none"/>
                <w:u w:val="none"/>
                <w:lang w:val="en-US" w:eastAsia="zh-CN"/>
              </w:rPr>
              <w:t>流域</w:t>
            </w:r>
            <w:r>
              <w:rPr>
                <w:rFonts w:hint="default" w:ascii="Times New Roman" w:hAnsi="Times New Roman" w:eastAsia="宋体" w:cs="Times New Roman"/>
                <w:color w:val="auto"/>
                <w:sz w:val="24"/>
                <w:szCs w:val="24"/>
                <w:highlight w:val="none"/>
                <w:u w:val="none"/>
                <w:lang w:eastAsia="zh-CN"/>
              </w:rPr>
              <w:t>水环境质量，改善人居环境和促进生态健康发展，同时</w:t>
            </w:r>
            <w:r>
              <w:rPr>
                <w:rFonts w:hint="eastAsia" w:cs="Times New Roman"/>
                <w:color w:val="auto"/>
                <w:sz w:val="24"/>
                <w:szCs w:val="24"/>
                <w:highlight w:val="none"/>
                <w:u w:val="none"/>
                <w:lang w:val="en-US" w:eastAsia="zh-CN"/>
              </w:rPr>
              <w:t>横岭湖</w:t>
            </w:r>
            <w:r>
              <w:rPr>
                <w:rFonts w:hint="default" w:ascii="Times New Roman" w:hAnsi="Times New Roman" w:eastAsia="宋体" w:cs="Times New Roman"/>
                <w:color w:val="auto"/>
                <w:sz w:val="24"/>
                <w:szCs w:val="24"/>
                <w:highlight w:val="none"/>
                <w:u w:val="none"/>
                <w:lang w:eastAsia="zh-CN"/>
              </w:rPr>
              <w:t>的连通扩大了水生生物生存空间和觅食场所，改</w:t>
            </w:r>
            <w:r>
              <w:rPr>
                <w:rFonts w:hint="default" w:ascii="Times New Roman" w:hAnsi="Times New Roman" w:eastAsia="宋体" w:cs="Times New Roman"/>
                <w:color w:val="auto"/>
                <w:sz w:val="24"/>
                <w:szCs w:val="24"/>
                <w:u w:val="none"/>
                <w:lang w:eastAsia="zh-CN"/>
              </w:rPr>
              <w:t>善了水生生物生存环境，有利于保护水生生物多样性。故本项目选址选线合理。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u w:val="none"/>
              </w:rPr>
            </w:pPr>
            <w:r>
              <w:rPr>
                <w:rFonts w:hint="default" w:ascii="Times New Roman" w:hAnsi="Times New Roman" w:eastAsia="宋体" w:cs="Times New Roman"/>
                <w:color w:val="auto"/>
                <w:sz w:val="24"/>
                <w:szCs w:val="24"/>
                <w:u w:val="none"/>
                <w:lang w:val="en-US" w:eastAsia="zh-CN"/>
              </w:rPr>
              <w:t>综上所述，评价认为本项目选址是可行的。</w:t>
            </w:r>
          </w:p>
        </w:tc>
      </w:tr>
    </w:tbl>
    <w:p>
      <w:pPr>
        <w:pStyle w:val="29"/>
        <w:jc w:val="center"/>
        <w:rPr>
          <w:rFonts w:hint="default" w:ascii="Times New Roman" w:hAnsi="Times New Roman" w:eastAsia="宋体" w:cs="Times New Roman"/>
          <w:snapToGrid w:val="0"/>
          <w:color w:val="auto"/>
          <w:sz w:val="36"/>
          <w:szCs w:val="36"/>
          <w:u w:val="none"/>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9"/>
        <w:jc w:val="center"/>
        <w:outlineLvl w:val="0"/>
        <w:rPr>
          <w:rFonts w:hint="default" w:ascii="Times New Roman" w:hAnsi="Times New Roman" w:eastAsia="宋体" w:cs="Times New Roman"/>
          <w:snapToGrid w:val="0"/>
          <w:color w:val="auto"/>
          <w:sz w:val="30"/>
          <w:szCs w:val="30"/>
          <w:u w:val="none"/>
        </w:rPr>
      </w:pPr>
      <w:bookmarkStart w:id="34" w:name="_Toc7741"/>
      <w:bookmarkStart w:id="35" w:name="_Toc1267"/>
      <w:bookmarkStart w:id="36" w:name="_Toc15313"/>
      <w:bookmarkStart w:id="37" w:name="_Toc21658"/>
      <w:bookmarkStart w:id="38" w:name="_Toc19628"/>
      <w:bookmarkStart w:id="39" w:name="_Toc27952"/>
      <w:r>
        <w:rPr>
          <w:rFonts w:hint="default" w:ascii="Times New Roman" w:hAnsi="Times New Roman" w:eastAsia="宋体" w:cs="Times New Roman"/>
          <w:snapToGrid w:val="0"/>
          <w:color w:val="auto"/>
          <w:sz w:val="30"/>
          <w:szCs w:val="30"/>
          <w:u w:val="none"/>
        </w:rPr>
        <w:t>五、主要生态环境保护措施</w:t>
      </w:r>
      <w:bookmarkEnd w:id="34"/>
      <w:bookmarkEnd w:id="35"/>
      <w:bookmarkEnd w:id="36"/>
      <w:bookmarkEnd w:id="37"/>
      <w:bookmarkEnd w:id="38"/>
      <w:bookmarkEnd w:id="39"/>
    </w:p>
    <w:tbl>
      <w:tblPr>
        <w:tblStyle w:val="32"/>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53" w:type="dxa"/>
            <w:noWrap w:val="0"/>
            <w:tcMar>
              <w:left w:w="28" w:type="dxa"/>
              <w:right w:w="28" w:type="dxa"/>
            </w:tcMar>
            <w:vAlign w:val="center"/>
          </w:tcPr>
          <w:p>
            <w:pPr>
              <w:adjustRightInd w:val="0"/>
              <w:snapToGrid w:val="0"/>
              <w:jc w:val="center"/>
              <w:rPr>
                <w:rFonts w:hint="default" w:ascii="Times New Roman" w:hAnsi="Times New Roman" w:eastAsia="宋体" w:cs="Times New Roman"/>
                <w:bCs/>
                <w:color w:val="auto"/>
                <w:szCs w:val="21"/>
                <w:u w:val="none"/>
              </w:rPr>
            </w:pPr>
            <w:r>
              <w:rPr>
                <w:rFonts w:hint="default" w:ascii="Times New Roman" w:hAnsi="Times New Roman" w:eastAsia="宋体" w:cs="Times New Roman"/>
                <w:bCs/>
                <w:color w:val="auto"/>
                <w:spacing w:val="10"/>
                <w:szCs w:val="21"/>
                <w:u w:val="none"/>
              </w:rPr>
              <w:t>施工期生态环境保护措施</w:t>
            </w:r>
          </w:p>
        </w:tc>
        <w:tc>
          <w:tcPr>
            <w:tcW w:w="8457" w:type="dxa"/>
            <w:noWrap w:val="0"/>
            <w:vAlign w:val="top"/>
          </w:tcPr>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一般来说，施工期环境影响是暂时的，随着工程的竣工，施工期环境影响都可以消除或缓解。但施工期某些环境影响因素表现得比较明显，还必须采取减缓措施，以尽可能地减少或消除这些影响。</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一、生态环境保护措施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针对施工期项目对周边生态环境的影响，为降低施工对周边生态环境的影响，建设单位拟采取以下措施进行控制：</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（1）水土流失及防止对策分析</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施工期间，占地及开挖土方将引起地表植被及农作物的破坏，必然引起区域水土流失。主要包括：土方流失、破坏地面植被造成水土流失、施工活动造成的水土流失等。评价建议应采取以下的保护措施：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1）优化施工工艺，尽量减少施工过程中弃土、弃渣的产生量，从源头上减少水土流失量。</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2）建筑材料堆放时，要给予必要的覆盖防护，以减少降雨冲淋及水土流失量；对于施工过程中产生的需较长时间堆放的土石，在施工</w:t>
            </w:r>
            <w:r>
              <w:rPr>
                <w:rFonts w:hint="eastAsia" w:cs="Times New Roman"/>
                <w:color w:val="auto"/>
                <w:sz w:val="24"/>
                <w:szCs w:val="24"/>
                <w:u w:val="none"/>
                <w:lang w:val="en-US" w:eastAsia="zh-CN"/>
              </w:rPr>
              <w:t>营地</w:t>
            </w:r>
            <w:r>
              <w:rPr>
                <w:rFonts w:hint="eastAsia" w:ascii="Times New Roman" w:hAnsi="Times New Roman" w:eastAsia="宋体" w:cs="Times New Roman"/>
                <w:color w:val="auto"/>
                <w:sz w:val="24"/>
                <w:szCs w:val="24"/>
                <w:u w:val="none"/>
                <w:lang w:val="en-US" w:eastAsia="zh-CN"/>
              </w:rPr>
              <w:t>内设置临时堆场集中暂存，雨季采取覆盖措施，防止水土流失，最后作为工程填方处置。</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3）对施工破坏区，施工完毕，要及时平整土地，并种植适宜的植物，通过乔、灌、草结合的方式，以防止发生新的土壤侵蚀。</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4）临时堆土场应设置围堰并加盖帆布，将水土流失尽量控制在项目区内进行防治，既有利于阻挡水、土外流，又有利于施工管理。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5）加强土石方移动过程中的临时处理措施，划定分块作业区，减少土石方运输，缩短地表扰动时间。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6）</w:t>
            </w:r>
            <w:r>
              <w:rPr>
                <w:rFonts w:hint="default" w:ascii="Times New Roman" w:hAnsi="Times New Roman" w:eastAsia="宋体" w:cs="Times New Roman"/>
                <w:color w:val="auto"/>
                <w:sz w:val="24"/>
                <w:szCs w:val="24"/>
                <w:u w:val="none"/>
                <w:lang w:val="en-US" w:eastAsia="zh-CN"/>
              </w:rPr>
              <w:t>本项目施工期选择在枯水期，施工期间将青山岛鱼塘对横岭湖的闸口关闭，严禁将扰动的废水排入横岭湖。</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w:t>
            </w:r>
            <w:r>
              <w:rPr>
                <w:rFonts w:hint="eastAsia" w:cs="Times New Roman"/>
                <w:b/>
                <w:bCs/>
                <w:color w:val="auto"/>
                <w:sz w:val="24"/>
                <w:szCs w:val="24"/>
                <w:u w:val="none"/>
                <w:lang w:val="en-US" w:eastAsia="zh-CN"/>
              </w:rPr>
              <w:t>2</w:t>
            </w:r>
            <w:r>
              <w:rPr>
                <w:rFonts w:hint="default" w:ascii="Times New Roman" w:hAnsi="Times New Roman" w:eastAsia="宋体" w:cs="Times New Roman"/>
                <w:b/>
                <w:bCs/>
                <w:color w:val="auto"/>
                <w:sz w:val="24"/>
                <w:szCs w:val="24"/>
                <w:u w:val="none"/>
                <w:lang w:val="en-US" w:eastAsia="zh-CN"/>
              </w:rPr>
              <w:t>）陆生生态保护措施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1）合理优化施工场地，严格控制施工作业范围，在施工区内设置警示牌，标明施工区，禁止施工人员进入非施工占地区域。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2）建议开工前开展科普知识讲座、法律法规宣传，提高施工人员的动物保护意识。加强施工人员环保意识的宣教工作，禁止施工人员破坏设计用地以外的植被。</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3）施工结束后主体施工单位对临时设施及废弃物全部清除干净，恢复临时堆场原貌。拆除过程中应采取洒水抑尘以减少粉尘对周边植被的影响；不喧哗、不暴力拆除以减少拆除噪声对周边动物的影响；拆除产生的建筑垃圾能回收的尽量回收利用，不能回收的运至市政部门指定地点处置。</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5）施工期间，以公告、发放宣传册等形式，对施工及管理人员加强宣传教育，树立良好的生态保护意识。建立严格管理制度，禁止施工人员超越施工红线在河湖内活动。</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6）土方开挖尽量避开雨季，施工道路应进行硬化，尽量减少水土流失。</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7）施工期应严格按照环评和施工设计要求，在施工要求的范围内施工，严禁在施工要求范围以外施工，不得乱占用土地，施工机械、土石不得乱停乱放，防止破坏植被，加剧水土流失。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u w:val="single"/>
                <w:lang w:val="en-US" w:eastAsia="zh-CN"/>
              </w:rPr>
            </w:pPr>
            <w:r>
              <w:rPr>
                <w:rFonts w:hint="eastAsia" w:cs="Times New Roman"/>
                <w:color w:val="FF0000"/>
                <w:sz w:val="24"/>
                <w:szCs w:val="24"/>
                <w:u w:val="single"/>
                <w:lang w:val="en-US" w:eastAsia="zh-CN"/>
              </w:rPr>
              <w:t>8）秋冬季施工期间，</w:t>
            </w:r>
            <w:r>
              <w:rPr>
                <w:rFonts w:hint="default" w:ascii="Times New Roman" w:hAnsi="Times New Roman" w:eastAsia="宋体" w:cs="Times New Roman"/>
                <w:color w:val="FF0000"/>
                <w:sz w:val="24"/>
                <w:szCs w:val="24"/>
                <w:u w:val="single"/>
                <w:lang w:val="en-US" w:eastAsia="zh-CN"/>
              </w:rPr>
              <w:t>施工时间为早7:00——晚7:00，禁止夜间作业。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FF0000"/>
                <w:sz w:val="24"/>
                <w:szCs w:val="24"/>
                <w:u w:val="single"/>
                <w:lang w:val="en-US" w:eastAsia="zh-CN"/>
              </w:rPr>
              <w:t>9）秋冬季施工期间，严格控制高噪声设备施工。</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w:t>
            </w:r>
            <w:r>
              <w:rPr>
                <w:rFonts w:hint="eastAsia" w:cs="Times New Roman"/>
                <w:b/>
                <w:bCs/>
                <w:color w:val="auto"/>
                <w:sz w:val="24"/>
                <w:szCs w:val="24"/>
                <w:u w:val="none"/>
                <w:lang w:val="en-US" w:eastAsia="zh-CN"/>
              </w:rPr>
              <w:t>3</w:t>
            </w:r>
            <w:r>
              <w:rPr>
                <w:rFonts w:hint="default" w:ascii="Times New Roman" w:hAnsi="Times New Roman" w:eastAsia="宋体" w:cs="Times New Roman"/>
                <w:b/>
                <w:bCs/>
                <w:color w:val="auto"/>
                <w:sz w:val="24"/>
                <w:szCs w:val="24"/>
                <w:u w:val="none"/>
                <w:lang w:val="en-US" w:eastAsia="zh-CN"/>
              </w:rPr>
              <w:t>）水生生态保护措施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1）合理选择施工时间，本项目施工期间应选择秋冬季枯水期施工；</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2）为避免施工机械对水生生物造成伤害，施工单位应优化施工工艺方案，控制施工作业污染物排放，抓紧施工进度，尽量缩短水上作业时间。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3）禁止施工期间的固废投入水中，以避免对底栖生物的生态环境造成影响。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4）对施工期间围堰废水经沉淀处理达标后</w:t>
            </w:r>
            <w:r>
              <w:rPr>
                <w:rFonts w:hint="default" w:ascii="Times New Roman" w:hAnsi="Times New Roman" w:eastAsia="宋体" w:cs="Times New Roman"/>
                <w:color w:val="FF0000"/>
                <w:sz w:val="24"/>
                <w:u w:val="single"/>
                <w:lang w:eastAsia="zh-CN"/>
              </w:rPr>
              <w:t>回用于</w:t>
            </w:r>
            <w:r>
              <w:rPr>
                <w:rFonts w:hint="eastAsia" w:cs="Times New Roman"/>
                <w:color w:val="FF0000"/>
                <w:sz w:val="24"/>
                <w:u w:val="single"/>
                <w:lang w:val="en-US" w:eastAsia="zh-CN"/>
              </w:rPr>
              <w:t>运输车辆的清洗</w:t>
            </w:r>
            <w:r>
              <w:rPr>
                <w:rFonts w:hint="eastAsia" w:cs="Times New Roman"/>
                <w:color w:val="auto"/>
                <w:sz w:val="24"/>
                <w:szCs w:val="24"/>
                <w:u w:val="none"/>
                <w:lang w:val="en-US" w:eastAsia="zh-CN"/>
              </w:rPr>
              <w:t>，不得外排</w:t>
            </w:r>
            <w:r>
              <w:rPr>
                <w:rFonts w:hint="default" w:ascii="Times New Roman" w:hAnsi="Times New Roman" w:eastAsia="宋体" w:cs="Times New Roman"/>
                <w:color w:val="auto"/>
                <w:sz w:val="24"/>
                <w:szCs w:val="24"/>
                <w:u w:val="none"/>
                <w:lang w:val="en-US" w:eastAsia="zh-CN"/>
              </w:rPr>
              <w:t>，防止污水进入土壤或被动物觅食，维护施工区域以外的生态环境不受破坏。</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w:t>
            </w:r>
            <w:r>
              <w:rPr>
                <w:rFonts w:hint="eastAsia" w:cs="Times New Roman"/>
                <w:b/>
                <w:bCs/>
                <w:color w:val="auto"/>
                <w:sz w:val="24"/>
                <w:szCs w:val="24"/>
                <w:u w:val="none"/>
                <w:lang w:val="en-US" w:eastAsia="zh-CN"/>
              </w:rPr>
              <w:t>4</w:t>
            </w:r>
            <w:r>
              <w:rPr>
                <w:rFonts w:hint="default" w:ascii="Times New Roman" w:hAnsi="Times New Roman" w:eastAsia="宋体" w:cs="Times New Roman"/>
                <w:b/>
                <w:bCs/>
                <w:color w:val="auto"/>
                <w:sz w:val="24"/>
                <w:szCs w:val="24"/>
                <w:u w:val="none"/>
                <w:lang w:val="en-US" w:eastAsia="zh-CN"/>
              </w:rPr>
              <w:t>）生态恢复措施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1）临时表土堆放在各施工场地附近，施工结束后覆盖景观绿化区，用于绿化表土。为避免雨季与大风季节表土发生严重的水土流失危害，剥离的表土堆放场必须采取临时防护措施，例如堆放场四周用编织袋装土堆砌，并先用密且网及时遮盖，用袋装土压护等。</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2）在工程完成期，施工单位应将地表的临时建筑全部拆除，拆除产生的废弃物集中运至指定的堆放地，对场地内的临时用地经土地平整及翻松后，应加以整治、改造，并进行及时复垦、绿化，恢复原地貌。</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3）对占用植被恢复，在“适地种植”的原则下，选择当地优良的乡土树种草种为主，适当引进新的优良树种草种，保证绿化栽植的成活率，把剥离的表层熟土回填至周围的植被恢复区内，用作临时用地的植被恢复。</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二、水环境保护措施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lang w:eastAsia="zh-CN"/>
              </w:rPr>
              <w:t>工程施工期间，施工单位应严格执行《建设工程施工场地文明施工及环境管理暂行规定》，对排水进行组织设计，严禁废水乱排、乱流，污染环境。</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val="en-US" w:eastAsia="zh-CN"/>
              </w:rPr>
              <w:t>2）</w:t>
            </w:r>
            <w:r>
              <w:rPr>
                <w:rFonts w:hint="default" w:ascii="Times New Roman" w:hAnsi="Times New Roman" w:eastAsia="宋体" w:cs="Times New Roman"/>
                <w:color w:val="auto"/>
                <w:sz w:val="24"/>
                <w:szCs w:val="24"/>
                <w:u w:val="none"/>
                <w:lang w:eastAsia="zh-CN"/>
              </w:rPr>
              <w:t>施工单位对施工场地用水应严格管理，贯彻“一水多用、重复利用、节约用水”的原则，尽量减少废水的排放量，减轻废水排放对周围环境的影响。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val="en-US" w:eastAsia="zh-CN"/>
              </w:rPr>
              <w:t>3）</w:t>
            </w:r>
            <w:r>
              <w:rPr>
                <w:rFonts w:hint="default" w:ascii="Times New Roman" w:hAnsi="Times New Roman" w:eastAsia="宋体" w:cs="Times New Roman"/>
                <w:color w:val="auto"/>
                <w:sz w:val="24"/>
                <w:szCs w:val="24"/>
                <w:u w:val="none"/>
                <w:lang w:eastAsia="zh-CN"/>
              </w:rPr>
              <w:t>加强施工机械设备的维修保养，避免在施工过程中燃料油的跑、冒、滴、漏。</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val="en-US" w:eastAsia="zh-CN"/>
              </w:rPr>
              <w:t>4）</w:t>
            </w:r>
            <w:r>
              <w:rPr>
                <w:rFonts w:hint="default" w:ascii="Times New Roman" w:hAnsi="Times New Roman" w:eastAsia="宋体" w:cs="Times New Roman"/>
                <w:color w:val="auto"/>
                <w:sz w:val="24"/>
                <w:szCs w:val="24"/>
                <w:u w:val="none"/>
                <w:lang w:eastAsia="zh-CN"/>
              </w:rPr>
              <w:t>施工期间施工机械的冲洗将产生少量含油废水经隔油沉淀池收集处理后回用于酒水抑尘。</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5</w:t>
            </w:r>
            <w:r>
              <w:rPr>
                <w:rFonts w:hint="default" w:ascii="Times New Roman" w:hAnsi="Times New Roman" w:eastAsia="宋体" w:cs="Times New Roman"/>
                <w:color w:val="auto"/>
                <w:sz w:val="24"/>
                <w:szCs w:val="24"/>
                <w:u w:val="none"/>
                <w:lang w:val="en-US" w:eastAsia="zh-CN"/>
              </w:rPr>
              <w:t>）</w:t>
            </w:r>
            <w:r>
              <w:rPr>
                <w:rFonts w:hint="default" w:ascii="Times New Roman" w:hAnsi="Times New Roman" w:eastAsia="宋体" w:cs="Times New Roman"/>
                <w:color w:val="auto"/>
                <w:sz w:val="24"/>
                <w:szCs w:val="24"/>
                <w:u w:val="none"/>
              </w:rPr>
              <w:t>本项</w:t>
            </w:r>
            <w:r>
              <w:rPr>
                <w:rFonts w:hint="default" w:ascii="Times New Roman" w:hAnsi="Times New Roman" w:eastAsia="宋体" w:cs="Times New Roman"/>
                <w:color w:val="auto"/>
                <w:sz w:val="24"/>
                <w:szCs w:val="24"/>
                <w:u w:val="none"/>
                <w:lang w:eastAsia="zh-CN"/>
              </w:rPr>
              <w:t>目</w:t>
            </w:r>
            <w:r>
              <w:rPr>
                <w:rFonts w:hint="default" w:ascii="Times New Roman" w:hAnsi="Times New Roman" w:eastAsia="宋体" w:cs="Times New Roman"/>
                <w:color w:val="auto"/>
                <w:sz w:val="24"/>
                <w:szCs w:val="24"/>
                <w:u w:val="none"/>
              </w:rPr>
              <w:t>施工临时生活设施就近</w:t>
            </w:r>
            <w:r>
              <w:rPr>
                <w:rFonts w:hint="default" w:ascii="Times New Roman" w:hAnsi="Times New Roman" w:eastAsia="宋体" w:cs="Times New Roman"/>
                <w:color w:val="auto"/>
                <w:sz w:val="24"/>
                <w:szCs w:val="24"/>
                <w:u w:val="none"/>
                <w:lang w:val="en-US" w:eastAsia="zh-CN"/>
              </w:rPr>
              <w:t>施工营地</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经</w:t>
            </w:r>
            <w:r>
              <w:rPr>
                <w:rFonts w:hint="default" w:ascii="Times New Roman" w:hAnsi="Times New Roman" w:eastAsia="宋体" w:cs="Times New Roman"/>
                <w:color w:val="auto"/>
                <w:sz w:val="24"/>
                <w:szCs w:val="24"/>
                <w:u w:val="none"/>
                <w:lang w:val="en-US" w:eastAsia="zh-CN"/>
              </w:rPr>
              <w:t>施工营地</w:t>
            </w:r>
            <w:r>
              <w:rPr>
                <w:rFonts w:hint="default" w:ascii="Times New Roman" w:hAnsi="Times New Roman" w:eastAsia="宋体" w:cs="Times New Roman"/>
                <w:color w:val="auto"/>
                <w:sz w:val="24"/>
                <w:szCs w:val="24"/>
                <w:u w:val="none"/>
              </w:rPr>
              <w:t>化粪池处理</w:t>
            </w:r>
            <w:r>
              <w:rPr>
                <w:rFonts w:hint="eastAsia" w:cs="Times New Roman"/>
                <w:color w:val="auto"/>
                <w:sz w:val="24"/>
                <w:szCs w:val="24"/>
                <w:u w:val="none"/>
                <w:lang w:val="en-US" w:eastAsia="zh-CN"/>
              </w:rPr>
              <w:t>定期清掏，用于周边农肥</w:t>
            </w:r>
            <w:r>
              <w:rPr>
                <w:rFonts w:hint="default" w:ascii="Times New Roman" w:hAnsi="Times New Roman" w:eastAsia="宋体" w:cs="Times New Roman"/>
                <w:color w:val="auto"/>
                <w:sz w:val="24"/>
                <w:szCs w:val="24"/>
                <w:u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严格执行上述环保措施、加强施工期的环境管理下，本项目施工期间产生的废水对水环境的影响不大，因此，措施可行</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三、大气环境保护措施</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1、施工扬尘防治措施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1）施工现场配备洒水车，对工地上车辆行驶频繁的路面和施工场地经常洒水，保持地面有一定的湿度，减少扬尘。</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2）在堆场等施工粉尘重点产生区域周围设立简易隔离屏，使之与外环境隔离，减少施工粉尘对空气环境的不利影响。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3）施工期间边界应设置高度2.5m以上的围挡，围挡底端防溢流，对于特殊地点无法设置围栏围挡的，应设置警示牌。</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4）施工工程中产生的弃土、弃料等应按照要求及时清运。若在土地内堆置超过一周的，则应覆盖防尘布、防尘网，并定期喷水压尘。</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5）：严格执行“六个100%”：各工地必须100%高标准围挡；工地场内裸露的场地和建筑垃圾必须100%高标准覆盖；工地进出主要道路必须100%硬化且配齐清洗设施；渣土运输必须100%使用智能环保渣土运输车；工地作业车辆必须100%不得带泥上路；工地施工必须100%办理相关手续。规范做到“四个凡是”：凡是未办理审批手续的运输企业，一律不准从事建筑垃圾运输；凡是带泥上路的运输车辆，坚决严格执法；凡是从事建筑垃圾运输的车辆，未使用新型智能环保专用车辆的依规查处；凡是有超载、未覆盖或撒漏污染的行为，一律整治到位。有效实行“三个应当”：拆除建筑物或构筑物时，应当采用隔离、分段作业、择时施工、洒水抑尘、冲洗等有效降尘措施，并及时清理废弃物。市政道路施工在进行铣刨、切割等作业时，应当采取有效的防扬尘措施；灰土和无机料采用预拌进场，碾压过程中洒水降尘。暂不能开工的空置建设用地，建设单位应当对裸露地面进行覆盖；长时间空置的，进行绿化、铺装或者遮盖。切实认清“两个严禁”：建筑物内垃圾等施工弃物严禁凌空抛掷，采用容器或搭设专用封闭式垃圾道的方式及时清运。施工现场严禁焚烧各类废弃物，在场地内堆存的，采用密闭式防尘网遮盖。坚持落实“两个必须”：施工物料在规定区域内的施工现场，必须使用预拌制混凝土及预拌砂浆；现场搅拌混凝土或砂浆的场所，采取封闭、降尘、降噪措施。水泥和其他易飞扬的细颗粒建筑材料，必须密闭存放或采取覆盖等措施。</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2、燃油废气防治措施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1）施工机械及运输车辆应定期检修与保养，及时清洗，确保施工机械及运输车辆始终处于良好的工作状态，加强大型车辆和施工机械的管理，执行定期检查维护制度，对于发动机耗油多、效率低、排放尾气严重的车辆，应予以及时更新，定期检查维修，确保施工机械和车辆各项环保指标符合尾气排放要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2）配合有关部门搞好施工期间周围道路的交通组织，避免因施工而造成交通堵塞，减少因此而产生的怠速废气排放。</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3、恶臭防治措施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1）施工</w:t>
            </w:r>
            <w:r>
              <w:rPr>
                <w:rFonts w:hint="default" w:ascii="Times New Roman" w:hAnsi="Times New Roman" w:eastAsia="宋体" w:cs="Times New Roman"/>
                <w:color w:val="auto"/>
                <w:sz w:val="24"/>
                <w:szCs w:val="24"/>
                <w:u w:val="none"/>
              </w:rPr>
              <w:t>季节</w:t>
            </w:r>
            <w:r>
              <w:rPr>
                <w:rFonts w:hint="default" w:ascii="Times New Roman" w:hAnsi="Times New Roman" w:eastAsia="宋体" w:cs="Times New Roman"/>
                <w:color w:val="auto"/>
                <w:sz w:val="24"/>
                <w:szCs w:val="24"/>
                <w:u w:val="none"/>
                <w:lang w:eastAsia="zh-CN"/>
              </w:rPr>
              <w:t>应尽量</w:t>
            </w:r>
            <w:r>
              <w:rPr>
                <w:rFonts w:hint="default" w:ascii="Times New Roman" w:hAnsi="Times New Roman" w:eastAsia="宋体" w:cs="Times New Roman"/>
                <w:color w:val="auto"/>
                <w:sz w:val="24"/>
                <w:szCs w:val="24"/>
                <w:u w:val="none"/>
              </w:rPr>
              <w:t>选在枯水期，</w:t>
            </w:r>
            <w:r>
              <w:rPr>
                <w:rFonts w:hint="default" w:ascii="Times New Roman" w:hAnsi="Times New Roman" w:eastAsia="宋体" w:cs="Times New Roman"/>
                <w:color w:val="auto"/>
                <w:sz w:val="24"/>
                <w:szCs w:val="24"/>
                <w:u w:val="none"/>
                <w:lang w:val="en-US" w:eastAsia="zh-CN"/>
              </w:rPr>
              <w:t>枯水期恶臭</w:t>
            </w:r>
            <w:r>
              <w:rPr>
                <w:rFonts w:hint="default" w:ascii="Times New Roman" w:hAnsi="Times New Roman" w:eastAsia="宋体" w:cs="Times New Roman"/>
                <w:color w:val="auto"/>
                <w:sz w:val="24"/>
                <w:szCs w:val="24"/>
                <w:u w:val="none"/>
              </w:rPr>
              <w:t>的气味不易发散，可以减轻臭气对周围居民的影响。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val="en-US" w:eastAsia="zh-CN"/>
              </w:rPr>
              <w:t>2）施工</w:t>
            </w:r>
            <w:r>
              <w:rPr>
                <w:rFonts w:hint="default" w:ascii="Times New Roman" w:hAnsi="Times New Roman" w:eastAsia="宋体" w:cs="Times New Roman"/>
                <w:color w:val="auto"/>
                <w:sz w:val="24"/>
                <w:szCs w:val="24"/>
                <w:u w:val="none"/>
              </w:rPr>
              <w:t>过程中，为减少少量臭气的排放，在施工场地周围建设围栏，高度一般为2.5~3m</w:t>
            </w:r>
            <w:r>
              <w:rPr>
                <w:rFonts w:hint="default" w:ascii="Times New Roman" w:hAnsi="Times New Roman" w:eastAsia="宋体" w:cs="Times New Roman"/>
                <w:color w:val="auto"/>
                <w:sz w:val="24"/>
                <w:szCs w:val="24"/>
                <w:u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val="en-US" w:eastAsia="zh-CN"/>
              </w:rPr>
              <w:t>3）项目产生</w:t>
            </w:r>
            <w:r>
              <w:rPr>
                <w:rFonts w:hint="default" w:ascii="Times New Roman" w:hAnsi="Times New Roman" w:eastAsia="宋体" w:cs="Times New Roman"/>
                <w:color w:val="auto"/>
                <w:sz w:val="24"/>
                <w:szCs w:val="24"/>
                <w:u w:val="none"/>
              </w:rPr>
              <w:t>的底泥、垃圾及时清运。</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val="en-US" w:eastAsia="zh-CN"/>
              </w:rPr>
              <w:t>4）</w:t>
            </w:r>
            <w:r>
              <w:rPr>
                <w:rFonts w:hint="default" w:ascii="Times New Roman" w:hAnsi="Times New Roman" w:eastAsia="宋体" w:cs="Times New Roman"/>
                <w:color w:val="auto"/>
                <w:sz w:val="24"/>
                <w:szCs w:val="24"/>
                <w:u w:val="none"/>
              </w:rPr>
              <w:t>对施工工人采取保护措施，如佩戴防护口罩、面具等。</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val="en-US" w:eastAsia="zh-CN"/>
              </w:rPr>
              <w:t>本项目在采取上述措施后能够在一定程度上减轻施工过程废气对周边环境、居民的影响，因此，措施可行。</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u w:val="none"/>
                <w:lang w:eastAsia="zh-CN"/>
              </w:rPr>
            </w:pPr>
            <w:r>
              <w:rPr>
                <w:rFonts w:hint="default" w:ascii="Times New Roman" w:hAnsi="Times New Roman" w:eastAsia="宋体" w:cs="Times New Roman"/>
                <w:b/>
                <w:bCs/>
                <w:color w:val="auto"/>
                <w:sz w:val="24"/>
                <w:szCs w:val="24"/>
                <w:u w:val="none"/>
                <w:lang w:val="en-US" w:eastAsia="zh-CN"/>
              </w:rPr>
              <w:t>四、</w:t>
            </w:r>
            <w:r>
              <w:rPr>
                <w:rFonts w:hint="default" w:ascii="Times New Roman" w:hAnsi="Times New Roman" w:eastAsia="宋体" w:cs="Times New Roman"/>
                <w:b/>
                <w:bCs/>
                <w:color w:val="auto"/>
                <w:sz w:val="24"/>
                <w:szCs w:val="24"/>
                <w:u w:val="none"/>
                <w:lang w:eastAsia="zh-CN"/>
              </w:rPr>
              <w:t>声环境保护措施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施工单位应严格控制高噪声机械设备的使用，采用先进的施工工艺，尽量采用低噪声的设备。加强对施工机械的维护保养，避免由于设备性能差而增大机械噪声的现象发生。运用</w:t>
            </w:r>
            <w:r>
              <w:rPr>
                <w:rFonts w:hint="default" w:ascii="Times New Roman" w:hAnsi="Times New Roman" w:eastAsia="宋体" w:cs="Times New Roman"/>
                <w:color w:val="auto"/>
                <w:sz w:val="24"/>
                <w:szCs w:val="24"/>
                <w:u w:val="none"/>
                <w:lang w:eastAsia="zh-CN"/>
              </w:rPr>
              <w:t>减振</w:t>
            </w:r>
            <w:r>
              <w:rPr>
                <w:rFonts w:hint="default" w:ascii="Times New Roman" w:hAnsi="Times New Roman" w:eastAsia="宋体" w:cs="Times New Roman"/>
                <w:color w:val="auto"/>
                <w:sz w:val="24"/>
                <w:szCs w:val="24"/>
                <w:u w:val="none"/>
              </w:rPr>
              <w:t>等降噪技术，降低施工机械噪声。由于本项目施工期较短，施工噪声影响为暂时性，在</w:t>
            </w:r>
            <w:r>
              <w:rPr>
                <w:rFonts w:hint="default" w:ascii="Times New Roman" w:hAnsi="Times New Roman" w:eastAsia="宋体" w:cs="Times New Roman"/>
                <w:color w:val="auto"/>
                <w:sz w:val="24"/>
                <w:szCs w:val="24"/>
                <w:u w:val="none"/>
                <w:lang w:eastAsia="zh-CN"/>
              </w:rPr>
              <w:t>临近</w:t>
            </w:r>
            <w:r>
              <w:rPr>
                <w:rFonts w:hint="default" w:ascii="Times New Roman" w:hAnsi="Times New Roman" w:eastAsia="宋体" w:cs="Times New Roman"/>
                <w:color w:val="auto"/>
                <w:sz w:val="24"/>
                <w:szCs w:val="24"/>
                <w:u w:val="none"/>
              </w:rPr>
              <w:t>周边居住区一侧应设挡板，减少噪声对居住区的影响。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val="en-US" w:eastAsia="zh-CN"/>
              </w:rPr>
              <w:t>2）</w:t>
            </w:r>
            <w:r>
              <w:rPr>
                <w:rFonts w:hint="default" w:ascii="Times New Roman" w:hAnsi="Times New Roman" w:eastAsia="宋体" w:cs="Times New Roman"/>
                <w:color w:val="auto"/>
                <w:sz w:val="24"/>
                <w:szCs w:val="24"/>
                <w:u w:val="none"/>
              </w:rPr>
              <w:t>对施工现场进行合理布局，将现场固定噪声、振动源相对集中，缩小噪声振动干扰范围；合理安排施工时间，制订施工计划时，应尽可能避免大量的高噪声设备同时施工，以减少噪声的叠加效应。</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val="en-US" w:eastAsia="zh-CN"/>
              </w:rPr>
              <w:t>3）</w:t>
            </w:r>
            <w:r>
              <w:rPr>
                <w:rFonts w:hint="default" w:ascii="Times New Roman" w:hAnsi="Times New Roman" w:eastAsia="宋体" w:cs="Times New Roman"/>
                <w:color w:val="auto"/>
                <w:sz w:val="24"/>
                <w:szCs w:val="24"/>
                <w:u w:val="none"/>
              </w:rPr>
              <w:t>由于施工机械噪声夜间影响严重，应禁止夜间施工。</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val="en-US" w:eastAsia="zh-CN"/>
              </w:rPr>
              <w:t>4）应注意合理安排施工物料的运输路线、时间；在附近有居民点、学校等敏感点的路段，应减速慢行、禁止鸣笛</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rPr>
              <w:t>通过采取上述措施</w:t>
            </w:r>
            <w:r>
              <w:rPr>
                <w:rFonts w:hint="default" w:ascii="Times New Roman" w:hAnsi="Times New Roman" w:eastAsia="宋体" w:cs="Times New Roman"/>
                <w:color w:val="auto"/>
                <w:sz w:val="24"/>
                <w:szCs w:val="24"/>
                <w:u w:val="none"/>
                <w:lang w:eastAsia="zh-CN"/>
              </w:rPr>
              <w:t>后</w:t>
            </w:r>
            <w:r>
              <w:rPr>
                <w:rFonts w:hint="default" w:ascii="Times New Roman" w:hAnsi="Times New Roman" w:eastAsia="宋体" w:cs="Times New Roman"/>
                <w:color w:val="auto"/>
                <w:sz w:val="24"/>
                <w:szCs w:val="24"/>
                <w:u w:val="none"/>
              </w:rPr>
              <w:t>，施工场界噪声的排放满足《建筑施工场界环境噪声排放标准》（GB12523-2011）的要求，对周边声环境影响较小。且施工期的噪声具有无规则、强度大的特点，对于某一时段、某一区域的暂时性突出。施工期某一区域居民影响时段都很短，且随着施工活动的结束，施工噪声也就随之结束</w:t>
            </w:r>
            <w:r>
              <w:rPr>
                <w:rFonts w:hint="default" w:ascii="Times New Roman" w:hAnsi="Times New Roman" w:eastAsia="宋体" w:cs="Times New Roman"/>
                <w:color w:val="auto"/>
                <w:sz w:val="24"/>
                <w:szCs w:val="24"/>
                <w:u w:val="none"/>
                <w:lang w:eastAsia="zh-CN"/>
              </w:rPr>
              <w:t>，因此本项目施工噪声对居民影响较小</w:t>
            </w:r>
            <w:r>
              <w:rPr>
                <w:rFonts w:hint="default" w:ascii="Times New Roman" w:hAnsi="Times New Roman" w:eastAsia="宋体" w:cs="Times New Roman"/>
                <w:color w:val="auto"/>
                <w:sz w:val="24"/>
                <w:szCs w:val="24"/>
                <w:u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五、</w:t>
            </w:r>
            <w:r>
              <w:rPr>
                <w:rFonts w:hint="default" w:ascii="Times New Roman" w:hAnsi="Times New Roman" w:eastAsia="宋体" w:cs="Times New Roman"/>
                <w:b/>
                <w:bCs/>
                <w:color w:val="auto"/>
                <w:sz w:val="24"/>
                <w:szCs w:val="24"/>
                <w:u w:val="none"/>
                <w:lang w:val="en-US" w:eastAsia="zh-CN"/>
              </w:rPr>
              <w:t>固废处理及处置措施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val="en-US" w:eastAsia="zh-CN"/>
              </w:rPr>
              <w:t>1</w:t>
            </w:r>
            <w:r>
              <w:rPr>
                <w:rFonts w:hint="default" w:ascii="Times New Roman" w:hAnsi="Times New Roman" w:eastAsia="宋体" w:cs="Times New Roman"/>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对于</w:t>
            </w:r>
            <w:r>
              <w:rPr>
                <w:rFonts w:hint="default" w:ascii="Times New Roman" w:hAnsi="Times New Roman" w:eastAsia="宋体" w:cs="Times New Roman"/>
                <w:b w:val="0"/>
                <w:bCs w:val="0"/>
                <w:color w:val="auto"/>
                <w:sz w:val="24"/>
                <w:szCs w:val="24"/>
                <w:u w:val="none"/>
                <w:lang w:eastAsia="zh-CN"/>
              </w:rPr>
              <w:t>本</w:t>
            </w:r>
            <w:r>
              <w:rPr>
                <w:rFonts w:hint="default" w:ascii="Times New Roman" w:hAnsi="Times New Roman" w:eastAsia="宋体" w:cs="Times New Roman"/>
                <w:color w:val="auto"/>
                <w:sz w:val="24"/>
                <w:szCs w:val="24"/>
                <w:u w:val="none"/>
              </w:rPr>
              <w:t>项目拆除临时设施产生</w:t>
            </w:r>
            <w:r>
              <w:rPr>
                <w:rFonts w:hint="default" w:ascii="Times New Roman" w:hAnsi="Times New Roman" w:eastAsia="宋体" w:cs="Times New Roman"/>
                <w:color w:val="auto"/>
                <w:sz w:val="24"/>
                <w:szCs w:val="24"/>
                <w:u w:val="none"/>
                <w:lang w:eastAsia="zh-CN"/>
              </w:rPr>
              <w:t>的</w:t>
            </w:r>
            <w:r>
              <w:rPr>
                <w:rFonts w:hint="default" w:ascii="Times New Roman" w:hAnsi="Times New Roman" w:eastAsia="宋体" w:cs="Times New Roman"/>
                <w:color w:val="auto"/>
                <w:sz w:val="24"/>
                <w:szCs w:val="24"/>
                <w:u w:val="none"/>
              </w:rPr>
              <w:t>建筑垃圾</w:t>
            </w:r>
            <w:r>
              <w:rPr>
                <w:rFonts w:hint="default" w:ascii="Times New Roman" w:hAnsi="Times New Roman" w:eastAsia="宋体" w:cs="Times New Roman"/>
                <w:color w:val="auto"/>
                <w:sz w:val="24"/>
                <w:szCs w:val="24"/>
                <w:u w:val="none"/>
                <w:lang w:eastAsia="zh-CN"/>
              </w:rPr>
              <w:t>，及时联系有关部门清运，</w:t>
            </w:r>
            <w:r>
              <w:rPr>
                <w:rFonts w:hint="default" w:ascii="Times New Roman" w:hAnsi="Times New Roman" w:eastAsia="宋体" w:cs="Times New Roman"/>
                <w:color w:val="auto"/>
                <w:sz w:val="24"/>
                <w:szCs w:val="24"/>
                <w:u w:val="none"/>
              </w:rPr>
              <w:t>运至指定地点。</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val="en-US" w:eastAsia="zh-CN"/>
              </w:rPr>
              <w:t>2</w:t>
            </w:r>
            <w:r>
              <w:rPr>
                <w:rFonts w:hint="default" w:ascii="Times New Roman" w:hAnsi="Times New Roman" w:eastAsia="宋体" w:cs="Times New Roman"/>
                <w:color w:val="auto"/>
                <w:sz w:val="24"/>
                <w:szCs w:val="24"/>
                <w:u w:val="none"/>
                <w:lang w:val="en-US" w:eastAsia="zh-CN"/>
              </w:rPr>
              <w:t>）</w:t>
            </w:r>
            <w:r>
              <w:rPr>
                <w:rFonts w:hint="default" w:ascii="Times New Roman" w:hAnsi="Times New Roman" w:eastAsia="宋体" w:cs="Times New Roman"/>
                <w:color w:val="auto"/>
                <w:sz w:val="24"/>
                <w:szCs w:val="24"/>
                <w:u w:val="none"/>
              </w:rPr>
              <w:t>生活垃圾通过定点分类收集、贮存，及时交由当地环卫部门处置。</w:t>
            </w:r>
          </w:p>
          <w:p>
            <w:pPr>
              <w:pStyle w:val="19"/>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综上所述，本项目固体废物能够得到合理处置，治理措施可行。</w:t>
            </w:r>
          </w:p>
          <w:p>
            <w:pPr>
              <w:rPr>
                <w:rFonts w:hint="default" w:ascii="Times New Roman" w:hAnsi="Times New Roman" w:eastAsia="宋体" w:cs="Times New Roman"/>
                <w:color w:val="auto"/>
                <w:sz w:val="24"/>
                <w:szCs w:val="24"/>
                <w:u w:val="none"/>
                <w:lang w:val="en-US" w:eastAsia="zh-CN"/>
              </w:rPr>
            </w:pPr>
          </w:p>
          <w:p>
            <w:pPr>
              <w:rPr>
                <w:rFonts w:hint="default" w:ascii="Times New Roman" w:hAnsi="Times New Roman" w:eastAsia="宋体" w:cs="Times New Roman"/>
                <w:color w:val="auto"/>
                <w:sz w:val="24"/>
                <w:szCs w:val="24"/>
                <w:u w:val="none"/>
                <w:lang w:val="en-US" w:eastAsia="zh-CN"/>
              </w:rPr>
            </w:pPr>
          </w:p>
          <w:p>
            <w:pPr>
              <w:rPr>
                <w:rFonts w:hint="default" w:ascii="Times New Roman" w:hAnsi="Times New Roman" w:eastAsia="宋体" w:cs="Times New Roman"/>
                <w:color w:val="auto"/>
                <w:sz w:val="24"/>
                <w:szCs w:val="24"/>
                <w:u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520" w:firstLineChars="200"/>
              <w:jc w:val="left"/>
              <w:textAlignment w:val="auto"/>
              <w:rPr>
                <w:rFonts w:hint="default" w:ascii="Times New Roman" w:hAnsi="Times New Roman" w:eastAsia="宋体" w:cs="Times New Roman"/>
                <w:bCs/>
                <w:color w:val="auto"/>
                <w:spacing w:val="10"/>
                <w:sz w:val="24"/>
                <w:szCs w:val="24"/>
                <w:u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753" w:type="dxa"/>
            <w:noWrap w:val="0"/>
            <w:tcMar>
              <w:left w:w="28" w:type="dxa"/>
              <w:right w:w="28" w:type="dxa"/>
            </w:tcMar>
            <w:vAlign w:val="center"/>
          </w:tcPr>
          <w:p>
            <w:pPr>
              <w:adjustRightInd w:val="0"/>
              <w:snapToGrid w:val="0"/>
              <w:jc w:val="center"/>
              <w:rPr>
                <w:rFonts w:hint="default" w:ascii="Times New Roman" w:hAnsi="Times New Roman" w:eastAsia="宋体" w:cs="Times New Roman"/>
                <w:bCs/>
                <w:color w:val="auto"/>
                <w:spacing w:val="10"/>
                <w:szCs w:val="21"/>
                <w:u w:val="none"/>
              </w:rPr>
            </w:pPr>
            <w:r>
              <w:rPr>
                <w:rFonts w:hint="default" w:ascii="Times New Roman" w:hAnsi="Times New Roman" w:eastAsia="宋体" w:cs="Times New Roman"/>
                <w:bCs/>
                <w:color w:val="auto"/>
                <w:spacing w:val="10"/>
                <w:szCs w:val="21"/>
                <w:u w:val="none"/>
              </w:rPr>
              <w:t>运营期生态环境保护措施</w:t>
            </w:r>
          </w:p>
        </w:tc>
        <w:tc>
          <w:tcPr>
            <w:tcW w:w="8457" w:type="dxa"/>
            <w:noWrap w:val="0"/>
            <w:vAlign w:val="top"/>
          </w:tcPr>
          <w:p>
            <w:pPr>
              <w:spacing w:line="360" w:lineRule="auto"/>
              <w:ind w:firstLine="482" w:firstLineChars="200"/>
              <w:jc w:val="left"/>
              <w:rPr>
                <w:rFonts w:hint="default" w:ascii="Times New Roman" w:hAnsi="Times New Roman" w:eastAsia="宋体" w:cs="Times New Roman"/>
                <w:b/>
                <w:bCs/>
                <w:color w:val="auto"/>
                <w:sz w:val="24"/>
                <w:u w:val="none"/>
              </w:rPr>
            </w:pPr>
            <w:r>
              <w:rPr>
                <w:rFonts w:hint="default" w:ascii="Times New Roman" w:hAnsi="Times New Roman" w:eastAsia="宋体" w:cs="Times New Roman"/>
                <w:b/>
                <w:bCs/>
                <w:color w:val="auto"/>
                <w:sz w:val="24"/>
                <w:u w:val="none"/>
              </w:rPr>
              <w:t>1、</w:t>
            </w:r>
            <w:r>
              <w:rPr>
                <w:rFonts w:hint="default" w:ascii="Times New Roman" w:hAnsi="Times New Roman" w:eastAsia="宋体" w:cs="Times New Roman"/>
                <w:b/>
                <w:bCs/>
                <w:color w:val="auto"/>
                <w:sz w:val="24"/>
                <w:u w:val="none"/>
                <w:lang w:val="en-US" w:eastAsia="zh-CN"/>
              </w:rPr>
              <w:t>大气污染防治措施</w:t>
            </w:r>
          </w:p>
          <w:p>
            <w:pPr>
              <w:spacing w:line="360" w:lineRule="auto"/>
              <w:ind w:firstLine="480" w:firstLineChars="200"/>
              <w:jc w:val="left"/>
              <w:rPr>
                <w:rFonts w:hint="default" w:ascii="Times New Roman" w:hAnsi="Times New Roman" w:eastAsia="宋体" w:cs="Times New Roman"/>
                <w:b w:val="0"/>
                <w:bCs w:val="0"/>
                <w:color w:val="auto"/>
                <w:sz w:val="24"/>
                <w:u w:val="none"/>
              </w:rPr>
            </w:pPr>
            <w:r>
              <w:rPr>
                <w:rFonts w:hint="default" w:ascii="Times New Roman" w:hAnsi="Times New Roman" w:eastAsia="宋体" w:cs="Times New Roman"/>
                <w:b w:val="0"/>
                <w:bCs w:val="0"/>
                <w:color w:val="auto"/>
                <w:sz w:val="24"/>
                <w:u w:val="none"/>
                <w:lang w:val="en-US" w:eastAsia="zh-CN"/>
              </w:rPr>
              <w:t>运营期大气污染来源为恶臭污染物，其主要污染物为H</w:t>
            </w:r>
            <w:r>
              <w:rPr>
                <w:rFonts w:hint="default" w:ascii="Times New Roman" w:hAnsi="Times New Roman" w:eastAsia="宋体" w:cs="Times New Roman"/>
                <w:b w:val="0"/>
                <w:bCs w:val="0"/>
                <w:color w:val="auto"/>
                <w:sz w:val="24"/>
                <w:u w:val="none"/>
                <w:vertAlign w:val="subscript"/>
                <w:lang w:val="en-US" w:eastAsia="zh-CN"/>
              </w:rPr>
              <w:t>2</w:t>
            </w:r>
            <w:r>
              <w:rPr>
                <w:rFonts w:hint="default" w:ascii="Times New Roman" w:hAnsi="Times New Roman" w:eastAsia="宋体" w:cs="Times New Roman"/>
                <w:b w:val="0"/>
                <w:bCs w:val="0"/>
                <w:color w:val="auto"/>
                <w:sz w:val="24"/>
                <w:u w:val="none"/>
                <w:lang w:val="en-US" w:eastAsia="zh-CN"/>
              </w:rPr>
              <w:t>S和NH</w:t>
            </w:r>
            <w:r>
              <w:rPr>
                <w:rFonts w:hint="default" w:ascii="Times New Roman" w:hAnsi="Times New Roman" w:eastAsia="宋体" w:cs="Times New Roman"/>
                <w:b w:val="0"/>
                <w:bCs w:val="0"/>
                <w:color w:val="auto"/>
                <w:sz w:val="24"/>
                <w:u w:val="none"/>
                <w:vertAlign w:val="subscript"/>
                <w:lang w:val="en-US" w:eastAsia="zh-CN"/>
              </w:rPr>
              <w:t>3</w:t>
            </w:r>
            <w:r>
              <w:rPr>
                <w:rFonts w:hint="default" w:ascii="Times New Roman" w:hAnsi="Times New Roman" w:eastAsia="宋体" w:cs="Times New Roman"/>
                <w:b w:val="0"/>
                <w:bCs w:val="0"/>
                <w:color w:val="auto"/>
                <w:sz w:val="24"/>
                <w:u w:val="none"/>
                <w:lang w:val="en-US" w:eastAsia="zh-CN"/>
              </w:rPr>
              <w:t>-N，为进一步降恶臭气体对周围环境的影响，评价建议采取以下防治措施：</w:t>
            </w:r>
          </w:p>
          <w:p>
            <w:pPr>
              <w:spacing w:line="360" w:lineRule="auto"/>
              <w:ind w:firstLine="480" w:firstLineChars="200"/>
              <w:jc w:val="left"/>
              <w:rPr>
                <w:rFonts w:hint="default" w:ascii="Times New Roman" w:hAnsi="Times New Roman" w:eastAsia="宋体" w:cs="Times New Roman"/>
                <w:b w:val="0"/>
                <w:bCs w:val="0"/>
                <w:color w:val="auto"/>
                <w:sz w:val="24"/>
                <w:u w:val="none"/>
              </w:rPr>
            </w:pPr>
            <w:r>
              <w:rPr>
                <w:rFonts w:hint="default" w:ascii="Times New Roman" w:hAnsi="Times New Roman" w:eastAsia="宋体" w:cs="Times New Roman"/>
                <w:b w:val="0"/>
                <w:bCs w:val="0"/>
                <w:color w:val="auto"/>
                <w:sz w:val="24"/>
                <w:u w:val="none"/>
                <w:lang w:val="en-US" w:eastAsia="zh-CN"/>
              </w:rPr>
              <w:t>1）加强人工湿地的日常维护和管理，减少恶臭气体的排放；</w:t>
            </w:r>
          </w:p>
          <w:p>
            <w:pPr>
              <w:spacing w:line="360" w:lineRule="auto"/>
              <w:ind w:firstLine="480" w:firstLineChars="200"/>
              <w:jc w:val="left"/>
              <w:rPr>
                <w:rFonts w:hint="default" w:ascii="Times New Roman" w:hAnsi="Times New Roman" w:eastAsia="宋体" w:cs="Times New Roman"/>
                <w:b w:val="0"/>
                <w:bCs w:val="0"/>
                <w:color w:val="auto"/>
                <w:sz w:val="24"/>
                <w:u w:val="none"/>
                <w:lang w:val="en-US" w:eastAsia="zh-CN"/>
              </w:rPr>
            </w:pPr>
            <w:r>
              <w:rPr>
                <w:rFonts w:hint="default" w:ascii="Times New Roman" w:hAnsi="Times New Roman" w:eastAsia="宋体" w:cs="Times New Roman"/>
                <w:b w:val="0"/>
                <w:bCs w:val="0"/>
                <w:color w:val="auto"/>
                <w:sz w:val="24"/>
                <w:u w:val="none"/>
                <w:lang w:val="en-US" w:eastAsia="zh-CN"/>
              </w:rPr>
              <w:t>2）在春节和夏季季节加强人工适度巡视，是否有恶臭气体排放；</w:t>
            </w:r>
          </w:p>
          <w:p>
            <w:pPr>
              <w:spacing w:line="360" w:lineRule="auto"/>
              <w:ind w:firstLine="480" w:firstLineChars="200"/>
              <w:jc w:val="left"/>
              <w:rPr>
                <w:rFonts w:hint="default" w:ascii="Times New Roman" w:hAnsi="Times New Roman" w:eastAsia="宋体" w:cs="Times New Roman"/>
                <w:b w:val="0"/>
                <w:bCs w:val="0"/>
                <w:color w:val="auto"/>
                <w:sz w:val="24"/>
                <w:u w:val="none"/>
              </w:rPr>
            </w:pPr>
            <w:r>
              <w:rPr>
                <w:rFonts w:hint="default" w:ascii="Times New Roman" w:hAnsi="Times New Roman" w:eastAsia="宋体" w:cs="Times New Roman"/>
                <w:b w:val="0"/>
                <w:bCs w:val="0"/>
                <w:color w:val="auto"/>
                <w:sz w:val="24"/>
                <w:u w:val="none"/>
                <w:lang w:val="en-US" w:eastAsia="zh-CN"/>
              </w:rPr>
              <w:t>采取以上措施，同时考虑本项目建设完成后，湿地植物丰茂，将进一步对恶臭气体产生净化和吸附作用，本项目运营期恶臭气体对周围环境的影响较小。</w:t>
            </w:r>
          </w:p>
          <w:p>
            <w:pPr>
              <w:spacing w:line="360" w:lineRule="auto"/>
              <w:ind w:firstLine="482" w:firstLineChars="200"/>
              <w:jc w:val="left"/>
              <w:rPr>
                <w:rFonts w:hint="default" w:ascii="Times New Roman" w:hAnsi="Times New Roman" w:eastAsia="宋体" w:cs="Times New Roman"/>
                <w:b/>
                <w:bCs/>
                <w:color w:val="auto"/>
                <w:sz w:val="24"/>
                <w:u w:val="none"/>
              </w:rPr>
            </w:pPr>
            <w:r>
              <w:rPr>
                <w:rFonts w:hint="default" w:ascii="Times New Roman" w:hAnsi="Times New Roman" w:eastAsia="宋体" w:cs="Times New Roman"/>
                <w:b/>
                <w:bCs/>
                <w:color w:val="auto"/>
                <w:sz w:val="24"/>
                <w:u w:val="none"/>
                <w:lang w:val="en-US" w:eastAsia="zh-CN"/>
              </w:rPr>
              <w:t>2、</w:t>
            </w:r>
            <w:r>
              <w:rPr>
                <w:rFonts w:hint="default" w:ascii="Times New Roman" w:hAnsi="Times New Roman" w:eastAsia="宋体" w:cs="Times New Roman"/>
                <w:b/>
                <w:bCs/>
                <w:color w:val="auto"/>
                <w:sz w:val="24"/>
                <w:u w:val="none"/>
              </w:rPr>
              <w:t>水污染防治措施</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val="en-US" w:eastAsia="zh-CN"/>
              </w:rPr>
              <w:t>由于人工湿地系统是对污水处理厂尾水进一步的净化提升，因此人工湿地处理系统出水不会对区域水环境造成不利影响，而是有利于区域水环境的进一步改善。为防止湿地系统非正常运行导致湿地对河流水质稳定的作用下降，评价建议：</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val="en-US" w:eastAsia="zh-CN"/>
              </w:rPr>
              <w:t>（1）项目营运期间应采取严格的工作制度及管理措施，严防事故排污。</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val="en-US" w:eastAsia="zh-CN"/>
              </w:rPr>
              <w:t>（2）注重冬季对湿地运行采取强化措施，确保冬季人工湿地运行效率，如表流湿地采用逐级密植挺水植物的方式进行植物覆盖保温，潜流湿地则采用覆盖保温塑料地膜的方式进行人工外加保温等。</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val="en-US" w:eastAsia="zh-CN"/>
              </w:rPr>
              <w:t>（3）做好人工湿地的运营维护工作，合理及时收割湿地植物，维护湿地保持稳定的去除效率，确保出水水质达标排放。</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val="en-US" w:eastAsia="zh-CN"/>
              </w:rPr>
              <w:t>在采取上述评价建议措施的基础上，本项目运营期污水污染对环境的影响较小，技术措施可行。</w:t>
            </w:r>
          </w:p>
          <w:p>
            <w:pPr>
              <w:spacing w:line="360" w:lineRule="auto"/>
              <w:ind w:firstLine="482" w:firstLineChars="200"/>
              <w:jc w:val="left"/>
              <w:rPr>
                <w:rFonts w:hint="default" w:ascii="Times New Roman" w:hAnsi="Times New Roman" w:eastAsia="宋体" w:cs="Times New Roman"/>
                <w:b/>
                <w:bCs/>
                <w:color w:val="auto"/>
                <w:sz w:val="24"/>
                <w:u w:val="none"/>
              </w:rPr>
            </w:pPr>
            <w:r>
              <w:rPr>
                <w:rFonts w:hint="default" w:ascii="Times New Roman" w:hAnsi="Times New Roman" w:eastAsia="宋体" w:cs="Times New Roman"/>
                <w:b/>
                <w:bCs/>
                <w:color w:val="auto"/>
                <w:sz w:val="24"/>
                <w:u w:val="none"/>
              </w:rPr>
              <w:t>3、运营期噪声污染防治措施</w:t>
            </w:r>
          </w:p>
          <w:p>
            <w:pPr>
              <w:spacing w:line="360" w:lineRule="auto"/>
              <w:ind w:firstLine="504" w:firstLineChars="200"/>
              <w:rPr>
                <w:rFonts w:hint="default" w:ascii="Times New Roman" w:hAnsi="Times New Roman" w:eastAsia="宋体" w:cs="Times New Roman"/>
                <w:color w:val="auto"/>
                <w:spacing w:val="6"/>
                <w:sz w:val="24"/>
                <w:u w:val="none"/>
              </w:rPr>
            </w:pPr>
            <w:r>
              <w:rPr>
                <w:rFonts w:hint="default" w:ascii="Times New Roman" w:hAnsi="Times New Roman" w:eastAsia="宋体" w:cs="Times New Roman"/>
                <w:color w:val="auto"/>
                <w:spacing w:val="6"/>
                <w:sz w:val="24"/>
                <w:u w:val="none"/>
              </w:rPr>
              <w:t>本项目高噪声设备主要是泵类，其声源值为70dB（A）左右，高噪声设备噪声采用的防治措施主要为：对管道采用柔性连接，并进行基础减振，密闭厂房隔音，泵房内壁加装吸音材料等。通过对高噪声设备采取以上措施后，本项目四周厂界预测值均能满足《工业企业厂界环境噪声排放标准》（GB12348-2008）2类标准要求。</w:t>
            </w:r>
          </w:p>
          <w:p>
            <w:pPr>
              <w:spacing w:line="360" w:lineRule="auto"/>
              <w:ind w:firstLine="504" w:firstLineChars="200"/>
              <w:rPr>
                <w:rFonts w:hint="default" w:ascii="Times New Roman" w:hAnsi="Times New Roman" w:eastAsia="宋体" w:cs="Times New Roman"/>
                <w:color w:val="auto"/>
                <w:spacing w:val="6"/>
                <w:sz w:val="24"/>
                <w:u w:val="none"/>
              </w:rPr>
            </w:pPr>
            <w:r>
              <w:rPr>
                <w:rFonts w:hint="default" w:ascii="Times New Roman" w:hAnsi="Times New Roman" w:eastAsia="宋体" w:cs="Times New Roman"/>
                <w:color w:val="auto"/>
                <w:spacing w:val="6"/>
                <w:sz w:val="24"/>
                <w:u w:val="none"/>
              </w:rPr>
              <w:t>为尽量减小本项目对周围环境的影响，评价建议加强厂区噪声的防治工</w:t>
            </w:r>
          </w:p>
          <w:p>
            <w:pPr>
              <w:spacing w:line="360" w:lineRule="auto"/>
              <w:rPr>
                <w:rFonts w:hint="default" w:ascii="Times New Roman" w:hAnsi="Times New Roman" w:eastAsia="宋体" w:cs="Times New Roman"/>
                <w:color w:val="auto"/>
                <w:spacing w:val="6"/>
                <w:sz w:val="24"/>
                <w:u w:val="none"/>
              </w:rPr>
            </w:pPr>
            <w:r>
              <w:rPr>
                <w:rFonts w:hint="default" w:ascii="Times New Roman" w:hAnsi="Times New Roman" w:eastAsia="宋体" w:cs="Times New Roman"/>
                <w:color w:val="auto"/>
                <w:spacing w:val="6"/>
                <w:sz w:val="24"/>
                <w:u w:val="none"/>
              </w:rPr>
              <w:t>作，规范高噪声设备操作。经采取上述治理措施后，本项目运营期噪声对环境影响很小。</w:t>
            </w:r>
          </w:p>
          <w:p>
            <w:pPr>
              <w:spacing w:line="360" w:lineRule="auto"/>
              <w:ind w:firstLine="482" w:firstLineChars="200"/>
              <w:jc w:val="left"/>
              <w:rPr>
                <w:rFonts w:hint="default" w:ascii="Times New Roman" w:hAnsi="Times New Roman" w:eastAsia="宋体" w:cs="Times New Roman"/>
                <w:b/>
                <w:bCs/>
                <w:color w:val="auto"/>
                <w:sz w:val="24"/>
                <w:u w:val="none"/>
              </w:rPr>
            </w:pPr>
            <w:r>
              <w:rPr>
                <w:rFonts w:hint="default" w:ascii="Times New Roman" w:hAnsi="Times New Roman" w:eastAsia="宋体" w:cs="Times New Roman"/>
                <w:b/>
                <w:bCs/>
                <w:color w:val="auto"/>
                <w:sz w:val="24"/>
                <w:u w:val="none"/>
              </w:rPr>
              <w:t>4、固体废物污染防治措施</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项目运营期固体废物影响主要来自于收割植物及清的杂草等，湿地植物定期收割后交给市政环卫部门进行处理，清除的杂草由市政环卫部门清运。</w:t>
            </w:r>
          </w:p>
          <w:p>
            <w:pPr>
              <w:spacing w:line="360" w:lineRule="auto"/>
              <w:ind w:firstLine="482" w:firstLineChars="200"/>
              <w:jc w:val="left"/>
              <w:rPr>
                <w:rFonts w:hint="default" w:ascii="Times New Roman" w:hAnsi="Times New Roman" w:eastAsia="宋体" w:cs="Times New Roman"/>
                <w:b/>
                <w:bCs/>
                <w:color w:val="auto"/>
                <w:sz w:val="24"/>
                <w:u w:val="none"/>
                <w:lang w:eastAsia="zh-CN"/>
              </w:rPr>
            </w:pPr>
            <w:r>
              <w:rPr>
                <w:rFonts w:hint="default" w:ascii="Times New Roman" w:hAnsi="Times New Roman" w:eastAsia="宋体" w:cs="Times New Roman"/>
                <w:b/>
                <w:bCs/>
                <w:color w:val="auto"/>
                <w:sz w:val="24"/>
                <w:u w:val="none"/>
                <w:lang w:val="en-US" w:eastAsia="zh-CN"/>
              </w:rPr>
              <w:t>5</w:t>
            </w:r>
            <w:r>
              <w:rPr>
                <w:rFonts w:hint="default" w:ascii="Times New Roman" w:hAnsi="Times New Roman" w:eastAsia="宋体" w:cs="Times New Roman"/>
                <w:b/>
                <w:bCs/>
                <w:color w:val="auto"/>
                <w:sz w:val="24"/>
                <w:u w:val="none"/>
              </w:rPr>
              <w:t>、生态环境保护措施</w:t>
            </w:r>
          </w:p>
          <w:p>
            <w:pPr>
              <w:spacing w:line="360" w:lineRule="auto"/>
              <w:ind w:firstLine="480" w:firstLineChars="200"/>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rPr>
              <w:t>（1）本项目完工后，应尽快种植树木、草皮，恢复</w:t>
            </w:r>
            <w:r>
              <w:rPr>
                <w:rFonts w:hint="default" w:ascii="Times New Roman" w:hAnsi="Times New Roman" w:eastAsia="宋体" w:cs="Times New Roman"/>
                <w:color w:val="auto"/>
                <w:sz w:val="24"/>
                <w:u w:val="none"/>
                <w:lang w:val="en-US" w:eastAsia="zh-CN"/>
              </w:rPr>
              <w:t>临时占地的</w:t>
            </w:r>
            <w:r>
              <w:rPr>
                <w:rFonts w:hint="default" w:ascii="Times New Roman" w:hAnsi="Times New Roman" w:eastAsia="宋体" w:cs="Times New Roman"/>
                <w:color w:val="auto"/>
                <w:sz w:val="24"/>
                <w:u w:val="none"/>
              </w:rPr>
              <w:t>地表植被，加强绿化养护。</w:t>
            </w:r>
          </w:p>
          <w:p>
            <w:pPr>
              <w:spacing w:line="360" w:lineRule="auto"/>
              <w:ind w:firstLine="480" w:firstLineChars="200"/>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rPr>
              <w:t>（2）景观绿化和植被恢复选用乡土物种，优先选用适合当地土壤及气候条件的树种，严禁使用可能会造成生物入侵的外来种。</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（3）在物种选择上应该尽量以本土物种为主，并兼具有较高的经济价值和较强的水质改善能力。</w:t>
            </w:r>
          </w:p>
          <w:p>
            <w:pPr>
              <w:spacing w:line="360" w:lineRule="auto"/>
              <w:ind w:firstLine="482" w:firstLineChars="200"/>
              <w:jc w:val="left"/>
              <w:rPr>
                <w:rFonts w:hint="default" w:ascii="Times New Roman" w:hAnsi="Times New Roman" w:eastAsia="宋体" w:cs="Times New Roman"/>
                <w:b/>
                <w:bCs/>
                <w:color w:val="auto"/>
                <w:sz w:val="24"/>
                <w:u w:val="none"/>
              </w:rPr>
            </w:pPr>
            <w:r>
              <w:rPr>
                <w:rFonts w:hint="default" w:ascii="Times New Roman" w:hAnsi="Times New Roman" w:eastAsia="宋体" w:cs="Times New Roman"/>
                <w:b/>
                <w:bCs/>
                <w:color w:val="auto"/>
                <w:sz w:val="24"/>
                <w:u w:val="none"/>
                <w:lang w:val="en-US" w:eastAsia="zh-CN"/>
              </w:rPr>
              <w:t>6</w:t>
            </w:r>
            <w:r>
              <w:rPr>
                <w:rFonts w:hint="default" w:ascii="Times New Roman" w:hAnsi="Times New Roman" w:eastAsia="宋体" w:cs="Times New Roman"/>
                <w:b/>
                <w:bCs/>
                <w:color w:val="auto"/>
                <w:sz w:val="24"/>
                <w:u w:val="none"/>
              </w:rPr>
              <w:t>、风险防范措施</w:t>
            </w:r>
          </w:p>
          <w:p>
            <w:pPr>
              <w:spacing w:line="360" w:lineRule="auto"/>
              <w:ind w:firstLine="480" w:firstLineChars="200"/>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rPr>
              <w:t>人工湿地系统属于人工强化的近自然生态系统，自身抗击外界水量水质冲击的能力较弱，考虑本项目建设厂址位于</w:t>
            </w:r>
            <w:r>
              <w:rPr>
                <w:rFonts w:hint="eastAsia" w:cs="Times New Roman"/>
                <w:color w:val="auto"/>
                <w:sz w:val="24"/>
                <w:u w:val="none"/>
                <w:lang w:val="en-US" w:eastAsia="zh-CN"/>
              </w:rPr>
              <w:t>横岭湖</w:t>
            </w:r>
            <w:r>
              <w:rPr>
                <w:rFonts w:hint="default" w:ascii="Times New Roman" w:hAnsi="Times New Roman" w:eastAsia="宋体" w:cs="Times New Roman"/>
                <w:color w:val="auto"/>
                <w:sz w:val="24"/>
                <w:u w:val="none"/>
              </w:rPr>
              <w:t>附近，本次风险需考虑极端水文条件（暴雨、洪水）对于湿地系统的冲击影响，以及人工湿地处理系统维护风险等方面</w:t>
            </w:r>
            <w:r>
              <w:rPr>
                <w:rFonts w:hint="default" w:ascii="Times New Roman" w:hAnsi="Times New Roman" w:eastAsia="宋体" w:cs="Times New Roman"/>
                <w:color w:val="auto"/>
                <w:sz w:val="24"/>
                <w:u w:val="none"/>
                <w:lang w:eastAsia="zh-CN"/>
              </w:rPr>
              <w:t>。</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1）预防极端水文条件（暴雨、洪水）冲击湿地系统措施</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本项且建成运行后，因降雨量过大会造成人工湿地处理系统进水量显著增大，对湿地处理系统形成洪峰冲击，甚至造成湿地系统全部淹没，因此评价建议在厂区湿地出水口末端设置事故强制排水泵，并在湿地进水端安装截止水闸，避免降雨量过大时</w:t>
            </w:r>
            <w:r>
              <w:rPr>
                <w:rFonts w:hint="eastAsia" w:cs="Times New Roman"/>
                <w:color w:val="auto"/>
                <w:sz w:val="24"/>
                <w:u w:val="none"/>
                <w:lang w:val="en-US" w:eastAsia="zh-CN"/>
              </w:rPr>
              <w:t>雨水</w:t>
            </w:r>
            <w:r>
              <w:rPr>
                <w:rFonts w:hint="default" w:ascii="Times New Roman" w:hAnsi="Times New Roman" w:eastAsia="宋体" w:cs="Times New Roman"/>
                <w:color w:val="auto"/>
                <w:sz w:val="24"/>
                <w:u w:val="none"/>
              </w:rPr>
              <w:t>对人工湿地处理系统的冲击，保障雨季时人工湿地安全运行。</w:t>
            </w:r>
          </w:p>
          <w:p>
            <w:pPr>
              <w:spacing w:line="360" w:lineRule="auto"/>
              <w:ind w:firstLine="480" w:firstLineChars="200"/>
              <w:rPr>
                <w:rFonts w:hint="default" w:ascii="Times New Roman" w:hAnsi="Times New Roman" w:eastAsia="宋体" w:cs="Times New Roman"/>
                <w:bCs/>
                <w:color w:val="auto"/>
                <w:sz w:val="24"/>
                <w:u w:val="none"/>
              </w:rPr>
            </w:pPr>
            <w:r>
              <w:rPr>
                <w:rFonts w:hint="default" w:ascii="Times New Roman" w:hAnsi="Times New Roman" w:eastAsia="宋体" w:cs="Times New Roman"/>
                <w:bCs/>
                <w:color w:val="auto"/>
                <w:sz w:val="24"/>
                <w:u w:val="none"/>
              </w:rPr>
              <w:t>2）湿地多系统运行风险运行措施</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工程设计时人工湿地处理系统均采用多套并联处理系统，且主要设备均有备用，工程因设备故障出现处理系统停运事故的可能性较小，在对处理系统的设备维修或对处理系统进行维护时，可采取多套并联处理系统交替维护，同时注意及时抢修缩短维护时间，以最大限度地降低因系统维护造成的湿地停运风险;同时还建立生产设施运行状况、设施维护等的登记制度，保障人工湿地的正常运行及出水水质运行</w:t>
            </w:r>
          </w:p>
          <w:p>
            <w:pPr>
              <w:spacing w:line="360" w:lineRule="auto"/>
              <w:ind w:firstLine="480" w:firstLineChars="200"/>
              <w:rPr>
                <w:rFonts w:hint="default" w:ascii="Times New Roman" w:hAnsi="Times New Roman" w:eastAsia="宋体" w:cs="Times New Roman"/>
                <w:bCs/>
                <w:color w:val="auto"/>
                <w:sz w:val="24"/>
                <w:u w:val="none"/>
              </w:rPr>
            </w:pPr>
            <w:r>
              <w:rPr>
                <w:rFonts w:hint="default" w:ascii="Times New Roman" w:hAnsi="Times New Roman" w:eastAsia="宋体" w:cs="Times New Roman"/>
                <w:bCs/>
                <w:color w:val="auto"/>
                <w:sz w:val="24"/>
                <w:u w:val="none"/>
              </w:rPr>
              <w:t>3）</w:t>
            </w:r>
            <w:r>
              <w:rPr>
                <w:rFonts w:hint="default" w:ascii="Times New Roman" w:hAnsi="Times New Roman" w:eastAsia="宋体" w:cs="Times New Roman"/>
                <w:bCs/>
                <w:color w:val="auto"/>
                <w:sz w:val="24"/>
                <w:u w:val="none"/>
                <w:lang w:eastAsia="zh-CN"/>
              </w:rPr>
              <w:t>预</w:t>
            </w:r>
            <w:r>
              <w:rPr>
                <w:rFonts w:hint="default" w:ascii="Times New Roman" w:hAnsi="Times New Roman" w:eastAsia="宋体" w:cs="Times New Roman"/>
                <w:bCs/>
                <w:color w:val="auto"/>
                <w:sz w:val="24"/>
                <w:u w:val="none"/>
              </w:rPr>
              <w:t>防地表径流及生活污水汇入措施</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雨天湿地处理区域内汇集的雨水可以经过湿地溢流口排入</w:t>
            </w:r>
            <w:r>
              <w:rPr>
                <w:rFonts w:hint="eastAsia" w:cs="Times New Roman"/>
                <w:color w:val="auto"/>
                <w:sz w:val="24"/>
                <w:u w:val="none"/>
                <w:lang w:val="en-US" w:eastAsia="zh-CN"/>
              </w:rPr>
              <w:t>横岭湖</w:t>
            </w:r>
            <w:r>
              <w:rPr>
                <w:rFonts w:hint="default" w:ascii="Times New Roman" w:hAnsi="Times New Roman" w:eastAsia="宋体" w:cs="Times New Roman"/>
                <w:color w:val="auto"/>
                <w:sz w:val="24"/>
                <w:u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53" w:type="dxa"/>
            <w:noWrap w:val="0"/>
            <w:vAlign w:val="center"/>
          </w:tcPr>
          <w:p>
            <w:pPr>
              <w:adjustRightInd w:val="0"/>
              <w:snapToGrid w:val="0"/>
              <w:jc w:val="center"/>
              <w:rPr>
                <w:rFonts w:hint="default" w:ascii="Times New Roman" w:hAnsi="Times New Roman" w:eastAsia="宋体" w:cs="Times New Roman"/>
                <w:bCs/>
                <w:color w:val="auto"/>
                <w:spacing w:val="10"/>
                <w:szCs w:val="21"/>
                <w:u w:val="none"/>
              </w:rPr>
            </w:pPr>
            <w:r>
              <w:rPr>
                <w:rFonts w:hint="default" w:ascii="Times New Roman" w:hAnsi="Times New Roman" w:eastAsia="宋体" w:cs="Times New Roman"/>
                <w:bCs/>
                <w:color w:val="auto"/>
                <w:szCs w:val="21"/>
                <w:u w:val="none"/>
              </w:rPr>
              <w:t>其他</w:t>
            </w:r>
          </w:p>
        </w:tc>
        <w:tc>
          <w:tcPr>
            <w:tcW w:w="8457" w:type="dxa"/>
            <w:noWrap w:val="0"/>
            <w:vAlign w:val="top"/>
          </w:tcPr>
          <w:p>
            <w:pPr>
              <w:adjustRightInd w:val="0"/>
              <w:snapToGrid w:val="0"/>
              <w:spacing w:line="360" w:lineRule="auto"/>
              <w:ind w:firstLine="482" w:firstLineChars="200"/>
              <w:rPr>
                <w:rFonts w:hint="default" w:ascii="Times New Roman" w:hAnsi="Times New Roman" w:eastAsia="宋体" w:cs="Times New Roman"/>
                <w:b/>
                <w:color w:val="FF0000"/>
                <w:sz w:val="24"/>
                <w:u w:val="single"/>
                <w:lang w:val="en-US" w:eastAsia="zh-CN"/>
              </w:rPr>
            </w:pPr>
            <w:r>
              <w:rPr>
                <w:rFonts w:hint="eastAsia" w:cs="Times New Roman"/>
                <w:b/>
                <w:color w:val="FF0000"/>
                <w:sz w:val="24"/>
                <w:u w:val="single"/>
                <w:lang w:val="en-US" w:eastAsia="zh-CN"/>
              </w:rPr>
              <w:t>一、</w:t>
            </w:r>
            <w:r>
              <w:rPr>
                <w:rFonts w:hint="default" w:ascii="Times New Roman" w:hAnsi="Times New Roman" w:eastAsia="宋体" w:cs="Times New Roman"/>
                <w:b/>
                <w:color w:val="FF0000"/>
                <w:sz w:val="24"/>
                <w:u w:val="single"/>
              </w:rPr>
              <w:t>项目</w:t>
            </w:r>
            <w:r>
              <w:rPr>
                <w:rFonts w:hint="eastAsia" w:cs="Times New Roman"/>
                <w:b/>
                <w:color w:val="FF0000"/>
                <w:sz w:val="24"/>
                <w:u w:val="single"/>
                <w:lang w:val="en-US" w:eastAsia="zh-CN"/>
              </w:rPr>
              <w:t>日常运行与养护的具体要求</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r>
              <w:rPr>
                <w:rFonts w:hint="eastAsia" w:cs="Times New Roman"/>
                <w:color w:val="FF0000"/>
                <w:sz w:val="24"/>
                <w:szCs w:val="24"/>
                <w:u w:val="single"/>
                <w:lang w:val="en-US" w:eastAsia="zh-CN"/>
              </w:rPr>
              <w:t>根据《 人工湿地水质净化技术指南》（环办水体函〔2021〕173号），本项目日常运行和养护具体要求如下：</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r>
              <w:rPr>
                <w:rFonts w:hint="eastAsia" w:cs="Times New Roman"/>
                <w:color w:val="FF0000"/>
                <w:sz w:val="24"/>
                <w:szCs w:val="24"/>
                <w:u w:val="single"/>
                <w:lang w:val="en-US" w:eastAsia="zh-CN"/>
              </w:rPr>
              <w:t>（一）预处理系统</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r>
              <w:rPr>
                <w:rFonts w:hint="default" w:cs="Times New Roman"/>
                <w:color w:val="FF0000"/>
                <w:sz w:val="24"/>
                <w:szCs w:val="24"/>
                <w:u w:val="single"/>
                <w:lang w:val="en-US" w:eastAsia="zh-CN"/>
              </w:rPr>
              <w:t>生态滞留塘的运行与维护应符合以下要求：</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r>
              <w:rPr>
                <w:rFonts w:hint="default" w:cs="Times New Roman"/>
                <w:color w:val="FF0000"/>
                <w:sz w:val="24"/>
                <w:szCs w:val="24"/>
                <w:u w:val="single"/>
                <w:lang w:val="en-US" w:eastAsia="zh-CN"/>
              </w:rPr>
              <w:t>a）每日巡视生态滞留塘，及时清除表面漂浮杂物及腐败植物等，保持水面整洁；</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r>
              <w:rPr>
                <w:rFonts w:hint="default" w:cs="Times New Roman"/>
                <w:color w:val="FF0000"/>
                <w:sz w:val="24"/>
                <w:szCs w:val="24"/>
                <w:u w:val="single"/>
                <w:lang w:val="en-US" w:eastAsia="zh-CN"/>
              </w:rPr>
              <w:t>b）每季度检查生态滞留塘沉积物淤积情况，一般淤积深度超过50 cm时应及时清淤，污泥处理与处置应符合《城镇污水处理厂运行、维护及安全技术规程》CJJ 60中的有关规定。</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cs="Times New Roman"/>
                <w:color w:val="FF0000"/>
                <w:sz w:val="24"/>
                <w:szCs w:val="24"/>
                <w:u w:val="single"/>
                <w:lang w:val="en-US" w:eastAsia="zh-CN"/>
              </w:rPr>
            </w:pPr>
            <w:r>
              <w:rPr>
                <w:rFonts w:hint="eastAsia" w:cs="Times New Roman"/>
                <w:color w:val="FF0000"/>
                <w:sz w:val="24"/>
                <w:szCs w:val="24"/>
                <w:u w:val="single"/>
                <w:lang w:val="en-US" w:eastAsia="zh-CN"/>
              </w:rPr>
              <w:t>（二）人工湿地主体</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r>
              <w:rPr>
                <w:rFonts w:hint="eastAsia" w:cs="Times New Roman"/>
                <w:color w:val="FF0000"/>
                <w:sz w:val="24"/>
                <w:szCs w:val="24"/>
                <w:u w:val="single"/>
                <w:lang w:val="en-US" w:eastAsia="zh-CN"/>
              </w:rPr>
              <w:t>1、</w:t>
            </w:r>
            <w:r>
              <w:rPr>
                <w:rFonts w:hint="default" w:cs="Times New Roman"/>
                <w:color w:val="FF0000"/>
                <w:sz w:val="24"/>
                <w:szCs w:val="24"/>
                <w:u w:val="single"/>
                <w:lang w:val="en-US" w:eastAsia="zh-CN"/>
              </w:rPr>
              <w:t>引排水系统的运行维护宜采用周期性分区方式巡视，每周不少于1次，巡视应包括下列内容：</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r>
              <w:rPr>
                <w:rFonts w:hint="default" w:cs="Times New Roman"/>
                <w:color w:val="FF0000"/>
                <w:sz w:val="24"/>
                <w:szCs w:val="24"/>
                <w:u w:val="single"/>
                <w:lang w:val="en-US" w:eastAsia="zh-CN"/>
              </w:rPr>
              <w:t>a）检查管道沿线的明漏或地面塌陷情况，对不能满足输水要求和存在安全隐患的管道，应有计划地进行修复和更新改造，管道的维护应符合《城镇排水管道维护安全技术规程》CJJ 6的相关规定；</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r>
              <w:rPr>
                <w:rFonts w:hint="default" w:cs="Times New Roman"/>
                <w:color w:val="FF0000"/>
                <w:sz w:val="24"/>
                <w:szCs w:val="24"/>
                <w:u w:val="single"/>
                <w:lang w:val="en-US" w:eastAsia="zh-CN"/>
              </w:rPr>
              <w:t>b）检查渠道沿线的明漏或地面塌陷情况，渠道的维护应符合《城镇排水管渠与泵站运行、维护及安全技术规程》CJJ 68的相关规定；</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r>
              <w:rPr>
                <w:rFonts w:hint="default" w:cs="Times New Roman"/>
                <w:color w:val="FF0000"/>
                <w:sz w:val="24"/>
                <w:szCs w:val="24"/>
                <w:u w:val="single"/>
                <w:lang w:val="en-US" w:eastAsia="zh-CN"/>
              </w:rPr>
              <w:t>c）检查井盖、标志装置等管网附件的缺损情况，及时更换与维修；</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r>
              <w:rPr>
                <w:rFonts w:hint="default" w:cs="Times New Roman"/>
                <w:color w:val="FF0000"/>
                <w:sz w:val="24"/>
                <w:szCs w:val="24"/>
                <w:u w:val="single"/>
                <w:lang w:val="en-US" w:eastAsia="zh-CN"/>
              </w:rPr>
              <w:t>d）检查各类阀门、设施井等的损坏和堆压情况，出现损坏及时更换与维修，出现堆压及时清理；</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r>
              <w:rPr>
                <w:rFonts w:hint="default" w:cs="Times New Roman"/>
                <w:color w:val="FF0000"/>
                <w:sz w:val="24"/>
                <w:szCs w:val="24"/>
                <w:u w:val="single"/>
                <w:lang w:val="en-US" w:eastAsia="zh-CN"/>
              </w:rPr>
              <w:t>e）检查管道周围环境变化情况和影响管网及其附属设施安全的活动。</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r>
              <w:rPr>
                <w:rFonts w:hint="eastAsia" w:cs="Times New Roman"/>
                <w:color w:val="FF0000"/>
                <w:sz w:val="24"/>
                <w:szCs w:val="24"/>
                <w:u w:val="single"/>
                <w:lang w:val="en-US" w:eastAsia="zh-CN"/>
              </w:rPr>
              <w:t>2、</w:t>
            </w:r>
            <w:r>
              <w:rPr>
                <w:rFonts w:hint="default" w:cs="Times New Roman"/>
                <w:color w:val="FF0000"/>
                <w:sz w:val="24"/>
                <w:szCs w:val="24"/>
                <w:u w:val="single"/>
                <w:lang w:val="en-US" w:eastAsia="zh-CN"/>
              </w:rPr>
              <w:t>集布水及排空系统的运行与维护应符合以下要求：</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r>
              <w:rPr>
                <w:rFonts w:hint="default" w:cs="Times New Roman"/>
                <w:color w:val="FF0000"/>
                <w:sz w:val="24"/>
                <w:szCs w:val="24"/>
                <w:u w:val="single"/>
                <w:lang w:val="en-US" w:eastAsia="zh-CN"/>
              </w:rPr>
              <w:t>a）每日巡视集布水系统，采用人工或机械清理系统内的杂物和积泥，保持填料表面平整，保证集布水系统正常运行和布水均匀；</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r>
              <w:rPr>
                <w:rFonts w:hint="default" w:cs="Times New Roman"/>
                <w:color w:val="FF0000"/>
                <w:sz w:val="24"/>
                <w:szCs w:val="24"/>
                <w:u w:val="single"/>
                <w:lang w:val="en-US" w:eastAsia="zh-CN"/>
              </w:rPr>
              <w:t>b）每周检查集布水系统内的管道、渠道等破损、腐蚀情况，确保管道通畅，阀门、闸门运行正常，做好管道、阀门除锈、除垢、润滑及防腐工作，避免出现漏水现象；</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r>
              <w:rPr>
                <w:rFonts w:hint="default" w:cs="Times New Roman"/>
                <w:color w:val="FF0000"/>
                <w:sz w:val="24"/>
                <w:szCs w:val="24"/>
                <w:u w:val="single"/>
                <w:lang w:val="en-US" w:eastAsia="zh-CN"/>
              </w:rPr>
              <w:t>c）检查或清理集布水系统时宜减少或暂停进水，清理前做好充分的人力、物力、照明、通风及安全措施准备，尽量缩短停水时间，确保安全；</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cs="Times New Roman"/>
                <w:color w:val="FF0000"/>
                <w:sz w:val="24"/>
                <w:szCs w:val="24"/>
                <w:u w:val="single"/>
                <w:lang w:val="en-US" w:eastAsia="zh-CN"/>
              </w:rPr>
            </w:pPr>
            <w:r>
              <w:rPr>
                <w:rFonts w:hint="default" w:cs="Times New Roman"/>
                <w:color w:val="FF0000"/>
                <w:sz w:val="24"/>
                <w:szCs w:val="24"/>
                <w:u w:val="single"/>
                <w:lang w:val="en-US" w:eastAsia="zh-CN"/>
              </w:rPr>
              <w:t>d）潜流人工湿地每月至少排空一次，及时排出脱落的生物膜及淤泥。宜采用分区依次排空，排空的淤泥处理与处置应符合《城镇污水处理厂运行、维护及安全技术规程》CJJ60中的有关规定。潜流人工湿地排空前先抬高水位运行再排空，排空时间不小于12 h。</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eastAsia" w:cs="Times New Roman"/>
                <w:b w:val="0"/>
                <w:bCs/>
                <w:color w:val="FF0000"/>
                <w:kern w:val="0"/>
                <w:sz w:val="24"/>
                <w:szCs w:val="21"/>
                <w:u w:val="single"/>
                <w:lang w:val="en-US" w:eastAsia="zh-CN"/>
              </w:rPr>
              <w:t>3、</w:t>
            </w:r>
            <w:r>
              <w:rPr>
                <w:rFonts w:hint="default" w:ascii="Times New Roman" w:hAnsi="Times New Roman" w:eastAsia="宋体" w:cs="Times New Roman"/>
                <w:b w:val="0"/>
                <w:bCs/>
                <w:color w:val="FF0000"/>
                <w:kern w:val="0"/>
                <w:sz w:val="24"/>
                <w:szCs w:val="21"/>
                <w:u w:val="single"/>
              </w:rPr>
              <w:t>填料的维护应符合以下要求：</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a）每日巡视表面流人工湿地及生态滞留塘、砾石床等情况，并采取以下淤积预防措施：</w:t>
            </w:r>
          </w:p>
          <w:p>
            <w:pPr>
              <w:spacing w:line="360" w:lineRule="auto"/>
              <w:ind w:firstLine="960" w:firstLineChars="4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1）控制进入人工湿地系统水体的悬浮物浓度；</w:t>
            </w:r>
          </w:p>
          <w:p>
            <w:pPr>
              <w:spacing w:line="360" w:lineRule="auto"/>
              <w:ind w:firstLine="960" w:firstLineChars="4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2）定期察看人工湿地是否存在缓流、淤积等现象；</w:t>
            </w:r>
          </w:p>
          <w:p>
            <w:pPr>
              <w:spacing w:line="360" w:lineRule="auto"/>
              <w:ind w:firstLine="960" w:firstLineChars="4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3）定期对人工湿地前端生态滞留塘或生态砾石床进行清淤处理。</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b）每日巡视潜流人工湿地填料表面情况，如出现漫流现象，应分析原因，及时处理：</w:t>
            </w:r>
          </w:p>
          <w:p>
            <w:pPr>
              <w:spacing w:line="360" w:lineRule="auto"/>
              <w:ind w:firstLine="960" w:firstLineChars="4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1）当潜流人工湿地出现漫流且面积比不超过10%时，应调整湿地运行方式，加大进水流量，分区间歇排空，干湿交替运行；</w:t>
            </w:r>
          </w:p>
          <w:p>
            <w:pPr>
              <w:spacing w:line="360" w:lineRule="auto"/>
              <w:ind w:firstLine="960" w:firstLineChars="4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2）当漫流面积比超过10%但未超过30%时，应监测湿地堵塞情况，翻松堵塞区域的填料层，清理填料附着物后复原；</w:t>
            </w:r>
          </w:p>
          <w:p>
            <w:pPr>
              <w:spacing w:line="360" w:lineRule="auto"/>
              <w:ind w:firstLine="960" w:firstLineChars="4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3）当漫流面积比超过30%、出现严重堵塞时，需换填堵塞区域填料；换填填料前，应排空堵塞单元格，换填填料应与原填料级配相同。施工中宜采用人工挖掘，转运时宜采用轻型转运机械（满负荷小于1吨），被更换的填料优先考虑资源回收公司处置或按照一般固废处理。</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c）每季度检查潜流人工湿地填料层沉降现象，必要时应及时补充填料至设计高程，确保人工湿地正常运转。</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eastAsia" w:cs="Times New Roman"/>
                <w:b w:val="0"/>
                <w:bCs/>
                <w:color w:val="FF0000"/>
                <w:kern w:val="0"/>
                <w:sz w:val="24"/>
                <w:szCs w:val="21"/>
                <w:u w:val="single"/>
                <w:lang w:val="en-US" w:eastAsia="zh-CN"/>
              </w:rPr>
              <w:t>4、</w:t>
            </w:r>
            <w:r>
              <w:rPr>
                <w:rFonts w:hint="default" w:ascii="Times New Roman" w:hAnsi="Times New Roman" w:eastAsia="宋体" w:cs="Times New Roman"/>
                <w:b w:val="0"/>
                <w:bCs/>
                <w:color w:val="FF0000"/>
                <w:kern w:val="0"/>
                <w:sz w:val="24"/>
                <w:szCs w:val="21"/>
                <w:u w:val="single"/>
              </w:rPr>
              <w:t>人工湿地植物的管护应符合以下要求：</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a）宜每月巡视人工湿地植物长势，并做好记录与分析，监测与记录人工湿地主体内水生植物的种类、密度、株高以及植物的根系长度、宽幅等，为人工湿地运行和维护提供参考依据；</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b）应根据植物的不同生长期进行管理，如果湿地植物出现死亡缺株，应及时补植，达到设计要求；</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c）湿地植物病虫害防治应采取预防为主、治疗为辅的方针，应优先采用物理、生物方法防治病虫害，尽量少用化学农药；</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d）湿地运行期间应及时清理人工湿地内杂草和枯枝落叶，防止腐烂；可通过抬高湿地水位、人工拔除等方式抑制杂草生长；秋冬季节，对植物做好防冻措施或及时收割，并且加强消防措施；</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e）湿地如出现水绵泛滥，应及时清理；</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f）湿地植物应及时修剪或收割，并满足以下条件：</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1）应定期收割植物，气候分区Ⅰ区~Ⅱ区可每年收割1次，Ⅲ区~Ⅴ区可每年收割2次~3次，植物的收割宜在生长后期，可以提高氮和磷去除率；收割时不得破坏填料表面；</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2）潜流湿地水生植物收割前应降低水位，收割时应采取措施，防止破坏填料，收割时应保留10 cm~20 cm长的植物茎体；</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3）表面流人工湿地、生态滞留塘具备降水条件时应先降低水位，待表层干燥后再收割，避免工人操作时破坏人工湿地土壤；不具备降水条件时可采用工具船或人工收割；</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4）沉水植物、浮水植物密度过大时，应适时进行人工或机械收割，达到设计密度要求，沉水植物收割至水面下10 cm~20 cm为宜；</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5）应及时修剪枯黄、枯死和倒伏水生植物，疏除弱枝弱株，达到通风透光，保证植物生长质量；</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6）收割植物应妥善处置，宜交由再生资源回收公司进行处理和利用，严禁在人工湿地内焚烧植物。</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g）植物养护标准参照《园林绿化养护标准》CJJ/T 287中的有关规定。</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eastAsia" w:cs="Times New Roman"/>
                <w:b w:val="0"/>
                <w:bCs/>
                <w:color w:val="FF0000"/>
                <w:kern w:val="0"/>
                <w:sz w:val="24"/>
                <w:szCs w:val="21"/>
                <w:u w:val="single"/>
                <w:lang w:val="en-US" w:eastAsia="zh-CN"/>
              </w:rPr>
              <w:t>5、</w:t>
            </w:r>
            <w:r>
              <w:rPr>
                <w:rFonts w:hint="default" w:ascii="Times New Roman" w:hAnsi="Times New Roman" w:eastAsia="宋体" w:cs="Times New Roman"/>
                <w:b w:val="0"/>
                <w:bCs/>
                <w:color w:val="FF0000"/>
                <w:kern w:val="0"/>
                <w:sz w:val="24"/>
                <w:szCs w:val="21"/>
                <w:u w:val="single"/>
              </w:rPr>
              <w:t>湿地主体构筑物的检查与维护应符合以下要求：</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a）每季度定期对人工湿地主体构筑物进行检查，如出现裂缝、沉降、漏水和腐蚀等情况，应及时修复。根据构筑物破损情况，修复措施主要有：表面修补法、灌浆嵌缝封堵法和结构加固法。修复后构筑物检修应符合《给水排水构筑物工程施工及验收规范》GB50141的相关规定；</w:t>
            </w:r>
          </w:p>
          <w:p>
            <w:pPr>
              <w:spacing w:line="360" w:lineRule="auto"/>
              <w:ind w:firstLine="480" w:firstLineChars="200"/>
              <w:rPr>
                <w:rFonts w:hint="default" w:ascii="Times New Roman" w:hAnsi="Times New Roman" w:eastAsia="宋体" w:cs="Times New Roman"/>
                <w:b w:val="0"/>
                <w:bCs/>
                <w:color w:val="FF0000"/>
                <w:kern w:val="0"/>
                <w:sz w:val="24"/>
                <w:szCs w:val="21"/>
                <w:u w:val="single"/>
              </w:rPr>
            </w:pPr>
            <w:r>
              <w:rPr>
                <w:rFonts w:hint="default" w:ascii="Times New Roman" w:hAnsi="Times New Roman" w:eastAsia="宋体" w:cs="Times New Roman"/>
                <w:b w:val="0"/>
                <w:bCs/>
                <w:color w:val="FF0000"/>
                <w:kern w:val="0"/>
                <w:sz w:val="24"/>
                <w:szCs w:val="21"/>
                <w:u w:val="single"/>
              </w:rPr>
              <w:t>b）每年应定期对人工湿地围护结构和跌水堰等进行检查，如发现坑洞或坍塌情况及时修整。</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eastAsia="zh-CN"/>
              </w:rPr>
              <w:t>（</w:t>
            </w:r>
            <w:r>
              <w:rPr>
                <w:rFonts w:hint="eastAsia" w:cs="Times New Roman"/>
                <w:b w:val="0"/>
                <w:bCs/>
                <w:color w:val="FF0000"/>
                <w:kern w:val="0"/>
                <w:sz w:val="24"/>
                <w:szCs w:val="21"/>
                <w:u w:val="single"/>
                <w:lang w:val="en-US" w:eastAsia="zh-CN"/>
              </w:rPr>
              <w:t>三</w:t>
            </w:r>
            <w:r>
              <w:rPr>
                <w:rFonts w:hint="eastAsia" w:cs="Times New Roman"/>
                <w:b w:val="0"/>
                <w:bCs/>
                <w:color w:val="FF0000"/>
                <w:kern w:val="0"/>
                <w:sz w:val="24"/>
                <w:szCs w:val="21"/>
                <w:u w:val="single"/>
                <w:lang w:eastAsia="zh-CN"/>
              </w:rPr>
              <w:t>）低温环境运行</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val="en-US" w:eastAsia="zh-CN"/>
              </w:rPr>
              <w:t>1、</w:t>
            </w:r>
            <w:r>
              <w:rPr>
                <w:rFonts w:hint="eastAsia" w:cs="Times New Roman"/>
                <w:b w:val="0"/>
                <w:bCs/>
                <w:color w:val="FF0000"/>
                <w:kern w:val="0"/>
                <w:sz w:val="24"/>
                <w:szCs w:val="21"/>
                <w:u w:val="single"/>
                <w:lang w:eastAsia="zh-CN"/>
              </w:rPr>
              <w:t>做好人工湿地保温措施，床内水温应保证不低于4 ℃。可采取植物覆盖、抬高水位形成冰雪覆盖、覆盖塑料薄膜或搭建塑料温室大棚等保温措施：</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eastAsia="zh-CN"/>
              </w:rPr>
              <w:t>a）在保证消防安全、水质不恶化的前提下，植物收割后可采用将收割的植物就地覆盖方式对湿地表面保温；</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eastAsia="zh-CN"/>
              </w:rPr>
              <w:t>b）将潜流湿地水位提升5 cm~10 cm，待人工湿地表层结冰后，降低运行水位至常水位，利用表面冰层对湿地保温。植物收割时可保留20 cm~30 cm直立残茎，以支持冰层；</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eastAsia="zh-CN"/>
              </w:rPr>
              <w:t>c）适当抬高表面流人工湿地水位，延长水力停留时间；极寒天气时，应降低运行水位，在冰层和水面间形成空气隔绝层，达到保温效果；</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eastAsia="zh-CN"/>
              </w:rPr>
              <w:t>d）低温运行时应对进出水管（渠）采取防冻保温措施；</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eastAsia="zh-CN"/>
              </w:rPr>
              <w:t>e）植物收割应预留表面覆盖空间和设施。</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val="en-US" w:eastAsia="zh-CN"/>
              </w:rPr>
              <w:t>2、</w:t>
            </w:r>
            <w:r>
              <w:rPr>
                <w:rFonts w:hint="eastAsia" w:cs="Times New Roman"/>
                <w:b w:val="0"/>
                <w:bCs/>
                <w:color w:val="FF0000"/>
                <w:kern w:val="0"/>
                <w:sz w:val="24"/>
                <w:szCs w:val="21"/>
                <w:u w:val="single"/>
                <w:lang w:eastAsia="zh-CN"/>
              </w:rPr>
              <w:t>人工湿地低温运行期间可适当降低水力负荷，并维持稳定的进水流量。当人工湿地采取潮汐流方式运行时，两次潮汐时间不宜超过24 h，避免湿地在低温时段处于落干状态。</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val="en-US" w:eastAsia="zh-CN"/>
              </w:rPr>
              <w:t>3、</w:t>
            </w:r>
            <w:r>
              <w:rPr>
                <w:rFonts w:hint="eastAsia" w:cs="Times New Roman"/>
                <w:b w:val="0"/>
                <w:bCs/>
                <w:color w:val="FF0000"/>
                <w:kern w:val="0"/>
                <w:sz w:val="24"/>
                <w:szCs w:val="21"/>
                <w:u w:val="single"/>
                <w:lang w:eastAsia="zh-CN"/>
              </w:rPr>
              <w:t>可采取强化措施，如预处理、人工曝气和延长水力停留时间等，提高冬季湿地运行效果。</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eastAsia="zh-CN"/>
              </w:rPr>
              <w:t>（</w:t>
            </w:r>
            <w:r>
              <w:rPr>
                <w:rFonts w:hint="eastAsia" w:cs="Times New Roman"/>
                <w:b w:val="0"/>
                <w:bCs/>
                <w:color w:val="FF0000"/>
                <w:kern w:val="0"/>
                <w:sz w:val="24"/>
                <w:szCs w:val="21"/>
                <w:u w:val="single"/>
                <w:lang w:val="en-US" w:eastAsia="zh-CN"/>
              </w:rPr>
              <w:t>四</w:t>
            </w:r>
            <w:r>
              <w:rPr>
                <w:rFonts w:hint="eastAsia" w:cs="Times New Roman"/>
                <w:b w:val="0"/>
                <w:bCs/>
                <w:color w:val="FF0000"/>
                <w:kern w:val="0"/>
                <w:sz w:val="24"/>
                <w:szCs w:val="21"/>
                <w:u w:val="single"/>
                <w:lang w:eastAsia="zh-CN"/>
              </w:rPr>
              <w:t>）强化处理措施</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val="en-US" w:eastAsia="zh-CN"/>
              </w:rPr>
              <w:t>1、</w:t>
            </w:r>
            <w:r>
              <w:rPr>
                <w:rFonts w:hint="eastAsia" w:cs="Times New Roman"/>
                <w:b w:val="0"/>
                <w:bCs/>
                <w:color w:val="FF0000"/>
                <w:kern w:val="0"/>
                <w:sz w:val="24"/>
                <w:szCs w:val="21"/>
                <w:u w:val="single"/>
                <w:lang w:eastAsia="zh-CN"/>
              </w:rPr>
              <w:t>曝气设备的运行管理应符合以下要求：</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eastAsia="zh-CN"/>
              </w:rPr>
              <w:t>a）每日巡视曝气设备运行情况，及时清理曝气机周围漂浮物和垃圾，确保设备正常运转；</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eastAsia="zh-CN"/>
              </w:rPr>
              <w:t>b）每年维护曝气设备，及时去除水垢和锈斑，更换润滑油，做好设备防腐。</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val="en-US" w:eastAsia="zh-CN"/>
              </w:rPr>
              <w:t>2、</w:t>
            </w:r>
            <w:r>
              <w:rPr>
                <w:rFonts w:hint="eastAsia" w:cs="Times New Roman"/>
                <w:b w:val="0"/>
                <w:bCs/>
                <w:color w:val="FF0000"/>
                <w:kern w:val="0"/>
                <w:sz w:val="24"/>
                <w:szCs w:val="21"/>
                <w:u w:val="single"/>
                <w:lang w:eastAsia="zh-CN"/>
              </w:rPr>
              <w:t>高密植单元的管护应符合以下要求：</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eastAsia="zh-CN"/>
              </w:rPr>
              <w:t>a）每周巡视高密植物单元状况，及时清理周围的杂物或垃圾，修补或更换破损的单体，对缺失植物进行补植；</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eastAsia="zh-CN"/>
              </w:rPr>
              <w:t>b）高密植单元应及时养护，依据需要定期收割，植物生长旺期每2周收割1次，枯萎之前收割1次。</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eastAsia="zh-CN"/>
              </w:rPr>
              <w:t>（</w:t>
            </w:r>
            <w:r>
              <w:rPr>
                <w:rFonts w:hint="eastAsia" w:cs="Times New Roman"/>
                <w:b w:val="0"/>
                <w:bCs/>
                <w:color w:val="FF0000"/>
                <w:kern w:val="0"/>
                <w:sz w:val="24"/>
                <w:szCs w:val="21"/>
                <w:u w:val="single"/>
                <w:lang w:val="en-US" w:eastAsia="zh-CN"/>
              </w:rPr>
              <w:t>五</w:t>
            </w:r>
            <w:r>
              <w:rPr>
                <w:rFonts w:hint="eastAsia" w:cs="Times New Roman"/>
                <w:b w:val="0"/>
                <w:bCs/>
                <w:color w:val="FF0000"/>
                <w:kern w:val="0"/>
                <w:sz w:val="24"/>
                <w:szCs w:val="21"/>
                <w:u w:val="single"/>
                <w:lang w:eastAsia="zh-CN"/>
              </w:rPr>
              <w:t>）辅助工程及配套设施</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val="en-US" w:eastAsia="zh-CN"/>
              </w:rPr>
              <w:t>1、</w:t>
            </w:r>
            <w:r>
              <w:rPr>
                <w:rFonts w:hint="eastAsia" w:cs="Times New Roman"/>
                <w:b w:val="0"/>
                <w:bCs/>
                <w:color w:val="FF0000"/>
                <w:kern w:val="0"/>
                <w:sz w:val="24"/>
                <w:szCs w:val="21"/>
                <w:u w:val="single"/>
                <w:lang w:eastAsia="zh-CN"/>
              </w:rPr>
              <w:t>辅助工程及配套设施的检查巡视应符合以下要求：</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eastAsia="zh-CN"/>
              </w:rPr>
              <w:t>a）每日巡视提升泵站，根据设定的巡视路线、巡视项目和巡视周期对泵站设备进行全面巡视，检查工具、保险装置和信号装置等安全设施的可靠性、灵敏性和安全性；</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eastAsia="zh-CN"/>
              </w:rPr>
              <w:t>b）每日巡视电气自控设备，检查机电设备、自控系统的可靠性、灵敏性和安全性；</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eastAsia="zh-CN"/>
              </w:rPr>
              <w:t>c）不定期巡视其它附属设施，如大门、围挡、护栏、木栈道、展板和道路照明等。</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val="en-US" w:eastAsia="zh-CN"/>
              </w:rPr>
              <w:t>2、</w:t>
            </w:r>
            <w:r>
              <w:rPr>
                <w:rFonts w:hint="eastAsia" w:cs="Times New Roman"/>
                <w:b w:val="0"/>
                <w:bCs/>
                <w:color w:val="FF0000"/>
                <w:kern w:val="0"/>
                <w:sz w:val="24"/>
                <w:szCs w:val="21"/>
                <w:u w:val="single"/>
                <w:lang w:eastAsia="zh-CN"/>
              </w:rPr>
              <w:t>辅助工程及配套设施的维护应符合以下要求：</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eastAsia="zh-CN"/>
              </w:rPr>
              <w:t>a）维护泵站设施时，必须先对有毒、有害和易燃易爆气体进行检测并采取防护措施，泵站和水泵机组及配套设施的维护应符合《城镇排水管渠与泵站运行、维护及安全技术规程》CJJ 68的相关规定；</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eastAsia="zh-CN"/>
              </w:rPr>
              <w:t>b）高、低压变配电装置的清扫、检修工作必须符合《电业安全工作规程 第1部分：热力和机械》GB 26164.1和《电业安全工作规程》DL 409的有关规定，机电设备的维护应符合《城镇污水处理厂运行、维护及安全技术规程》CJJ 60的相关规定；</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eastAsia="zh-CN"/>
              </w:rPr>
              <w:t>c）自控系统应设置用户使用权限，采取有效措施避免病毒和非法软件的侵入，PLC机站、计算机房应保持适宜设备正常工作的温度和湿度并保持清洁，自控设备维护应符合《城镇污水处理厂运行、维护及安全技术规程》CJJ 60的相关规定；</w:t>
            </w:r>
          </w:p>
          <w:p>
            <w:pPr>
              <w:spacing w:line="360" w:lineRule="auto"/>
              <w:ind w:firstLine="480" w:firstLineChars="200"/>
              <w:rPr>
                <w:rFonts w:hint="eastAsia" w:cs="Times New Roman"/>
                <w:b w:val="0"/>
                <w:bCs/>
                <w:color w:val="FF0000"/>
                <w:kern w:val="0"/>
                <w:sz w:val="24"/>
                <w:szCs w:val="21"/>
                <w:u w:val="single"/>
                <w:lang w:eastAsia="zh-CN"/>
              </w:rPr>
            </w:pPr>
            <w:r>
              <w:rPr>
                <w:rFonts w:hint="eastAsia" w:cs="Times New Roman"/>
                <w:b w:val="0"/>
                <w:bCs/>
                <w:color w:val="FF0000"/>
                <w:kern w:val="0"/>
                <w:sz w:val="24"/>
                <w:szCs w:val="21"/>
                <w:u w:val="single"/>
                <w:lang w:eastAsia="zh-CN"/>
              </w:rPr>
              <w:t>d）管理用房等其它附属设施，应进行定期检查和维修。</w:t>
            </w:r>
          </w:p>
          <w:p>
            <w:pPr>
              <w:spacing w:line="360" w:lineRule="auto"/>
              <w:ind w:firstLine="480" w:firstLineChars="200"/>
              <w:rPr>
                <w:rFonts w:hint="eastAsia" w:cs="Times New Roman"/>
                <w:b w:val="0"/>
                <w:bCs/>
                <w:color w:val="auto"/>
                <w:kern w:val="0"/>
                <w:sz w:val="24"/>
                <w:szCs w:val="21"/>
                <w:u w:val="none"/>
                <w:lang w:eastAsia="zh-CN"/>
              </w:rPr>
            </w:pPr>
          </w:p>
          <w:p>
            <w:pPr>
              <w:spacing w:line="360" w:lineRule="auto"/>
              <w:ind w:firstLine="480" w:firstLineChars="200"/>
              <w:rPr>
                <w:rFonts w:hint="eastAsia" w:cs="Times New Roman"/>
                <w:b w:val="0"/>
                <w:bCs/>
                <w:color w:val="auto"/>
                <w:kern w:val="0"/>
                <w:sz w:val="24"/>
                <w:szCs w:val="21"/>
                <w:u w:val="none"/>
                <w:lang w:eastAsia="zh-CN"/>
              </w:rPr>
            </w:pPr>
          </w:p>
          <w:p>
            <w:pPr>
              <w:spacing w:line="360" w:lineRule="auto"/>
              <w:ind w:firstLine="482" w:firstLineChars="200"/>
              <w:rPr>
                <w:rFonts w:hint="default" w:cs="Times New Roman"/>
                <w:b/>
                <w:bCs w:val="0"/>
                <w:color w:val="FF0000"/>
                <w:kern w:val="0"/>
                <w:sz w:val="24"/>
                <w:szCs w:val="21"/>
                <w:u w:val="single"/>
                <w:lang w:val="en-US" w:eastAsia="zh-CN"/>
              </w:rPr>
            </w:pPr>
            <w:r>
              <w:rPr>
                <w:rFonts w:hint="eastAsia" w:cs="Times New Roman"/>
                <w:b/>
                <w:bCs w:val="0"/>
                <w:color w:val="FF0000"/>
                <w:kern w:val="0"/>
                <w:sz w:val="24"/>
                <w:szCs w:val="21"/>
                <w:u w:val="single"/>
                <w:lang w:val="en-US" w:eastAsia="zh-CN"/>
              </w:rPr>
              <w:t>二、常见问题及建议措施清单</w:t>
            </w:r>
          </w:p>
          <w:p>
            <w:pPr>
              <w:spacing w:line="360" w:lineRule="auto"/>
              <w:ind w:firstLine="480" w:firstLineChars="200"/>
              <w:rPr>
                <w:rFonts w:hint="default" w:cs="Times New Roman"/>
                <w:b w:val="0"/>
                <w:bCs/>
                <w:color w:val="FF0000"/>
                <w:kern w:val="0"/>
                <w:sz w:val="24"/>
                <w:szCs w:val="21"/>
                <w:u w:val="none"/>
                <w:lang w:val="en-US" w:eastAsia="zh-CN"/>
              </w:rPr>
            </w:pPr>
            <w:r>
              <w:rPr>
                <w:rFonts w:hint="eastAsia" w:cs="Times New Roman"/>
                <w:color w:val="FF0000"/>
                <w:sz w:val="24"/>
                <w:szCs w:val="24"/>
                <w:u w:val="single"/>
                <w:lang w:val="en-US" w:eastAsia="zh-CN"/>
              </w:rPr>
              <w:t>根据《 人工湿地水质净化技术指南》（环办水体函〔2021〕173号），本项目人工湿地常见问题及建议措施清单见下表。</w:t>
            </w:r>
          </w:p>
          <w:p>
            <w:pPr>
              <w:keepNext w:val="0"/>
              <w:keepLines w:val="0"/>
              <w:pageBreakBefore w:val="0"/>
              <w:widowControl w:val="0"/>
              <w:tabs>
                <w:tab w:val="left" w:pos="4065"/>
              </w:tabs>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color w:val="FF0000"/>
                <w:kern w:val="1"/>
                <w:sz w:val="21"/>
                <w:szCs w:val="21"/>
                <w:u w:val="single"/>
              </w:rPr>
            </w:pPr>
            <w:r>
              <w:rPr>
                <w:rFonts w:hint="default" w:ascii="Times New Roman" w:hAnsi="Times New Roman" w:eastAsia="宋体" w:cs="Times New Roman"/>
                <w:b/>
                <w:color w:val="FF0000"/>
                <w:kern w:val="1"/>
                <w:sz w:val="21"/>
                <w:szCs w:val="21"/>
                <w:u w:val="single"/>
              </w:rPr>
              <w:t>表5-</w:t>
            </w:r>
            <w:r>
              <w:rPr>
                <w:rFonts w:hint="eastAsia" w:cs="Times New Roman"/>
                <w:b/>
                <w:color w:val="FF0000"/>
                <w:kern w:val="1"/>
                <w:sz w:val="21"/>
                <w:szCs w:val="21"/>
                <w:u w:val="single"/>
                <w:lang w:val="en-US" w:eastAsia="zh-CN"/>
              </w:rPr>
              <w:t>1        湿地运行维护主要问题及建议措施清单表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85" w:type="dxa"/>
                <w:left w:w="108" w:type="dxa"/>
                <w:bottom w:w="85" w:type="dxa"/>
                <w:right w:w="108" w:type="dxa"/>
              </w:tblCellMar>
            </w:tblPr>
            <w:tblGrid>
              <w:gridCol w:w="798"/>
              <w:gridCol w:w="962"/>
              <w:gridCol w:w="1609"/>
              <w:gridCol w:w="48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48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FF0000"/>
                      <w:sz w:val="21"/>
                      <w:szCs w:val="21"/>
                      <w:u w:val="single"/>
                      <w:lang w:val="en-US" w:eastAsia="zh-CN"/>
                    </w:rPr>
                  </w:pPr>
                  <w:r>
                    <w:rPr>
                      <w:rFonts w:hint="eastAsia" w:cs="Times New Roman"/>
                      <w:b/>
                      <w:bCs/>
                      <w:color w:val="FF0000"/>
                      <w:sz w:val="21"/>
                      <w:szCs w:val="21"/>
                      <w:u w:val="single"/>
                      <w:lang w:val="en-US" w:eastAsia="zh-CN"/>
                    </w:rPr>
                    <w:t>序号</w:t>
                  </w:r>
                </w:p>
              </w:tc>
              <w:tc>
                <w:tcPr>
                  <w:tcW w:w="58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FF0000"/>
                      <w:sz w:val="21"/>
                      <w:szCs w:val="21"/>
                      <w:u w:val="single"/>
                      <w:lang w:val="en-US" w:eastAsia="zh-CN"/>
                    </w:rPr>
                  </w:pPr>
                  <w:r>
                    <w:rPr>
                      <w:rFonts w:hint="eastAsia" w:cs="Times New Roman"/>
                      <w:b/>
                      <w:bCs/>
                      <w:color w:val="FF0000"/>
                      <w:sz w:val="21"/>
                      <w:szCs w:val="21"/>
                      <w:u w:val="single"/>
                      <w:lang w:val="en-US" w:eastAsia="zh-CN"/>
                    </w:rPr>
                    <w:t>分类</w:t>
                  </w:r>
                </w:p>
              </w:tc>
              <w:tc>
                <w:tcPr>
                  <w:tcW w:w="980"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b/>
                      <w:bCs/>
                      <w:color w:val="FF0000"/>
                      <w:sz w:val="21"/>
                      <w:szCs w:val="21"/>
                      <w:u w:val="single"/>
                      <w:lang w:val="en-US" w:eastAsia="zh-CN"/>
                    </w:rPr>
                  </w:pPr>
                  <w:r>
                    <w:rPr>
                      <w:rFonts w:hint="eastAsia" w:cs="Times New Roman"/>
                      <w:b/>
                      <w:bCs/>
                      <w:color w:val="FF0000"/>
                      <w:sz w:val="21"/>
                      <w:szCs w:val="21"/>
                      <w:u w:val="single"/>
                      <w:lang w:val="en-US" w:eastAsia="zh-CN"/>
                    </w:rPr>
                    <w:t>主要问题</w:t>
                  </w:r>
                </w:p>
              </w:tc>
              <w:tc>
                <w:tcPr>
                  <w:tcW w:w="294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FF0000"/>
                      <w:sz w:val="21"/>
                      <w:szCs w:val="21"/>
                      <w:u w:val="single"/>
                      <w:lang w:val="en-US" w:eastAsia="zh-CN"/>
                    </w:rPr>
                  </w:pPr>
                  <w:r>
                    <w:rPr>
                      <w:rFonts w:hint="eastAsia" w:cs="Times New Roman"/>
                      <w:b/>
                      <w:bCs/>
                      <w:color w:val="FF0000"/>
                      <w:sz w:val="21"/>
                      <w:szCs w:val="21"/>
                      <w:u w:val="single"/>
                      <w:lang w:val="en-US" w:eastAsia="zh-CN"/>
                    </w:rPr>
                    <w:t>建议措施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486" w:type="pct"/>
                  <w:tcBorders>
                    <w:tl2br w:val="nil"/>
                    <w:tr2bl w:val="nil"/>
                  </w:tcBorders>
                  <w:noWrap w:val="0"/>
                  <w:vAlign w:val="center"/>
                </w:tcPr>
                <w:p>
                  <w:pPr>
                    <w:adjustRightInd w:val="0"/>
                    <w:snapToGrid w:val="0"/>
                    <w:spacing w:line="240" w:lineRule="auto"/>
                    <w:jc w:val="center"/>
                    <w:rPr>
                      <w:rFonts w:hint="default"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1</w:t>
                  </w:r>
                </w:p>
              </w:tc>
              <w:tc>
                <w:tcPr>
                  <w:tcW w:w="586" w:type="pct"/>
                  <w:vMerge w:val="restart"/>
                  <w:tcBorders>
                    <w:tl2br w:val="nil"/>
                    <w:tr2bl w:val="nil"/>
                  </w:tcBorders>
                  <w:noWrap w:val="0"/>
                  <w:vAlign w:val="center"/>
                </w:tcPr>
                <w:p>
                  <w:pPr>
                    <w:adjustRightInd w:val="0"/>
                    <w:snapToGrid w:val="0"/>
                    <w:spacing w:line="240" w:lineRule="auto"/>
                    <w:jc w:val="center"/>
                    <w:rPr>
                      <w:rFonts w:hint="eastAsia"/>
                      <w:color w:val="FF0000"/>
                    </w:rPr>
                  </w:pPr>
                  <w:r>
                    <w:rPr>
                      <w:rFonts w:hint="eastAsia"/>
                      <w:color w:val="FF0000"/>
                    </w:rPr>
                    <w:t>水质</w:t>
                  </w:r>
                </w:p>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olor w:val="FF0000"/>
                    </w:rPr>
                    <w:t>变化</w:t>
                  </w:r>
                </w:p>
              </w:tc>
              <w:tc>
                <w:tcPr>
                  <w:tcW w:w="980"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进出水水质恶化</w:t>
                  </w:r>
                </w:p>
              </w:tc>
              <w:tc>
                <w:tcPr>
                  <w:tcW w:w="2946"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a）当进水水质突发恶化时，应立即停止进水，经检测水质达到进水水质标准方可进水。</w:t>
                  </w:r>
                </w:p>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b）当出水水质恶化时，对湿地进水及各处理单元的水质进行检测，分析水质恶化原因，通过调节进出水水量、延长水力停留时间等措施，确保出水水质达标。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486" w:type="pct"/>
                  <w:tcBorders>
                    <w:tl2br w:val="nil"/>
                    <w:tr2bl w:val="nil"/>
                  </w:tcBorders>
                  <w:noWrap w:val="0"/>
                  <w:vAlign w:val="center"/>
                </w:tcPr>
                <w:p>
                  <w:pPr>
                    <w:adjustRightInd w:val="0"/>
                    <w:snapToGrid w:val="0"/>
                    <w:spacing w:line="240" w:lineRule="auto"/>
                    <w:jc w:val="center"/>
                    <w:rPr>
                      <w:rFonts w:hint="default"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2</w:t>
                  </w:r>
                </w:p>
              </w:tc>
              <w:tc>
                <w:tcPr>
                  <w:tcW w:w="586" w:type="pct"/>
                  <w:vMerge w:val="continue"/>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p>
              </w:tc>
              <w:tc>
                <w:tcPr>
                  <w:tcW w:w="980"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局部恶臭</w:t>
                  </w:r>
                </w:p>
              </w:tc>
              <w:tc>
                <w:tcPr>
                  <w:tcW w:w="2946"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查找臭味来源，及时清理腐败植物残体、垃圾等。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486" w:type="pct"/>
                  <w:tcBorders>
                    <w:tl2br w:val="nil"/>
                    <w:tr2bl w:val="nil"/>
                  </w:tcBorders>
                  <w:noWrap w:val="0"/>
                  <w:vAlign w:val="center"/>
                </w:tcPr>
                <w:p>
                  <w:pPr>
                    <w:adjustRightInd w:val="0"/>
                    <w:snapToGrid w:val="0"/>
                    <w:spacing w:line="240" w:lineRule="auto"/>
                    <w:jc w:val="center"/>
                    <w:rPr>
                      <w:rFonts w:hint="default"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3</w:t>
                  </w:r>
                </w:p>
              </w:tc>
              <w:tc>
                <w:tcPr>
                  <w:tcW w:w="586" w:type="pct"/>
                  <w:tcBorders>
                    <w:tl2br w:val="nil"/>
                    <w:tr2bl w:val="nil"/>
                  </w:tcBorders>
                  <w:noWrap w:val="0"/>
                  <w:vAlign w:val="center"/>
                </w:tcPr>
                <w:p>
                  <w:pPr>
                    <w:adjustRightInd w:val="0"/>
                    <w:snapToGrid w:val="0"/>
                    <w:spacing w:line="240" w:lineRule="auto"/>
                    <w:jc w:val="center"/>
                    <w:rPr>
                      <w:rFonts w:hint="default"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湿地淤堵</w:t>
                  </w:r>
                </w:p>
              </w:tc>
              <w:tc>
                <w:tcPr>
                  <w:tcW w:w="980"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表面流人工湿地淤积</w:t>
                  </w:r>
                </w:p>
              </w:tc>
              <w:tc>
                <w:tcPr>
                  <w:tcW w:w="2946" w:type="pct"/>
                  <w:tcBorders>
                    <w:tl2br w:val="nil"/>
                    <w:tr2bl w:val="nil"/>
                  </w:tcBorders>
                  <w:noWrap w:val="0"/>
                  <w:vAlign w:val="center"/>
                </w:tcPr>
                <w:p>
                  <w:pPr>
                    <w:adjustRightInd w:val="0"/>
                    <w:snapToGrid w:val="0"/>
                    <w:spacing w:line="240" w:lineRule="auto"/>
                    <w:jc w:val="left"/>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察看人工湿地缓流、淤积的位置，分析原因，采取相应措施：</w:t>
                  </w:r>
                </w:p>
                <w:p>
                  <w:pPr>
                    <w:adjustRightInd w:val="0"/>
                    <w:snapToGrid w:val="0"/>
                    <w:spacing w:line="240" w:lineRule="auto"/>
                    <w:jc w:val="left"/>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a）减小进水水力负荷，查验进出水节点是否淤堵，及时清除淤堵杂物；</w:t>
                  </w:r>
                </w:p>
                <w:p>
                  <w:pPr>
                    <w:adjustRightInd w:val="0"/>
                    <w:snapToGrid w:val="0"/>
                    <w:spacing w:line="240" w:lineRule="auto"/>
                    <w:jc w:val="left"/>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b）如建有生态滞留塘或生态砾石床，需定期清淤；</w:t>
                  </w:r>
                </w:p>
                <w:p>
                  <w:pPr>
                    <w:adjustRightInd w:val="0"/>
                    <w:snapToGrid w:val="0"/>
                    <w:spacing w:line="240" w:lineRule="auto"/>
                    <w:jc w:val="left"/>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c）必要时应对表面流人工湿地进行清淤。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486" w:type="pct"/>
                  <w:tcBorders>
                    <w:tl2br w:val="nil"/>
                    <w:tr2bl w:val="nil"/>
                  </w:tcBorders>
                  <w:noWrap w:val="0"/>
                  <w:vAlign w:val="center"/>
                </w:tcPr>
                <w:p>
                  <w:pPr>
                    <w:adjustRightInd w:val="0"/>
                    <w:snapToGrid w:val="0"/>
                    <w:spacing w:line="240" w:lineRule="auto"/>
                    <w:jc w:val="center"/>
                    <w:rPr>
                      <w:rFonts w:hint="default"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4</w:t>
                  </w:r>
                </w:p>
              </w:tc>
              <w:tc>
                <w:tcPr>
                  <w:tcW w:w="586" w:type="pct"/>
                  <w:vMerge w:val="restar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湿地</w:t>
                  </w:r>
                </w:p>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植物</w:t>
                  </w:r>
                </w:p>
              </w:tc>
              <w:tc>
                <w:tcPr>
                  <w:tcW w:w="980"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病虫害</w:t>
                  </w:r>
                </w:p>
              </w:tc>
              <w:tc>
                <w:tcPr>
                  <w:tcW w:w="2946"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依照预防为主、治疗为辅的方针，应优先采用物理、生物方法防治</w:t>
                  </w:r>
                </w:p>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病虫害，尽量少用化学农药。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486" w:type="pct"/>
                  <w:tcBorders>
                    <w:tl2br w:val="nil"/>
                    <w:tr2bl w:val="nil"/>
                  </w:tcBorders>
                  <w:noWrap w:val="0"/>
                  <w:vAlign w:val="center"/>
                </w:tcPr>
                <w:p>
                  <w:pPr>
                    <w:adjustRightInd w:val="0"/>
                    <w:snapToGrid w:val="0"/>
                    <w:spacing w:line="240" w:lineRule="auto"/>
                    <w:jc w:val="center"/>
                    <w:rPr>
                      <w:rFonts w:hint="default"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5</w:t>
                  </w:r>
                </w:p>
              </w:tc>
              <w:tc>
                <w:tcPr>
                  <w:tcW w:w="586" w:type="pct"/>
                  <w:vMerge w:val="continue"/>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p>
              </w:tc>
              <w:tc>
                <w:tcPr>
                  <w:tcW w:w="980"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倒伏</w:t>
                  </w:r>
                </w:p>
              </w:tc>
              <w:tc>
                <w:tcPr>
                  <w:tcW w:w="2946"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扶正倒伏水生植物，如水生植物倒伏严重应及时进行收割。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486" w:type="pct"/>
                  <w:tcBorders>
                    <w:tl2br w:val="nil"/>
                    <w:tr2bl w:val="nil"/>
                  </w:tcBorders>
                  <w:noWrap w:val="0"/>
                  <w:vAlign w:val="center"/>
                </w:tcPr>
                <w:p>
                  <w:pPr>
                    <w:adjustRightInd w:val="0"/>
                    <w:snapToGrid w:val="0"/>
                    <w:spacing w:line="240" w:lineRule="auto"/>
                    <w:jc w:val="center"/>
                    <w:rPr>
                      <w:rFonts w:hint="default"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6</w:t>
                  </w:r>
                </w:p>
              </w:tc>
              <w:tc>
                <w:tcPr>
                  <w:tcW w:w="586" w:type="pct"/>
                  <w:vMerge w:val="continue"/>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p>
              </w:tc>
              <w:tc>
                <w:tcPr>
                  <w:tcW w:w="980"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长势较差</w:t>
                  </w:r>
                </w:p>
              </w:tc>
              <w:tc>
                <w:tcPr>
                  <w:tcW w:w="2946"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可适当控制水位至人工湿地填料表层以上10 cm ~20 cm，保持水位直至植物良性生长。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486" w:type="pct"/>
                  <w:tcBorders>
                    <w:tl2br w:val="nil"/>
                    <w:tr2bl w:val="nil"/>
                  </w:tcBorders>
                  <w:noWrap w:val="0"/>
                  <w:vAlign w:val="center"/>
                </w:tcPr>
                <w:p>
                  <w:pPr>
                    <w:adjustRightInd w:val="0"/>
                    <w:snapToGrid w:val="0"/>
                    <w:spacing w:line="240" w:lineRule="auto"/>
                    <w:jc w:val="center"/>
                    <w:rPr>
                      <w:rFonts w:hint="default"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7</w:t>
                  </w:r>
                </w:p>
              </w:tc>
              <w:tc>
                <w:tcPr>
                  <w:tcW w:w="586" w:type="pct"/>
                  <w:vMerge w:val="continue"/>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p>
              </w:tc>
              <w:tc>
                <w:tcPr>
                  <w:tcW w:w="980"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杂草疯长</w:t>
                  </w:r>
                </w:p>
              </w:tc>
              <w:tc>
                <w:tcPr>
                  <w:tcW w:w="2946"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可采用人工拔除结合水位控制去除杂草。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486" w:type="pct"/>
                  <w:tcBorders>
                    <w:tl2br w:val="nil"/>
                    <w:tr2bl w:val="nil"/>
                  </w:tcBorders>
                  <w:noWrap w:val="0"/>
                  <w:vAlign w:val="center"/>
                </w:tcPr>
                <w:p>
                  <w:pPr>
                    <w:adjustRightInd w:val="0"/>
                    <w:snapToGrid w:val="0"/>
                    <w:spacing w:line="240" w:lineRule="auto"/>
                    <w:jc w:val="center"/>
                    <w:rPr>
                      <w:rFonts w:hint="default"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8</w:t>
                  </w:r>
                </w:p>
              </w:tc>
              <w:tc>
                <w:tcPr>
                  <w:tcW w:w="586" w:type="pct"/>
                  <w:vMerge w:val="restart"/>
                  <w:tcBorders>
                    <w:tl2br w:val="nil"/>
                    <w:tr2bl w:val="nil"/>
                  </w:tcBorders>
                  <w:noWrap w:val="0"/>
                  <w:vAlign w:val="center"/>
                </w:tcPr>
                <w:p>
                  <w:pPr>
                    <w:adjustRightInd w:val="0"/>
                    <w:snapToGrid w:val="0"/>
                    <w:spacing w:line="240" w:lineRule="auto"/>
                    <w:jc w:val="center"/>
                    <w:rPr>
                      <w:rFonts w:hint="default"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水量变化</w:t>
                  </w:r>
                </w:p>
              </w:tc>
              <w:tc>
                <w:tcPr>
                  <w:tcW w:w="980"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进水量骤减</w:t>
                  </w:r>
                </w:p>
              </w:tc>
              <w:tc>
                <w:tcPr>
                  <w:tcW w:w="2946"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检查进水口、进水管道、沉淀池等设施，如遇堵塞、损坏等应及时清理、修复。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486" w:type="pct"/>
                  <w:tcBorders>
                    <w:tl2br w:val="nil"/>
                    <w:tr2bl w:val="nil"/>
                  </w:tcBorders>
                  <w:noWrap w:val="0"/>
                  <w:vAlign w:val="center"/>
                </w:tcPr>
                <w:p>
                  <w:pPr>
                    <w:adjustRightInd w:val="0"/>
                    <w:snapToGrid w:val="0"/>
                    <w:spacing w:line="240" w:lineRule="auto"/>
                    <w:jc w:val="center"/>
                    <w:rPr>
                      <w:rFonts w:hint="default"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9</w:t>
                  </w:r>
                </w:p>
              </w:tc>
              <w:tc>
                <w:tcPr>
                  <w:tcW w:w="586" w:type="pct"/>
                  <w:vMerge w:val="continue"/>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p>
              </w:tc>
              <w:tc>
                <w:tcPr>
                  <w:tcW w:w="980"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出水量骤减</w:t>
                  </w:r>
                </w:p>
              </w:tc>
              <w:tc>
                <w:tcPr>
                  <w:tcW w:w="2946"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在进水量不变情况下，出水量骤减，应逐步检查人工湿地主体构筑物，如出现被破坏、渗漏等应及时修复。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486" w:type="pct"/>
                  <w:tcBorders>
                    <w:tl2br w:val="nil"/>
                    <w:tr2bl w:val="nil"/>
                  </w:tcBorders>
                  <w:noWrap w:val="0"/>
                  <w:vAlign w:val="center"/>
                </w:tcPr>
                <w:p>
                  <w:pPr>
                    <w:adjustRightInd w:val="0"/>
                    <w:snapToGrid w:val="0"/>
                    <w:spacing w:line="240" w:lineRule="auto"/>
                    <w:jc w:val="center"/>
                    <w:rPr>
                      <w:rFonts w:hint="default"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10</w:t>
                  </w:r>
                </w:p>
              </w:tc>
              <w:tc>
                <w:tcPr>
                  <w:tcW w:w="586" w:type="pct"/>
                  <w:vMerge w:val="continue"/>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p>
              </w:tc>
              <w:tc>
                <w:tcPr>
                  <w:tcW w:w="980"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布水不均匀</w:t>
                  </w:r>
                </w:p>
              </w:tc>
              <w:tc>
                <w:tcPr>
                  <w:tcW w:w="2946"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a）查验布水渠或管道是否堵塞，布水口是否淤堵，及时清理淤泥、腐败植物或其它杂物。</w:t>
                  </w:r>
                </w:p>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b）查验布水管孔口是否错位，及时矫正，以防孔口堵塞。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486" w:type="pct"/>
                  <w:tcBorders>
                    <w:tl2br w:val="nil"/>
                    <w:tr2bl w:val="nil"/>
                  </w:tcBorders>
                  <w:noWrap w:val="0"/>
                  <w:vAlign w:val="center"/>
                </w:tcPr>
                <w:p>
                  <w:pPr>
                    <w:adjustRightInd w:val="0"/>
                    <w:snapToGrid w:val="0"/>
                    <w:spacing w:line="240" w:lineRule="auto"/>
                    <w:jc w:val="center"/>
                    <w:rPr>
                      <w:rFonts w:hint="default"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11</w:t>
                  </w:r>
                </w:p>
              </w:tc>
              <w:tc>
                <w:tcPr>
                  <w:tcW w:w="586" w:type="pct"/>
                  <w:vMerge w:val="continue"/>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p>
              </w:tc>
              <w:tc>
                <w:tcPr>
                  <w:tcW w:w="980"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进水量骤增</w:t>
                  </w:r>
                </w:p>
              </w:tc>
              <w:tc>
                <w:tcPr>
                  <w:tcW w:w="2946"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雨雪天气等原因造成湿地进水量骤增，应及时清理漂入湿地的垃圾、枯枝败叶，检查湿地设施运转情况，并及时修复受损设施。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486" w:type="pct"/>
                  <w:tcBorders>
                    <w:tl2br w:val="nil"/>
                    <w:tr2bl w:val="nil"/>
                  </w:tcBorders>
                  <w:noWrap w:val="0"/>
                  <w:vAlign w:val="center"/>
                </w:tcPr>
                <w:p>
                  <w:pPr>
                    <w:adjustRightInd w:val="0"/>
                    <w:snapToGrid w:val="0"/>
                    <w:spacing w:line="240" w:lineRule="auto"/>
                    <w:jc w:val="center"/>
                    <w:rPr>
                      <w:rFonts w:hint="default"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12</w:t>
                  </w:r>
                </w:p>
              </w:tc>
              <w:tc>
                <w:tcPr>
                  <w:tcW w:w="586" w:type="pct"/>
                  <w:vMerge w:val="restar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其它异常情况</w:t>
                  </w:r>
                </w:p>
              </w:tc>
              <w:tc>
                <w:tcPr>
                  <w:tcW w:w="980"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湿地内出现水葫芦、水花生、浮萍、槐叶萍等</w:t>
                  </w:r>
                </w:p>
              </w:tc>
              <w:tc>
                <w:tcPr>
                  <w:tcW w:w="2946"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应每日检查，及时清理，建议采用专业机械设备进行清理。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486" w:type="pct"/>
                  <w:tcBorders>
                    <w:tl2br w:val="nil"/>
                    <w:tr2bl w:val="nil"/>
                  </w:tcBorders>
                  <w:noWrap w:val="0"/>
                  <w:vAlign w:val="center"/>
                </w:tcPr>
                <w:p>
                  <w:pPr>
                    <w:adjustRightInd w:val="0"/>
                    <w:snapToGrid w:val="0"/>
                    <w:spacing w:line="240" w:lineRule="auto"/>
                    <w:jc w:val="center"/>
                    <w:rPr>
                      <w:rFonts w:hint="default"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13</w:t>
                  </w:r>
                </w:p>
              </w:tc>
              <w:tc>
                <w:tcPr>
                  <w:tcW w:w="586" w:type="pct"/>
                  <w:vMerge w:val="continue"/>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p>
              </w:tc>
              <w:tc>
                <w:tcPr>
                  <w:tcW w:w="980"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表面流人工湿地出现丝状藻</w:t>
                  </w:r>
                </w:p>
              </w:tc>
              <w:tc>
                <w:tcPr>
                  <w:tcW w:w="2946"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采取人工打捞结合补种睡莲、荷花、铜钱草等浮叶植物进行遮光。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486" w:type="pct"/>
                  <w:tcBorders>
                    <w:tl2br w:val="nil"/>
                    <w:tr2bl w:val="nil"/>
                  </w:tcBorders>
                  <w:noWrap w:val="0"/>
                  <w:vAlign w:val="center"/>
                </w:tcPr>
                <w:p>
                  <w:pPr>
                    <w:adjustRightInd w:val="0"/>
                    <w:snapToGrid w:val="0"/>
                    <w:spacing w:line="240" w:lineRule="auto"/>
                    <w:jc w:val="center"/>
                    <w:rPr>
                      <w:rFonts w:hint="default"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14</w:t>
                  </w:r>
                </w:p>
              </w:tc>
              <w:tc>
                <w:tcPr>
                  <w:tcW w:w="586" w:type="pct"/>
                  <w:vMerge w:val="continue"/>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p>
              </w:tc>
              <w:tc>
                <w:tcPr>
                  <w:tcW w:w="980"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主体构筑物损坏</w:t>
                  </w:r>
                </w:p>
              </w:tc>
              <w:tc>
                <w:tcPr>
                  <w:tcW w:w="2946"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湿地构筑物损坏一般为裂缝、沉降、漏水和腐蚀等情况，应及时修复。根据构筑物破损情况，修复措施主要有：表面修补法、灌浆嵌缝封堵法和结构加固法。修复后构筑物检修应符合GB 50141的相关规定。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486" w:type="pct"/>
                  <w:tcBorders>
                    <w:tl2br w:val="nil"/>
                    <w:tr2bl w:val="nil"/>
                  </w:tcBorders>
                  <w:noWrap w:val="0"/>
                  <w:vAlign w:val="center"/>
                </w:tcPr>
                <w:p>
                  <w:pPr>
                    <w:adjustRightInd w:val="0"/>
                    <w:snapToGrid w:val="0"/>
                    <w:spacing w:line="240" w:lineRule="auto"/>
                    <w:jc w:val="center"/>
                    <w:rPr>
                      <w:rFonts w:hint="default"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15</w:t>
                  </w:r>
                </w:p>
              </w:tc>
              <w:tc>
                <w:tcPr>
                  <w:tcW w:w="586" w:type="pct"/>
                  <w:vMerge w:val="continue"/>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p>
              </w:tc>
              <w:tc>
                <w:tcPr>
                  <w:tcW w:w="980"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管道漏水</w:t>
                  </w:r>
                </w:p>
              </w:tc>
              <w:tc>
                <w:tcPr>
                  <w:tcW w:w="2946"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查明原因，及时修补或更换。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486" w:type="pct"/>
                  <w:tcBorders>
                    <w:tl2br w:val="nil"/>
                    <w:tr2bl w:val="nil"/>
                  </w:tcBorders>
                  <w:noWrap w:val="0"/>
                  <w:vAlign w:val="center"/>
                </w:tcPr>
                <w:p>
                  <w:pPr>
                    <w:adjustRightInd w:val="0"/>
                    <w:snapToGrid w:val="0"/>
                    <w:spacing w:line="240" w:lineRule="auto"/>
                    <w:jc w:val="center"/>
                    <w:rPr>
                      <w:rFonts w:hint="default"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16</w:t>
                  </w:r>
                </w:p>
              </w:tc>
              <w:tc>
                <w:tcPr>
                  <w:tcW w:w="586" w:type="pct"/>
                  <w:vMerge w:val="continue"/>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p>
              </w:tc>
              <w:tc>
                <w:tcPr>
                  <w:tcW w:w="980"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填料局部沉降</w:t>
                  </w:r>
                </w:p>
              </w:tc>
              <w:tc>
                <w:tcPr>
                  <w:tcW w:w="2946" w:type="pct"/>
                  <w:tcBorders>
                    <w:tl2br w:val="nil"/>
                    <w:tr2bl w:val="nil"/>
                  </w:tcBorders>
                  <w:noWrap w:val="0"/>
                  <w:vAlign w:val="center"/>
                </w:tcPr>
                <w:p>
                  <w:pPr>
                    <w:adjustRightInd w:val="0"/>
                    <w:snapToGrid w:val="0"/>
                    <w:spacing w:line="240" w:lineRule="auto"/>
                    <w:jc w:val="center"/>
                    <w:rPr>
                      <w:rFonts w:hint="eastAsia" w:cs="Times New Roman"/>
                      <w:b w:val="0"/>
                      <w:bCs w:val="0"/>
                      <w:color w:val="FF0000"/>
                      <w:sz w:val="21"/>
                      <w:szCs w:val="21"/>
                      <w:u w:val="single"/>
                      <w:lang w:val="en-US" w:eastAsia="zh-CN"/>
                    </w:rPr>
                  </w:pPr>
                  <w:r>
                    <w:rPr>
                      <w:rFonts w:hint="eastAsia" w:cs="Times New Roman"/>
                      <w:b w:val="0"/>
                      <w:bCs w:val="0"/>
                      <w:color w:val="FF0000"/>
                      <w:sz w:val="21"/>
                      <w:szCs w:val="21"/>
                      <w:u w:val="single"/>
                      <w:lang w:val="en-US" w:eastAsia="zh-CN"/>
                    </w:rPr>
                    <w:t>宜补填填料直至达到设计高程。</w:t>
                  </w:r>
                </w:p>
              </w:tc>
            </w:tr>
          </w:tbl>
          <w:p>
            <w:pPr>
              <w:spacing w:line="360" w:lineRule="auto"/>
              <w:ind w:firstLine="482" w:firstLineChars="200"/>
              <w:rPr>
                <w:rFonts w:hint="default" w:ascii="Times New Roman" w:hAnsi="Times New Roman" w:eastAsia="宋体" w:cs="Times New Roman"/>
                <w:b/>
                <w:color w:val="auto"/>
                <w:sz w:val="24"/>
                <w:u w:val="none"/>
              </w:rPr>
            </w:pPr>
            <w:r>
              <w:rPr>
                <w:rFonts w:hint="eastAsia" w:cs="Times New Roman"/>
                <w:b/>
                <w:color w:val="auto"/>
                <w:kern w:val="0"/>
                <w:sz w:val="24"/>
                <w:szCs w:val="21"/>
                <w:u w:val="none"/>
                <w:lang w:val="en-US" w:eastAsia="zh-CN"/>
              </w:rPr>
              <w:t>三、</w:t>
            </w:r>
            <w:r>
              <w:rPr>
                <w:rFonts w:hint="default" w:ascii="Times New Roman" w:hAnsi="Times New Roman" w:eastAsia="宋体" w:cs="Times New Roman"/>
                <w:b/>
                <w:color w:val="auto"/>
                <w:sz w:val="24"/>
                <w:u w:val="none"/>
              </w:rPr>
              <w:t>环境管理与环境监测计划</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（1）环境管理</w:t>
            </w:r>
          </w:p>
          <w:p>
            <w:pPr>
              <w:spacing w:line="360" w:lineRule="auto"/>
              <w:ind w:firstLine="480" w:firstLineChars="200"/>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rPr>
              <w:t>根据国家环境保护管理规定，本项目应在工程建设管理部门设置环境保护管理机构，负责确定环保方针、审查项目环境目标和指标、审批环保项目、审批环保项目实施方案和管理方案、检查环境管理业绩、培养职工环境意识等工作。</w:t>
            </w:r>
          </w:p>
          <w:p>
            <w:pPr>
              <w:adjustRightInd w:val="0"/>
              <w:snapToGrid w:val="0"/>
              <w:spacing w:line="360" w:lineRule="auto"/>
              <w:ind w:firstLine="480" w:firstLineChars="200"/>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rPr>
              <w:t>环境管理机构主要职责包括：</w:t>
            </w:r>
          </w:p>
          <w:p>
            <w:pPr>
              <w:adjustRightInd w:val="0"/>
              <w:snapToGrid w:val="0"/>
              <w:spacing w:line="360" w:lineRule="auto"/>
              <w:ind w:firstLine="480" w:firstLineChars="200"/>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rPr>
              <w:t>1）负责工程的日常环境管理工作，在业务上接受</w:t>
            </w:r>
            <w:r>
              <w:rPr>
                <w:rFonts w:hint="eastAsia" w:cs="Times New Roman"/>
                <w:color w:val="auto"/>
                <w:sz w:val="24"/>
                <w:u w:val="none"/>
                <w:lang w:val="en-US" w:eastAsia="zh-CN"/>
              </w:rPr>
              <w:t>岳阳市生态环境局湘阴分局</w:t>
            </w:r>
            <w:r>
              <w:rPr>
                <w:rFonts w:hint="default" w:ascii="Times New Roman" w:hAnsi="Times New Roman" w:eastAsia="宋体" w:cs="Times New Roman"/>
                <w:color w:val="auto"/>
                <w:sz w:val="24"/>
                <w:u w:val="none"/>
              </w:rPr>
              <w:t>的监督、检查和指导。</w:t>
            </w:r>
          </w:p>
          <w:p>
            <w:pPr>
              <w:adjustRightInd w:val="0"/>
              <w:snapToGrid w:val="0"/>
              <w:spacing w:line="360" w:lineRule="auto"/>
              <w:ind w:firstLine="480" w:firstLineChars="200"/>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rPr>
              <w:t>2）贯彻执行国家环境保护方针、政策、法律、法规及技术标准，并为确定开发项目的环境方针和目标提供决策依据，根据环境方针编制、报批项目环境目标和指标，编制环境管理方案，指导、检查督促各环境监测站的业务工作，编制人员培训计划，作好环境工作内部审查，管理环保文档等。</w:t>
            </w:r>
          </w:p>
          <w:p>
            <w:pPr>
              <w:adjustRightInd w:val="0"/>
              <w:snapToGrid w:val="0"/>
              <w:spacing w:line="360" w:lineRule="auto"/>
              <w:ind w:firstLine="480" w:firstLineChars="200"/>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rPr>
              <w:t>3）参与工程建设的各有关施工单位内部应视具体情况，建立相应的环境保护机构、或指定专门人员负责本单位施工过程中的环境保护工作。为保证工程环境保护工作的连续性和稳定性，上述各环境保护机构及工作人员应保持相对稳定。</w:t>
            </w:r>
          </w:p>
          <w:p>
            <w:pPr>
              <w:adjustRightInd w:val="0"/>
              <w:snapToGrid w:val="0"/>
              <w:spacing w:line="360" w:lineRule="auto"/>
              <w:ind w:firstLine="480" w:firstLineChars="200"/>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rPr>
              <w:t>4）建立相应的环境保护体系，负责对环境监测、监理计划及环境保护措施的实施进行切实有效的监督，并统计整理有关环境监测资料并上报地方环保部门。</w:t>
            </w:r>
          </w:p>
          <w:p>
            <w:pPr>
              <w:adjustRightInd w:val="0"/>
              <w:snapToGrid w:val="0"/>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5）负责协调各施工承包商及环境监测单位的工作。</w:t>
            </w:r>
          </w:p>
          <w:p>
            <w:pPr>
              <w:adjustRightInd w:val="0"/>
              <w:snapToGrid w:val="0"/>
              <w:spacing w:line="360" w:lineRule="auto"/>
              <w:ind w:firstLine="480" w:firstLineChars="200"/>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rPr>
              <w:t>6）施工中全过程跟踪检查、监督环境管理制度和环保措施执行情况，及时发现施工中可能出现的各类生态破坏和环境污染问题，负责处理各类污染事故和善后处理等。</w:t>
            </w:r>
          </w:p>
          <w:p>
            <w:pPr>
              <w:adjustRightInd w:val="0"/>
              <w:snapToGrid w:val="0"/>
              <w:spacing w:line="360" w:lineRule="auto"/>
              <w:ind w:firstLine="480" w:firstLineChars="200"/>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rPr>
              <w:t>（2）环境敏感目标环境管理</w:t>
            </w:r>
          </w:p>
          <w:p>
            <w:pPr>
              <w:adjustRightInd w:val="0"/>
              <w:snapToGrid w:val="0"/>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本项目为线状和点状结合工程，工程影响范围内存在居民类型环境敏感点，根据噪声和大气环境影响预测结果，部分居民在工程施工期间将受工程施工噪声、大气影响，如果不采取相应的针对性环境保护措施，他们生产、生活和学习将受到一定影响。因此工程施工期环境管理要以环境敏感目标的环境保护为主线加强施工期环境管理，按环保设计要求严格执行环保措施和落实环保资金，使环境保护行政主管部门和环评报告提出的环保措施得到认真落实，使工程产生的环境影响得到最有效的减缓和消除。</w:t>
            </w:r>
          </w:p>
          <w:p>
            <w:pPr>
              <w:adjustRightInd w:val="0"/>
              <w:snapToGrid w:val="0"/>
              <w:spacing w:line="360" w:lineRule="auto"/>
              <w:ind w:firstLine="480" w:firstLineChars="200"/>
              <w:rPr>
                <w:rFonts w:hint="default" w:ascii="Times New Roman" w:hAnsi="Times New Roman" w:eastAsia="宋体" w:cs="Times New Roman"/>
                <w:color w:val="FF0000"/>
                <w:sz w:val="24"/>
                <w:u w:val="single"/>
              </w:rPr>
            </w:pPr>
            <w:r>
              <w:rPr>
                <w:rFonts w:hint="default" w:ascii="Times New Roman" w:hAnsi="Times New Roman" w:eastAsia="宋体" w:cs="Times New Roman"/>
                <w:color w:val="FF0000"/>
                <w:sz w:val="24"/>
                <w:u w:val="single"/>
              </w:rPr>
              <w:t>（3）环境监测计划</w:t>
            </w:r>
          </w:p>
          <w:p>
            <w:pPr>
              <w:adjustRightInd w:val="0"/>
              <w:snapToGrid w:val="0"/>
              <w:spacing w:line="360" w:lineRule="auto"/>
              <w:ind w:firstLine="480" w:firstLineChars="200"/>
              <w:rPr>
                <w:rFonts w:hint="eastAsia" w:cs="Times New Roman"/>
                <w:color w:val="FF0000"/>
                <w:sz w:val="24"/>
                <w:u w:val="single"/>
                <w:lang w:val="en-US" w:eastAsia="zh-CN"/>
              </w:rPr>
            </w:pPr>
            <w:r>
              <w:rPr>
                <w:rFonts w:hint="eastAsia" w:cs="Times New Roman"/>
                <w:color w:val="FF0000"/>
                <w:sz w:val="24"/>
                <w:u w:val="single"/>
                <w:lang w:val="en-US" w:eastAsia="zh-CN"/>
              </w:rPr>
              <w:t>根据《人工湿地水质净化技术指南》（环办水体函〔2021〕173号 ）4.6.1要求，本项目应监测和分析人工湿地进出水的水量与水质，包括流量、水位、水温、溶解氧、pH值、悬浮物、五日生化需氧量、化学需氧量、高锰酸盐指数、氨氮、总氮和总磷等，以评价湿地水质净化效果；</w:t>
            </w:r>
          </w:p>
          <w:p>
            <w:pPr>
              <w:adjustRightInd w:val="0"/>
              <w:snapToGrid w:val="0"/>
              <w:spacing w:line="360" w:lineRule="auto"/>
              <w:ind w:firstLine="480" w:firstLineChars="200"/>
              <w:rPr>
                <w:rFonts w:hint="default" w:cs="Times New Roman"/>
                <w:color w:val="FF0000"/>
                <w:sz w:val="24"/>
                <w:u w:val="single"/>
                <w:lang w:val="en-US" w:eastAsia="zh-CN"/>
              </w:rPr>
            </w:pPr>
            <w:r>
              <w:rPr>
                <w:rFonts w:hint="default" w:cs="Times New Roman"/>
                <w:color w:val="FF0000"/>
                <w:sz w:val="24"/>
                <w:u w:val="single"/>
                <w:lang w:val="en-US" w:eastAsia="zh-CN"/>
              </w:rPr>
              <w:t>具有在线监测设备的应每日记录监测数据。委托有资质单位监测的，每月监测次数不少于2次，监测报告存档备案。</w:t>
            </w:r>
          </w:p>
          <w:p>
            <w:pPr>
              <w:adjustRightInd w:val="0"/>
              <w:snapToGrid w:val="0"/>
              <w:spacing w:line="360" w:lineRule="auto"/>
              <w:ind w:firstLine="480" w:firstLineChars="200"/>
              <w:rPr>
                <w:rFonts w:hint="default" w:cs="Times New Roman"/>
                <w:color w:val="FF0000"/>
                <w:sz w:val="24"/>
                <w:u w:val="single"/>
                <w:lang w:val="en-US" w:eastAsia="zh-CN"/>
              </w:rPr>
            </w:pPr>
            <w:r>
              <w:rPr>
                <w:rFonts w:hint="default" w:cs="Times New Roman"/>
                <w:color w:val="FF0000"/>
                <w:sz w:val="24"/>
                <w:u w:val="single"/>
                <w:lang w:val="en-US" w:eastAsia="zh-CN"/>
              </w:rPr>
              <w:t>人工湿地进出水水质波动或恶化时，应对人工湿地系统各运行单元开展水质监测分析，可根据需要适当增加监测指标、监测点位和监测频率。</w:t>
            </w:r>
          </w:p>
          <w:p>
            <w:pPr>
              <w:adjustRightInd w:val="0"/>
              <w:snapToGrid w:val="0"/>
              <w:spacing w:line="360" w:lineRule="auto"/>
              <w:ind w:firstLine="480" w:firstLineChars="200"/>
              <w:rPr>
                <w:rFonts w:hint="default" w:cs="Times New Roman"/>
                <w:color w:val="FF0000"/>
                <w:sz w:val="24"/>
                <w:u w:val="single"/>
                <w:lang w:val="en-US" w:eastAsia="zh-CN"/>
              </w:rPr>
            </w:pPr>
            <w:r>
              <w:rPr>
                <w:rFonts w:hint="default" w:cs="Times New Roman"/>
                <w:color w:val="FF0000"/>
                <w:sz w:val="24"/>
                <w:u w:val="single"/>
                <w:lang w:val="en-US" w:eastAsia="zh-CN"/>
              </w:rPr>
              <w:t>应根据水质指标的监测和分析，及时调整人工湿地运行方式及管理措施。</w:t>
            </w:r>
          </w:p>
          <w:p>
            <w:pPr>
              <w:adjustRightInd w:val="0"/>
              <w:snapToGrid w:val="0"/>
              <w:spacing w:line="360" w:lineRule="auto"/>
              <w:ind w:firstLine="480" w:firstLineChars="200"/>
              <w:rPr>
                <w:rFonts w:hint="default" w:ascii="Times New Roman" w:hAnsi="Times New Roman" w:eastAsia="宋体" w:cs="Times New Roman"/>
                <w:color w:val="FF0000"/>
                <w:sz w:val="24"/>
                <w:u w:val="single"/>
              </w:rPr>
            </w:pPr>
            <w:r>
              <w:rPr>
                <w:rFonts w:hint="default" w:ascii="Times New Roman" w:hAnsi="Times New Roman" w:eastAsia="宋体" w:cs="Times New Roman"/>
                <w:color w:val="FF0000"/>
                <w:sz w:val="24"/>
                <w:u w:val="single"/>
              </w:rPr>
              <w:t>人工湿地运行维护监测指标、方式、点位及频率见表5-</w:t>
            </w:r>
            <w:r>
              <w:rPr>
                <w:rFonts w:hint="eastAsia" w:cs="Times New Roman"/>
                <w:color w:val="FF0000"/>
                <w:sz w:val="24"/>
                <w:u w:val="single"/>
                <w:lang w:val="en-US" w:eastAsia="zh-CN"/>
              </w:rPr>
              <w:t>2</w:t>
            </w:r>
            <w:r>
              <w:rPr>
                <w:rFonts w:hint="default" w:ascii="Times New Roman" w:hAnsi="Times New Roman" w:eastAsia="宋体" w:cs="Times New Roman"/>
                <w:color w:val="FF0000"/>
                <w:sz w:val="24"/>
                <w:u w:val="single"/>
              </w:rPr>
              <w:t>。</w:t>
            </w:r>
          </w:p>
          <w:p>
            <w:pPr>
              <w:keepNext w:val="0"/>
              <w:keepLines w:val="0"/>
              <w:pageBreakBefore w:val="0"/>
              <w:widowControl w:val="0"/>
              <w:tabs>
                <w:tab w:val="left" w:pos="4065"/>
              </w:tabs>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color w:val="FF0000"/>
                <w:kern w:val="1"/>
                <w:sz w:val="21"/>
                <w:szCs w:val="21"/>
                <w:u w:val="single"/>
              </w:rPr>
            </w:pPr>
            <w:r>
              <w:rPr>
                <w:rFonts w:hint="default" w:ascii="Times New Roman" w:hAnsi="Times New Roman" w:eastAsia="宋体" w:cs="Times New Roman"/>
                <w:b/>
                <w:color w:val="FF0000"/>
                <w:kern w:val="1"/>
                <w:sz w:val="21"/>
                <w:szCs w:val="21"/>
                <w:u w:val="single"/>
              </w:rPr>
              <w:t>表5-</w:t>
            </w:r>
            <w:r>
              <w:rPr>
                <w:rFonts w:hint="eastAsia" w:cs="Times New Roman"/>
                <w:b/>
                <w:color w:val="FF0000"/>
                <w:kern w:val="1"/>
                <w:sz w:val="21"/>
                <w:szCs w:val="21"/>
                <w:u w:val="single"/>
                <w:lang w:val="en-US" w:eastAsia="zh-CN"/>
              </w:rPr>
              <w:t xml:space="preserve">2                    </w:t>
            </w:r>
            <w:r>
              <w:rPr>
                <w:rFonts w:hint="default" w:ascii="Times New Roman" w:hAnsi="Times New Roman" w:eastAsia="宋体" w:cs="Times New Roman"/>
                <w:b/>
                <w:color w:val="FF0000"/>
                <w:kern w:val="1"/>
                <w:sz w:val="21"/>
                <w:szCs w:val="21"/>
                <w:u w:val="single"/>
              </w:rPr>
              <w:t>本项目环境监测计划一览表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85" w:type="dxa"/>
                <w:left w:w="108" w:type="dxa"/>
                <w:bottom w:w="85" w:type="dxa"/>
                <w:right w:w="108" w:type="dxa"/>
              </w:tblCellMar>
            </w:tblPr>
            <w:tblGrid>
              <w:gridCol w:w="2052"/>
              <w:gridCol w:w="2052"/>
              <w:gridCol w:w="2052"/>
              <w:gridCol w:w="20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1250"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b/>
                      <w:bCs/>
                      <w:color w:val="FF0000"/>
                      <w:sz w:val="21"/>
                      <w:szCs w:val="21"/>
                      <w:u w:val="single"/>
                      <w:lang w:val="en-US" w:eastAsia="zh-CN"/>
                    </w:rPr>
                  </w:pPr>
                  <w:r>
                    <w:rPr>
                      <w:rFonts w:hint="eastAsia" w:cs="Times New Roman"/>
                      <w:b/>
                      <w:bCs/>
                      <w:color w:val="FF0000"/>
                      <w:sz w:val="21"/>
                      <w:szCs w:val="21"/>
                      <w:u w:val="single"/>
                      <w:lang w:val="en-US" w:eastAsia="zh-CN"/>
                    </w:rPr>
                    <w:t>监测指标</w:t>
                  </w:r>
                </w:p>
              </w:tc>
              <w:tc>
                <w:tcPr>
                  <w:tcW w:w="125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FF0000"/>
                      <w:sz w:val="21"/>
                      <w:szCs w:val="21"/>
                      <w:u w:val="single"/>
                      <w:lang w:val="en-US" w:eastAsia="zh-CN"/>
                    </w:rPr>
                  </w:pPr>
                  <w:r>
                    <w:rPr>
                      <w:rFonts w:hint="eastAsia" w:cs="Times New Roman"/>
                      <w:b/>
                      <w:bCs/>
                      <w:color w:val="FF0000"/>
                      <w:sz w:val="21"/>
                      <w:szCs w:val="21"/>
                      <w:u w:val="single"/>
                      <w:lang w:val="en-US" w:eastAsia="zh-CN"/>
                    </w:rPr>
                    <w:t>监测方式</w:t>
                  </w:r>
                </w:p>
              </w:tc>
              <w:tc>
                <w:tcPr>
                  <w:tcW w:w="1250"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b/>
                      <w:bCs/>
                      <w:color w:val="FF0000"/>
                      <w:sz w:val="21"/>
                      <w:szCs w:val="21"/>
                      <w:u w:val="single"/>
                      <w:lang w:val="en-US" w:eastAsia="zh-CN"/>
                    </w:rPr>
                  </w:pPr>
                  <w:r>
                    <w:rPr>
                      <w:rFonts w:hint="eastAsia" w:cs="Times New Roman"/>
                      <w:b/>
                      <w:bCs/>
                      <w:color w:val="FF0000"/>
                      <w:sz w:val="21"/>
                      <w:szCs w:val="21"/>
                      <w:u w:val="single"/>
                      <w:lang w:val="en-US" w:eastAsia="zh-CN"/>
                    </w:rPr>
                    <w:t>监测点位</w:t>
                  </w:r>
                </w:p>
              </w:tc>
              <w:tc>
                <w:tcPr>
                  <w:tcW w:w="125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FF0000"/>
                      <w:sz w:val="21"/>
                      <w:szCs w:val="21"/>
                      <w:u w:val="single"/>
                      <w:lang w:val="en-US" w:eastAsia="zh-CN"/>
                    </w:rPr>
                  </w:pPr>
                  <w:r>
                    <w:rPr>
                      <w:rFonts w:hint="eastAsia" w:cs="Times New Roman"/>
                      <w:b/>
                      <w:bCs/>
                      <w:color w:val="FF0000"/>
                      <w:sz w:val="21"/>
                      <w:szCs w:val="21"/>
                      <w:u w:val="single"/>
                      <w:lang w:val="en-US" w:eastAsia="zh-C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1250"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流量</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eastAsia" w:cs="Times New Roman"/>
                      <w:color w:val="FF0000"/>
                      <w:kern w:val="2"/>
                      <w:sz w:val="21"/>
                      <w:szCs w:val="21"/>
                      <w:u w:val="single"/>
                      <w:lang w:val="en-US" w:eastAsia="zh-CN" w:bidi="ar-SA"/>
                    </w:rPr>
                    <w:t>在线监测</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eastAsia" w:cs="Times New Roman"/>
                      <w:color w:val="FF0000"/>
                      <w:kern w:val="2"/>
                      <w:sz w:val="21"/>
                      <w:szCs w:val="21"/>
                      <w:u w:val="single"/>
                      <w:lang w:val="en-US" w:eastAsia="zh-CN" w:bidi="ar-SA"/>
                    </w:rPr>
                    <w:t>人工湿地进水、出水</w:t>
                  </w:r>
                </w:p>
              </w:tc>
              <w:tc>
                <w:tcPr>
                  <w:tcW w:w="1250" w:type="pct"/>
                  <w:vMerge w:val="restar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eastAsia" w:cs="Times New Roman"/>
                      <w:color w:val="FF0000"/>
                      <w:kern w:val="2"/>
                      <w:sz w:val="21"/>
                      <w:szCs w:val="21"/>
                      <w:u w:val="single"/>
                      <w:lang w:val="en-US" w:eastAsia="zh-CN" w:bidi="ar-SA"/>
                    </w:rPr>
                    <w:t>每日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1250"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水位</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eastAsia" w:cs="Times New Roman"/>
                      <w:color w:val="FF0000"/>
                      <w:kern w:val="2"/>
                      <w:sz w:val="21"/>
                      <w:szCs w:val="21"/>
                      <w:u w:val="single"/>
                      <w:lang w:val="en-US" w:eastAsia="zh-CN" w:bidi="ar-SA"/>
                    </w:rPr>
                    <w:t>水位标尺</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eastAsia" w:cs="Times New Roman"/>
                      <w:color w:val="FF0000"/>
                      <w:kern w:val="2"/>
                      <w:sz w:val="21"/>
                      <w:szCs w:val="21"/>
                      <w:u w:val="single"/>
                      <w:lang w:val="en-US" w:eastAsia="zh-CN" w:bidi="ar-SA"/>
                    </w:rPr>
                    <w:t>水渠、人工湿地各单元</w:t>
                  </w:r>
                </w:p>
              </w:tc>
              <w:tc>
                <w:tcPr>
                  <w:tcW w:w="1250" w:type="pct"/>
                  <w:vMerge w:val="continue"/>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125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悬浮物、五日生化需氧量、化学需氧量、高锰酸盐指数、氨氮、总氮、总磷</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default" w:ascii="Times New Roman" w:hAnsi="Times New Roman" w:eastAsia="宋体" w:cs="Times New Roman"/>
                      <w:color w:val="FF0000"/>
                      <w:kern w:val="2"/>
                      <w:sz w:val="21"/>
                      <w:szCs w:val="21"/>
                      <w:u w:val="single"/>
                      <w:lang w:val="en-US" w:eastAsia="zh-CN" w:bidi="ar-SA"/>
                    </w:rPr>
                    <w:t>在线监测、委托监测</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default" w:ascii="Times New Roman" w:hAnsi="Times New Roman" w:eastAsia="宋体" w:cs="Times New Roman"/>
                      <w:color w:val="FF0000"/>
                      <w:kern w:val="2"/>
                      <w:sz w:val="21"/>
                      <w:szCs w:val="21"/>
                      <w:u w:val="single"/>
                      <w:lang w:val="en-US" w:eastAsia="zh-CN" w:bidi="ar-SA"/>
                    </w:rPr>
                    <w:t>人工湿地各单元的进水、出水</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default" w:ascii="Times New Roman" w:hAnsi="Times New Roman" w:eastAsia="宋体" w:cs="Times New Roman"/>
                      <w:color w:val="FF0000"/>
                      <w:kern w:val="2"/>
                      <w:sz w:val="21"/>
                      <w:szCs w:val="21"/>
                      <w:u w:val="single"/>
                      <w:lang w:val="en-US" w:eastAsia="zh-CN" w:bidi="ar-SA"/>
                    </w:rPr>
                    <w:t>在线监测每日监</w:t>
                  </w:r>
                </w:p>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default" w:ascii="Times New Roman" w:hAnsi="Times New Roman" w:eastAsia="宋体" w:cs="Times New Roman"/>
                      <w:color w:val="FF0000"/>
                      <w:kern w:val="2"/>
                      <w:sz w:val="21"/>
                      <w:szCs w:val="21"/>
                      <w:u w:val="single"/>
                      <w:lang w:val="en-US" w:eastAsia="zh-CN" w:bidi="ar-SA"/>
                    </w:rPr>
                    <w:t>测、委托监测每月</w:t>
                  </w:r>
                </w:p>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default" w:ascii="Times New Roman" w:hAnsi="Times New Roman" w:eastAsia="宋体" w:cs="Times New Roman"/>
                      <w:color w:val="FF0000"/>
                      <w:kern w:val="2"/>
                      <w:sz w:val="21"/>
                      <w:szCs w:val="21"/>
                      <w:u w:val="single"/>
                      <w:lang w:val="en-US" w:eastAsia="zh-CN" w:bidi="ar-SA"/>
                    </w:rPr>
                    <w:t>不少于两次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125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水温、溶解氧、pH值</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default" w:ascii="Times New Roman" w:hAnsi="Times New Roman" w:eastAsia="宋体" w:cs="Times New Roman"/>
                      <w:color w:val="FF0000"/>
                      <w:kern w:val="2"/>
                      <w:sz w:val="21"/>
                      <w:szCs w:val="21"/>
                      <w:u w:val="single"/>
                      <w:lang w:val="en-US" w:eastAsia="zh-CN" w:bidi="ar-SA"/>
                    </w:rPr>
                    <w:t>便携式检测仪</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default" w:ascii="Times New Roman" w:hAnsi="Times New Roman" w:eastAsia="宋体" w:cs="Times New Roman"/>
                      <w:color w:val="FF0000"/>
                      <w:kern w:val="2"/>
                      <w:sz w:val="21"/>
                      <w:szCs w:val="21"/>
                      <w:u w:val="single"/>
                      <w:lang w:val="en-US" w:eastAsia="zh-CN" w:bidi="ar-SA"/>
                    </w:rPr>
                    <w:t>人工湿地各单元</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default" w:ascii="Times New Roman" w:hAnsi="Times New Roman" w:eastAsia="宋体" w:cs="Times New Roman"/>
                      <w:color w:val="FF0000"/>
                      <w:kern w:val="2"/>
                      <w:sz w:val="21"/>
                      <w:szCs w:val="21"/>
                      <w:u w:val="single"/>
                      <w:lang w:val="en-US" w:eastAsia="zh-CN" w:bidi="ar-SA"/>
                    </w:rPr>
                    <w:t>每日</w:t>
                  </w:r>
                </w:p>
              </w:tc>
            </w:tr>
          </w:tbl>
          <w:p>
            <w:pPr>
              <w:spacing w:line="360" w:lineRule="auto"/>
              <w:ind w:firstLine="460" w:firstLineChars="200"/>
              <w:rPr>
                <w:rFonts w:hint="default" w:ascii="Times New Roman" w:hAnsi="Times New Roman" w:eastAsia="宋体" w:cs="Times New Roman"/>
                <w:bCs/>
                <w:color w:val="auto"/>
                <w:spacing w:val="10"/>
                <w:szCs w:val="21"/>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noWrap w:val="0"/>
            <w:vAlign w:val="center"/>
          </w:tcPr>
          <w:p>
            <w:pPr>
              <w:adjustRightInd w:val="0"/>
              <w:snapToGrid w:val="0"/>
              <w:jc w:val="center"/>
              <w:rPr>
                <w:rFonts w:hint="default" w:ascii="Times New Roman" w:hAnsi="Times New Roman" w:eastAsia="宋体" w:cs="Times New Roman"/>
                <w:bCs/>
                <w:color w:val="auto"/>
                <w:spacing w:val="10"/>
                <w:szCs w:val="21"/>
                <w:u w:val="none"/>
              </w:rPr>
            </w:pPr>
            <w:r>
              <w:rPr>
                <w:rFonts w:hint="default" w:ascii="Times New Roman" w:hAnsi="Times New Roman" w:eastAsia="宋体" w:cs="Times New Roman"/>
                <w:bCs/>
                <w:color w:val="auto"/>
                <w:szCs w:val="21"/>
                <w:u w:val="none"/>
              </w:rPr>
              <w:t>环保投资</w:t>
            </w:r>
          </w:p>
        </w:tc>
        <w:tc>
          <w:tcPr>
            <w:tcW w:w="8457" w:type="dxa"/>
            <w:noWrap w:val="0"/>
            <w:vAlign w:val="center"/>
          </w:tcPr>
          <w:p>
            <w:pPr>
              <w:spacing w:line="360" w:lineRule="auto"/>
              <w:ind w:firstLine="480" w:firstLineChars="200"/>
              <w:contextualSpacing/>
              <w:jc w:val="left"/>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本项目环保投资见表5-</w:t>
            </w:r>
            <w:r>
              <w:rPr>
                <w:rFonts w:hint="eastAsia" w:cs="Times New Roman"/>
                <w:color w:val="auto"/>
                <w:sz w:val="24"/>
                <w:u w:val="none"/>
                <w:lang w:val="en-US" w:eastAsia="zh-CN"/>
              </w:rPr>
              <w:t>3</w:t>
            </w:r>
            <w:r>
              <w:rPr>
                <w:rFonts w:hint="default" w:ascii="Times New Roman" w:hAnsi="Times New Roman" w:eastAsia="宋体" w:cs="Times New Roman"/>
                <w:color w:val="auto"/>
                <w:sz w:val="24"/>
                <w:u w:val="none"/>
              </w:rPr>
              <w:t>。</w:t>
            </w:r>
          </w:p>
          <w:p>
            <w:pPr>
              <w:keepNext w:val="0"/>
              <w:keepLines w:val="0"/>
              <w:pageBreakBefore w:val="0"/>
              <w:widowControl w:val="0"/>
              <w:tabs>
                <w:tab w:val="left" w:pos="4065"/>
              </w:tabs>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color w:val="auto"/>
                <w:kern w:val="1"/>
                <w:sz w:val="24"/>
                <w:highlight w:val="none"/>
                <w:u w:val="none"/>
              </w:rPr>
            </w:pPr>
            <w:r>
              <w:rPr>
                <w:rFonts w:hint="default" w:ascii="Times New Roman" w:hAnsi="Times New Roman" w:eastAsia="宋体" w:cs="Times New Roman"/>
                <w:b/>
                <w:color w:val="auto"/>
                <w:kern w:val="1"/>
                <w:sz w:val="24"/>
                <w:highlight w:val="none"/>
                <w:u w:val="none"/>
              </w:rPr>
              <w:t>表5-</w:t>
            </w:r>
            <w:r>
              <w:rPr>
                <w:rFonts w:hint="eastAsia" w:cs="Times New Roman"/>
                <w:b/>
                <w:color w:val="auto"/>
                <w:kern w:val="1"/>
                <w:sz w:val="24"/>
                <w:highlight w:val="none"/>
                <w:u w:val="none"/>
                <w:lang w:val="en-US" w:eastAsia="zh-CN"/>
              </w:rPr>
              <w:t xml:space="preserve">3                 </w:t>
            </w:r>
            <w:r>
              <w:rPr>
                <w:rFonts w:hint="default" w:ascii="Times New Roman" w:hAnsi="Times New Roman" w:eastAsia="宋体" w:cs="Times New Roman"/>
                <w:b/>
                <w:color w:val="auto"/>
                <w:kern w:val="1"/>
                <w:sz w:val="24"/>
                <w:highlight w:val="none"/>
                <w:u w:val="none"/>
              </w:rPr>
              <w:t>本项目环保投资一览表</w:t>
            </w:r>
          </w:p>
          <w:tbl>
            <w:tblPr>
              <w:tblStyle w:val="32"/>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687"/>
              <w:gridCol w:w="5974"/>
              <w:gridCol w:w="11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u w:val="none"/>
                    </w:rPr>
                  </w:pPr>
                  <w:r>
                    <w:rPr>
                      <w:rFonts w:hint="default" w:ascii="Times New Roman" w:hAnsi="Times New Roman" w:eastAsia="宋体" w:cs="Times New Roman"/>
                      <w:b/>
                      <w:bCs/>
                      <w:color w:val="auto"/>
                      <w:u w:val="none"/>
                    </w:rPr>
                    <w:t>阶段</w:t>
                  </w:r>
                </w:p>
              </w:tc>
              <w:tc>
                <w:tcPr>
                  <w:tcW w:w="423"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u w:val="none"/>
                    </w:rPr>
                  </w:pPr>
                  <w:r>
                    <w:rPr>
                      <w:rFonts w:hint="default" w:ascii="Times New Roman" w:hAnsi="Times New Roman" w:eastAsia="宋体" w:cs="Times New Roman"/>
                      <w:b/>
                      <w:bCs/>
                      <w:color w:val="auto"/>
                      <w:u w:val="none"/>
                    </w:rPr>
                    <w:t>要素</w:t>
                  </w:r>
                </w:p>
              </w:tc>
              <w:tc>
                <w:tcPr>
                  <w:tcW w:w="3641"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u w:val="none"/>
                    </w:rPr>
                  </w:pPr>
                  <w:r>
                    <w:rPr>
                      <w:rFonts w:hint="default" w:ascii="Times New Roman" w:hAnsi="Times New Roman" w:eastAsia="宋体" w:cs="Times New Roman"/>
                      <w:b/>
                      <w:bCs/>
                      <w:color w:val="auto"/>
                      <w:u w:val="none"/>
                    </w:rPr>
                    <w:t>环境影响减缓及防治措施</w:t>
                  </w:r>
                </w:p>
              </w:tc>
              <w:tc>
                <w:tcPr>
                  <w:tcW w:w="687"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u w:val="none"/>
                    </w:rPr>
                  </w:pPr>
                  <w:r>
                    <w:rPr>
                      <w:rFonts w:hint="default" w:ascii="Times New Roman" w:hAnsi="Times New Roman" w:eastAsia="宋体" w:cs="Times New Roman"/>
                      <w:b/>
                      <w:bCs/>
                      <w:color w:val="auto"/>
                      <w:u w:val="none"/>
                    </w:rPr>
                    <w:t>环保投资</w:t>
                  </w:r>
                </w:p>
                <w:p>
                  <w:pPr>
                    <w:adjustRightInd w:val="0"/>
                    <w:snapToGrid w:val="0"/>
                    <w:jc w:val="center"/>
                    <w:rPr>
                      <w:rFonts w:hint="default" w:ascii="Times New Roman" w:hAnsi="Times New Roman" w:eastAsia="宋体" w:cs="Times New Roman"/>
                      <w:b/>
                      <w:bCs/>
                      <w:color w:val="auto"/>
                      <w:u w:val="none"/>
                    </w:rPr>
                  </w:pPr>
                  <w:r>
                    <w:rPr>
                      <w:rFonts w:hint="default" w:ascii="Times New Roman" w:hAnsi="Times New Roman" w:eastAsia="宋体" w:cs="Times New Roman"/>
                      <w:b/>
                      <w:bCs/>
                      <w:color w:val="auto"/>
                      <w:u w:val="none"/>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施</w:t>
                  </w:r>
                </w:p>
                <w:p>
                  <w:pPr>
                    <w:adjustRightInd w:val="0"/>
                    <w:snapToGrid w:val="0"/>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工</w:t>
                  </w:r>
                </w:p>
                <w:p>
                  <w:pPr>
                    <w:adjustRightInd w:val="0"/>
                    <w:snapToGrid w:val="0"/>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期</w:t>
                  </w:r>
                </w:p>
              </w:tc>
              <w:tc>
                <w:tcPr>
                  <w:tcW w:w="42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环境空气</w:t>
                  </w:r>
                </w:p>
              </w:tc>
              <w:tc>
                <w:tcPr>
                  <w:tcW w:w="3641" w:type="pct"/>
                  <w:tcBorders>
                    <w:tl2br w:val="nil"/>
                    <w:tr2bl w:val="nil"/>
                  </w:tcBorders>
                  <w:noWrap w:val="0"/>
                  <w:vAlign w:val="center"/>
                </w:tcPr>
                <w:p>
                  <w:p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1、对</w:t>
                  </w:r>
                  <w:r>
                    <w:rPr>
                      <w:rFonts w:hint="default" w:ascii="Times New Roman" w:hAnsi="Times New Roman" w:eastAsia="宋体" w:cs="Times New Roman"/>
                      <w:color w:val="auto"/>
                      <w:u w:val="none"/>
                      <w:lang w:val="en-US" w:eastAsia="zh-CN"/>
                    </w:rPr>
                    <w:t>施工场地</w:t>
                  </w:r>
                  <w:r>
                    <w:rPr>
                      <w:rFonts w:hint="default" w:ascii="Times New Roman" w:hAnsi="Times New Roman" w:eastAsia="宋体" w:cs="Times New Roman"/>
                      <w:color w:val="auto"/>
                      <w:u w:val="none"/>
                    </w:rPr>
                    <w:t>加强管理，在四周设置围挡</w:t>
                  </w:r>
                  <w:r>
                    <w:rPr>
                      <w:rFonts w:hint="default" w:ascii="Times New Roman" w:hAnsi="Times New Roman" w:eastAsia="宋体" w:cs="Times New Roman"/>
                      <w:color w:val="auto"/>
                      <w:u w:val="none"/>
                      <w:lang w:eastAsia="zh-CN"/>
                    </w:rPr>
                    <w:t>，</w:t>
                  </w:r>
                  <w:r>
                    <w:rPr>
                      <w:rFonts w:hint="default" w:ascii="Times New Roman" w:hAnsi="Times New Roman" w:eastAsia="宋体" w:cs="Times New Roman"/>
                      <w:color w:val="auto"/>
                      <w:u w:val="none"/>
                    </w:rPr>
                    <w:t>在场地外侧洒水抑尘；</w:t>
                  </w:r>
                </w:p>
                <w:p>
                  <w:p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2、土石方开挖面应及时洒水抑尘，当日施工结束后及时清扫施工场地，对开挖面裸露地表进行临时覆盖；</w:t>
                  </w:r>
                </w:p>
                <w:p>
                  <w:p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3、水泥、砂石料等易散失物料在装卸、使用、运输和存放等过程中，必须采取防风遮盖措施，以减少扬尘的产生；</w:t>
                  </w:r>
                </w:p>
                <w:p>
                  <w:pPr>
                    <w:adjustRightInd w:val="0"/>
                    <w:snapToGrid w:val="0"/>
                    <w:jc w:val="left"/>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4、合理安排底泥运输时间，采取封闭式渣土车运输底泥，尽量减少臭气对运输线路附近大气环境的影响。</w:t>
                  </w:r>
                </w:p>
                <w:p>
                  <w:p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5</w:t>
                  </w:r>
                  <w:r>
                    <w:rPr>
                      <w:rFonts w:hint="default" w:ascii="Times New Roman" w:hAnsi="Times New Roman" w:eastAsia="宋体" w:cs="Times New Roman"/>
                      <w:color w:val="auto"/>
                      <w:u w:val="none"/>
                    </w:rPr>
                    <w:t>、设置运输车辆冲洗装置，车辆驶入、驶出工地应对车轮、车身等部位进行清洗，保证清洁上路。</w:t>
                  </w:r>
                </w:p>
              </w:tc>
              <w:tc>
                <w:tcPr>
                  <w:tcW w:w="68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rPr>
                  </w:pPr>
                </w:p>
              </w:tc>
              <w:tc>
                <w:tcPr>
                  <w:tcW w:w="42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水环境</w:t>
                  </w:r>
                </w:p>
              </w:tc>
              <w:tc>
                <w:tcPr>
                  <w:tcW w:w="3641" w:type="pct"/>
                  <w:tcBorders>
                    <w:tl2br w:val="nil"/>
                    <w:tr2bl w:val="nil"/>
                  </w:tcBorders>
                  <w:noWrap w:val="0"/>
                  <w:vAlign w:val="center"/>
                </w:tcPr>
                <w:p>
                  <w:pPr>
                    <w:numPr>
                      <w:ilvl w:val="0"/>
                      <w:numId w:val="4"/>
                    </w:num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施工营地</w:t>
                  </w:r>
                  <w:r>
                    <w:rPr>
                      <w:rFonts w:hint="default" w:ascii="Times New Roman" w:hAnsi="Times New Roman" w:eastAsia="宋体" w:cs="Times New Roman"/>
                      <w:color w:val="auto"/>
                      <w:u w:val="none"/>
                    </w:rPr>
                    <w:t>内设置1个15m</w:t>
                  </w:r>
                  <w:r>
                    <w:rPr>
                      <w:rFonts w:hint="default" w:ascii="Times New Roman" w:hAnsi="Times New Roman" w:eastAsia="宋体" w:cs="Times New Roman"/>
                      <w:color w:val="auto"/>
                      <w:u w:val="none"/>
                      <w:vertAlign w:val="superscript"/>
                    </w:rPr>
                    <w:t>3</w:t>
                  </w:r>
                  <w:r>
                    <w:rPr>
                      <w:rFonts w:hint="default" w:ascii="Times New Roman" w:hAnsi="Times New Roman" w:eastAsia="宋体" w:cs="Times New Roman"/>
                      <w:color w:val="auto"/>
                      <w:u w:val="none"/>
                    </w:rPr>
                    <w:t>沉淀池处理围堰废水，使废水经沉淀池沉淀后</w:t>
                  </w:r>
                  <w:r>
                    <w:rPr>
                      <w:rFonts w:hint="eastAsia" w:cs="Times New Roman"/>
                      <w:color w:val="auto"/>
                      <w:u w:val="none"/>
                      <w:lang w:eastAsia="zh-CN"/>
                    </w:rPr>
                    <w:t>，</w:t>
                  </w:r>
                  <w:r>
                    <w:rPr>
                      <w:rFonts w:hint="eastAsia" w:cs="Times New Roman"/>
                      <w:color w:val="FF0000"/>
                      <w:u w:val="single"/>
                      <w:lang w:val="en-US" w:eastAsia="zh-CN"/>
                    </w:rPr>
                    <w:t>回用于运输车辆的清洗</w:t>
                  </w:r>
                  <w:r>
                    <w:rPr>
                      <w:rFonts w:hint="default" w:ascii="Times New Roman" w:hAnsi="Times New Roman" w:eastAsia="宋体" w:cs="Times New Roman"/>
                      <w:color w:val="FF0000"/>
                      <w:u w:val="single"/>
                    </w:rPr>
                    <w:t>；</w:t>
                  </w:r>
                </w:p>
                <w:p>
                  <w:pPr>
                    <w:numPr>
                      <w:ilvl w:val="0"/>
                      <w:numId w:val="4"/>
                    </w:num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在施工场地进出口修建临时的隔油沉淀池，施工废水经收集处理后，</w:t>
                  </w:r>
                  <w:r>
                    <w:rPr>
                      <w:rFonts w:hint="default" w:ascii="Times New Roman" w:hAnsi="Times New Roman" w:eastAsia="宋体" w:cs="Times New Roman"/>
                      <w:color w:val="FF0000"/>
                      <w:u w:val="single"/>
                    </w:rPr>
                    <w:t>回用于运输车辆的清洗</w:t>
                  </w:r>
                  <w:r>
                    <w:rPr>
                      <w:rFonts w:hint="default" w:ascii="Times New Roman" w:hAnsi="Times New Roman" w:eastAsia="宋体" w:cs="Times New Roman"/>
                      <w:color w:val="FF0000"/>
                      <w:u w:val="single"/>
                      <w:lang w:eastAsia="zh-CN"/>
                    </w:rPr>
                    <w:t>；</w:t>
                  </w:r>
                </w:p>
                <w:p>
                  <w:p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3</w:t>
                  </w:r>
                  <w:r>
                    <w:rPr>
                      <w:rFonts w:hint="default" w:ascii="Times New Roman" w:hAnsi="Times New Roman" w:eastAsia="宋体" w:cs="Times New Roman"/>
                      <w:color w:val="auto"/>
                      <w:u w:val="none"/>
                    </w:rPr>
                    <w:t>、建筑材料堆场应采取防渗措施，全部采用水泥硬化。</w:t>
                  </w:r>
                </w:p>
              </w:tc>
              <w:tc>
                <w:tcPr>
                  <w:tcW w:w="68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rPr>
                  </w:pPr>
                </w:p>
              </w:tc>
              <w:tc>
                <w:tcPr>
                  <w:tcW w:w="42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噪声</w:t>
                  </w:r>
                </w:p>
              </w:tc>
              <w:tc>
                <w:tcPr>
                  <w:tcW w:w="3641" w:type="pct"/>
                  <w:tcBorders>
                    <w:tl2br w:val="nil"/>
                    <w:tr2bl w:val="nil"/>
                  </w:tcBorders>
                  <w:noWrap w:val="0"/>
                  <w:vAlign w:val="center"/>
                </w:tcPr>
                <w:p>
                  <w:p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1、合理安排施工场地，施工场地周围设置防护围挡；</w:t>
                  </w:r>
                </w:p>
                <w:p>
                  <w:p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2、加强施工管理，合理安排施工作业时段；</w:t>
                  </w:r>
                </w:p>
                <w:p>
                  <w:p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3</w:t>
                  </w:r>
                  <w:r>
                    <w:rPr>
                      <w:rFonts w:hint="default" w:ascii="Times New Roman" w:hAnsi="Times New Roman" w:eastAsia="宋体" w:cs="Times New Roman"/>
                      <w:color w:val="auto"/>
                      <w:u w:val="none"/>
                    </w:rPr>
                    <w:t>、选用低噪声、振动小机械，并加强日常维护。</w:t>
                  </w:r>
                </w:p>
              </w:tc>
              <w:tc>
                <w:tcPr>
                  <w:tcW w:w="68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rPr>
                  </w:pPr>
                </w:p>
              </w:tc>
              <w:tc>
                <w:tcPr>
                  <w:tcW w:w="42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固体</w:t>
                  </w:r>
                </w:p>
                <w:p>
                  <w:pPr>
                    <w:adjustRightInd w:val="0"/>
                    <w:snapToGrid w:val="0"/>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废物</w:t>
                  </w:r>
                </w:p>
              </w:tc>
              <w:tc>
                <w:tcPr>
                  <w:tcW w:w="3641" w:type="pct"/>
                  <w:tcBorders>
                    <w:tl2br w:val="nil"/>
                    <w:tr2bl w:val="nil"/>
                  </w:tcBorders>
                  <w:noWrap w:val="0"/>
                  <w:vAlign w:val="center"/>
                </w:tcPr>
                <w:p>
                  <w:p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施工生活垃圾采取分类收集，垃圾中的可回收利用部分应收集后送到废品回收部门出售，剩余部分送到临近生活垃圾回收站集中处理。</w:t>
                  </w:r>
                </w:p>
                <w:p>
                  <w:p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工程产生的底泥经检测满足相关标准后，用于</w:t>
                  </w:r>
                  <w:r>
                    <w:rPr>
                      <w:rFonts w:hint="eastAsia" w:cs="Times New Roman"/>
                      <w:color w:val="auto"/>
                      <w:u w:val="none"/>
                      <w:lang w:val="en-US" w:eastAsia="zh-CN"/>
                    </w:rPr>
                    <w:t>边坡</w:t>
                  </w:r>
                  <w:r>
                    <w:rPr>
                      <w:rFonts w:hint="default" w:ascii="Times New Roman" w:hAnsi="Times New Roman" w:eastAsia="宋体" w:cs="Times New Roman"/>
                      <w:color w:val="auto"/>
                      <w:u w:val="none"/>
                    </w:rPr>
                    <w:t>绿化用土。</w:t>
                  </w:r>
                </w:p>
                <w:p>
                  <w:p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固体废物</w:t>
                  </w:r>
                  <w:r>
                    <w:rPr>
                      <w:rFonts w:hint="default" w:ascii="Times New Roman" w:hAnsi="Times New Roman" w:eastAsia="宋体" w:cs="Times New Roman"/>
                      <w:color w:val="auto"/>
                      <w:u w:val="none"/>
                    </w:rPr>
                    <w:t>转运过程中，应做到以下几点：</w:t>
                  </w:r>
                </w:p>
                <w:p>
                  <w:p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1、运输车辆应使用厢式封闭车，减少洒落，车辆驶出工地时对车轮进行冲刷；</w:t>
                  </w:r>
                </w:p>
                <w:p>
                  <w:p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2</w:t>
                  </w:r>
                  <w:r>
                    <w:rPr>
                      <w:rFonts w:hint="default" w:ascii="Times New Roman" w:hAnsi="Times New Roman" w:eastAsia="宋体" w:cs="Times New Roman"/>
                      <w:color w:val="auto"/>
                      <w:u w:val="none"/>
                    </w:rPr>
                    <w:t>、车辆行驶线路应尽量避开居民区及市中心区；</w:t>
                  </w:r>
                </w:p>
                <w:p>
                  <w:p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3</w:t>
                  </w:r>
                  <w:r>
                    <w:rPr>
                      <w:rFonts w:hint="default" w:ascii="Times New Roman" w:hAnsi="Times New Roman" w:eastAsia="宋体" w:cs="Times New Roman"/>
                      <w:color w:val="auto"/>
                      <w:u w:val="none"/>
                    </w:rPr>
                    <w:t>、避免在交通高峰期清运建筑垃圾，按规定时段、规定路线运输；</w:t>
                  </w:r>
                </w:p>
                <w:p>
                  <w:p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4</w:t>
                  </w:r>
                  <w:r>
                    <w:rPr>
                      <w:rFonts w:hint="default" w:ascii="Times New Roman" w:hAnsi="Times New Roman" w:eastAsia="宋体" w:cs="Times New Roman"/>
                      <w:color w:val="auto"/>
                      <w:u w:val="none"/>
                    </w:rPr>
                    <w:t>、重载车辆应低速慢行，减少车辆起尘。</w:t>
                  </w:r>
                </w:p>
              </w:tc>
              <w:tc>
                <w:tcPr>
                  <w:tcW w:w="68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rPr>
                  </w:pPr>
                </w:p>
              </w:tc>
              <w:tc>
                <w:tcPr>
                  <w:tcW w:w="42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生态</w:t>
                  </w:r>
                </w:p>
                <w:p>
                  <w:pPr>
                    <w:adjustRightInd w:val="0"/>
                    <w:snapToGrid w:val="0"/>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环境</w:t>
                  </w:r>
                </w:p>
              </w:tc>
              <w:tc>
                <w:tcPr>
                  <w:tcW w:w="3641" w:type="pct"/>
                  <w:tcBorders>
                    <w:tl2br w:val="nil"/>
                    <w:tr2bl w:val="nil"/>
                  </w:tcBorders>
                  <w:noWrap w:val="0"/>
                  <w:vAlign w:val="center"/>
                </w:tcPr>
                <w:p>
                  <w:pPr>
                    <w:numPr>
                      <w:ilvl w:val="0"/>
                      <w:numId w:val="5"/>
                    </w:num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严格控制施工范围，禁止在施工范围外施工；</w:t>
                  </w:r>
                </w:p>
                <w:p>
                  <w:pPr>
                    <w:numPr>
                      <w:ilvl w:val="0"/>
                      <w:numId w:val="5"/>
                    </w:num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施工机械、土石不得乱停乱放，防止破坏植被，加剧水土流失。</w:t>
                  </w:r>
                </w:p>
                <w:p>
                  <w:pPr>
                    <w:numPr>
                      <w:ilvl w:val="0"/>
                      <w:numId w:val="5"/>
                    </w:numPr>
                    <w:adjustRightInd w:val="0"/>
                    <w:snapToGrid w:val="0"/>
                    <w:ind w:left="0" w:leftChars="0" w:firstLine="0" w:firstLineChars="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选择秋冬季枯水期施工，尽量缩短施工周期；</w:t>
                  </w:r>
                </w:p>
                <w:p>
                  <w:pPr>
                    <w:numPr>
                      <w:ilvl w:val="0"/>
                      <w:numId w:val="5"/>
                    </w:numPr>
                    <w:adjustRightInd w:val="0"/>
                    <w:snapToGrid w:val="0"/>
                    <w:ind w:left="0" w:leftChars="0" w:firstLine="0" w:firstLineChars="0"/>
                    <w:jc w:val="left"/>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rPr>
                    <w:t>施工废水严禁排入</w:t>
                  </w:r>
                  <w:r>
                    <w:rPr>
                      <w:rFonts w:hint="eastAsia" w:cs="Times New Roman"/>
                      <w:color w:val="auto"/>
                      <w:u w:val="none"/>
                      <w:lang w:val="en-US" w:eastAsia="zh-CN"/>
                    </w:rPr>
                    <w:t>水体</w:t>
                  </w:r>
                  <w:r>
                    <w:rPr>
                      <w:rFonts w:hint="default" w:ascii="Times New Roman" w:hAnsi="Times New Roman" w:eastAsia="宋体" w:cs="Times New Roman"/>
                      <w:color w:val="auto"/>
                      <w:u w:val="none"/>
                    </w:rPr>
                    <w:t>内，严禁乱排。</w:t>
                  </w:r>
                </w:p>
              </w:tc>
              <w:tc>
                <w:tcPr>
                  <w:tcW w:w="68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运</w:t>
                  </w:r>
                </w:p>
                <w:p>
                  <w:pPr>
                    <w:adjustRightInd w:val="0"/>
                    <w:snapToGrid w:val="0"/>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营</w:t>
                  </w:r>
                </w:p>
                <w:p>
                  <w:pPr>
                    <w:adjustRightInd w:val="0"/>
                    <w:snapToGrid w:val="0"/>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期</w:t>
                  </w:r>
                </w:p>
              </w:tc>
              <w:tc>
                <w:tcPr>
                  <w:tcW w:w="42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噪声</w:t>
                  </w:r>
                </w:p>
              </w:tc>
              <w:tc>
                <w:tcPr>
                  <w:tcW w:w="3641" w:type="pct"/>
                  <w:tcBorders>
                    <w:tl2br w:val="nil"/>
                    <w:tr2bl w:val="nil"/>
                  </w:tcBorders>
                  <w:noWrap w:val="0"/>
                  <w:vAlign w:val="center"/>
                </w:tcPr>
                <w:p>
                  <w:pPr>
                    <w:adjustRightInd w:val="0"/>
                    <w:snapToGrid w:val="0"/>
                    <w:jc w:val="left"/>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对泵房的设备进行基础减震及定期保养维护。</w:t>
                  </w:r>
                </w:p>
              </w:tc>
              <w:tc>
                <w:tcPr>
                  <w:tcW w:w="68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rPr>
                  </w:pPr>
                </w:p>
              </w:tc>
              <w:tc>
                <w:tcPr>
                  <w:tcW w:w="42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固体</w:t>
                  </w:r>
                </w:p>
                <w:p>
                  <w:pPr>
                    <w:adjustRightInd w:val="0"/>
                    <w:snapToGrid w:val="0"/>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废物</w:t>
                  </w:r>
                </w:p>
              </w:tc>
              <w:tc>
                <w:tcPr>
                  <w:tcW w:w="3641" w:type="pct"/>
                  <w:tcBorders>
                    <w:tl2br w:val="nil"/>
                    <w:tr2bl w:val="nil"/>
                  </w:tcBorders>
                  <w:noWrap w:val="0"/>
                  <w:vAlign w:val="center"/>
                </w:tcPr>
                <w:p>
                  <w:pPr>
                    <w:adjustRightInd w:val="0"/>
                    <w:snapToGrid w:val="0"/>
                    <w:jc w:val="left"/>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定期收割处理水生植物。</w:t>
                  </w:r>
                </w:p>
              </w:tc>
              <w:tc>
                <w:tcPr>
                  <w:tcW w:w="68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rPr>
                  </w:pPr>
                </w:p>
              </w:tc>
              <w:tc>
                <w:tcPr>
                  <w:tcW w:w="423"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其他</w:t>
                  </w:r>
                </w:p>
              </w:tc>
              <w:tc>
                <w:tcPr>
                  <w:tcW w:w="3641" w:type="pct"/>
                  <w:tcBorders>
                    <w:tl2br w:val="nil"/>
                    <w:tr2bl w:val="nil"/>
                  </w:tcBorders>
                  <w:noWrap w:val="0"/>
                  <w:vAlign w:val="center"/>
                </w:tcPr>
                <w:p>
                  <w:p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水生植物的更新、繁殖</w:t>
                  </w:r>
                </w:p>
              </w:tc>
              <w:tc>
                <w:tcPr>
                  <w:tcW w:w="68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rPr>
                  </w:pPr>
                </w:p>
              </w:tc>
              <w:tc>
                <w:tcPr>
                  <w:tcW w:w="423"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rPr>
                  </w:pPr>
                </w:p>
              </w:tc>
              <w:tc>
                <w:tcPr>
                  <w:tcW w:w="3641" w:type="pct"/>
                  <w:tcBorders>
                    <w:tl2br w:val="nil"/>
                    <w:tr2bl w:val="nil"/>
                  </w:tcBorders>
                  <w:noWrap w:val="0"/>
                  <w:vAlign w:val="center"/>
                </w:tcPr>
                <w:p>
                  <w:pPr>
                    <w:adjustRightInd w:val="0"/>
                    <w:snapToGrid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在线监测系统投资</w:t>
                  </w:r>
                </w:p>
              </w:tc>
              <w:tc>
                <w:tcPr>
                  <w:tcW w:w="68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312" w:type="pct"/>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环保投资合计</w:t>
                  </w:r>
                </w:p>
              </w:tc>
              <w:tc>
                <w:tcPr>
                  <w:tcW w:w="68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105</w:t>
                  </w:r>
                </w:p>
              </w:tc>
            </w:tr>
          </w:tbl>
          <w:p>
            <w:pPr>
              <w:spacing w:line="360" w:lineRule="auto"/>
              <w:ind w:firstLine="480" w:firstLineChars="200"/>
              <w:contextualSpacing/>
              <w:rPr>
                <w:rFonts w:hint="default" w:ascii="Times New Roman" w:hAnsi="Times New Roman" w:eastAsia="宋体" w:cs="Times New Roman"/>
                <w:bCs/>
                <w:color w:val="auto"/>
                <w:spacing w:val="10"/>
                <w:szCs w:val="21"/>
                <w:u w:val="none"/>
              </w:rPr>
            </w:pPr>
            <w:r>
              <w:rPr>
                <w:rFonts w:hint="default" w:ascii="Times New Roman" w:hAnsi="Times New Roman" w:eastAsia="宋体" w:cs="Times New Roman"/>
                <w:color w:val="auto"/>
                <w:sz w:val="24"/>
                <w:u w:val="none"/>
              </w:rPr>
              <w:t>本项目环保投资</w:t>
            </w:r>
            <w:r>
              <w:rPr>
                <w:rFonts w:hint="default" w:ascii="Times New Roman" w:hAnsi="Times New Roman" w:eastAsia="宋体" w:cs="Times New Roman"/>
                <w:color w:val="auto"/>
                <w:sz w:val="24"/>
                <w:u w:val="none"/>
                <w:lang w:val="en-US" w:eastAsia="zh-CN"/>
              </w:rPr>
              <w:t>105</w:t>
            </w:r>
            <w:r>
              <w:rPr>
                <w:rFonts w:hint="default" w:ascii="Times New Roman" w:hAnsi="Times New Roman" w:eastAsia="宋体" w:cs="Times New Roman"/>
                <w:color w:val="auto"/>
                <w:sz w:val="24"/>
                <w:u w:val="none"/>
              </w:rPr>
              <w:t>万元，占总投资2248.23万元的</w:t>
            </w:r>
            <w:r>
              <w:rPr>
                <w:rFonts w:hint="eastAsia" w:cs="Times New Roman"/>
                <w:color w:val="auto"/>
                <w:sz w:val="24"/>
                <w:u w:val="none"/>
                <w:lang w:val="en-US" w:eastAsia="zh-CN"/>
              </w:rPr>
              <w:t>4.67</w:t>
            </w:r>
            <w:r>
              <w:rPr>
                <w:rFonts w:hint="default" w:ascii="Times New Roman" w:hAnsi="Times New Roman" w:eastAsia="宋体" w:cs="Times New Roman"/>
                <w:color w:val="auto"/>
                <w:sz w:val="24"/>
                <w:u w:val="none"/>
              </w:rPr>
              <w:t>%。</w:t>
            </w:r>
          </w:p>
        </w:tc>
      </w:tr>
    </w:tbl>
    <w:p>
      <w:pPr>
        <w:rPr>
          <w:rFonts w:hint="default" w:ascii="Times New Roman" w:hAnsi="Times New Roman" w:eastAsia="宋体" w:cs="Times New Roman"/>
          <w:color w:val="auto"/>
          <w:u w:val="none"/>
        </w:rPr>
        <w:sectPr>
          <w:pgSz w:w="11907" w:h="16840"/>
          <w:pgMar w:top="1440" w:right="1797" w:bottom="1440" w:left="1797"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9"/>
        <w:jc w:val="center"/>
        <w:outlineLvl w:val="0"/>
        <w:rPr>
          <w:rFonts w:hint="default" w:ascii="Times New Roman" w:hAnsi="Times New Roman" w:eastAsia="宋体" w:cs="Times New Roman"/>
          <w:snapToGrid w:val="0"/>
          <w:color w:val="auto"/>
          <w:sz w:val="30"/>
          <w:szCs w:val="30"/>
          <w:u w:val="none"/>
        </w:rPr>
      </w:pPr>
      <w:bookmarkStart w:id="40" w:name="_Toc23429"/>
      <w:bookmarkStart w:id="41" w:name="_Toc17592"/>
      <w:bookmarkStart w:id="42" w:name="_Toc12853"/>
      <w:bookmarkStart w:id="43" w:name="_Toc4441"/>
      <w:bookmarkStart w:id="44" w:name="_Toc32190"/>
      <w:bookmarkStart w:id="45" w:name="_Toc23775"/>
      <w:r>
        <w:rPr>
          <w:rFonts w:hint="default" w:ascii="Times New Roman" w:hAnsi="Times New Roman" w:eastAsia="宋体" w:cs="Times New Roman"/>
          <w:snapToGrid w:val="0"/>
          <w:color w:val="auto"/>
          <w:sz w:val="30"/>
          <w:szCs w:val="30"/>
          <w:u w:val="none"/>
        </w:rPr>
        <w:t>六、生态环境保护措施监督检查清单</w:t>
      </w:r>
      <w:bookmarkEnd w:id="40"/>
      <w:bookmarkEnd w:id="41"/>
      <w:bookmarkEnd w:id="42"/>
      <w:bookmarkEnd w:id="43"/>
      <w:bookmarkEnd w:id="44"/>
      <w:bookmarkEnd w:id="45"/>
    </w:p>
    <w:tbl>
      <w:tblPr>
        <w:tblStyle w:val="3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17"/>
        <w:gridCol w:w="1658"/>
        <w:gridCol w:w="1466"/>
        <w:gridCol w:w="1903"/>
        <w:gridCol w:w="16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tblHeader/>
          <w:jc w:val="center"/>
        </w:trPr>
        <w:tc>
          <w:tcPr>
            <w:tcW w:w="1201" w:type="pct"/>
            <w:vMerge w:val="restart"/>
            <w:tcBorders>
              <w:tl2br w:val="single" w:color="auto" w:sz="4" w:space="0"/>
            </w:tcBorders>
            <w:noWrap w:val="0"/>
            <w:vAlign w:val="top"/>
          </w:tcPr>
          <w:p>
            <w:pPr>
              <w:adjustRightInd w:val="0"/>
              <w:snapToGrid w:val="0"/>
              <w:ind w:left="1365" w:hanging="1370" w:hangingChars="650"/>
              <w:jc w:val="right"/>
              <w:rPr>
                <w:rFonts w:hint="default" w:ascii="Times New Roman" w:hAnsi="Times New Roman" w:eastAsia="宋体" w:cs="Times New Roman"/>
                <w:b/>
                <w:bCs/>
                <w:color w:val="FF0000"/>
                <w:szCs w:val="21"/>
                <w:u w:val="single"/>
              </w:rPr>
            </w:pPr>
            <w:r>
              <w:rPr>
                <w:rFonts w:hint="default" w:ascii="Times New Roman" w:hAnsi="Times New Roman" w:eastAsia="宋体" w:cs="Times New Roman"/>
                <w:b/>
                <w:bCs/>
                <w:color w:val="FF0000"/>
                <w:szCs w:val="21"/>
                <w:u w:val="single"/>
              </w:rPr>
              <w:t>内容</w:t>
            </w:r>
          </w:p>
          <w:p>
            <w:pPr>
              <w:adjustRightInd w:val="0"/>
              <w:snapToGrid w:val="0"/>
              <w:rPr>
                <w:rFonts w:hint="default" w:ascii="Times New Roman" w:hAnsi="Times New Roman" w:eastAsia="宋体" w:cs="Times New Roman"/>
                <w:b/>
                <w:bCs/>
                <w:color w:val="FF0000"/>
                <w:szCs w:val="21"/>
                <w:u w:val="single"/>
              </w:rPr>
            </w:pPr>
            <w:r>
              <w:rPr>
                <w:rFonts w:hint="default" w:ascii="Times New Roman" w:hAnsi="Times New Roman" w:eastAsia="宋体" w:cs="Times New Roman"/>
                <w:b/>
                <w:bCs/>
                <w:color w:val="FF0000"/>
                <w:szCs w:val="21"/>
                <w:u w:val="single"/>
              </w:rPr>
              <w:t>要素</w:t>
            </w:r>
          </w:p>
        </w:tc>
        <w:tc>
          <w:tcPr>
            <w:tcW w:w="1773" w:type="pct"/>
            <w:gridSpan w:val="2"/>
            <w:noWrap w:val="0"/>
            <w:vAlign w:val="center"/>
          </w:tcPr>
          <w:p>
            <w:pPr>
              <w:adjustRightInd w:val="0"/>
              <w:snapToGrid w:val="0"/>
              <w:jc w:val="center"/>
              <w:rPr>
                <w:rFonts w:hint="default" w:ascii="Times New Roman" w:hAnsi="Times New Roman" w:eastAsia="宋体" w:cs="Times New Roman"/>
                <w:b/>
                <w:bCs/>
                <w:color w:val="FF0000"/>
                <w:szCs w:val="21"/>
                <w:u w:val="single"/>
              </w:rPr>
            </w:pPr>
            <w:r>
              <w:rPr>
                <w:rFonts w:hint="default" w:ascii="Times New Roman" w:hAnsi="Times New Roman" w:eastAsia="宋体" w:cs="Times New Roman"/>
                <w:b/>
                <w:bCs/>
                <w:color w:val="FF0000"/>
                <w:szCs w:val="21"/>
                <w:u w:val="single"/>
              </w:rPr>
              <w:t>施工期</w:t>
            </w:r>
          </w:p>
        </w:tc>
        <w:tc>
          <w:tcPr>
            <w:tcW w:w="2025" w:type="pct"/>
            <w:gridSpan w:val="2"/>
            <w:noWrap w:val="0"/>
            <w:vAlign w:val="center"/>
          </w:tcPr>
          <w:p>
            <w:pPr>
              <w:adjustRightInd w:val="0"/>
              <w:snapToGrid w:val="0"/>
              <w:jc w:val="center"/>
              <w:rPr>
                <w:rFonts w:hint="default" w:ascii="Times New Roman" w:hAnsi="Times New Roman" w:eastAsia="宋体" w:cs="Times New Roman"/>
                <w:b/>
                <w:bCs/>
                <w:color w:val="FF0000"/>
                <w:szCs w:val="21"/>
                <w:u w:val="single"/>
              </w:rPr>
            </w:pPr>
            <w:r>
              <w:rPr>
                <w:rFonts w:hint="default" w:ascii="Times New Roman" w:hAnsi="Times New Roman" w:eastAsia="宋体" w:cs="Times New Roman"/>
                <w:b/>
                <w:bCs/>
                <w:color w:val="FF0000"/>
                <w:szCs w:val="21"/>
                <w:u w:val="single"/>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201" w:type="pct"/>
            <w:vMerge w:val="continue"/>
            <w:noWrap w:val="0"/>
            <w:vAlign w:val="top"/>
          </w:tcPr>
          <w:p>
            <w:pPr>
              <w:adjustRightInd w:val="0"/>
              <w:snapToGrid w:val="0"/>
              <w:rPr>
                <w:rFonts w:hint="default" w:ascii="Times New Roman" w:hAnsi="Times New Roman" w:eastAsia="宋体" w:cs="Times New Roman"/>
                <w:b/>
                <w:bCs/>
                <w:color w:val="FF0000"/>
                <w:szCs w:val="21"/>
                <w:u w:val="single"/>
              </w:rPr>
            </w:pPr>
          </w:p>
        </w:tc>
        <w:tc>
          <w:tcPr>
            <w:tcW w:w="941" w:type="pct"/>
            <w:noWrap w:val="0"/>
            <w:vAlign w:val="center"/>
          </w:tcPr>
          <w:p>
            <w:pPr>
              <w:adjustRightInd w:val="0"/>
              <w:snapToGrid w:val="0"/>
              <w:jc w:val="center"/>
              <w:rPr>
                <w:rFonts w:hint="default" w:ascii="Times New Roman" w:hAnsi="Times New Roman" w:eastAsia="宋体" w:cs="Times New Roman"/>
                <w:b/>
                <w:bCs/>
                <w:color w:val="FF0000"/>
                <w:szCs w:val="21"/>
                <w:u w:val="single"/>
              </w:rPr>
            </w:pPr>
            <w:r>
              <w:rPr>
                <w:rFonts w:hint="default" w:ascii="Times New Roman" w:hAnsi="Times New Roman" w:eastAsia="宋体" w:cs="Times New Roman"/>
                <w:b/>
                <w:bCs/>
                <w:color w:val="FF0000"/>
                <w:szCs w:val="21"/>
                <w:u w:val="single"/>
              </w:rPr>
              <w:t>环境保护措施</w:t>
            </w:r>
          </w:p>
        </w:tc>
        <w:tc>
          <w:tcPr>
            <w:tcW w:w="832" w:type="pct"/>
            <w:noWrap w:val="0"/>
            <w:vAlign w:val="center"/>
          </w:tcPr>
          <w:p>
            <w:pPr>
              <w:adjustRightInd w:val="0"/>
              <w:snapToGrid w:val="0"/>
              <w:jc w:val="center"/>
              <w:rPr>
                <w:rFonts w:hint="default" w:ascii="Times New Roman" w:hAnsi="Times New Roman" w:eastAsia="宋体" w:cs="Times New Roman"/>
                <w:b/>
                <w:bCs/>
                <w:color w:val="FF0000"/>
                <w:szCs w:val="21"/>
                <w:u w:val="single"/>
              </w:rPr>
            </w:pPr>
            <w:r>
              <w:rPr>
                <w:rFonts w:hint="default" w:ascii="Times New Roman" w:hAnsi="Times New Roman" w:eastAsia="宋体" w:cs="Times New Roman"/>
                <w:b/>
                <w:bCs/>
                <w:color w:val="FF0000"/>
                <w:szCs w:val="21"/>
                <w:u w:val="single"/>
              </w:rPr>
              <w:t>验收要求</w:t>
            </w:r>
          </w:p>
        </w:tc>
        <w:tc>
          <w:tcPr>
            <w:tcW w:w="1080" w:type="pct"/>
            <w:noWrap w:val="0"/>
            <w:vAlign w:val="center"/>
          </w:tcPr>
          <w:p>
            <w:pPr>
              <w:adjustRightInd w:val="0"/>
              <w:snapToGrid w:val="0"/>
              <w:jc w:val="center"/>
              <w:rPr>
                <w:rFonts w:hint="default" w:ascii="Times New Roman" w:hAnsi="Times New Roman" w:eastAsia="宋体" w:cs="Times New Roman"/>
                <w:b/>
                <w:bCs/>
                <w:color w:val="FF0000"/>
                <w:szCs w:val="21"/>
                <w:u w:val="single"/>
              </w:rPr>
            </w:pPr>
            <w:r>
              <w:rPr>
                <w:rFonts w:hint="default" w:ascii="Times New Roman" w:hAnsi="Times New Roman" w:eastAsia="宋体" w:cs="Times New Roman"/>
                <w:b/>
                <w:bCs/>
                <w:color w:val="FF0000"/>
                <w:szCs w:val="21"/>
                <w:u w:val="single"/>
              </w:rPr>
              <w:t>环境保护措施</w:t>
            </w:r>
          </w:p>
        </w:tc>
        <w:tc>
          <w:tcPr>
            <w:tcW w:w="945" w:type="pct"/>
            <w:noWrap w:val="0"/>
            <w:vAlign w:val="center"/>
          </w:tcPr>
          <w:p>
            <w:pPr>
              <w:adjustRightInd w:val="0"/>
              <w:snapToGrid w:val="0"/>
              <w:jc w:val="center"/>
              <w:rPr>
                <w:rFonts w:hint="default" w:ascii="Times New Roman" w:hAnsi="Times New Roman" w:eastAsia="宋体" w:cs="Times New Roman"/>
                <w:b/>
                <w:bCs/>
                <w:color w:val="FF0000"/>
                <w:szCs w:val="21"/>
                <w:u w:val="single"/>
              </w:rPr>
            </w:pPr>
            <w:r>
              <w:rPr>
                <w:rFonts w:hint="default" w:ascii="Times New Roman" w:hAnsi="Times New Roman" w:eastAsia="宋体" w:cs="Times New Roman"/>
                <w:b/>
                <w:bCs/>
                <w:color w:val="FF0000"/>
                <w:szCs w:val="21"/>
                <w:u w:val="single"/>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01"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陆生生态</w:t>
            </w:r>
          </w:p>
        </w:tc>
        <w:tc>
          <w:tcPr>
            <w:tcW w:w="941" w:type="pct"/>
            <w:noWrap w:val="0"/>
            <w:vAlign w:val="center"/>
          </w:tcPr>
          <w:p>
            <w:pPr>
              <w:adjustRightInd w:val="0"/>
              <w:snapToGrid w:val="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lang w:val="en-US" w:eastAsia="zh-CN"/>
              </w:rPr>
              <w:t>严格控制施工范围，禁止在施工范围外施工；施工机械、土石不得乱停乱放，防止破坏植被，加剧水土流失。</w:t>
            </w:r>
          </w:p>
        </w:tc>
        <w:tc>
          <w:tcPr>
            <w:tcW w:w="832" w:type="pct"/>
            <w:noWrap w:val="0"/>
            <w:vAlign w:val="center"/>
          </w:tcPr>
          <w:p>
            <w:pPr>
              <w:adjustRightInd w:val="0"/>
              <w:snapToGrid w:val="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调查</w:t>
            </w:r>
            <w:r>
              <w:rPr>
                <w:rFonts w:hint="default" w:ascii="Times New Roman" w:hAnsi="Times New Roman" w:eastAsia="宋体" w:cs="Times New Roman"/>
                <w:color w:val="FF0000"/>
                <w:szCs w:val="21"/>
                <w:u w:val="single"/>
                <w:lang w:val="en-US" w:eastAsia="zh-CN"/>
              </w:rPr>
              <w:t>占地范围内及周边植被情况，不能有地表裸露情况。</w:t>
            </w:r>
          </w:p>
        </w:tc>
        <w:tc>
          <w:tcPr>
            <w:tcW w:w="1080"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c>
          <w:tcPr>
            <w:tcW w:w="945"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01"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水生生态</w:t>
            </w:r>
          </w:p>
        </w:tc>
        <w:tc>
          <w:tcPr>
            <w:tcW w:w="941" w:type="pct"/>
            <w:noWrap w:val="0"/>
            <w:vAlign w:val="center"/>
          </w:tcPr>
          <w:p>
            <w:pPr>
              <w:widowControl/>
              <w:jc w:val="center"/>
              <w:rPr>
                <w:rFonts w:hint="default" w:ascii="Times New Roman" w:hAnsi="Times New Roman" w:eastAsia="宋体" w:cs="Times New Roman"/>
                <w:color w:val="FF0000"/>
                <w:szCs w:val="21"/>
                <w:u w:val="single"/>
                <w:lang w:val="en-US" w:eastAsia="zh-CN"/>
              </w:rPr>
            </w:pPr>
            <w:r>
              <w:rPr>
                <w:rFonts w:hint="default" w:ascii="Times New Roman" w:hAnsi="Times New Roman" w:eastAsia="宋体" w:cs="Times New Roman"/>
                <w:color w:val="FF0000"/>
                <w:szCs w:val="21"/>
                <w:u w:val="single"/>
                <w:lang w:val="en-US" w:eastAsia="zh-CN"/>
              </w:rPr>
              <w:t>选择秋冬季枯水期施工，尽量缩短施工周期；施工废水严禁排入</w:t>
            </w:r>
            <w:r>
              <w:rPr>
                <w:rFonts w:hint="eastAsia" w:cs="Times New Roman"/>
                <w:color w:val="FF0000"/>
                <w:szCs w:val="21"/>
                <w:u w:val="single"/>
                <w:lang w:val="en-US" w:eastAsia="zh-CN"/>
              </w:rPr>
              <w:t>水体</w:t>
            </w:r>
            <w:r>
              <w:rPr>
                <w:rFonts w:hint="default" w:ascii="Times New Roman" w:hAnsi="Times New Roman" w:eastAsia="宋体" w:cs="Times New Roman"/>
                <w:color w:val="FF0000"/>
                <w:szCs w:val="21"/>
                <w:u w:val="single"/>
                <w:lang w:val="en-US" w:eastAsia="zh-CN"/>
              </w:rPr>
              <w:t>内，严禁乱排。</w:t>
            </w:r>
          </w:p>
        </w:tc>
        <w:tc>
          <w:tcPr>
            <w:tcW w:w="832" w:type="pct"/>
            <w:noWrap w:val="0"/>
            <w:vAlign w:val="center"/>
          </w:tcPr>
          <w:p>
            <w:pPr>
              <w:widowControl/>
              <w:jc w:val="center"/>
              <w:rPr>
                <w:rFonts w:hint="default" w:ascii="Times New Roman" w:hAnsi="Times New Roman" w:eastAsia="宋体" w:cs="Times New Roman"/>
                <w:color w:val="FF0000"/>
                <w:szCs w:val="21"/>
                <w:u w:val="single"/>
                <w:lang w:val="en-US" w:eastAsia="zh-CN"/>
              </w:rPr>
            </w:pPr>
            <w:r>
              <w:rPr>
                <w:rFonts w:hint="default" w:ascii="Times New Roman" w:hAnsi="Times New Roman" w:eastAsia="宋体" w:cs="Times New Roman"/>
                <w:color w:val="FF0000"/>
                <w:szCs w:val="21"/>
                <w:u w:val="single"/>
                <w:lang w:val="en-US" w:eastAsia="zh-CN"/>
              </w:rPr>
              <w:t>调查施工时间是否枯水期。</w:t>
            </w:r>
          </w:p>
        </w:tc>
        <w:tc>
          <w:tcPr>
            <w:tcW w:w="1080"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c>
          <w:tcPr>
            <w:tcW w:w="945"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9" w:hRule="atLeast"/>
          <w:jc w:val="center"/>
        </w:trPr>
        <w:tc>
          <w:tcPr>
            <w:tcW w:w="1201"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地表水环境</w:t>
            </w:r>
          </w:p>
        </w:tc>
        <w:tc>
          <w:tcPr>
            <w:tcW w:w="941" w:type="pct"/>
            <w:noWrap w:val="0"/>
            <w:vAlign w:val="center"/>
          </w:tcPr>
          <w:p>
            <w:pPr>
              <w:numPr>
                <w:ilvl w:val="0"/>
                <w:numId w:val="0"/>
              </w:numPr>
              <w:adjustRightInd w:val="0"/>
              <w:snapToGrid w:val="0"/>
              <w:jc w:val="left"/>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lang w:val="en-US" w:eastAsia="zh-CN"/>
              </w:rPr>
              <w:t>1、施工营地</w:t>
            </w:r>
            <w:r>
              <w:rPr>
                <w:rFonts w:hint="default" w:ascii="Times New Roman" w:hAnsi="Times New Roman" w:eastAsia="宋体" w:cs="Times New Roman"/>
                <w:color w:val="FF0000"/>
                <w:u w:val="single"/>
              </w:rPr>
              <w:t>内设置1个15m</w:t>
            </w:r>
            <w:r>
              <w:rPr>
                <w:rFonts w:hint="default" w:ascii="Times New Roman" w:hAnsi="Times New Roman" w:eastAsia="宋体" w:cs="Times New Roman"/>
                <w:color w:val="FF0000"/>
                <w:u w:val="single"/>
                <w:vertAlign w:val="superscript"/>
              </w:rPr>
              <w:t>3</w:t>
            </w:r>
            <w:r>
              <w:rPr>
                <w:rFonts w:hint="default" w:ascii="Times New Roman" w:hAnsi="Times New Roman" w:eastAsia="宋体" w:cs="Times New Roman"/>
                <w:color w:val="FF0000"/>
                <w:u w:val="single"/>
              </w:rPr>
              <w:t>沉淀池处理围堰废水；</w:t>
            </w:r>
          </w:p>
          <w:p>
            <w:pPr>
              <w:adjustRightInd w:val="0"/>
              <w:snapToGrid w:val="0"/>
              <w:jc w:val="left"/>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u w:val="single"/>
                <w:lang w:val="en-US" w:eastAsia="zh-CN"/>
              </w:rPr>
              <w:t>2、</w:t>
            </w:r>
            <w:r>
              <w:rPr>
                <w:rFonts w:hint="default" w:ascii="Times New Roman" w:hAnsi="Times New Roman" w:eastAsia="宋体" w:cs="Times New Roman"/>
                <w:color w:val="FF0000"/>
                <w:u w:val="single"/>
              </w:rPr>
              <w:t>在施工场地进出口修建临时的隔油沉淀池</w:t>
            </w:r>
            <w:r>
              <w:rPr>
                <w:rFonts w:hint="default" w:ascii="Times New Roman" w:hAnsi="Times New Roman" w:eastAsia="宋体" w:cs="Times New Roman"/>
                <w:color w:val="FF0000"/>
                <w:u w:val="single"/>
                <w:lang w:eastAsia="zh-CN"/>
              </w:rPr>
              <w:t>；</w:t>
            </w:r>
          </w:p>
        </w:tc>
        <w:tc>
          <w:tcPr>
            <w:tcW w:w="832" w:type="pct"/>
            <w:noWrap w:val="0"/>
            <w:vAlign w:val="center"/>
          </w:tcPr>
          <w:p>
            <w:pPr>
              <w:adjustRightInd w:val="0"/>
              <w:snapToGrid w:val="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lang w:val="en-US" w:eastAsia="zh-CN"/>
              </w:rPr>
              <w:t>调查项目</w:t>
            </w:r>
            <w:r>
              <w:rPr>
                <w:rFonts w:hint="eastAsia" w:cs="Times New Roman"/>
                <w:color w:val="FF0000"/>
                <w:szCs w:val="21"/>
                <w:u w:val="single"/>
                <w:lang w:val="en-US" w:eastAsia="zh-CN"/>
              </w:rPr>
              <w:t>青山岛鱼塘和横岭湖</w:t>
            </w:r>
            <w:r>
              <w:rPr>
                <w:rFonts w:hint="default" w:ascii="Times New Roman" w:hAnsi="Times New Roman" w:eastAsia="宋体" w:cs="Times New Roman"/>
                <w:color w:val="FF0000"/>
                <w:szCs w:val="21"/>
                <w:u w:val="single"/>
                <w:lang w:val="en-US" w:eastAsia="zh-CN"/>
              </w:rPr>
              <w:t>水环境质量</w:t>
            </w:r>
          </w:p>
        </w:tc>
        <w:tc>
          <w:tcPr>
            <w:tcW w:w="1080" w:type="pct"/>
            <w:noWrap w:val="0"/>
            <w:vAlign w:val="center"/>
          </w:tcPr>
          <w:p>
            <w:pPr>
              <w:adjustRightInd w:val="0"/>
              <w:snapToGrid w:val="0"/>
              <w:jc w:val="center"/>
              <w:rPr>
                <w:rFonts w:hint="default" w:ascii="Times New Roman" w:hAnsi="Times New Roman" w:eastAsia="宋体" w:cs="Times New Roman"/>
                <w:color w:val="FF0000"/>
                <w:kern w:val="2"/>
                <w:sz w:val="21"/>
                <w:szCs w:val="21"/>
                <w:u w:val="single"/>
                <w:lang w:val="en-US" w:eastAsia="zh-CN" w:bidi="ar-SA"/>
              </w:rPr>
            </w:pPr>
            <w:r>
              <w:rPr>
                <w:rFonts w:hint="default" w:ascii="Times New Roman" w:hAnsi="Times New Roman" w:eastAsia="宋体" w:cs="Times New Roman"/>
                <w:color w:val="FF0000"/>
                <w:szCs w:val="21"/>
                <w:u w:val="single"/>
              </w:rPr>
              <w:t>/</w:t>
            </w:r>
          </w:p>
        </w:tc>
        <w:tc>
          <w:tcPr>
            <w:tcW w:w="945" w:type="pct"/>
            <w:noWrap w:val="0"/>
            <w:vAlign w:val="center"/>
          </w:tcPr>
          <w:p>
            <w:pPr>
              <w:adjustRightInd w:val="0"/>
              <w:snapToGrid w:val="0"/>
              <w:jc w:val="center"/>
              <w:rPr>
                <w:rFonts w:hint="default" w:ascii="Times New Roman" w:hAnsi="Times New Roman" w:eastAsia="宋体" w:cs="Times New Roman"/>
                <w:color w:val="FF0000"/>
                <w:kern w:val="2"/>
                <w:sz w:val="21"/>
                <w:szCs w:val="21"/>
                <w:u w:val="single"/>
                <w:lang w:val="en-US" w:eastAsia="zh-CN" w:bidi="ar-SA"/>
              </w:rPr>
            </w:pPr>
            <w:r>
              <w:rPr>
                <w:rFonts w:hint="eastAsia"/>
                <w:color w:val="FF0000"/>
                <w:u w:val="single"/>
              </w:rPr>
              <w:t>pH：6~9、COD≤20mg/L、总氮≤1.0mg/L、总磷≤0.05mg/L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01"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地下水及土壤环境</w:t>
            </w:r>
          </w:p>
        </w:tc>
        <w:tc>
          <w:tcPr>
            <w:tcW w:w="941" w:type="pct"/>
            <w:noWrap w:val="0"/>
            <w:vAlign w:val="center"/>
          </w:tcPr>
          <w:p>
            <w:pPr>
              <w:adjustRightInd w:val="0"/>
              <w:snapToGrid w:val="0"/>
              <w:rPr>
                <w:rFonts w:hint="default" w:ascii="Times New Roman" w:hAnsi="Times New Roman" w:eastAsia="宋体" w:cs="Times New Roman"/>
                <w:color w:val="FF0000"/>
                <w:szCs w:val="21"/>
                <w:u w:val="single"/>
                <w:lang w:eastAsia="zh-CN"/>
              </w:rPr>
            </w:pPr>
            <w:r>
              <w:rPr>
                <w:rFonts w:hint="default" w:ascii="Times New Roman" w:hAnsi="Times New Roman" w:eastAsia="宋体" w:cs="Times New Roman"/>
                <w:color w:val="FF0000"/>
                <w:u w:val="single"/>
              </w:rPr>
              <w:t>建筑材料堆场应采取防渗措施，全部采用水泥硬化；</w:t>
            </w:r>
          </w:p>
        </w:tc>
        <w:tc>
          <w:tcPr>
            <w:tcW w:w="832" w:type="pct"/>
            <w:noWrap w:val="0"/>
            <w:vAlign w:val="center"/>
          </w:tcPr>
          <w:p>
            <w:pPr>
              <w:adjustRightInd w:val="0"/>
              <w:snapToGrid w:val="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u w:val="single"/>
              </w:rPr>
              <w:t>不对地下水产生影响</w:t>
            </w:r>
          </w:p>
        </w:tc>
        <w:tc>
          <w:tcPr>
            <w:tcW w:w="1080"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c>
          <w:tcPr>
            <w:tcW w:w="945"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u w:val="single"/>
              </w:rPr>
              <w:t>不对地下水产生影响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01"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声环境</w:t>
            </w:r>
          </w:p>
        </w:tc>
        <w:tc>
          <w:tcPr>
            <w:tcW w:w="941" w:type="pct"/>
            <w:noWrap w:val="0"/>
            <w:vAlign w:val="center"/>
          </w:tcPr>
          <w:p>
            <w:pPr>
              <w:adjustRightInd w:val="0"/>
              <w:snapToGrid w:val="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施工场地周围设置不低于2m的防护围挡；合理安排施工作业时段；选用低噪声设备，并加强日常维护</w:t>
            </w:r>
          </w:p>
        </w:tc>
        <w:tc>
          <w:tcPr>
            <w:tcW w:w="832" w:type="pct"/>
            <w:noWrap w:val="0"/>
            <w:vAlign w:val="center"/>
          </w:tcPr>
          <w:p>
            <w:pPr>
              <w:adjustRightInd w:val="0"/>
              <w:snapToGrid w:val="0"/>
              <w:rPr>
                <w:rFonts w:hint="default" w:ascii="Times New Roman" w:hAnsi="Times New Roman" w:eastAsia="宋体" w:cs="Times New Roman"/>
                <w:color w:val="FF0000"/>
                <w:szCs w:val="21"/>
                <w:u w:val="single"/>
                <w:lang w:val="en-US" w:eastAsia="zh-CN"/>
              </w:rPr>
            </w:pPr>
            <w:r>
              <w:rPr>
                <w:rFonts w:hint="default" w:ascii="Times New Roman" w:hAnsi="Times New Roman" w:eastAsia="宋体" w:cs="Times New Roman"/>
                <w:color w:val="FF0000"/>
                <w:u w:val="single"/>
                <w:lang w:val="en-US" w:eastAsia="zh-CN"/>
              </w:rPr>
              <w:t>无周边居民投诉</w:t>
            </w:r>
          </w:p>
        </w:tc>
        <w:tc>
          <w:tcPr>
            <w:tcW w:w="1080" w:type="pct"/>
            <w:noWrap w:val="0"/>
            <w:vAlign w:val="center"/>
          </w:tcPr>
          <w:p>
            <w:pPr>
              <w:adjustRightInd w:val="0"/>
              <w:snapToGrid w:val="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对高噪声设备采取隔声、消声、减振措施进行处理</w:t>
            </w:r>
          </w:p>
        </w:tc>
        <w:tc>
          <w:tcPr>
            <w:tcW w:w="945" w:type="pct"/>
            <w:noWrap w:val="0"/>
            <w:vAlign w:val="center"/>
          </w:tcPr>
          <w:p>
            <w:pPr>
              <w:adjustRightInd w:val="0"/>
              <w:snapToGrid w:val="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《工业企业厂界环境噪声排放标准》（GB12348-2008）2类标准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01"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振动</w:t>
            </w:r>
          </w:p>
        </w:tc>
        <w:tc>
          <w:tcPr>
            <w:tcW w:w="941" w:type="pct"/>
            <w:noWrap w:val="0"/>
            <w:vAlign w:val="center"/>
          </w:tcPr>
          <w:p>
            <w:pPr>
              <w:widowControl/>
              <w:jc w:val="left"/>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选用低噪声、振动小机械</w:t>
            </w:r>
          </w:p>
        </w:tc>
        <w:tc>
          <w:tcPr>
            <w:tcW w:w="832" w:type="pct"/>
            <w:noWrap w:val="0"/>
            <w:vAlign w:val="center"/>
          </w:tcPr>
          <w:p>
            <w:pPr>
              <w:adjustRightInd w:val="0"/>
              <w:snapToGrid w:val="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u w:val="single"/>
              </w:rPr>
              <w:t>不对周围环境产生明显影响</w:t>
            </w:r>
          </w:p>
        </w:tc>
        <w:tc>
          <w:tcPr>
            <w:tcW w:w="1080"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c>
          <w:tcPr>
            <w:tcW w:w="945"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01"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大气环境</w:t>
            </w:r>
          </w:p>
        </w:tc>
        <w:tc>
          <w:tcPr>
            <w:tcW w:w="941" w:type="pct"/>
            <w:noWrap w:val="0"/>
            <w:vAlign w:val="center"/>
          </w:tcPr>
          <w:p>
            <w:pPr>
              <w:adjustRightInd w:val="0"/>
              <w:snapToGrid w:val="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施工现场洒水抑尘；水泥、石灰等易洒落散装物料堆场采取遮盖措施；施工现场周围设置不低于2m的围挡。</w:t>
            </w:r>
          </w:p>
        </w:tc>
        <w:tc>
          <w:tcPr>
            <w:tcW w:w="832" w:type="pct"/>
            <w:noWrap w:val="0"/>
            <w:vAlign w:val="center"/>
          </w:tcPr>
          <w:p>
            <w:pPr>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u w:val="single"/>
              </w:rPr>
              <w:t>不对周围环境空气产生明显影响</w:t>
            </w:r>
          </w:p>
        </w:tc>
        <w:tc>
          <w:tcPr>
            <w:tcW w:w="1080" w:type="pct"/>
            <w:noWrap w:val="0"/>
            <w:vAlign w:val="center"/>
          </w:tcPr>
          <w:p>
            <w:pPr>
              <w:adjustRightInd w:val="0"/>
              <w:snapToGrid w:val="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加强人工湿地的旦常维护和管理</w:t>
            </w:r>
            <w:r>
              <w:rPr>
                <w:rFonts w:hint="default" w:ascii="Times New Roman" w:hAnsi="Times New Roman" w:eastAsia="宋体" w:cs="Times New Roman"/>
                <w:color w:val="FF0000"/>
                <w:szCs w:val="21"/>
                <w:u w:val="single"/>
                <w:lang w:eastAsia="zh-CN"/>
              </w:rPr>
              <w:t>，</w:t>
            </w:r>
            <w:r>
              <w:rPr>
                <w:rFonts w:hint="default" w:ascii="Times New Roman" w:hAnsi="Times New Roman" w:eastAsia="宋体" w:cs="Times New Roman"/>
                <w:color w:val="FF0000"/>
                <w:szCs w:val="21"/>
                <w:u w:val="single"/>
              </w:rPr>
              <w:t>减少厂界恶臭气体的排放</w:t>
            </w:r>
          </w:p>
        </w:tc>
        <w:tc>
          <w:tcPr>
            <w:tcW w:w="945" w:type="pct"/>
            <w:noWrap w:val="0"/>
            <w:vAlign w:val="center"/>
          </w:tcPr>
          <w:p>
            <w:pPr>
              <w:adjustRightInd w:val="0"/>
              <w:snapToGrid w:val="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《恶臭污染</w:t>
            </w:r>
          </w:p>
          <w:p>
            <w:pPr>
              <w:adjustRightInd w:val="0"/>
              <w:snapToGrid w:val="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物排放标准》（GB14554-93）</w:t>
            </w:r>
          </w:p>
          <w:p>
            <w:pPr>
              <w:adjustRightInd w:val="0"/>
              <w:snapToGrid w:val="0"/>
              <w:rPr>
                <w:rFonts w:hint="default" w:ascii="Times New Roman" w:hAnsi="Times New Roman" w:eastAsia="宋体" w:cs="Times New Roman"/>
                <w:color w:val="FF0000"/>
                <w:szCs w:val="21"/>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01"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固体废物</w:t>
            </w:r>
          </w:p>
        </w:tc>
        <w:tc>
          <w:tcPr>
            <w:tcW w:w="941" w:type="pct"/>
            <w:noWrap w:val="0"/>
            <w:vAlign w:val="center"/>
          </w:tcPr>
          <w:p>
            <w:pPr>
              <w:widowControl/>
              <w:jc w:val="left"/>
              <w:rPr>
                <w:rFonts w:hint="default" w:ascii="Times New Roman" w:hAnsi="Times New Roman" w:eastAsia="宋体" w:cs="Times New Roman"/>
                <w:color w:val="FF0000"/>
                <w:szCs w:val="21"/>
                <w:u w:val="single"/>
                <w:lang w:eastAsia="zh-CN"/>
              </w:rPr>
            </w:pPr>
            <w:r>
              <w:rPr>
                <w:rFonts w:hint="default" w:ascii="Times New Roman" w:hAnsi="Times New Roman" w:eastAsia="宋体" w:cs="Times New Roman"/>
                <w:color w:val="FF0000"/>
                <w:szCs w:val="21"/>
                <w:u w:val="single"/>
              </w:rPr>
              <w:t>建筑垃圾及弃方</w:t>
            </w:r>
            <w:r>
              <w:rPr>
                <w:rFonts w:hint="default" w:ascii="Times New Roman" w:hAnsi="Times New Roman" w:eastAsia="宋体" w:cs="Times New Roman"/>
                <w:color w:val="FF0000"/>
                <w:kern w:val="0"/>
                <w:szCs w:val="21"/>
                <w:u w:val="single"/>
                <w:lang w:bidi="ar"/>
              </w:rPr>
              <w:t>施工废料部分可回收利用，剩</w:t>
            </w:r>
            <w:r>
              <w:rPr>
                <w:rFonts w:hint="default" w:ascii="Times New Roman" w:hAnsi="Times New Roman" w:eastAsia="宋体" w:cs="Times New Roman"/>
                <w:color w:val="FF0000"/>
                <w:szCs w:val="21"/>
                <w:u w:val="single"/>
              </w:rPr>
              <w:t>余部分运至指定填埋场处理；生活垃圾由环卫部门清运</w:t>
            </w:r>
            <w:r>
              <w:rPr>
                <w:rFonts w:hint="default" w:ascii="Times New Roman" w:hAnsi="Times New Roman" w:eastAsia="宋体" w:cs="Times New Roman"/>
                <w:color w:val="FF0000"/>
                <w:szCs w:val="21"/>
                <w:u w:val="single"/>
                <w:lang w:eastAsia="zh-CN"/>
              </w:rPr>
              <w:t>；底泥经检测满足相关标准后，可用于</w:t>
            </w:r>
            <w:r>
              <w:rPr>
                <w:rFonts w:hint="eastAsia" w:cs="Times New Roman"/>
                <w:color w:val="FF0000"/>
                <w:szCs w:val="21"/>
                <w:u w:val="single"/>
                <w:lang w:val="en-US" w:eastAsia="zh-CN"/>
              </w:rPr>
              <w:t>边坡</w:t>
            </w:r>
            <w:r>
              <w:rPr>
                <w:rFonts w:hint="default" w:ascii="Times New Roman" w:hAnsi="Times New Roman" w:eastAsia="宋体" w:cs="Times New Roman"/>
                <w:color w:val="FF0000"/>
                <w:szCs w:val="21"/>
                <w:u w:val="single"/>
                <w:lang w:eastAsia="zh-CN"/>
              </w:rPr>
              <w:t>绿化用土。</w:t>
            </w:r>
          </w:p>
        </w:tc>
        <w:tc>
          <w:tcPr>
            <w:tcW w:w="832" w:type="pct"/>
            <w:noWrap w:val="0"/>
            <w:vAlign w:val="center"/>
          </w:tcPr>
          <w:p>
            <w:pPr>
              <w:adjustRightInd w:val="0"/>
              <w:snapToGrid w:val="0"/>
              <w:rPr>
                <w:rFonts w:hint="default" w:ascii="Times New Roman" w:hAnsi="Times New Roman" w:eastAsia="宋体" w:cs="Times New Roman"/>
                <w:color w:val="FF0000"/>
                <w:szCs w:val="21"/>
                <w:u w:val="single"/>
                <w:lang w:val="en-US" w:eastAsia="zh-CN"/>
              </w:rPr>
            </w:pPr>
            <w:r>
              <w:rPr>
                <w:rFonts w:hint="default" w:ascii="Times New Roman" w:hAnsi="Times New Roman" w:eastAsia="宋体" w:cs="Times New Roman"/>
                <w:color w:val="FF0000"/>
                <w:u w:val="single"/>
                <w:lang w:val="en-US" w:eastAsia="zh-CN"/>
              </w:rPr>
              <w:t>施工期间产生的固体废物得到了妥善处理</w:t>
            </w:r>
          </w:p>
        </w:tc>
        <w:tc>
          <w:tcPr>
            <w:tcW w:w="1080" w:type="pct"/>
            <w:noWrap w:val="0"/>
            <w:vAlign w:val="center"/>
          </w:tcPr>
          <w:p>
            <w:pPr>
              <w:adjustRightInd w:val="0"/>
              <w:snapToGrid w:val="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若干垃圾桶生活垃圾经垃圾桶收集后，由市政环卫部门统一拉走；收割植物经收割后交给市政环卫部门进行处理；杂草及落叶经清理收集后交给市政环卫部门进行处理。</w:t>
            </w:r>
          </w:p>
        </w:tc>
        <w:tc>
          <w:tcPr>
            <w:tcW w:w="945" w:type="pct"/>
            <w:noWrap w:val="0"/>
            <w:vAlign w:val="center"/>
          </w:tcPr>
          <w:p>
            <w:pPr>
              <w:adjustRightInd w:val="0"/>
              <w:snapToGrid w:val="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环保设施落实到位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01"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电磁环境</w:t>
            </w:r>
          </w:p>
        </w:tc>
        <w:tc>
          <w:tcPr>
            <w:tcW w:w="941"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c>
          <w:tcPr>
            <w:tcW w:w="832"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c>
          <w:tcPr>
            <w:tcW w:w="1080"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c>
          <w:tcPr>
            <w:tcW w:w="945"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01"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环境风险</w:t>
            </w:r>
          </w:p>
        </w:tc>
        <w:tc>
          <w:tcPr>
            <w:tcW w:w="941"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c>
          <w:tcPr>
            <w:tcW w:w="832"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c>
          <w:tcPr>
            <w:tcW w:w="1080"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加强污水管道的日常管理，定期检查；必要的抢险防护器材和用品</w:t>
            </w:r>
          </w:p>
        </w:tc>
        <w:tc>
          <w:tcPr>
            <w:tcW w:w="945"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01"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环境监测</w:t>
            </w:r>
          </w:p>
        </w:tc>
        <w:tc>
          <w:tcPr>
            <w:tcW w:w="941"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c>
          <w:tcPr>
            <w:tcW w:w="832"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c>
          <w:tcPr>
            <w:tcW w:w="1080" w:type="pct"/>
            <w:noWrap w:val="0"/>
            <w:vAlign w:val="center"/>
          </w:tcPr>
          <w:p>
            <w:pPr>
              <w:adjustRightInd w:val="0"/>
              <w:snapToGrid w:val="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加强污染隐患排查，实施定期水质监测，完善环境应急机制</w:t>
            </w:r>
          </w:p>
        </w:tc>
        <w:tc>
          <w:tcPr>
            <w:tcW w:w="945" w:type="pct"/>
            <w:noWrap w:val="0"/>
            <w:vAlign w:val="center"/>
          </w:tcPr>
          <w:p>
            <w:pPr>
              <w:adjustRightInd w:val="0"/>
              <w:snapToGrid w:val="0"/>
              <w:jc w:val="center"/>
              <w:rPr>
                <w:rFonts w:hint="default" w:ascii="Times New Roman" w:hAnsi="Times New Roman" w:eastAsia="宋体" w:cs="Times New Roman"/>
                <w:color w:val="FF0000"/>
                <w:szCs w:val="21"/>
                <w:u w:val="single"/>
                <w:lang w:val="en-US" w:eastAsia="zh-CN"/>
              </w:rPr>
            </w:pPr>
            <w:r>
              <w:rPr>
                <w:rFonts w:hint="default" w:ascii="Times New Roman" w:hAnsi="Times New Roman" w:eastAsia="宋体" w:cs="Times New Roman"/>
                <w:color w:val="FF0000"/>
                <w:szCs w:val="21"/>
                <w:u w:val="singl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01"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其他</w:t>
            </w:r>
          </w:p>
        </w:tc>
        <w:tc>
          <w:tcPr>
            <w:tcW w:w="941"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c>
          <w:tcPr>
            <w:tcW w:w="832"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c>
          <w:tcPr>
            <w:tcW w:w="1080"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c>
          <w:tcPr>
            <w:tcW w:w="945" w:type="pct"/>
            <w:noWrap w:val="0"/>
            <w:vAlign w:val="center"/>
          </w:tcPr>
          <w:p>
            <w:pPr>
              <w:adjustRightInd w:val="0"/>
              <w:snapToGrid w:val="0"/>
              <w:jc w:val="center"/>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w:t>
            </w:r>
          </w:p>
        </w:tc>
      </w:tr>
    </w:tbl>
    <w:p>
      <w:pPr>
        <w:pStyle w:val="2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default" w:ascii="Times New Roman" w:hAnsi="Times New Roman" w:eastAsia="宋体" w:cs="Times New Roman"/>
          <w:snapToGrid w:val="0"/>
          <w:color w:val="auto"/>
          <w:sz w:val="30"/>
          <w:szCs w:val="30"/>
          <w:u w:val="none"/>
        </w:rPr>
      </w:pPr>
      <w:r>
        <w:rPr>
          <w:rFonts w:hint="default" w:ascii="Times New Roman" w:hAnsi="Times New Roman" w:eastAsia="宋体" w:cs="Times New Roman"/>
          <w:snapToGrid w:val="0"/>
          <w:color w:val="auto"/>
          <w:sz w:val="30"/>
          <w:szCs w:val="30"/>
          <w:u w:val="none"/>
        </w:rPr>
        <w:br w:type="page"/>
      </w:r>
      <w:bookmarkStart w:id="46" w:name="_Toc13517"/>
      <w:bookmarkStart w:id="47" w:name="_Toc10509"/>
      <w:bookmarkStart w:id="48" w:name="_Toc26458"/>
      <w:bookmarkStart w:id="49" w:name="_Toc32506"/>
      <w:bookmarkStart w:id="50" w:name="_Toc27808"/>
      <w:bookmarkStart w:id="51" w:name="_Toc13134"/>
      <w:r>
        <w:rPr>
          <w:rFonts w:hint="default" w:ascii="Times New Roman" w:hAnsi="Times New Roman" w:eastAsia="宋体" w:cs="Times New Roman"/>
          <w:snapToGrid w:val="0"/>
          <w:color w:val="auto"/>
          <w:sz w:val="30"/>
          <w:szCs w:val="30"/>
          <w:u w:val="none"/>
        </w:rPr>
        <w:t>七、结论</w:t>
      </w:r>
      <w:bookmarkEnd w:id="46"/>
      <w:bookmarkEnd w:id="47"/>
      <w:bookmarkEnd w:id="48"/>
      <w:bookmarkEnd w:id="49"/>
      <w:bookmarkEnd w:id="50"/>
      <w:bookmarkEnd w:id="51"/>
    </w:p>
    <w:tbl>
      <w:tblPr>
        <w:tblStyle w:val="32"/>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8" w:hRule="atLeast"/>
          <w:jc w:val="center"/>
        </w:trPr>
        <w:tc>
          <w:tcPr>
            <w:tcW w:w="928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150" w:line="360" w:lineRule="auto"/>
              <w:ind w:firstLine="590" w:firstLineChars="246"/>
              <w:contextualSpacing/>
              <w:textAlignment w:val="auto"/>
              <w:rPr>
                <w:rFonts w:hint="default" w:ascii="Times New Roman" w:hAnsi="Times New Roman" w:eastAsia="宋体" w:cs="Times New Roman"/>
                <w:b w:val="0"/>
                <w:bCs/>
                <w:snapToGrid w:val="0"/>
                <w:color w:val="auto"/>
                <w:kern w:val="0"/>
                <w:sz w:val="24"/>
                <w:u w:val="none"/>
              </w:rPr>
            </w:pPr>
            <w:r>
              <w:rPr>
                <w:rFonts w:hint="default" w:ascii="Times New Roman" w:hAnsi="Times New Roman" w:eastAsia="宋体" w:cs="Times New Roman"/>
                <w:b w:val="0"/>
                <w:bCs/>
                <w:snapToGrid w:val="0"/>
                <w:color w:val="auto"/>
                <w:kern w:val="0"/>
                <w:sz w:val="24"/>
                <w:u w:val="none"/>
              </w:rPr>
              <w:t>综上所述，在认真落实评价提出的各项污染防治措施和评价建议后，本项目各污染因素对周围环境影响较小，</w:t>
            </w:r>
            <w:r>
              <w:rPr>
                <w:rFonts w:hint="default" w:ascii="Times New Roman" w:hAnsi="Times New Roman" w:eastAsia="宋体" w:cs="Times New Roman"/>
                <w:b w:val="0"/>
                <w:bCs/>
                <w:color w:val="auto"/>
                <w:sz w:val="24"/>
                <w:u w:val="none"/>
              </w:rPr>
              <w:t>符合国家政策要求，</w:t>
            </w:r>
            <w:r>
              <w:rPr>
                <w:rFonts w:hint="default" w:ascii="Times New Roman" w:hAnsi="Times New Roman" w:eastAsia="宋体" w:cs="Times New Roman"/>
                <w:b w:val="0"/>
                <w:bCs/>
                <w:snapToGrid w:val="0"/>
                <w:color w:val="auto"/>
                <w:kern w:val="0"/>
                <w:sz w:val="24"/>
                <w:u w:val="none"/>
              </w:rPr>
              <w:t>选址合理，因此，从环保角度，评价认为本项目的建设是可行的。</w:t>
            </w:r>
          </w:p>
          <w:p>
            <w:pPr>
              <w:adjustRightInd w:val="0"/>
              <w:snapToGrid w:val="0"/>
              <w:ind w:firstLine="315"/>
              <w:rPr>
                <w:rFonts w:hint="default" w:ascii="Times New Roman" w:hAnsi="Times New Roman" w:eastAsia="宋体" w:cs="Times New Roman"/>
                <w:color w:val="auto"/>
                <w:szCs w:val="21"/>
                <w:u w:val="none"/>
              </w:rPr>
            </w:pPr>
          </w:p>
        </w:tc>
      </w:tr>
    </w:tbl>
    <w:p>
      <w:pPr>
        <w:rPr>
          <w:rFonts w:hint="default" w:ascii="Times New Roman" w:hAnsi="Times New Roman" w:eastAsia="宋体" w:cs="Times New Roman"/>
          <w:color w:val="auto"/>
          <w:u w:val="none"/>
        </w:rPr>
        <w:sectPr>
          <w:footerReference r:id="rId5" w:type="default"/>
          <w:pgSz w:w="11907" w:h="16839"/>
          <w:pgMar w:top="1431" w:right="1623" w:bottom="1775" w:left="1690" w:header="0" w:footer="1644" w:gutter="0"/>
          <w:pgBorders>
            <w:top w:val="none" w:sz="0" w:space="0"/>
            <w:left w:val="none" w:sz="0" w:space="0"/>
            <w:bottom w:val="none" w:sz="0" w:space="0"/>
            <w:right w:val="none" w:sz="0" w:space="0"/>
          </w:pgBorders>
          <w:pgNumType w:fmt="decimal"/>
          <w:cols w:space="720" w:num="1"/>
        </w:sectPr>
      </w:pPr>
    </w:p>
    <w:p>
      <w:pPr>
        <w:pStyle w:val="12"/>
        <w:rPr>
          <w:rFonts w:hint="default" w:ascii="Times New Roman" w:hAnsi="Times New Roman" w:eastAsia="宋体" w:cs="Times New Roman"/>
          <w:color w:val="auto"/>
          <w:u w:val="none"/>
        </w:rPr>
      </w:pPr>
    </w:p>
    <w:p>
      <w:pPr>
        <w:rPr>
          <w:rFonts w:hint="default" w:ascii="Times New Roman" w:hAnsi="Times New Roman" w:eastAsia="宋体" w:cs="Times New Roman"/>
          <w:color w:val="auto"/>
          <w:u w:val="none"/>
        </w:rPr>
      </w:pPr>
    </w:p>
    <w:p>
      <w:pPr>
        <w:spacing w:before="156" w:line="185" w:lineRule="auto"/>
        <w:jc w:val="center"/>
        <w:rPr>
          <w:rFonts w:hint="default" w:ascii="Times New Roman" w:hAnsi="Times New Roman" w:eastAsia="宋体" w:cs="Times New Roman"/>
          <w:b/>
          <w:bCs/>
          <w:color w:val="auto"/>
          <w:sz w:val="48"/>
          <w:szCs w:val="48"/>
          <w:u w:val="none"/>
          <w:lang w:eastAsia="zh-CN"/>
        </w:rPr>
      </w:pPr>
    </w:p>
    <w:p>
      <w:pPr>
        <w:spacing w:before="156" w:line="185" w:lineRule="auto"/>
        <w:jc w:val="center"/>
        <w:rPr>
          <w:rFonts w:hint="default" w:ascii="Times New Roman" w:hAnsi="Times New Roman" w:eastAsia="宋体" w:cs="Times New Roman"/>
          <w:b/>
          <w:bCs/>
          <w:color w:val="auto"/>
          <w:sz w:val="48"/>
          <w:szCs w:val="48"/>
          <w:u w:val="none"/>
          <w:lang w:eastAsia="zh-CN"/>
        </w:rPr>
      </w:pPr>
    </w:p>
    <w:p>
      <w:pPr>
        <w:spacing w:before="156" w:line="185" w:lineRule="auto"/>
        <w:jc w:val="center"/>
        <w:rPr>
          <w:rFonts w:hint="default" w:ascii="Times New Roman" w:hAnsi="Times New Roman" w:eastAsia="宋体" w:cs="Times New Roman"/>
          <w:b/>
          <w:bCs/>
          <w:color w:val="auto"/>
          <w:sz w:val="48"/>
          <w:szCs w:val="48"/>
          <w:u w:val="none"/>
          <w:lang w:eastAsia="zh-CN"/>
        </w:rPr>
      </w:pPr>
    </w:p>
    <w:p>
      <w:pPr>
        <w:spacing w:before="156" w:line="185" w:lineRule="auto"/>
        <w:jc w:val="center"/>
        <w:rPr>
          <w:rFonts w:hint="default" w:ascii="Times New Roman" w:hAnsi="Times New Roman" w:eastAsia="宋体" w:cs="Times New Roman"/>
          <w:b/>
          <w:bCs/>
          <w:color w:val="auto"/>
          <w:sz w:val="48"/>
          <w:szCs w:val="48"/>
          <w:u w:val="none"/>
          <w:lang w:eastAsia="zh-CN"/>
        </w:rPr>
      </w:pPr>
    </w:p>
    <w:p>
      <w:pPr>
        <w:spacing w:before="156" w:line="185" w:lineRule="auto"/>
        <w:jc w:val="center"/>
        <w:rPr>
          <w:rFonts w:hint="default" w:ascii="Times New Roman" w:hAnsi="Times New Roman" w:eastAsia="宋体" w:cs="Times New Roman"/>
          <w:b/>
          <w:bCs/>
          <w:color w:val="auto"/>
          <w:sz w:val="48"/>
          <w:szCs w:val="48"/>
          <w:u w:val="none"/>
          <w:lang w:eastAsia="zh-CN"/>
        </w:rPr>
      </w:pPr>
    </w:p>
    <w:p>
      <w:pPr>
        <w:spacing w:line="247" w:lineRule="auto"/>
        <w:jc w:val="center"/>
        <w:rPr>
          <w:rFonts w:hint="default" w:ascii="Times New Roman" w:hAnsi="Times New Roman" w:eastAsia="宋体" w:cs="Times New Roman"/>
          <w:b/>
          <w:bCs/>
          <w:color w:val="auto"/>
          <w:sz w:val="48"/>
          <w:szCs w:val="48"/>
          <w:u w:val="none"/>
          <w:lang w:eastAsia="zh-CN"/>
        </w:rPr>
      </w:pPr>
      <w:r>
        <w:rPr>
          <w:rFonts w:hint="default" w:ascii="Times New Roman" w:hAnsi="Times New Roman" w:eastAsia="宋体" w:cs="Times New Roman"/>
          <w:b/>
          <w:bCs/>
          <w:color w:val="auto"/>
          <w:sz w:val="48"/>
          <w:szCs w:val="48"/>
          <w:u w:val="none"/>
          <w:lang w:eastAsia="zh-CN"/>
        </w:rPr>
        <w:t>湘阴县青山岛横岭湖团山围闸口</w:t>
      </w:r>
    </w:p>
    <w:p>
      <w:pPr>
        <w:spacing w:line="247" w:lineRule="auto"/>
        <w:jc w:val="center"/>
        <w:rPr>
          <w:rFonts w:hint="default" w:ascii="Times New Roman" w:hAnsi="Times New Roman" w:eastAsia="宋体" w:cs="Times New Roman"/>
          <w:color w:val="auto"/>
          <w:sz w:val="21"/>
          <w:u w:val="none"/>
        </w:rPr>
      </w:pPr>
      <w:r>
        <w:rPr>
          <w:rFonts w:hint="default" w:ascii="Times New Roman" w:hAnsi="Times New Roman" w:eastAsia="宋体" w:cs="Times New Roman"/>
          <w:b/>
          <w:bCs/>
          <w:color w:val="auto"/>
          <w:sz w:val="48"/>
          <w:szCs w:val="48"/>
          <w:u w:val="none"/>
          <w:lang w:eastAsia="zh-CN"/>
        </w:rPr>
        <w:t>人工湿地工程</w:t>
      </w:r>
    </w:p>
    <w:p>
      <w:pPr>
        <w:spacing w:line="247" w:lineRule="auto"/>
        <w:rPr>
          <w:rFonts w:hint="default" w:ascii="Times New Roman" w:hAnsi="Times New Roman" w:eastAsia="宋体" w:cs="Times New Roman"/>
          <w:color w:val="auto"/>
          <w:sz w:val="21"/>
          <w:u w:val="none"/>
        </w:rPr>
      </w:pPr>
    </w:p>
    <w:p>
      <w:pPr>
        <w:spacing w:line="247" w:lineRule="auto"/>
        <w:rPr>
          <w:rFonts w:hint="default" w:ascii="Times New Roman" w:hAnsi="Times New Roman" w:eastAsia="宋体" w:cs="Times New Roman"/>
          <w:color w:val="auto"/>
          <w:sz w:val="21"/>
          <w:u w:val="none"/>
        </w:rPr>
      </w:pPr>
    </w:p>
    <w:p>
      <w:pPr>
        <w:spacing w:line="247" w:lineRule="auto"/>
        <w:rPr>
          <w:rFonts w:hint="default" w:ascii="Times New Roman" w:hAnsi="Times New Roman" w:eastAsia="宋体" w:cs="Times New Roman"/>
          <w:color w:val="auto"/>
          <w:sz w:val="21"/>
          <w:u w:val="none"/>
        </w:rPr>
      </w:pPr>
    </w:p>
    <w:p>
      <w:pPr>
        <w:spacing w:line="247" w:lineRule="auto"/>
        <w:rPr>
          <w:rFonts w:hint="default" w:ascii="Times New Roman" w:hAnsi="Times New Roman" w:eastAsia="宋体" w:cs="Times New Roman"/>
          <w:color w:val="auto"/>
          <w:sz w:val="21"/>
          <w:u w:val="none"/>
        </w:rPr>
      </w:pPr>
    </w:p>
    <w:p>
      <w:pPr>
        <w:spacing w:line="247" w:lineRule="auto"/>
        <w:rPr>
          <w:rFonts w:hint="default" w:ascii="Times New Roman" w:hAnsi="Times New Roman" w:eastAsia="宋体" w:cs="Times New Roman"/>
          <w:color w:val="auto"/>
          <w:sz w:val="21"/>
          <w:u w:val="none"/>
        </w:rPr>
      </w:pPr>
    </w:p>
    <w:p>
      <w:pPr>
        <w:spacing w:line="247" w:lineRule="auto"/>
        <w:rPr>
          <w:rFonts w:hint="default" w:ascii="Times New Roman" w:hAnsi="Times New Roman" w:eastAsia="宋体" w:cs="Times New Roman"/>
          <w:color w:val="auto"/>
          <w:sz w:val="21"/>
          <w:u w:val="none"/>
        </w:rPr>
      </w:pPr>
    </w:p>
    <w:p>
      <w:pPr>
        <w:spacing w:line="247" w:lineRule="auto"/>
        <w:rPr>
          <w:rFonts w:hint="default" w:ascii="Times New Roman" w:hAnsi="Times New Roman" w:eastAsia="宋体" w:cs="Times New Roman"/>
          <w:color w:val="auto"/>
          <w:sz w:val="21"/>
          <w:u w:val="none"/>
        </w:rPr>
      </w:pPr>
    </w:p>
    <w:p>
      <w:pPr>
        <w:spacing w:before="156" w:line="185" w:lineRule="auto"/>
        <w:ind w:firstLine="1630"/>
        <w:rPr>
          <w:rFonts w:hint="default" w:ascii="Times New Roman" w:hAnsi="Times New Roman" w:eastAsia="宋体" w:cs="Times New Roman"/>
          <w:b/>
          <w:bCs/>
          <w:color w:val="auto"/>
          <w:sz w:val="48"/>
          <w:szCs w:val="48"/>
          <w:u w:val="none"/>
        </w:rPr>
      </w:pPr>
      <w:r>
        <w:rPr>
          <w:rFonts w:hint="default" w:ascii="Times New Roman" w:hAnsi="Times New Roman" w:eastAsia="宋体" w:cs="Times New Roman"/>
          <w:b/>
          <w:bCs/>
          <w:color w:val="auto"/>
          <w:sz w:val="48"/>
          <w:szCs w:val="48"/>
          <w:u w:val="none"/>
        </w:rPr>
        <w:t>地表水环境影响专项评价</w:t>
      </w:r>
    </w:p>
    <w:p>
      <w:pPr>
        <w:pStyle w:val="11"/>
        <w:rPr>
          <w:rFonts w:hint="default" w:ascii="Times New Roman" w:hAnsi="Times New Roman" w:eastAsia="宋体" w:cs="Times New Roman"/>
          <w:b/>
          <w:bCs/>
          <w:color w:val="auto"/>
          <w:sz w:val="48"/>
          <w:szCs w:val="48"/>
          <w:u w:val="none"/>
        </w:rPr>
      </w:pPr>
    </w:p>
    <w:p>
      <w:pPr>
        <w:pStyle w:val="12"/>
        <w:rPr>
          <w:rFonts w:hint="default" w:ascii="Times New Roman" w:hAnsi="Times New Roman" w:eastAsia="宋体" w:cs="Times New Roman"/>
          <w:b/>
          <w:bCs/>
          <w:color w:val="auto"/>
          <w:sz w:val="48"/>
          <w:szCs w:val="48"/>
          <w:u w:val="none"/>
        </w:rPr>
      </w:pPr>
    </w:p>
    <w:p>
      <w:pPr>
        <w:rPr>
          <w:rFonts w:hint="default" w:ascii="Times New Roman" w:hAnsi="Times New Roman" w:eastAsia="宋体" w:cs="Times New Roman"/>
          <w:b/>
          <w:bCs/>
          <w:color w:val="auto"/>
          <w:sz w:val="48"/>
          <w:szCs w:val="48"/>
          <w:u w:val="none"/>
        </w:rPr>
      </w:pPr>
    </w:p>
    <w:p>
      <w:pPr>
        <w:pStyle w:val="11"/>
        <w:rPr>
          <w:rFonts w:hint="default" w:ascii="Times New Roman" w:hAnsi="Times New Roman" w:eastAsia="宋体" w:cs="Times New Roman"/>
          <w:b/>
          <w:bCs/>
          <w:color w:val="auto"/>
          <w:sz w:val="48"/>
          <w:szCs w:val="48"/>
          <w:u w:val="none"/>
        </w:rPr>
      </w:pPr>
    </w:p>
    <w:p>
      <w:pPr>
        <w:pStyle w:val="12"/>
        <w:rPr>
          <w:rFonts w:hint="default" w:ascii="Times New Roman" w:hAnsi="Times New Roman" w:eastAsia="宋体" w:cs="Times New Roman"/>
          <w:b/>
          <w:bCs/>
          <w:color w:val="auto"/>
          <w:sz w:val="48"/>
          <w:szCs w:val="48"/>
          <w:u w:val="none"/>
        </w:rPr>
      </w:pPr>
    </w:p>
    <w:p>
      <w:pPr>
        <w:rPr>
          <w:rFonts w:hint="default" w:ascii="Times New Roman" w:hAnsi="Times New Roman" w:eastAsia="宋体" w:cs="Times New Roman"/>
          <w:b/>
          <w:bCs/>
          <w:color w:val="auto"/>
          <w:sz w:val="48"/>
          <w:szCs w:val="48"/>
          <w:u w:val="none"/>
        </w:rPr>
      </w:pPr>
    </w:p>
    <w:p>
      <w:pPr>
        <w:pStyle w:val="11"/>
        <w:jc w:val="center"/>
        <w:rPr>
          <w:rFonts w:hint="default" w:ascii="Times New Roman" w:hAnsi="Times New Roman" w:eastAsia="宋体" w:cs="Times New Roman"/>
          <w:b/>
          <w:bCs/>
          <w:color w:val="auto"/>
          <w:sz w:val="48"/>
          <w:szCs w:val="48"/>
          <w:u w:val="none"/>
        </w:rPr>
      </w:pPr>
      <w:r>
        <w:rPr>
          <w:rFonts w:hint="default" w:ascii="Times New Roman" w:hAnsi="Times New Roman" w:eastAsia="宋体" w:cs="Times New Roman"/>
          <w:b/>
          <w:bCs/>
          <w:color w:val="auto"/>
          <w:kern w:val="2"/>
          <w:sz w:val="32"/>
          <w:szCs w:val="32"/>
          <w:u w:val="none"/>
          <w:lang w:val="en-US" w:eastAsia="zh-CN" w:bidi="ar-SA"/>
        </w:rPr>
        <w:t>二〇二三年</w:t>
      </w:r>
      <w:r>
        <w:rPr>
          <w:rFonts w:hint="eastAsia" w:cs="Times New Roman"/>
          <w:b/>
          <w:bCs/>
          <w:color w:val="auto"/>
          <w:kern w:val="2"/>
          <w:sz w:val="32"/>
          <w:szCs w:val="32"/>
          <w:u w:val="none"/>
          <w:lang w:val="en-US" w:eastAsia="zh-CN" w:bidi="ar-SA"/>
        </w:rPr>
        <w:t>八</w:t>
      </w:r>
      <w:r>
        <w:rPr>
          <w:rFonts w:hint="default" w:ascii="Times New Roman" w:hAnsi="Times New Roman" w:eastAsia="宋体" w:cs="Times New Roman"/>
          <w:b/>
          <w:bCs/>
          <w:color w:val="auto"/>
          <w:kern w:val="2"/>
          <w:sz w:val="32"/>
          <w:szCs w:val="32"/>
          <w:u w:val="none"/>
          <w:lang w:val="en-US" w:eastAsia="zh-CN" w:bidi="ar-SA"/>
        </w:rPr>
        <w:t>月</w:t>
      </w:r>
    </w:p>
    <w:p>
      <w:pPr>
        <w:rPr>
          <w:rFonts w:hint="default" w:ascii="Times New Roman" w:hAnsi="Times New Roman" w:eastAsia="宋体" w:cs="Times New Roman"/>
          <w:b/>
          <w:bCs/>
          <w:color w:val="auto"/>
          <w:sz w:val="48"/>
          <w:szCs w:val="48"/>
          <w:u w:val="none"/>
        </w:rPr>
      </w:pPr>
    </w:p>
    <w:p>
      <w:pPr>
        <w:pStyle w:val="11"/>
        <w:rPr>
          <w:rFonts w:hint="default" w:ascii="Times New Roman" w:hAnsi="Times New Roman" w:eastAsia="宋体" w:cs="Times New Roman"/>
          <w:b/>
          <w:bCs/>
          <w:color w:val="auto"/>
          <w:sz w:val="48"/>
          <w:szCs w:val="48"/>
          <w:u w:val="none"/>
        </w:rPr>
      </w:pPr>
    </w:p>
    <w:p>
      <w:pPr>
        <w:pStyle w:val="12"/>
        <w:rPr>
          <w:rFonts w:hint="default" w:ascii="Times New Roman" w:hAnsi="Times New Roman" w:eastAsia="宋体" w:cs="Times New Roman"/>
          <w:color w:val="auto"/>
          <w:u w:val="none"/>
        </w:rPr>
      </w:pPr>
    </w:p>
    <w:p>
      <w:pPr>
        <w:rPr>
          <w:rFonts w:hint="default" w:ascii="Times New Roman" w:hAnsi="Times New Roman" w:eastAsia="宋体" w:cs="Times New Roman"/>
          <w:color w:val="auto"/>
          <w:u w:val="none"/>
        </w:rPr>
        <w:sectPr>
          <w:footerReference r:id="rId6" w:type="default"/>
          <w:pgSz w:w="11907" w:h="16839"/>
          <w:pgMar w:top="1431" w:right="1623" w:bottom="1775" w:left="1690" w:header="0" w:footer="1644" w:gutter="0"/>
          <w:pgBorders>
            <w:top w:val="none" w:sz="0" w:space="0"/>
            <w:left w:val="none" w:sz="0" w:space="0"/>
            <w:bottom w:val="none" w:sz="0" w:space="0"/>
            <w:right w:val="none" w:sz="0" w:space="0"/>
          </w:pgBorders>
          <w:pgNumType w:fmt="decimal"/>
          <w:cols w:space="720" w:num="1"/>
        </w:sectPr>
      </w:pPr>
    </w:p>
    <w:p>
      <w:pPr>
        <w:spacing w:line="302" w:lineRule="auto"/>
        <w:rPr>
          <w:rFonts w:hint="default" w:ascii="Times New Roman" w:hAnsi="Times New Roman" w:eastAsia="宋体" w:cs="Times New Roman"/>
          <w:color w:val="auto"/>
          <w:sz w:val="21"/>
          <w:u w:val="none"/>
        </w:rPr>
      </w:pPr>
    </w:p>
    <w:p>
      <w:pPr>
        <w:spacing w:before="98" w:line="185" w:lineRule="auto"/>
        <w:ind w:firstLine="4277"/>
        <w:rPr>
          <w:rFonts w:hint="default" w:ascii="Times New Roman" w:hAnsi="Times New Roman" w:eastAsia="宋体" w:cs="Times New Roman"/>
          <w:b/>
          <w:bCs/>
          <w:color w:val="auto"/>
          <w:sz w:val="30"/>
          <w:szCs w:val="30"/>
          <w:u w:val="none"/>
        </w:rPr>
      </w:pPr>
      <w:bookmarkStart w:id="52" w:name="_bookmark1"/>
      <w:bookmarkEnd w:id="52"/>
      <w:r>
        <w:rPr>
          <w:rFonts w:hint="default" w:ascii="Times New Roman" w:hAnsi="Times New Roman" w:eastAsia="宋体" w:cs="Times New Roman"/>
          <w:b/>
          <w:bCs/>
          <w:color w:val="auto"/>
          <w:spacing w:val="-17"/>
          <w:sz w:val="30"/>
          <w:szCs w:val="30"/>
          <w:u w:val="none"/>
        </w:rPr>
        <w:t>目</w:t>
      </w:r>
      <w:r>
        <w:rPr>
          <w:rFonts w:hint="eastAsia" w:cs="Times New Roman"/>
          <w:b/>
          <w:bCs/>
          <w:color w:val="auto"/>
          <w:spacing w:val="-17"/>
          <w:sz w:val="30"/>
          <w:szCs w:val="30"/>
          <w:u w:val="none"/>
          <w:lang w:val="en-US" w:eastAsia="zh-CN"/>
        </w:rPr>
        <w:t xml:space="preserve">   </w:t>
      </w:r>
      <w:r>
        <w:rPr>
          <w:rFonts w:hint="default" w:ascii="Times New Roman" w:hAnsi="Times New Roman" w:eastAsia="宋体" w:cs="Times New Roman"/>
          <w:b/>
          <w:bCs/>
          <w:color w:val="auto"/>
          <w:spacing w:val="-17"/>
          <w:sz w:val="30"/>
          <w:szCs w:val="30"/>
          <w:u w:val="none"/>
        </w:rPr>
        <w:t>录</w:t>
      </w:r>
    </w:p>
    <w:p>
      <w:pPr>
        <w:pStyle w:val="25"/>
        <w:tabs>
          <w:tab w:val="right" w:leader="dot" w:pos="9009"/>
        </w:tabs>
        <w:spacing w:line="360" w:lineRule="auto"/>
        <w:rPr>
          <w:sz w:val="24"/>
          <w:szCs w:val="24"/>
        </w:rPr>
      </w:pPr>
      <w:r>
        <w:rPr>
          <w:rFonts w:hint="default" w:ascii="Times New Roman" w:hAnsi="Times New Roman" w:eastAsia="宋体" w:cs="Times New Roman"/>
          <w:color w:val="auto"/>
          <w:sz w:val="21"/>
          <w:u w:val="none"/>
        </w:rPr>
        <w:fldChar w:fldCharType="begin"/>
      </w:r>
      <w:r>
        <w:rPr>
          <w:rFonts w:hint="default" w:ascii="Times New Roman" w:hAnsi="Times New Roman" w:eastAsia="宋体" w:cs="Times New Roman"/>
          <w:color w:val="auto"/>
          <w:sz w:val="21"/>
          <w:u w:val="none"/>
        </w:rPr>
        <w:instrText xml:space="preserve">TOC \o "1-2" \h \u </w:instrText>
      </w:r>
      <w:r>
        <w:rPr>
          <w:rFonts w:hint="default" w:ascii="Times New Roman" w:hAnsi="Times New Roman" w:eastAsia="宋体" w:cs="Times New Roman"/>
          <w:color w:val="auto"/>
          <w:sz w:val="21"/>
          <w:u w:val="none"/>
        </w:rPr>
        <w:fldChar w:fldCharType="separate"/>
      </w: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_Toc6955 </w:instrText>
      </w:r>
      <w:r>
        <w:rPr>
          <w:rFonts w:hint="default" w:ascii="Times New Roman" w:hAnsi="Times New Roman" w:eastAsia="宋体" w:cs="Times New Roman"/>
          <w:sz w:val="24"/>
          <w:szCs w:val="24"/>
        </w:rPr>
        <w:fldChar w:fldCharType="separate"/>
      </w:r>
      <w:r>
        <w:rPr>
          <w:rFonts w:hint="eastAsia" w:eastAsia="宋体" w:cs="Times New Roman"/>
          <w:sz w:val="24"/>
          <w:szCs w:val="24"/>
          <w:lang w:val="en-US" w:eastAsia="zh-CN"/>
        </w:rPr>
        <w:t xml:space="preserve">1 </w:t>
      </w:r>
      <w:r>
        <w:rPr>
          <w:rFonts w:hint="default" w:ascii="Times New Roman" w:hAnsi="Times New Roman" w:eastAsia="宋体" w:cs="Times New Roman"/>
          <w:sz w:val="24"/>
          <w:szCs w:val="24"/>
        </w:rPr>
        <w:t>概述</w:t>
      </w:r>
      <w:r>
        <w:rPr>
          <w:sz w:val="24"/>
          <w:szCs w:val="24"/>
        </w:rPr>
        <w:tab/>
      </w:r>
      <w:r>
        <w:rPr>
          <w:sz w:val="24"/>
          <w:szCs w:val="24"/>
        </w:rPr>
        <w:fldChar w:fldCharType="begin"/>
      </w:r>
      <w:r>
        <w:rPr>
          <w:sz w:val="24"/>
          <w:szCs w:val="24"/>
        </w:rPr>
        <w:instrText xml:space="preserve"> PAGEREF _Toc6955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宋体" w:cs="Times New Roman"/>
          <w:color w:val="auto"/>
          <w:sz w:val="24"/>
          <w:szCs w:val="24"/>
          <w:u w:val="none"/>
        </w:rPr>
        <w:fldChar w:fldCharType="end"/>
      </w:r>
    </w:p>
    <w:p>
      <w:pPr>
        <w:pStyle w:val="27"/>
        <w:tabs>
          <w:tab w:val="right" w:leader="dot" w:pos="9009"/>
        </w:tabs>
        <w:spacing w:line="360" w:lineRule="auto"/>
        <w:rPr>
          <w:sz w:val="24"/>
          <w:szCs w:val="24"/>
        </w:rPr>
      </w:pP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_Toc24749 </w:instrText>
      </w:r>
      <w:r>
        <w:rPr>
          <w:rFonts w:hint="default" w:ascii="Times New Roman" w:hAnsi="Times New Roman" w:eastAsia="宋体" w:cs="Times New Roman"/>
          <w:sz w:val="24"/>
          <w:szCs w:val="24"/>
        </w:rPr>
        <w:fldChar w:fldCharType="separate"/>
      </w:r>
      <w:r>
        <w:rPr>
          <w:rFonts w:hint="eastAsia"/>
          <w:sz w:val="24"/>
          <w:szCs w:val="24"/>
          <w:lang w:val="en-US" w:eastAsia="zh-CN"/>
        </w:rPr>
        <w:t xml:space="preserve">1.1 </w:t>
      </w:r>
      <w:r>
        <w:rPr>
          <w:rFonts w:hint="default"/>
          <w:sz w:val="24"/>
          <w:szCs w:val="24"/>
        </w:rPr>
        <w:t>项目</w:t>
      </w:r>
      <w:r>
        <w:rPr>
          <w:rFonts w:hint="eastAsia"/>
          <w:sz w:val="24"/>
          <w:szCs w:val="24"/>
          <w:lang w:val="en-US" w:eastAsia="zh-CN"/>
        </w:rPr>
        <w:t>必要性分析</w:t>
      </w:r>
      <w:r>
        <w:rPr>
          <w:sz w:val="24"/>
          <w:szCs w:val="24"/>
        </w:rPr>
        <w:tab/>
      </w:r>
      <w:r>
        <w:rPr>
          <w:sz w:val="24"/>
          <w:szCs w:val="24"/>
        </w:rPr>
        <w:fldChar w:fldCharType="begin"/>
      </w:r>
      <w:r>
        <w:rPr>
          <w:sz w:val="24"/>
          <w:szCs w:val="24"/>
        </w:rPr>
        <w:instrText xml:space="preserve"> PAGEREF _Toc24749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宋体" w:cs="Times New Roman"/>
          <w:color w:val="auto"/>
          <w:sz w:val="24"/>
          <w:szCs w:val="24"/>
          <w:u w:val="none"/>
        </w:rPr>
        <w:fldChar w:fldCharType="end"/>
      </w:r>
    </w:p>
    <w:p>
      <w:pPr>
        <w:pStyle w:val="27"/>
        <w:tabs>
          <w:tab w:val="right" w:leader="dot" w:pos="9009"/>
        </w:tabs>
        <w:spacing w:line="360" w:lineRule="auto"/>
        <w:rPr>
          <w:sz w:val="24"/>
          <w:szCs w:val="24"/>
        </w:rPr>
      </w:pP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_Toc4359 </w:instrText>
      </w:r>
      <w:r>
        <w:rPr>
          <w:rFonts w:hint="default" w:ascii="Times New Roman" w:hAnsi="Times New Roman" w:eastAsia="宋体" w:cs="Times New Roman"/>
          <w:sz w:val="24"/>
          <w:szCs w:val="24"/>
        </w:rPr>
        <w:fldChar w:fldCharType="separate"/>
      </w:r>
      <w:r>
        <w:rPr>
          <w:rFonts w:hint="eastAsia"/>
          <w:sz w:val="24"/>
          <w:szCs w:val="24"/>
          <w:lang w:val="en-US" w:eastAsia="zh-CN"/>
        </w:rPr>
        <w:t xml:space="preserve">1.2 </w:t>
      </w:r>
      <w:r>
        <w:rPr>
          <w:rFonts w:hint="default"/>
          <w:sz w:val="24"/>
          <w:szCs w:val="24"/>
          <w:lang w:val="en-US" w:eastAsia="zh-CN"/>
        </w:rPr>
        <w:t>编制依据</w:t>
      </w:r>
      <w:r>
        <w:rPr>
          <w:sz w:val="24"/>
          <w:szCs w:val="24"/>
        </w:rPr>
        <w:tab/>
      </w:r>
      <w:r>
        <w:rPr>
          <w:sz w:val="24"/>
          <w:szCs w:val="24"/>
        </w:rPr>
        <w:fldChar w:fldCharType="begin"/>
      </w:r>
      <w:r>
        <w:rPr>
          <w:sz w:val="24"/>
          <w:szCs w:val="24"/>
        </w:rPr>
        <w:instrText xml:space="preserve"> PAGEREF _Toc4359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color w:val="auto"/>
          <w:sz w:val="24"/>
          <w:szCs w:val="24"/>
          <w:u w:val="none"/>
        </w:rPr>
        <w:fldChar w:fldCharType="end"/>
      </w:r>
    </w:p>
    <w:p>
      <w:pPr>
        <w:pStyle w:val="27"/>
        <w:tabs>
          <w:tab w:val="right" w:leader="dot" w:pos="9009"/>
        </w:tabs>
        <w:spacing w:line="360" w:lineRule="auto"/>
        <w:rPr>
          <w:sz w:val="24"/>
          <w:szCs w:val="24"/>
        </w:rPr>
      </w:pP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_Toc32076 </w:instrText>
      </w:r>
      <w:r>
        <w:rPr>
          <w:rFonts w:hint="default" w:ascii="Times New Roman" w:hAnsi="Times New Roman" w:eastAsia="宋体" w:cs="Times New Roman"/>
          <w:sz w:val="24"/>
          <w:szCs w:val="24"/>
        </w:rPr>
        <w:fldChar w:fldCharType="separate"/>
      </w:r>
      <w:r>
        <w:rPr>
          <w:rFonts w:hint="eastAsia"/>
          <w:sz w:val="24"/>
          <w:szCs w:val="24"/>
          <w:lang w:val="en-US" w:eastAsia="zh-CN"/>
        </w:rPr>
        <w:t xml:space="preserve">1.3 </w:t>
      </w:r>
      <w:r>
        <w:rPr>
          <w:rFonts w:hint="default"/>
          <w:sz w:val="24"/>
          <w:szCs w:val="24"/>
          <w:lang w:val="en-US" w:eastAsia="zh-CN"/>
        </w:rPr>
        <w:t>评价目的</w:t>
      </w:r>
      <w:r>
        <w:rPr>
          <w:sz w:val="24"/>
          <w:szCs w:val="24"/>
        </w:rPr>
        <w:tab/>
      </w:r>
      <w:r>
        <w:rPr>
          <w:sz w:val="24"/>
          <w:szCs w:val="24"/>
        </w:rPr>
        <w:fldChar w:fldCharType="begin"/>
      </w:r>
      <w:r>
        <w:rPr>
          <w:sz w:val="24"/>
          <w:szCs w:val="24"/>
        </w:rPr>
        <w:instrText xml:space="preserve"> PAGEREF _Toc32076 \h </w:instrText>
      </w:r>
      <w:r>
        <w:rPr>
          <w:sz w:val="24"/>
          <w:szCs w:val="24"/>
        </w:rPr>
        <w:fldChar w:fldCharType="separate"/>
      </w:r>
      <w:r>
        <w:rPr>
          <w:sz w:val="24"/>
          <w:szCs w:val="24"/>
        </w:rPr>
        <w:t>4</w:t>
      </w:r>
      <w:r>
        <w:rPr>
          <w:sz w:val="24"/>
          <w:szCs w:val="24"/>
        </w:rPr>
        <w:fldChar w:fldCharType="end"/>
      </w:r>
      <w:r>
        <w:rPr>
          <w:rFonts w:hint="default" w:ascii="Times New Roman" w:hAnsi="Times New Roman" w:eastAsia="宋体" w:cs="Times New Roman"/>
          <w:color w:val="auto"/>
          <w:sz w:val="24"/>
          <w:szCs w:val="24"/>
          <w:u w:val="none"/>
        </w:rPr>
        <w:fldChar w:fldCharType="end"/>
      </w:r>
    </w:p>
    <w:p>
      <w:pPr>
        <w:pStyle w:val="27"/>
        <w:tabs>
          <w:tab w:val="right" w:leader="dot" w:pos="9009"/>
        </w:tabs>
        <w:spacing w:line="360" w:lineRule="auto"/>
        <w:rPr>
          <w:sz w:val="24"/>
          <w:szCs w:val="24"/>
        </w:rPr>
      </w:pP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_Toc181 </w:instrText>
      </w:r>
      <w:r>
        <w:rPr>
          <w:rFonts w:hint="default" w:ascii="Times New Roman" w:hAnsi="Times New Roman" w:eastAsia="宋体" w:cs="Times New Roman"/>
          <w:sz w:val="24"/>
          <w:szCs w:val="24"/>
        </w:rPr>
        <w:fldChar w:fldCharType="separate"/>
      </w:r>
      <w:r>
        <w:rPr>
          <w:rFonts w:hint="eastAsia"/>
          <w:sz w:val="24"/>
          <w:szCs w:val="24"/>
          <w:lang w:val="en-US" w:eastAsia="zh-CN"/>
        </w:rPr>
        <w:t xml:space="preserve">1.4 </w:t>
      </w:r>
      <w:r>
        <w:rPr>
          <w:rFonts w:hint="default"/>
          <w:sz w:val="24"/>
          <w:szCs w:val="24"/>
          <w:lang w:val="en-US" w:eastAsia="zh-CN"/>
        </w:rPr>
        <w:t>评价等级</w:t>
      </w:r>
      <w:r>
        <w:rPr>
          <w:sz w:val="24"/>
          <w:szCs w:val="24"/>
        </w:rPr>
        <w:tab/>
      </w:r>
      <w:r>
        <w:rPr>
          <w:sz w:val="24"/>
          <w:szCs w:val="24"/>
        </w:rPr>
        <w:fldChar w:fldCharType="begin"/>
      </w:r>
      <w:r>
        <w:rPr>
          <w:sz w:val="24"/>
          <w:szCs w:val="24"/>
        </w:rPr>
        <w:instrText xml:space="preserve"> PAGEREF _Toc181 \h </w:instrText>
      </w:r>
      <w:r>
        <w:rPr>
          <w:sz w:val="24"/>
          <w:szCs w:val="24"/>
        </w:rPr>
        <w:fldChar w:fldCharType="separate"/>
      </w:r>
      <w:r>
        <w:rPr>
          <w:sz w:val="24"/>
          <w:szCs w:val="24"/>
        </w:rPr>
        <w:t>4</w:t>
      </w:r>
      <w:r>
        <w:rPr>
          <w:sz w:val="24"/>
          <w:szCs w:val="24"/>
        </w:rPr>
        <w:fldChar w:fldCharType="end"/>
      </w:r>
      <w:r>
        <w:rPr>
          <w:rFonts w:hint="default" w:ascii="Times New Roman" w:hAnsi="Times New Roman" w:eastAsia="宋体" w:cs="Times New Roman"/>
          <w:color w:val="auto"/>
          <w:sz w:val="24"/>
          <w:szCs w:val="24"/>
          <w:u w:val="none"/>
        </w:rPr>
        <w:fldChar w:fldCharType="end"/>
      </w:r>
    </w:p>
    <w:p>
      <w:pPr>
        <w:pStyle w:val="27"/>
        <w:tabs>
          <w:tab w:val="right" w:leader="dot" w:pos="9009"/>
        </w:tabs>
        <w:spacing w:line="360" w:lineRule="auto"/>
        <w:rPr>
          <w:sz w:val="24"/>
          <w:szCs w:val="24"/>
        </w:rPr>
      </w:pP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_Toc7485 </w:instrText>
      </w:r>
      <w:r>
        <w:rPr>
          <w:rFonts w:hint="default" w:ascii="Times New Roman" w:hAnsi="Times New Roman" w:eastAsia="宋体" w:cs="Times New Roman"/>
          <w:sz w:val="24"/>
          <w:szCs w:val="24"/>
        </w:rPr>
        <w:fldChar w:fldCharType="separate"/>
      </w:r>
      <w:r>
        <w:rPr>
          <w:rFonts w:hint="eastAsia"/>
          <w:sz w:val="24"/>
          <w:szCs w:val="24"/>
          <w:lang w:val="en-US" w:eastAsia="zh-CN"/>
        </w:rPr>
        <w:t xml:space="preserve">1.5 </w:t>
      </w:r>
      <w:r>
        <w:rPr>
          <w:rFonts w:hint="default"/>
          <w:sz w:val="24"/>
          <w:szCs w:val="24"/>
          <w:lang w:val="en-US" w:eastAsia="zh-CN"/>
        </w:rPr>
        <w:t>评价范围</w:t>
      </w:r>
      <w:r>
        <w:rPr>
          <w:sz w:val="24"/>
          <w:szCs w:val="24"/>
        </w:rPr>
        <w:tab/>
      </w:r>
      <w:r>
        <w:rPr>
          <w:sz w:val="24"/>
          <w:szCs w:val="24"/>
        </w:rPr>
        <w:fldChar w:fldCharType="begin"/>
      </w:r>
      <w:r>
        <w:rPr>
          <w:sz w:val="24"/>
          <w:szCs w:val="24"/>
        </w:rPr>
        <w:instrText xml:space="preserve"> PAGEREF _Toc7485 \h </w:instrText>
      </w:r>
      <w:r>
        <w:rPr>
          <w:sz w:val="24"/>
          <w:szCs w:val="24"/>
        </w:rPr>
        <w:fldChar w:fldCharType="separate"/>
      </w:r>
      <w:r>
        <w:rPr>
          <w:sz w:val="24"/>
          <w:szCs w:val="24"/>
        </w:rPr>
        <w:t>4</w:t>
      </w:r>
      <w:r>
        <w:rPr>
          <w:sz w:val="24"/>
          <w:szCs w:val="24"/>
        </w:rPr>
        <w:fldChar w:fldCharType="end"/>
      </w:r>
      <w:r>
        <w:rPr>
          <w:rFonts w:hint="default" w:ascii="Times New Roman" w:hAnsi="Times New Roman" w:eastAsia="宋体" w:cs="Times New Roman"/>
          <w:color w:val="auto"/>
          <w:sz w:val="24"/>
          <w:szCs w:val="24"/>
          <w:u w:val="none"/>
        </w:rPr>
        <w:fldChar w:fldCharType="end"/>
      </w:r>
    </w:p>
    <w:p>
      <w:pPr>
        <w:pStyle w:val="27"/>
        <w:tabs>
          <w:tab w:val="right" w:leader="dot" w:pos="9009"/>
        </w:tabs>
        <w:spacing w:line="360" w:lineRule="auto"/>
        <w:rPr>
          <w:sz w:val="24"/>
          <w:szCs w:val="24"/>
        </w:rPr>
      </w:pP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_Toc5384 </w:instrText>
      </w:r>
      <w:r>
        <w:rPr>
          <w:rFonts w:hint="default" w:ascii="Times New Roman" w:hAnsi="Times New Roman" w:eastAsia="宋体" w:cs="Times New Roman"/>
          <w:sz w:val="24"/>
          <w:szCs w:val="24"/>
        </w:rPr>
        <w:fldChar w:fldCharType="separate"/>
      </w:r>
      <w:r>
        <w:rPr>
          <w:rFonts w:hint="eastAsia"/>
          <w:sz w:val="24"/>
          <w:szCs w:val="24"/>
          <w:lang w:val="en-US" w:eastAsia="zh-CN"/>
        </w:rPr>
        <w:t xml:space="preserve">1.6 </w:t>
      </w:r>
      <w:r>
        <w:rPr>
          <w:rFonts w:hint="default"/>
          <w:sz w:val="24"/>
          <w:szCs w:val="24"/>
          <w:lang w:val="en-US" w:eastAsia="zh-CN"/>
        </w:rPr>
        <w:t>评价标准</w:t>
      </w:r>
      <w:r>
        <w:rPr>
          <w:sz w:val="24"/>
          <w:szCs w:val="24"/>
        </w:rPr>
        <w:tab/>
      </w:r>
      <w:r>
        <w:rPr>
          <w:sz w:val="24"/>
          <w:szCs w:val="24"/>
        </w:rPr>
        <w:fldChar w:fldCharType="begin"/>
      </w:r>
      <w:r>
        <w:rPr>
          <w:sz w:val="24"/>
          <w:szCs w:val="24"/>
        </w:rPr>
        <w:instrText xml:space="preserve"> PAGEREF _Toc5384 \h </w:instrText>
      </w:r>
      <w:r>
        <w:rPr>
          <w:sz w:val="24"/>
          <w:szCs w:val="24"/>
        </w:rPr>
        <w:fldChar w:fldCharType="separate"/>
      </w:r>
      <w:r>
        <w:rPr>
          <w:sz w:val="24"/>
          <w:szCs w:val="24"/>
        </w:rPr>
        <w:t>4</w:t>
      </w:r>
      <w:r>
        <w:rPr>
          <w:sz w:val="24"/>
          <w:szCs w:val="24"/>
        </w:rPr>
        <w:fldChar w:fldCharType="end"/>
      </w:r>
      <w:r>
        <w:rPr>
          <w:rFonts w:hint="default" w:ascii="Times New Roman" w:hAnsi="Times New Roman" w:eastAsia="宋体" w:cs="Times New Roman"/>
          <w:color w:val="auto"/>
          <w:sz w:val="24"/>
          <w:szCs w:val="24"/>
          <w:u w:val="none"/>
        </w:rPr>
        <w:fldChar w:fldCharType="end"/>
      </w:r>
    </w:p>
    <w:p>
      <w:pPr>
        <w:pStyle w:val="27"/>
        <w:tabs>
          <w:tab w:val="right" w:leader="dot" w:pos="9009"/>
        </w:tabs>
        <w:spacing w:line="360" w:lineRule="auto"/>
        <w:rPr>
          <w:sz w:val="24"/>
          <w:szCs w:val="24"/>
        </w:rPr>
      </w:pP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_Toc16497 </w:instrText>
      </w:r>
      <w:r>
        <w:rPr>
          <w:rFonts w:hint="default" w:ascii="Times New Roman" w:hAnsi="Times New Roman" w:eastAsia="宋体" w:cs="Times New Roman"/>
          <w:sz w:val="24"/>
          <w:szCs w:val="24"/>
        </w:rPr>
        <w:fldChar w:fldCharType="separate"/>
      </w:r>
      <w:r>
        <w:rPr>
          <w:rFonts w:hint="eastAsia"/>
          <w:sz w:val="24"/>
          <w:szCs w:val="24"/>
          <w:lang w:val="en-US" w:eastAsia="zh-CN"/>
        </w:rPr>
        <w:t xml:space="preserve">1.7 </w:t>
      </w:r>
      <w:r>
        <w:rPr>
          <w:rFonts w:hint="default"/>
          <w:sz w:val="24"/>
          <w:szCs w:val="24"/>
          <w:lang w:val="en-US" w:eastAsia="zh-CN"/>
        </w:rPr>
        <w:t>评价方法</w:t>
      </w:r>
      <w:r>
        <w:rPr>
          <w:sz w:val="24"/>
          <w:szCs w:val="24"/>
        </w:rPr>
        <w:tab/>
      </w:r>
      <w:r>
        <w:rPr>
          <w:sz w:val="24"/>
          <w:szCs w:val="24"/>
        </w:rPr>
        <w:fldChar w:fldCharType="begin"/>
      </w:r>
      <w:r>
        <w:rPr>
          <w:sz w:val="24"/>
          <w:szCs w:val="24"/>
        </w:rPr>
        <w:instrText xml:space="preserve"> PAGEREF _Toc16497 \h </w:instrText>
      </w:r>
      <w:r>
        <w:rPr>
          <w:sz w:val="24"/>
          <w:szCs w:val="24"/>
        </w:rPr>
        <w:fldChar w:fldCharType="separate"/>
      </w:r>
      <w:r>
        <w:rPr>
          <w:sz w:val="24"/>
          <w:szCs w:val="24"/>
        </w:rPr>
        <w:t>5</w:t>
      </w:r>
      <w:r>
        <w:rPr>
          <w:sz w:val="24"/>
          <w:szCs w:val="24"/>
        </w:rPr>
        <w:fldChar w:fldCharType="end"/>
      </w:r>
      <w:r>
        <w:rPr>
          <w:rFonts w:hint="default" w:ascii="Times New Roman" w:hAnsi="Times New Roman" w:eastAsia="宋体" w:cs="Times New Roman"/>
          <w:color w:val="auto"/>
          <w:sz w:val="24"/>
          <w:szCs w:val="24"/>
          <w:u w:val="none"/>
        </w:rPr>
        <w:fldChar w:fldCharType="end"/>
      </w:r>
    </w:p>
    <w:p>
      <w:pPr>
        <w:pStyle w:val="27"/>
        <w:tabs>
          <w:tab w:val="right" w:leader="dot" w:pos="9009"/>
        </w:tabs>
        <w:spacing w:line="360" w:lineRule="auto"/>
        <w:rPr>
          <w:sz w:val="24"/>
          <w:szCs w:val="24"/>
        </w:rPr>
      </w:pP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_Toc21769 </w:instrText>
      </w:r>
      <w:r>
        <w:rPr>
          <w:rFonts w:hint="default" w:ascii="Times New Roman" w:hAnsi="Times New Roman" w:eastAsia="宋体" w:cs="Times New Roman"/>
          <w:sz w:val="24"/>
          <w:szCs w:val="24"/>
        </w:rPr>
        <w:fldChar w:fldCharType="separate"/>
      </w:r>
      <w:r>
        <w:rPr>
          <w:rFonts w:hint="eastAsia"/>
          <w:sz w:val="24"/>
          <w:szCs w:val="24"/>
          <w:lang w:val="en-US" w:eastAsia="zh-CN"/>
        </w:rPr>
        <w:t xml:space="preserve">1.8 </w:t>
      </w:r>
      <w:r>
        <w:rPr>
          <w:rFonts w:hint="default"/>
          <w:sz w:val="24"/>
          <w:szCs w:val="24"/>
          <w:lang w:val="en-US" w:eastAsia="zh-CN"/>
        </w:rPr>
        <w:t>环境保护目标</w:t>
      </w:r>
      <w:r>
        <w:rPr>
          <w:sz w:val="24"/>
          <w:szCs w:val="24"/>
        </w:rPr>
        <w:tab/>
      </w:r>
      <w:r>
        <w:rPr>
          <w:sz w:val="24"/>
          <w:szCs w:val="24"/>
        </w:rPr>
        <w:fldChar w:fldCharType="begin"/>
      </w:r>
      <w:r>
        <w:rPr>
          <w:sz w:val="24"/>
          <w:szCs w:val="24"/>
        </w:rPr>
        <w:instrText xml:space="preserve"> PAGEREF _Toc21769 \h </w:instrText>
      </w:r>
      <w:r>
        <w:rPr>
          <w:sz w:val="24"/>
          <w:szCs w:val="24"/>
        </w:rPr>
        <w:fldChar w:fldCharType="separate"/>
      </w:r>
      <w:r>
        <w:rPr>
          <w:sz w:val="24"/>
          <w:szCs w:val="24"/>
        </w:rPr>
        <w:t>5</w:t>
      </w:r>
      <w:r>
        <w:rPr>
          <w:sz w:val="24"/>
          <w:szCs w:val="24"/>
        </w:rPr>
        <w:fldChar w:fldCharType="end"/>
      </w:r>
      <w:r>
        <w:rPr>
          <w:rFonts w:hint="default" w:ascii="Times New Roman" w:hAnsi="Times New Roman" w:eastAsia="宋体" w:cs="Times New Roman"/>
          <w:color w:val="auto"/>
          <w:sz w:val="24"/>
          <w:szCs w:val="24"/>
          <w:u w:val="none"/>
        </w:rPr>
        <w:fldChar w:fldCharType="end"/>
      </w:r>
    </w:p>
    <w:p>
      <w:pPr>
        <w:pStyle w:val="25"/>
        <w:tabs>
          <w:tab w:val="right" w:leader="dot" w:pos="9009"/>
        </w:tabs>
        <w:spacing w:line="360" w:lineRule="auto"/>
        <w:rPr>
          <w:sz w:val="24"/>
          <w:szCs w:val="24"/>
        </w:rPr>
      </w:pP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_Toc9530 </w:instrText>
      </w:r>
      <w:r>
        <w:rPr>
          <w:rFonts w:hint="default" w:ascii="Times New Roman" w:hAnsi="Times New Roman" w:eastAsia="宋体" w:cs="Times New Roman"/>
          <w:sz w:val="24"/>
          <w:szCs w:val="24"/>
        </w:rPr>
        <w:fldChar w:fldCharType="separate"/>
      </w:r>
      <w:r>
        <w:rPr>
          <w:rFonts w:hint="eastAsia" w:eastAsia="宋体" w:cs="Times New Roman"/>
          <w:sz w:val="24"/>
          <w:szCs w:val="24"/>
          <w:lang w:val="en-US" w:eastAsia="zh-CN"/>
        </w:rPr>
        <w:t xml:space="preserve">2 </w:t>
      </w:r>
      <w:r>
        <w:rPr>
          <w:rFonts w:hint="default" w:eastAsia="宋体" w:cs="Times New Roman"/>
          <w:sz w:val="24"/>
          <w:szCs w:val="24"/>
          <w:lang w:val="en-US" w:eastAsia="zh-CN"/>
        </w:rPr>
        <w:t>地表水环境质量现状调查与评价</w:t>
      </w:r>
      <w:r>
        <w:rPr>
          <w:sz w:val="24"/>
          <w:szCs w:val="24"/>
        </w:rPr>
        <w:tab/>
      </w:r>
      <w:r>
        <w:rPr>
          <w:sz w:val="24"/>
          <w:szCs w:val="24"/>
        </w:rPr>
        <w:fldChar w:fldCharType="begin"/>
      </w:r>
      <w:r>
        <w:rPr>
          <w:sz w:val="24"/>
          <w:szCs w:val="24"/>
        </w:rPr>
        <w:instrText xml:space="preserve"> PAGEREF _Toc9530 \h </w:instrText>
      </w:r>
      <w:r>
        <w:rPr>
          <w:sz w:val="24"/>
          <w:szCs w:val="24"/>
        </w:rPr>
        <w:fldChar w:fldCharType="separate"/>
      </w:r>
      <w:r>
        <w:rPr>
          <w:sz w:val="24"/>
          <w:szCs w:val="24"/>
        </w:rPr>
        <w:t>6</w:t>
      </w:r>
      <w:r>
        <w:rPr>
          <w:sz w:val="24"/>
          <w:szCs w:val="24"/>
        </w:rPr>
        <w:fldChar w:fldCharType="end"/>
      </w:r>
      <w:r>
        <w:rPr>
          <w:rFonts w:hint="default" w:ascii="Times New Roman" w:hAnsi="Times New Roman" w:eastAsia="宋体" w:cs="Times New Roman"/>
          <w:color w:val="auto"/>
          <w:sz w:val="24"/>
          <w:szCs w:val="24"/>
          <w:u w:val="none"/>
        </w:rPr>
        <w:fldChar w:fldCharType="end"/>
      </w:r>
    </w:p>
    <w:p>
      <w:pPr>
        <w:pStyle w:val="27"/>
        <w:tabs>
          <w:tab w:val="right" w:leader="dot" w:pos="9009"/>
        </w:tabs>
        <w:spacing w:line="360" w:lineRule="auto"/>
        <w:rPr>
          <w:sz w:val="24"/>
          <w:szCs w:val="24"/>
        </w:rPr>
      </w:pP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_Toc21352 </w:instrText>
      </w:r>
      <w:r>
        <w:rPr>
          <w:rFonts w:hint="default" w:ascii="Times New Roman" w:hAnsi="Times New Roman" w:eastAsia="宋体" w:cs="Times New Roman"/>
          <w:sz w:val="24"/>
          <w:szCs w:val="24"/>
        </w:rPr>
        <w:fldChar w:fldCharType="separate"/>
      </w:r>
      <w:r>
        <w:rPr>
          <w:rFonts w:hint="eastAsia"/>
          <w:sz w:val="24"/>
          <w:szCs w:val="24"/>
          <w:lang w:val="en-US" w:eastAsia="zh-CN"/>
        </w:rPr>
        <w:t xml:space="preserve">2.1 </w:t>
      </w:r>
      <w:r>
        <w:rPr>
          <w:rFonts w:hint="default"/>
          <w:sz w:val="24"/>
          <w:szCs w:val="24"/>
          <w:lang w:val="en-US" w:eastAsia="zh-CN"/>
        </w:rPr>
        <w:t>水环境现状调查</w:t>
      </w:r>
      <w:r>
        <w:rPr>
          <w:sz w:val="24"/>
          <w:szCs w:val="24"/>
        </w:rPr>
        <w:tab/>
      </w:r>
      <w:r>
        <w:rPr>
          <w:sz w:val="24"/>
          <w:szCs w:val="24"/>
        </w:rPr>
        <w:fldChar w:fldCharType="begin"/>
      </w:r>
      <w:r>
        <w:rPr>
          <w:sz w:val="24"/>
          <w:szCs w:val="24"/>
        </w:rPr>
        <w:instrText xml:space="preserve"> PAGEREF _Toc21352 \h </w:instrText>
      </w:r>
      <w:r>
        <w:rPr>
          <w:sz w:val="24"/>
          <w:szCs w:val="24"/>
        </w:rPr>
        <w:fldChar w:fldCharType="separate"/>
      </w:r>
      <w:r>
        <w:rPr>
          <w:sz w:val="24"/>
          <w:szCs w:val="24"/>
        </w:rPr>
        <w:t>6</w:t>
      </w:r>
      <w:r>
        <w:rPr>
          <w:sz w:val="24"/>
          <w:szCs w:val="24"/>
        </w:rPr>
        <w:fldChar w:fldCharType="end"/>
      </w:r>
      <w:r>
        <w:rPr>
          <w:rFonts w:hint="default" w:ascii="Times New Roman" w:hAnsi="Times New Roman" w:eastAsia="宋体" w:cs="Times New Roman"/>
          <w:color w:val="auto"/>
          <w:sz w:val="24"/>
          <w:szCs w:val="24"/>
          <w:u w:val="none"/>
        </w:rPr>
        <w:fldChar w:fldCharType="end"/>
      </w:r>
    </w:p>
    <w:p>
      <w:pPr>
        <w:pStyle w:val="25"/>
        <w:tabs>
          <w:tab w:val="right" w:leader="dot" w:pos="9009"/>
        </w:tabs>
        <w:spacing w:line="360" w:lineRule="auto"/>
        <w:rPr>
          <w:sz w:val="24"/>
          <w:szCs w:val="24"/>
        </w:rPr>
      </w:pP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_Toc21132 </w:instrText>
      </w:r>
      <w:r>
        <w:rPr>
          <w:rFonts w:hint="default" w:ascii="Times New Roman" w:hAnsi="Times New Roman" w:eastAsia="宋体" w:cs="Times New Roman"/>
          <w:sz w:val="24"/>
          <w:szCs w:val="24"/>
        </w:rPr>
        <w:fldChar w:fldCharType="separate"/>
      </w:r>
      <w:r>
        <w:rPr>
          <w:rFonts w:hint="eastAsia" w:eastAsia="宋体" w:cs="Times New Roman"/>
          <w:sz w:val="24"/>
          <w:szCs w:val="24"/>
          <w:lang w:val="en-US" w:eastAsia="zh-CN"/>
        </w:rPr>
        <w:t xml:space="preserve">3 </w:t>
      </w:r>
      <w:r>
        <w:rPr>
          <w:rFonts w:hint="default" w:eastAsia="宋体" w:cs="Times New Roman"/>
          <w:sz w:val="24"/>
          <w:szCs w:val="24"/>
          <w:lang w:val="en-US" w:eastAsia="zh-CN"/>
        </w:rPr>
        <w:t>地表水环境影响预测与评价</w:t>
      </w:r>
      <w:r>
        <w:rPr>
          <w:sz w:val="24"/>
          <w:szCs w:val="24"/>
        </w:rPr>
        <w:tab/>
      </w:r>
      <w:r>
        <w:rPr>
          <w:sz w:val="24"/>
          <w:szCs w:val="24"/>
        </w:rPr>
        <w:fldChar w:fldCharType="begin"/>
      </w:r>
      <w:r>
        <w:rPr>
          <w:sz w:val="24"/>
          <w:szCs w:val="24"/>
        </w:rPr>
        <w:instrText xml:space="preserve"> PAGEREF _Toc21132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宋体" w:cs="Times New Roman"/>
          <w:color w:val="auto"/>
          <w:sz w:val="24"/>
          <w:szCs w:val="24"/>
          <w:u w:val="none"/>
        </w:rPr>
        <w:fldChar w:fldCharType="end"/>
      </w:r>
    </w:p>
    <w:p>
      <w:pPr>
        <w:pStyle w:val="27"/>
        <w:tabs>
          <w:tab w:val="right" w:leader="dot" w:pos="9009"/>
        </w:tabs>
        <w:spacing w:line="360" w:lineRule="auto"/>
        <w:rPr>
          <w:sz w:val="24"/>
          <w:szCs w:val="24"/>
        </w:rPr>
      </w:pP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_Toc17992 </w:instrText>
      </w:r>
      <w:r>
        <w:rPr>
          <w:rFonts w:hint="default" w:ascii="Times New Roman" w:hAnsi="Times New Roman" w:eastAsia="宋体" w:cs="Times New Roman"/>
          <w:sz w:val="24"/>
          <w:szCs w:val="24"/>
        </w:rPr>
        <w:fldChar w:fldCharType="separate"/>
      </w:r>
      <w:r>
        <w:rPr>
          <w:rFonts w:hint="eastAsia"/>
          <w:sz w:val="24"/>
          <w:szCs w:val="24"/>
          <w:lang w:val="en-US" w:eastAsia="zh-CN"/>
        </w:rPr>
        <w:t xml:space="preserve">3.1 </w:t>
      </w:r>
      <w:r>
        <w:rPr>
          <w:rFonts w:hint="default"/>
          <w:sz w:val="24"/>
          <w:szCs w:val="24"/>
          <w:lang w:val="en-US" w:eastAsia="zh-CN"/>
        </w:rPr>
        <w:t>施工期影响分析</w:t>
      </w:r>
      <w:r>
        <w:rPr>
          <w:sz w:val="24"/>
          <w:szCs w:val="24"/>
        </w:rPr>
        <w:tab/>
      </w:r>
      <w:r>
        <w:rPr>
          <w:sz w:val="24"/>
          <w:szCs w:val="24"/>
        </w:rPr>
        <w:fldChar w:fldCharType="begin"/>
      </w:r>
      <w:r>
        <w:rPr>
          <w:sz w:val="24"/>
          <w:szCs w:val="24"/>
        </w:rPr>
        <w:instrText xml:space="preserve"> PAGEREF _Toc17992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宋体" w:cs="Times New Roman"/>
          <w:color w:val="auto"/>
          <w:sz w:val="24"/>
          <w:szCs w:val="24"/>
          <w:u w:val="none"/>
        </w:rPr>
        <w:fldChar w:fldCharType="end"/>
      </w:r>
    </w:p>
    <w:p>
      <w:pPr>
        <w:pStyle w:val="27"/>
        <w:tabs>
          <w:tab w:val="right" w:leader="dot" w:pos="9009"/>
        </w:tabs>
        <w:spacing w:line="360" w:lineRule="auto"/>
        <w:rPr>
          <w:sz w:val="24"/>
          <w:szCs w:val="24"/>
        </w:rPr>
      </w:pP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_Toc11536 </w:instrText>
      </w:r>
      <w:r>
        <w:rPr>
          <w:rFonts w:hint="default" w:ascii="Times New Roman" w:hAnsi="Times New Roman" w:eastAsia="宋体" w:cs="Times New Roman"/>
          <w:sz w:val="24"/>
          <w:szCs w:val="24"/>
        </w:rPr>
        <w:fldChar w:fldCharType="separate"/>
      </w:r>
      <w:r>
        <w:rPr>
          <w:rFonts w:hint="eastAsia"/>
          <w:sz w:val="24"/>
          <w:szCs w:val="24"/>
          <w:lang w:val="en-US" w:eastAsia="zh-CN"/>
        </w:rPr>
        <w:t xml:space="preserve">3.2 </w:t>
      </w:r>
      <w:r>
        <w:rPr>
          <w:rFonts w:hint="default"/>
          <w:sz w:val="24"/>
          <w:szCs w:val="24"/>
          <w:lang w:val="en-US" w:eastAsia="zh-CN"/>
        </w:rPr>
        <w:t>运营期水污染源分析</w:t>
      </w:r>
      <w:r>
        <w:rPr>
          <w:sz w:val="24"/>
          <w:szCs w:val="24"/>
        </w:rPr>
        <w:tab/>
      </w:r>
      <w:r>
        <w:rPr>
          <w:sz w:val="24"/>
          <w:szCs w:val="24"/>
        </w:rPr>
        <w:fldChar w:fldCharType="begin"/>
      </w:r>
      <w:r>
        <w:rPr>
          <w:sz w:val="24"/>
          <w:szCs w:val="24"/>
        </w:rPr>
        <w:instrText xml:space="preserve"> PAGEREF _Toc11536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宋体" w:cs="Times New Roman"/>
          <w:color w:val="auto"/>
          <w:sz w:val="24"/>
          <w:szCs w:val="24"/>
          <w:u w:val="none"/>
        </w:rPr>
        <w:fldChar w:fldCharType="end"/>
      </w:r>
    </w:p>
    <w:p>
      <w:pPr>
        <w:pStyle w:val="27"/>
        <w:tabs>
          <w:tab w:val="right" w:leader="dot" w:pos="9009"/>
        </w:tabs>
        <w:spacing w:line="360" w:lineRule="auto"/>
        <w:rPr>
          <w:sz w:val="24"/>
          <w:szCs w:val="24"/>
        </w:rPr>
      </w:pP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_Toc12915 </w:instrText>
      </w:r>
      <w:r>
        <w:rPr>
          <w:rFonts w:hint="default" w:ascii="Times New Roman" w:hAnsi="Times New Roman" w:eastAsia="宋体" w:cs="Times New Roman"/>
          <w:sz w:val="24"/>
          <w:szCs w:val="24"/>
        </w:rPr>
        <w:fldChar w:fldCharType="separate"/>
      </w:r>
      <w:r>
        <w:rPr>
          <w:rFonts w:hint="eastAsia"/>
          <w:sz w:val="24"/>
          <w:szCs w:val="24"/>
          <w:lang w:val="en-US" w:eastAsia="zh-CN"/>
        </w:rPr>
        <w:t xml:space="preserve">3.3 </w:t>
      </w:r>
      <w:r>
        <w:rPr>
          <w:rFonts w:hint="default"/>
          <w:sz w:val="24"/>
          <w:szCs w:val="24"/>
          <w:lang w:val="en-US" w:eastAsia="zh-CN"/>
        </w:rPr>
        <w:t>水环境影响分析</w:t>
      </w:r>
      <w:r>
        <w:rPr>
          <w:sz w:val="24"/>
          <w:szCs w:val="24"/>
        </w:rPr>
        <w:tab/>
      </w:r>
      <w:r>
        <w:rPr>
          <w:sz w:val="24"/>
          <w:szCs w:val="24"/>
        </w:rPr>
        <w:fldChar w:fldCharType="begin"/>
      </w:r>
      <w:r>
        <w:rPr>
          <w:sz w:val="24"/>
          <w:szCs w:val="24"/>
        </w:rPr>
        <w:instrText xml:space="preserve"> PAGEREF _Toc12915 \h </w:instrText>
      </w:r>
      <w:r>
        <w:rPr>
          <w:sz w:val="24"/>
          <w:szCs w:val="24"/>
        </w:rPr>
        <w:fldChar w:fldCharType="separate"/>
      </w:r>
      <w:r>
        <w:rPr>
          <w:sz w:val="24"/>
          <w:szCs w:val="24"/>
        </w:rPr>
        <w:t>11</w:t>
      </w:r>
      <w:r>
        <w:rPr>
          <w:sz w:val="24"/>
          <w:szCs w:val="24"/>
        </w:rPr>
        <w:fldChar w:fldCharType="end"/>
      </w:r>
      <w:r>
        <w:rPr>
          <w:rFonts w:hint="default" w:ascii="Times New Roman" w:hAnsi="Times New Roman" w:eastAsia="宋体" w:cs="Times New Roman"/>
          <w:color w:val="auto"/>
          <w:sz w:val="24"/>
          <w:szCs w:val="24"/>
          <w:u w:val="none"/>
        </w:rPr>
        <w:fldChar w:fldCharType="end"/>
      </w:r>
    </w:p>
    <w:p>
      <w:pPr>
        <w:pStyle w:val="27"/>
        <w:tabs>
          <w:tab w:val="right" w:leader="dot" w:pos="9009"/>
        </w:tabs>
        <w:spacing w:line="360" w:lineRule="auto"/>
        <w:rPr>
          <w:sz w:val="24"/>
          <w:szCs w:val="24"/>
        </w:rPr>
      </w:pP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_Toc13829 </w:instrText>
      </w:r>
      <w:r>
        <w:rPr>
          <w:rFonts w:hint="default" w:ascii="Times New Roman" w:hAnsi="Times New Roman" w:eastAsia="宋体" w:cs="Times New Roman"/>
          <w:sz w:val="24"/>
          <w:szCs w:val="24"/>
        </w:rPr>
        <w:fldChar w:fldCharType="separate"/>
      </w:r>
      <w:r>
        <w:rPr>
          <w:rFonts w:hint="eastAsia"/>
          <w:sz w:val="24"/>
          <w:szCs w:val="24"/>
          <w:lang w:val="en-US" w:eastAsia="zh-CN"/>
        </w:rPr>
        <w:t xml:space="preserve">3.4 </w:t>
      </w:r>
      <w:r>
        <w:rPr>
          <w:rFonts w:hint="default"/>
          <w:sz w:val="24"/>
          <w:szCs w:val="24"/>
          <w:lang w:val="en-US" w:eastAsia="zh-CN"/>
        </w:rPr>
        <w:t>环境监测计划</w:t>
      </w:r>
      <w:r>
        <w:rPr>
          <w:sz w:val="24"/>
          <w:szCs w:val="24"/>
        </w:rPr>
        <w:tab/>
      </w:r>
      <w:r>
        <w:rPr>
          <w:sz w:val="24"/>
          <w:szCs w:val="24"/>
        </w:rPr>
        <w:fldChar w:fldCharType="begin"/>
      </w:r>
      <w:r>
        <w:rPr>
          <w:sz w:val="24"/>
          <w:szCs w:val="24"/>
        </w:rPr>
        <w:instrText xml:space="preserve"> PAGEREF _Toc13829 \h </w:instrText>
      </w:r>
      <w:r>
        <w:rPr>
          <w:sz w:val="24"/>
          <w:szCs w:val="24"/>
        </w:rPr>
        <w:fldChar w:fldCharType="separate"/>
      </w:r>
      <w:r>
        <w:rPr>
          <w:sz w:val="24"/>
          <w:szCs w:val="24"/>
        </w:rPr>
        <w:t>12</w:t>
      </w:r>
      <w:r>
        <w:rPr>
          <w:sz w:val="24"/>
          <w:szCs w:val="24"/>
        </w:rPr>
        <w:fldChar w:fldCharType="end"/>
      </w:r>
      <w:r>
        <w:rPr>
          <w:rFonts w:hint="default" w:ascii="Times New Roman" w:hAnsi="Times New Roman" w:eastAsia="宋体" w:cs="Times New Roman"/>
          <w:color w:val="auto"/>
          <w:sz w:val="24"/>
          <w:szCs w:val="24"/>
          <w:u w:val="none"/>
        </w:rPr>
        <w:fldChar w:fldCharType="end"/>
      </w:r>
    </w:p>
    <w:p>
      <w:pPr>
        <w:pStyle w:val="25"/>
        <w:tabs>
          <w:tab w:val="right" w:leader="dot" w:pos="9009"/>
        </w:tabs>
        <w:spacing w:line="360" w:lineRule="auto"/>
        <w:rPr>
          <w:sz w:val="24"/>
          <w:szCs w:val="24"/>
        </w:rPr>
      </w:pP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_Toc27975 </w:instrText>
      </w:r>
      <w:r>
        <w:rPr>
          <w:rFonts w:hint="default" w:ascii="Times New Roman" w:hAnsi="Times New Roman" w:eastAsia="宋体" w:cs="Times New Roman"/>
          <w:sz w:val="24"/>
          <w:szCs w:val="24"/>
        </w:rPr>
        <w:fldChar w:fldCharType="separate"/>
      </w:r>
      <w:r>
        <w:rPr>
          <w:rFonts w:hint="eastAsia" w:eastAsia="宋体" w:cs="Times New Roman"/>
          <w:sz w:val="24"/>
          <w:szCs w:val="24"/>
          <w:lang w:val="en-US" w:eastAsia="zh-CN"/>
        </w:rPr>
        <w:t xml:space="preserve">4 </w:t>
      </w:r>
      <w:r>
        <w:rPr>
          <w:rFonts w:hint="default" w:eastAsia="宋体" w:cs="Times New Roman"/>
          <w:sz w:val="24"/>
          <w:szCs w:val="24"/>
          <w:lang w:val="en-US" w:eastAsia="zh-CN"/>
        </w:rPr>
        <w:t>地表水污染防治措施</w:t>
      </w:r>
      <w:r>
        <w:rPr>
          <w:sz w:val="24"/>
          <w:szCs w:val="24"/>
        </w:rPr>
        <w:tab/>
      </w:r>
      <w:r>
        <w:rPr>
          <w:sz w:val="24"/>
          <w:szCs w:val="24"/>
        </w:rPr>
        <w:fldChar w:fldCharType="begin"/>
      </w:r>
      <w:r>
        <w:rPr>
          <w:sz w:val="24"/>
          <w:szCs w:val="24"/>
        </w:rPr>
        <w:instrText xml:space="preserve"> PAGEREF _Toc27975 \h </w:instrText>
      </w:r>
      <w:r>
        <w:rPr>
          <w:sz w:val="24"/>
          <w:szCs w:val="24"/>
        </w:rPr>
        <w:fldChar w:fldCharType="separate"/>
      </w:r>
      <w:r>
        <w:rPr>
          <w:sz w:val="24"/>
          <w:szCs w:val="24"/>
        </w:rPr>
        <w:t>13</w:t>
      </w:r>
      <w:r>
        <w:rPr>
          <w:sz w:val="24"/>
          <w:szCs w:val="24"/>
        </w:rPr>
        <w:fldChar w:fldCharType="end"/>
      </w:r>
      <w:r>
        <w:rPr>
          <w:rFonts w:hint="default" w:ascii="Times New Roman" w:hAnsi="Times New Roman" w:eastAsia="宋体" w:cs="Times New Roman"/>
          <w:color w:val="auto"/>
          <w:sz w:val="24"/>
          <w:szCs w:val="24"/>
          <w:u w:val="none"/>
        </w:rPr>
        <w:fldChar w:fldCharType="end"/>
      </w:r>
    </w:p>
    <w:p>
      <w:pPr>
        <w:pStyle w:val="27"/>
        <w:tabs>
          <w:tab w:val="right" w:leader="dot" w:pos="9009"/>
        </w:tabs>
        <w:spacing w:line="360" w:lineRule="auto"/>
        <w:rPr>
          <w:sz w:val="24"/>
          <w:szCs w:val="24"/>
        </w:rPr>
      </w:pP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_Toc18957 </w:instrText>
      </w:r>
      <w:r>
        <w:rPr>
          <w:rFonts w:hint="default" w:ascii="Times New Roman" w:hAnsi="Times New Roman" w:eastAsia="宋体" w:cs="Times New Roman"/>
          <w:sz w:val="24"/>
          <w:szCs w:val="24"/>
        </w:rPr>
        <w:fldChar w:fldCharType="separate"/>
      </w:r>
      <w:r>
        <w:rPr>
          <w:rFonts w:hint="eastAsia"/>
          <w:sz w:val="24"/>
          <w:szCs w:val="24"/>
          <w:lang w:val="en-US" w:eastAsia="zh-CN"/>
        </w:rPr>
        <w:t xml:space="preserve">4.1 </w:t>
      </w:r>
      <w:r>
        <w:rPr>
          <w:rFonts w:hint="default"/>
          <w:sz w:val="24"/>
          <w:szCs w:val="24"/>
          <w:lang w:val="en-US" w:eastAsia="zh-CN"/>
        </w:rPr>
        <w:t>施工期地表水污染防治措施</w:t>
      </w:r>
      <w:r>
        <w:rPr>
          <w:sz w:val="24"/>
          <w:szCs w:val="24"/>
        </w:rPr>
        <w:tab/>
      </w:r>
      <w:r>
        <w:rPr>
          <w:sz w:val="24"/>
          <w:szCs w:val="24"/>
        </w:rPr>
        <w:fldChar w:fldCharType="begin"/>
      </w:r>
      <w:r>
        <w:rPr>
          <w:sz w:val="24"/>
          <w:szCs w:val="24"/>
        </w:rPr>
        <w:instrText xml:space="preserve"> PAGEREF _Toc18957 \h </w:instrText>
      </w:r>
      <w:r>
        <w:rPr>
          <w:sz w:val="24"/>
          <w:szCs w:val="24"/>
        </w:rPr>
        <w:fldChar w:fldCharType="separate"/>
      </w:r>
      <w:r>
        <w:rPr>
          <w:sz w:val="24"/>
          <w:szCs w:val="24"/>
        </w:rPr>
        <w:t>13</w:t>
      </w:r>
      <w:r>
        <w:rPr>
          <w:sz w:val="24"/>
          <w:szCs w:val="24"/>
        </w:rPr>
        <w:fldChar w:fldCharType="end"/>
      </w:r>
      <w:r>
        <w:rPr>
          <w:rFonts w:hint="default" w:ascii="Times New Roman" w:hAnsi="Times New Roman" w:eastAsia="宋体" w:cs="Times New Roman"/>
          <w:color w:val="auto"/>
          <w:sz w:val="24"/>
          <w:szCs w:val="24"/>
          <w:u w:val="none"/>
        </w:rPr>
        <w:fldChar w:fldCharType="end"/>
      </w:r>
    </w:p>
    <w:p>
      <w:pPr>
        <w:pStyle w:val="27"/>
        <w:tabs>
          <w:tab w:val="right" w:leader="dot" w:pos="9009"/>
        </w:tabs>
        <w:spacing w:line="360" w:lineRule="auto"/>
        <w:rPr>
          <w:sz w:val="24"/>
          <w:szCs w:val="24"/>
        </w:rPr>
      </w:pP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_Toc4814 </w:instrText>
      </w:r>
      <w:r>
        <w:rPr>
          <w:rFonts w:hint="default" w:ascii="Times New Roman" w:hAnsi="Times New Roman" w:eastAsia="宋体" w:cs="Times New Roman"/>
          <w:sz w:val="24"/>
          <w:szCs w:val="24"/>
        </w:rPr>
        <w:fldChar w:fldCharType="separate"/>
      </w:r>
      <w:r>
        <w:rPr>
          <w:rFonts w:hint="eastAsia"/>
          <w:sz w:val="24"/>
          <w:szCs w:val="24"/>
          <w:lang w:val="en-US" w:eastAsia="zh-CN"/>
        </w:rPr>
        <w:t>4.2 运营期</w:t>
      </w:r>
      <w:r>
        <w:rPr>
          <w:rFonts w:hint="default"/>
          <w:sz w:val="24"/>
          <w:szCs w:val="24"/>
          <w:lang w:val="en-US" w:eastAsia="zh-CN"/>
        </w:rPr>
        <w:t>地表水污染防治措施</w:t>
      </w:r>
      <w:r>
        <w:rPr>
          <w:sz w:val="24"/>
          <w:szCs w:val="24"/>
        </w:rPr>
        <w:tab/>
      </w:r>
      <w:r>
        <w:rPr>
          <w:sz w:val="24"/>
          <w:szCs w:val="24"/>
        </w:rPr>
        <w:fldChar w:fldCharType="begin"/>
      </w:r>
      <w:r>
        <w:rPr>
          <w:sz w:val="24"/>
          <w:szCs w:val="24"/>
        </w:rPr>
        <w:instrText xml:space="preserve"> PAGEREF _Toc4814 \h </w:instrText>
      </w:r>
      <w:r>
        <w:rPr>
          <w:sz w:val="24"/>
          <w:szCs w:val="24"/>
        </w:rPr>
        <w:fldChar w:fldCharType="separate"/>
      </w:r>
      <w:r>
        <w:rPr>
          <w:sz w:val="24"/>
          <w:szCs w:val="24"/>
        </w:rPr>
        <w:t>13</w:t>
      </w:r>
      <w:r>
        <w:rPr>
          <w:sz w:val="24"/>
          <w:szCs w:val="24"/>
        </w:rPr>
        <w:fldChar w:fldCharType="end"/>
      </w:r>
      <w:r>
        <w:rPr>
          <w:rFonts w:hint="default" w:ascii="Times New Roman" w:hAnsi="Times New Roman" w:eastAsia="宋体" w:cs="Times New Roman"/>
          <w:color w:val="auto"/>
          <w:sz w:val="24"/>
          <w:szCs w:val="24"/>
          <w:u w:val="none"/>
        </w:rPr>
        <w:fldChar w:fldCharType="end"/>
      </w:r>
    </w:p>
    <w:p>
      <w:pPr>
        <w:pStyle w:val="25"/>
        <w:tabs>
          <w:tab w:val="right" w:leader="dot" w:pos="9009"/>
        </w:tabs>
        <w:spacing w:line="360" w:lineRule="auto"/>
      </w:pP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sz w:val="24"/>
          <w:szCs w:val="24"/>
        </w:rPr>
        <w:instrText xml:space="preserve"> HYPERLINK \l _Toc10052 </w:instrText>
      </w:r>
      <w:r>
        <w:rPr>
          <w:rFonts w:hint="default" w:ascii="Times New Roman" w:hAnsi="Times New Roman" w:eastAsia="宋体" w:cs="Times New Roman"/>
          <w:sz w:val="24"/>
          <w:szCs w:val="24"/>
        </w:rPr>
        <w:fldChar w:fldCharType="separate"/>
      </w:r>
      <w:r>
        <w:rPr>
          <w:rFonts w:hint="eastAsia" w:eastAsia="宋体" w:cs="Times New Roman"/>
          <w:sz w:val="24"/>
          <w:szCs w:val="24"/>
          <w:lang w:val="en-US" w:eastAsia="zh-CN"/>
        </w:rPr>
        <w:t xml:space="preserve">5 </w:t>
      </w:r>
      <w:r>
        <w:rPr>
          <w:rFonts w:hint="default" w:ascii="Times New Roman" w:hAnsi="Times New Roman" w:eastAsia="宋体" w:cs="Times New Roman"/>
          <w:sz w:val="24"/>
          <w:szCs w:val="24"/>
        </w:rPr>
        <w:t>地表水专项评价结论</w:t>
      </w:r>
      <w:r>
        <w:rPr>
          <w:sz w:val="24"/>
          <w:szCs w:val="24"/>
        </w:rPr>
        <w:tab/>
      </w:r>
      <w:r>
        <w:rPr>
          <w:sz w:val="24"/>
          <w:szCs w:val="24"/>
        </w:rPr>
        <w:fldChar w:fldCharType="begin"/>
      </w:r>
      <w:r>
        <w:rPr>
          <w:sz w:val="24"/>
          <w:szCs w:val="24"/>
        </w:rPr>
        <w:instrText xml:space="preserve"> PAGEREF _Toc10052 \h </w:instrText>
      </w:r>
      <w:r>
        <w:rPr>
          <w:sz w:val="24"/>
          <w:szCs w:val="24"/>
        </w:rPr>
        <w:fldChar w:fldCharType="separate"/>
      </w:r>
      <w:r>
        <w:rPr>
          <w:sz w:val="24"/>
          <w:szCs w:val="24"/>
        </w:rPr>
        <w:t>14</w:t>
      </w:r>
      <w:r>
        <w:rPr>
          <w:sz w:val="24"/>
          <w:szCs w:val="24"/>
        </w:rPr>
        <w:fldChar w:fldCharType="end"/>
      </w:r>
      <w:r>
        <w:rPr>
          <w:rFonts w:hint="default" w:ascii="Times New Roman" w:hAnsi="Times New Roman" w:eastAsia="宋体" w:cs="Times New Roman"/>
          <w:color w:val="auto"/>
          <w:sz w:val="24"/>
          <w:szCs w:val="24"/>
          <w:u w:val="none"/>
        </w:rPr>
        <w:fldChar w:fldCharType="end"/>
      </w:r>
    </w:p>
    <w:p>
      <w:pPr>
        <w:spacing w:line="269" w:lineRule="auto"/>
        <w:rPr>
          <w:rFonts w:hint="default" w:ascii="Times New Roman" w:hAnsi="Times New Roman" w:eastAsia="宋体" w:cs="Times New Roman"/>
          <w:b/>
          <w:color w:val="auto"/>
          <w:u w:val="none"/>
        </w:rPr>
        <w:sectPr>
          <w:footerReference r:id="rId7" w:type="default"/>
          <w:pgSz w:w="11907" w:h="16839"/>
          <w:pgMar w:top="1400" w:right="1442" w:bottom="1778" w:left="1456" w:header="0" w:footer="1644"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宋体" w:cs="Times New Roman"/>
          <w:color w:val="auto"/>
          <w:u w:val="none"/>
        </w:rPr>
        <w:fldChar w:fldCharType="end"/>
      </w:r>
    </w:p>
    <w:p>
      <w:pPr>
        <w:pStyle w:val="2"/>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textAlignment w:val="auto"/>
        <w:rPr>
          <w:rFonts w:hint="default" w:ascii="Times New Roman" w:hAnsi="Times New Roman" w:eastAsia="宋体" w:cs="Times New Roman"/>
          <w:color w:val="auto"/>
          <w:sz w:val="32"/>
          <w:szCs w:val="32"/>
          <w:u w:val="none"/>
        </w:rPr>
      </w:pPr>
      <w:bookmarkStart w:id="53" w:name="_bookmark4"/>
      <w:bookmarkEnd w:id="53"/>
      <w:bookmarkStart w:id="54" w:name="_Toc6955"/>
      <w:r>
        <w:rPr>
          <w:rFonts w:hint="eastAsia" w:eastAsia="宋体" w:cs="Times New Roman"/>
          <w:color w:val="auto"/>
          <w:sz w:val="32"/>
          <w:szCs w:val="32"/>
          <w:u w:val="none"/>
          <w:lang w:val="en-US" w:eastAsia="zh-CN"/>
        </w:rPr>
        <w:t xml:space="preserve">1 </w:t>
      </w:r>
      <w:r>
        <w:rPr>
          <w:rFonts w:hint="default" w:ascii="Times New Roman" w:hAnsi="Times New Roman" w:eastAsia="宋体" w:cs="Times New Roman"/>
          <w:color w:val="auto"/>
          <w:sz w:val="32"/>
          <w:szCs w:val="32"/>
          <w:u w:val="none"/>
        </w:rPr>
        <w:t>概述</w:t>
      </w:r>
      <w:bookmarkEnd w:id="54"/>
    </w:p>
    <w:p>
      <w:pPr>
        <w:pStyle w:val="3"/>
        <w:numPr>
          <w:ilvl w:val="1"/>
          <w:numId w:val="0"/>
        </w:numPr>
        <w:bidi w:val="0"/>
        <w:spacing w:line="240" w:lineRule="auto"/>
        <w:ind w:leftChars="0"/>
        <w:rPr>
          <w:rFonts w:hint="default" w:eastAsia="黑体"/>
          <w:color w:val="auto"/>
          <w:sz w:val="28"/>
          <w:szCs w:val="28"/>
          <w:u w:val="none"/>
          <w:lang w:val="en-US" w:eastAsia="zh-CN"/>
        </w:rPr>
      </w:pPr>
      <w:bookmarkStart w:id="55" w:name="_Toc24749"/>
      <w:r>
        <w:rPr>
          <w:rFonts w:hint="eastAsia"/>
          <w:color w:val="auto"/>
          <w:sz w:val="28"/>
          <w:szCs w:val="28"/>
          <w:u w:val="none"/>
          <w:lang w:val="en-US" w:eastAsia="zh-CN"/>
        </w:rPr>
        <w:t xml:space="preserve">1.1 </w:t>
      </w:r>
      <w:r>
        <w:rPr>
          <w:rFonts w:hint="default"/>
          <w:color w:val="auto"/>
          <w:sz w:val="28"/>
          <w:szCs w:val="28"/>
          <w:u w:val="none"/>
        </w:rPr>
        <w:t>项目</w:t>
      </w:r>
      <w:r>
        <w:rPr>
          <w:rFonts w:hint="eastAsia"/>
          <w:color w:val="auto"/>
          <w:sz w:val="28"/>
          <w:szCs w:val="28"/>
          <w:u w:val="none"/>
          <w:lang w:val="en-US" w:eastAsia="zh-CN"/>
        </w:rPr>
        <w:t>必要性分析</w:t>
      </w:r>
      <w:bookmarkEnd w:id="55"/>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eastAsia="宋体" w:cs="Times New Roman"/>
          <w:b/>
          <w:bCs/>
          <w:color w:val="auto"/>
          <w:sz w:val="24"/>
          <w:szCs w:val="24"/>
          <w:u w:val="none"/>
          <w:lang w:val="en-US" w:eastAsia="zh-CN"/>
        </w:rPr>
      </w:pPr>
      <w:r>
        <w:rPr>
          <w:rFonts w:hint="eastAsia" w:cs="Times New Roman"/>
          <w:b/>
          <w:bCs/>
          <w:color w:val="auto"/>
          <w:sz w:val="24"/>
          <w:szCs w:val="24"/>
          <w:u w:val="none"/>
          <w:lang w:val="en-US" w:eastAsia="zh-CN"/>
        </w:rPr>
        <w:t>一、项目由来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u w:val="none"/>
          <w:lang w:val="en-US" w:eastAsia="zh-CN"/>
        </w:rPr>
      </w:pPr>
      <w:r>
        <w:rPr>
          <w:rFonts w:hint="eastAsia" w:cs="Times New Roman"/>
          <w:color w:val="auto"/>
          <w:sz w:val="24"/>
          <w:szCs w:val="24"/>
          <w:u w:val="none"/>
          <w:lang w:val="en-US" w:eastAsia="zh-CN"/>
        </w:rPr>
        <w:t>党的十八大以来，党中央、国务院要求加强水污染防治和水生态环境保护。2015 年，国务院发布了《水污染防治行动计划》，2016 年发布了《国家长江经济带发展规划纲要》，2017 年、2018 年，生态环境部等部委先后印发《长江经济带生态环境保护规划》、《长江保护修复攻坚战行动计划》。2018 年 4 月 25 日，习近平总书记来到湖南省考察调研长江生态环境修复工作，把脉长江经济带建设。再次提出“要共抓大保护、不搞大开发，要把长江生态修复放在首位”。同年 6 月国务院发布《关于全面加强生态环境保护，坚决打好污染防治攻坚战的意见》。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u w:val="none"/>
          <w:lang w:val="en-US" w:eastAsia="zh-CN"/>
        </w:rPr>
      </w:pPr>
      <w:r>
        <w:rPr>
          <w:rFonts w:hint="eastAsia" w:cs="Times New Roman"/>
          <w:color w:val="auto"/>
          <w:sz w:val="24"/>
          <w:szCs w:val="24"/>
          <w:u w:val="none"/>
          <w:lang w:val="en-US" w:eastAsia="zh-CN"/>
        </w:rPr>
        <w:t>洞庭湖是中国第二大淡水湖，也是长江中游最重要的调蓄湖泊和湿地，被誉为“长江之肾”，洞庭湖是三湘儿女的“母亲湖”，也是国家重要生态安全屏障。为切实改善洞庭湖生态环境，加强洞庭湖水环境综合治理，2019 年，湖南省政府印发了《湖南省洞庭湖水环境综合治理规划实施方案（2018—2025 年）》。近年来洞庭湖水质持续好转，但总磷污染的问题并未得到根本改变，已成为影响洞庭湖水环境的突出短板。2021 年 6 月 21 日，湖南省政府发布蓝皮书——《2021年湖南生态文明建设报告》，其中提到的下一阶段重点任务之一就是推进洞庭湖总磷整治。要求抓好农村生活污水、农业面源污染治理，降低农药化肥施用强度，加强农药化肥施用管控，持续降低总磷污染物排放总量。加大湿地保护、湖滨河滨生态缓冲带建设等工作力度，切实提升环境自净能力。洞庭湖总磷污染控制与削减是落实《中华人民共和国长江保护法》的重要举措，是省委、省政府明确的重点工作，《湖南省“十四五”生态环境保护规划》把洞庭湖的生态保护与修复列为重点工作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u w:val="none"/>
          <w:lang w:val="en-US" w:eastAsia="zh-CN"/>
        </w:rPr>
      </w:pPr>
      <w:r>
        <w:rPr>
          <w:rFonts w:hint="eastAsia" w:cs="Times New Roman"/>
          <w:color w:val="auto"/>
          <w:sz w:val="24"/>
          <w:szCs w:val="24"/>
          <w:u w:val="none"/>
          <w:lang w:val="en-US" w:eastAsia="zh-CN"/>
        </w:rPr>
        <w:t>横岭湖位于湖南东北部的南洞庭湖与东洞庭湖交汇区，汇集了湘江、资江、沅水的全部来水及长江三口和澧水的大部分来水，是洞庭湖湿地生态系统的重要组成部分，横岭湖设有国控断面，横岭湖与东洞庭湖水质息息相关。2018-2021年10月横岭湖的水质常规监测结果表明，横岭湖总磷近年多数月份为Ⅳ类标准，甚至个别月份达Ⅴ类。本项目治理区域在横岭湖国控断面附近，项目的实施对横岭湖水质改善及东洞庭湖降磷具有一定的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color w:val="auto"/>
          <w:sz w:val="24"/>
          <w:szCs w:val="24"/>
          <w:u w:val="none"/>
          <w:lang w:val="en-US" w:eastAsia="zh-CN"/>
        </w:rPr>
      </w:pPr>
      <w:r>
        <w:rPr>
          <w:rFonts w:hint="default" w:cs="Times New Roman"/>
          <w:color w:val="auto"/>
          <w:sz w:val="24"/>
          <w:szCs w:val="24"/>
          <w:u w:val="none"/>
          <w:lang w:val="en-US" w:eastAsia="zh-CN"/>
        </w:rPr>
        <w:t>湖南洋沙湖投资控股集团有限公司</w:t>
      </w:r>
      <w:r>
        <w:rPr>
          <w:rFonts w:hint="eastAsia" w:cs="Times New Roman"/>
          <w:color w:val="auto"/>
          <w:sz w:val="24"/>
          <w:szCs w:val="24"/>
          <w:u w:val="none"/>
          <w:lang w:val="en-US" w:eastAsia="zh-CN"/>
        </w:rPr>
        <w:t>提出了</w:t>
      </w:r>
      <w:r>
        <w:rPr>
          <w:rFonts w:hint="default" w:ascii="Times New Roman" w:hAnsi="Times New Roman" w:eastAsia="宋体" w:cs="Times New Roman"/>
          <w:color w:val="auto"/>
          <w:sz w:val="24"/>
          <w:u w:val="none"/>
          <w:lang w:val="en-US" w:eastAsia="zh-CN"/>
        </w:rPr>
        <w:t>湘阴县青山岛横岭湖团山围闸口人工湿地工程</w:t>
      </w:r>
      <w:r>
        <w:rPr>
          <w:rFonts w:hint="eastAsia" w:cs="Times New Roman"/>
          <w:color w:val="auto"/>
          <w:sz w:val="24"/>
          <w:u w:val="none"/>
          <w:lang w:val="en-US" w:eastAsia="zh-CN"/>
        </w:rPr>
        <w:t>，并申请了中央生态环境资金。2021年1月，委托湖南省环境保护科学研究院编制了《</w:t>
      </w:r>
      <w:r>
        <w:rPr>
          <w:rFonts w:hint="default" w:ascii="Times New Roman" w:hAnsi="Times New Roman" w:eastAsia="宋体" w:cs="Times New Roman"/>
          <w:color w:val="auto"/>
          <w:sz w:val="24"/>
          <w:u w:val="none"/>
          <w:lang w:val="en-US" w:eastAsia="zh-CN"/>
        </w:rPr>
        <w:t>湘阴县青山岛横岭湖团山围闸口人工湿地工程</w:t>
      </w:r>
      <w:r>
        <w:rPr>
          <w:rFonts w:hint="eastAsia" w:cs="Times New Roman"/>
          <w:color w:val="auto"/>
          <w:sz w:val="24"/>
          <w:u w:val="none"/>
          <w:lang w:val="en-US" w:eastAsia="zh-CN"/>
        </w:rPr>
        <w:t>可行性研究报告》。2023年3月，委托湖南乙竹环境科技有限公司编制了《</w:t>
      </w:r>
      <w:r>
        <w:rPr>
          <w:rFonts w:hint="default" w:ascii="Times New Roman" w:hAnsi="Times New Roman" w:eastAsia="宋体" w:cs="Times New Roman"/>
          <w:color w:val="auto"/>
          <w:sz w:val="24"/>
          <w:u w:val="none"/>
          <w:lang w:val="en-US" w:eastAsia="zh-CN"/>
        </w:rPr>
        <w:t>湘阴县青山岛横岭湖团山围闸口人工湿地工程</w:t>
      </w:r>
      <w:r>
        <w:rPr>
          <w:rFonts w:hint="eastAsia" w:cs="Times New Roman"/>
          <w:color w:val="auto"/>
          <w:sz w:val="24"/>
          <w:u w:val="none"/>
          <w:lang w:val="en-US" w:eastAsia="zh-CN"/>
        </w:rPr>
        <w:t>初步设计》。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u w:val="none"/>
          <w:lang w:val="en-US" w:eastAsia="zh-CN"/>
        </w:rPr>
      </w:pPr>
      <w:r>
        <w:rPr>
          <w:rFonts w:hint="eastAsia" w:cs="Times New Roman"/>
          <w:color w:val="auto"/>
          <w:sz w:val="24"/>
          <w:szCs w:val="24"/>
          <w:u w:val="none"/>
          <w:lang w:val="en-US" w:eastAsia="zh-CN"/>
        </w:rPr>
        <w:t>根据《建设项目环境影响报告表编制技术指南（生态影响类）（试行）：人工湖、人工湿地项目需开展地表水环境专项评价。湖南洋沙湖投资控股集团有限公司委托我司开展《湘阴县青山岛横岭湖团山围闸口人工湿地工程》地表水环境专项评价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cs="Times New Roman"/>
          <w:b/>
          <w:bCs/>
          <w:color w:val="auto"/>
          <w:sz w:val="24"/>
          <w:szCs w:val="24"/>
          <w:u w:val="none"/>
          <w:lang w:val="en-US" w:eastAsia="zh-CN"/>
        </w:rPr>
      </w:pPr>
      <w:r>
        <w:rPr>
          <w:rFonts w:hint="eastAsia" w:cs="Times New Roman"/>
          <w:b/>
          <w:bCs/>
          <w:color w:val="auto"/>
          <w:sz w:val="24"/>
          <w:szCs w:val="24"/>
          <w:u w:val="none"/>
          <w:lang w:val="en-US" w:eastAsia="zh-CN"/>
        </w:rPr>
        <w:t>二、项目必要性分析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是落实习近平生态文明思想的重要体现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党的十八大以来，习近平总书记从生态文明建设的整体视野提出“山水林田湖草是生命共同体”的论断，强调“统筹山水林田湖草系统治理”“全方位、全地域、全过程开展生态文明建设”。推进生态文明建设，需要符合生态的系统性，坚持系统思维、协同推进。“沙进人退”转为“绿进沙退”，各自为战转为全域治理，多头管理转为统筹协同，生态环境保护领域之所以发生历史性变革、取得历史性成就，一个重要原因就在于牢固树立、深入践行了“山水林田湖草是生命共同体”的系统思想。2018 年4 月25 日，习近平总书记来到湖南省考察调研长江生态环境修复工作，把脉长江经济带建设。再次提出“要共抓大保护、不搞大开发，要把长江生态修复放在首位”。本项目作为“洞庭湖区域山水林田湖草沙一体化保护和修复工程”的子项目，项目的建设是生态文明思想的重要体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val="en-US" w:eastAsia="zh-CN"/>
        </w:rPr>
        <w:t>2、</w:t>
      </w:r>
      <w:r>
        <w:rPr>
          <w:rFonts w:hint="default" w:ascii="Times New Roman" w:hAnsi="Times New Roman" w:eastAsia="宋体" w:cs="Times New Roman"/>
          <w:color w:val="auto"/>
          <w:sz w:val="24"/>
          <w:szCs w:val="24"/>
          <w:u w:val="none"/>
        </w:rPr>
        <w:t>是东洞庭湖总磷削减的有效手段之一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洞庭湖在维系长江中下游流域江湖关系和生态平衡方面具有不可或缺的重要作用。近年来，通过各级各方面的共同努力，洞庭湖湖体水质持续好转，但总磷浓度下降幅度明显趋缓，总磷超标问题已成为影响洞庭湖水环境质量的突出短板。洞庭湖总磷污染控制与削减是落实《长江保护法》的重要举措，是省委、省政府明确的重点工作。本项目作为东洞庭湖滨带生态保护与修复项目的子项目之一，项目的实施能够一定程度少削减横岭湖总磷浓度，是东洞庭湖总磷削减的有效手段之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val="en-US" w:eastAsia="zh-CN"/>
        </w:rPr>
        <w:t>3、</w:t>
      </w:r>
      <w:r>
        <w:rPr>
          <w:rFonts w:hint="default" w:ascii="Times New Roman" w:hAnsi="Times New Roman" w:eastAsia="宋体" w:cs="Times New Roman"/>
          <w:color w:val="auto"/>
          <w:sz w:val="24"/>
          <w:szCs w:val="24"/>
          <w:u w:val="none"/>
        </w:rPr>
        <w:t>是东洞庭湖生态湿地保护和改善洞庭湖生物栖息环境的需要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横岭湖自然保护区位于湖南东北部的南洞庭湖与东洞庭湖交汇区，是长江流域湿地生态系统以及洞庭湖湿地生态系统的重要组成部分，其水系和地貌有着独一无二的特征。横岭湖位于湘江与资江的交汇处，其汇集了湘江、资江、沅水的全部来水及长江三口和澧水的大部分来水，是西洞庭湖、南洞庭湖通向东洞庭湖的咽喉要道，是保护洞庭湖水系及生态系统的关键地区。横岭湖省级自然保护区湿地面积大，它不仅为人类的生产生活提供资源，更在抵御洪灾、调节径流、控制湿地污染和土壤侵蚀、促淤造陆等多方面发挥其它系统不可替代的“地球之肾”作用。目前洞庭湖已成为国际重要湿地，横岭湖自然保护区作为洞庭湖生态功能区的重要组成部分，加强其保护管理对保护洞庭湖生态系统的完整性、维持湿地生态系统的功能、保障人类福祉的实现具有十分重大而特殊的意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横岭湖省级自然保护区生态环境复杂，动、植物物种丰富，是许多濒危、珍稀迁徙水鸟的重要栖息地、繁殖地和中转站，珍稀鱼类动物也纷纷聚居于此。横岭湖是国家Ⅰ级重点保护动物中华秋沙鸭、青头潜鸭的主要越冬区，也是国家Ⅰ级重点保护动物长江江豚主要分布区，而且包括横岭湖在内的洞庭湖区的越冬白额雁的数量更是达到全球种群数量的50%以上，此处还分布有近10 年来洞庭湖数量最多的白鹤种群。可见，横岭湖保护区的生物种类不但数量众多，而且珍稀物种比例高，是洞庭湖重要的物种基因库，也是国家重点保护水生生物的栖息地，加强其保护管理对生物多样性保护、珍稀濒危物种及其栖息地保护具有极其重要的价值。</w:t>
      </w:r>
    </w:p>
    <w:p>
      <w:pPr>
        <w:pStyle w:val="3"/>
        <w:numPr>
          <w:ilvl w:val="1"/>
          <w:numId w:val="0"/>
        </w:numPr>
        <w:bidi w:val="0"/>
        <w:spacing w:line="240" w:lineRule="auto"/>
        <w:ind w:leftChars="0"/>
        <w:rPr>
          <w:rFonts w:hint="default"/>
          <w:color w:val="auto"/>
          <w:sz w:val="28"/>
          <w:szCs w:val="28"/>
          <w:u w:val="none"/>
          <w:lang w:val="en-US" w:eastAsia="zh-CN"/>
        </w:rPr>
      </w:pPr>
      <w:bookmarkStart w:id="56" w:name="_Toc4359"/>
      <w:r>
        <w:rPr>
          <w:rFonts w:hint="eastAsia"/>
          <w:color w:val="auto"/>
          <w:sz w:val="28"/>
          <w:szCs w:val="28"/>
          <w:u w:val="none"/>
          <w:lang w:val="en-US" w:eastAsia="zh-CN"/>
        </w:rPr>
        <w:t xml:space="preserve">1.2 </w:t>
      </w:r>
      <w:r>
        <w:rPr>
          <w:rFonts w:hint="default"/>
          <w:color w:val="auto"/>
          <w:sz w:val="28"/>
          <w:szCs w:val="28"/>
          <w:u w:val="none"/>
          <w:lang w:val="en-US" w:eastAsia="zh-CN"/>
        </w:rPr>
        <w:t>编制依据</w:t>
      </w:r>
      <w:bookmarkEnd w:id="56"/>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（1）《中华人民共和国环境保护法》（2015年1月1日施行）</w:t>
      </w:r>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（2）《中华人民共和国环境影响评价法》（2018年修订，2018年12月29</w:t>
      </w:r>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日起施行）</w:t>
      </w:r>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（3）《中华人民共和国水污染防治法》（2017年6月修订，2018年1月1</w:t>
      </w:r>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日起施行）</w:t>
      </w:r>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（4）《建设项目环境保护管理条例》（国务院令第253号）</w:t>
      </w:r>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（5）《建设项目环境影响评价分类管理名录》（2021年本）</w:t>
      </w:r>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（6）《产业结构调整指导目录（2019年本）》（2021年修订）</w:t>
      </w:r>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（7）《建设项目环境影响报告表编制技术指南（生态影响类）（试行）》（2021</w:t>
      </w:r>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年4月1日起实施）</w:t>
      </w:r>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spacing w:val="-1"/>
          <w:sz w:val="24"/>
          <w:szCs w:val="24"/>
          <w:u w:val="none"/>
          <w:lang w:val="en-US" w:eastAsia="zh-CN"/>
        </w:rPr>
        <w:t>（8）《中华人民共和国湿地保护法》（2022年6月1日起实施）</w:t>
      </w:r>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（9）《建设项目环境影响评价技术导则—总纲》（HJ/T2.1-2016）</w:t>
      </w:r>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（10）《环境影响评价技术导则—地表水环境》（HJ2.3-2018）</w:t>
      </w:r>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（11）《环境影响评价技术导则—生态影响》（HJ19-20</w:t>
      </w:r>
      <w:r>
        <w:rPr>
          <w:rFonts w:hint="eastAsia" w:ascii="Times New Roman" w:hAnsi="Times New Roman" w:eastAsia="宋体" w:cs="Times New Roman"/>
          <w:color w:val="auto"/>
          <w:spacing w:val="-1"/>
          <w:sz w:val="24"/>
          <w:szCs w:val="24"/>
          <w:u w:val="none"/>
          <w:lang w:val="en-US" w:eastAsia="zh-CN"/>
        </w:rPr>
        <w:t>22</w:t>
      </w:r>
      <w:r>
        <w:rPr>
          <w:rFonts w:hint="default" w:ascii="Times New Roman" w:hAnsi="Times New Roman" w:eastAsia="宋体" w:cs="Times New Roman"/>
          <w:color w:val="auto"/>
          <w:spacing w:val="-1"/>
          <w:sz w:val="24"/>
          <w:szCs w:val="24"/>
          <w:u w:val="none"/>
          <w:lang w:val="en-US" w:eastAsia="zh-CN"/>
        </w:rPr>
        <w:t>）</w:t>
      </w:r>
    </w:p>
    <w:p>
      <w:pPr>
        <w:pStyle w:val="3"/>
        <w:numPr>
          <w:ilvl w:val="1"/>
          <w:numId w:val="0"/>
        </w:numPr>
        <w:bidi w:val="0"/>
        <w:spacing w:line="240" w:lineRule="auto"/>
        <w:ind w:leftChars="0"/>
        <w:rPr>
          <w:rFonts w:hint="default"/>
          <w:color w:val="auto"/>
          <w:sz w:val="28"/>
          <w:szCs w:val="28"/>
          <w:u w:val="none"/>
          <w:lang w:val="en-US" w:eastAsia="zh-CN"/>
        </w:rPr>
      </w:pPr>
      <w:bookmarkStart w:id="57" w:name="_Toc32076"/>
      <w:r>
        <w:rPr>
          <w:rFonts w:hint="eastAsia"/>
          <w:color w:val="auto"/>
          <w:sz w:val="28"/>
          <w:szCs w:val="28"/>
          <w:u w:val="none"/>
          <w:lang w:val="en-US" w:eastAsia="zh-CN"/>
        </w:rPr>
        <w:t xml:space="preserve">1.3 </w:t>
      </w:r>
      <w:r>
        <w:rPr>
          <w:rFonts w:hint="default"/>
          <w:color w:val="auto"/>
          <w:sz w:val="28"/>
          <w:szCs w:val="28"/>
          <w:u w:val="none"/>
          <w:lang w:val="en-US" w:eastAsia="zh-CN"/>
        </w:rPr>
        <w:t>评价目的</w:t>
      </w:r>
      <w:bookmarkEnd w:id="57"/>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本项目建成后，</w:t>
      </w:r>
      <w:r>
        <w:rPr>
          <w:rFonts w:hint="eastAsia" w:cs="Times New Roman"/>
          <w:color w:val="auto"/>
          <w:spacing w:val="-1"/>
          <w:sz w:val="24"/>
          <w:szCs w:val="24"/>
          <w:u w:val="none"/>
          <w:lang w:val="en-US" w:eastAsia="zh-CN"/>
        </w:rPr>
        <w:t>将</w:t>
      </w:r>
      <w:r>
        <w:rPr>
          <w:rFonts w:hint="default" w:ascii="Times New Roman" w:hAnsi="Times New Roman" w:eastAsia="宋体" w:cs="Times New Roman"/>
          <w:color w:val="auto"/>
          <w:spacing w:val="-1"/>
          <w:sz w:val="24"/>
          <w:szCs w:val="24"/>
          <w:u w:val="none"/>
          <w:lang w:val="en-US" w:eastAsia="zh-CN"/>
        </w:rPr>
        <w:t>改善当地水环境质量，本次评价目的主要是：</w:t>
      </w:r>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（1）通过现场调查及资料收集，了解项目所在区域地表水环境质量现状；</w:t>
      </w:r>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（2）预测项目可能对该区域水环境造成的影响，并提出防护措施，从而改善该区域的地表水环境质量，保护周围敏感目标不受影响。</w:t>
      </w:r>
    </w:p>
    <w:p>
      <w:pPr>
        <w:pStyle w:val="3"/>
        <w:numPr>
          <w:ilvl w:val="1"/>
          <w:numId w:val="0"/>
        </w:numPr>
        <w:bidi w:val="0"/>
        <w:spacing w:line="240" w:lineRule="auto"/>
        <w:ind w:leftChars="0"/>
        <w:rPr>
          <w:rFonts w:hint="default"/>
          <w:color w:val="auto"/>
          <w:sz w:val="28"/>
          <w:szCs w:val="28"/>
          <w:u w:val="none"/>
          <w:lang w:val="en-US" w:eastAsia="zh-CN"/>
        </w:rPr>
      </w:pPr>
      <w:bookmarkStart w:id="58" w:name="_Toc181"/>
      <w:r>
        <w:rPr>
          <w:rFonts w:hint="eastAsia"/>
          <w:color w:val="auto"/>
          <w:sz w:val="28"/>
          <w:szCs w:val="28"/>
          <w:u w:val="none"/>
          <w:lang w:val="en-US" w:eastAsia="zh-CN"/>
        </w:rPr>
        <w:t xml:space="preserve">1.4 </w:t>
      </w:r>
      <w:r>
        <w:rPr>
          <w:rFonts w:hint="default"/>
          <w:color w:val="auto"/>
          <w:sz w:val="28"/>
          <w:szCs w:val="28"/>
          <w:u w:val="none"/>
          <w:lang w:val="en-US" w:eastAsia="zh-CN"/>
        </w:rPr>
        <w:t>评价等级</w:t>
      </w:r>
      <w:bookmarkEnd w:id="58"/>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根据现场踏勘和工程分析，确定本项目属于水污染影响型建设项目。</w:t>
      </w:r>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z w:val="18"/>
          <w:szCs w:val="24"/>
          <w:u w:val="none"/>
          <w:lang w:val="en-US"/>
        </w:rPr>
      </w:pPr>
      <w:r>
        <w:rPr>
          <w:rFonts w:hint="default" w:ascii="Times New Roman" w:hAnsi="Times New Roman" w:eastAsia="宋体" w:cs="Times New Roman"/>
          <w:color w:val="auto"/>
          <w:spacing w:val="-1"/>
          <w:sz w:val="24"/>
          <w:szCs w:val="24"/>
          <w:u w:val="none"/>
          <w:lang w:val="en-US" w:eastAsia="zh-CN"/>
        </w:rPr>
        <w:t>根据《环境影响评价技术导则 地表水环境》（HJ2.3-2018）中</w:t>
      </w:r>
      <w:r>
        <w:rPr>
          <w:rFonts w:hint="default" w:ascii="Times New Roman" w:hAnsi="Times New Roman" w:eastAsia="宋体" w:cs="Times New Roman"/>
          <w:color w:val="auto"/>
          <w:spacing w:val="-5"/>
          <w:sz w:val="24"/>
          <w:szCs w:val="24"/>
          <w:u w:val="none"/>
          <w:lang w:val="en-US" w:eastAsia="zh-CN"/>
        </w:rPr>
        <w:t>等级判定中“注10：建设项目生产工艺中有废水产生，但作为回水利用，不排放到外环境的，按三级B评价。”本项目实施后，</w:t>
      </w:r>
      <w:r>
        <w:rPr>
          <w:rFonts w:hint="eastAsia" w:cs="Times New Roman"/>
          <w:color w:val="auto"/>
          <w:spacing w:val="-5"/>
          <w:sz w:val="24"/>
          <w:szCs w:val="24"/>
          <w:u w:val="none"/>
          <w:lang w:val="en-US" w:eastAsia="zh-CN"/>
        </w:rPr>
        <w:t>人工湿地出水将全部回用，不外排</w:t>
      </w:r>
      <w:r>
        <w:rPr>
          <w:rFonts w:hint="default" w:ascii="Times New Roman" w:hAnsi="Times New Roman" w:eastAsia="宋体" w:cs="Times New Roman"/>
          <w:color w:val="auto"/>
          <w:spacing w:val="-5"/>
          <w:sz w:val="24"/>
          <w:szCs w:val="24"/>
          <w:u w:val="none"/>
          <w:lang w:val="en-US" w:eastAsia="zh-CN"/>
        </w:rPr>
        <w:t>。故地表水环境评价等级为三级B。</w:t>
      </w:r>
    </w:p>
    <w:p>
      <w:pPr>
        <w:pStyle w:val="3"/>
        <w:numPr>
          <w:ilvl w:val="1"/>
          <w:numId w:val="0"/>
        </w:numPr>
        <w:bidi w:val="0"/>
        <w:spacing w:line="240" w:lineRule="auto"/>
        <w:ind w:leftChars="0"/>
        <w:rPr>
          <w:rFonts w:hint="default"/>
          <w:color w:val="auto"/>
          <w:sz w:val="28"/>
          <w:szCs w:val="28"/>
          <w:u w:val="none"/>
          <w:lang w:val="en-US" w:eastAsia="zh-CN"/>
        </w:rPr>
      </w:pPr>
      <w:bookmarkStart w:id="59" w:name="_Toc7485"/>
      <w:r>
        <w:rPr>
          <w:rFonts w:hint="eastAsia"/>
          <w:color w:val="auto"/>
          <w:sz w:val="28"/>
          <w:szCs w:val="28"/>
          <w:u w:val="none"/>
          <w:lang w:val="en-US" w:eastAsia="zh-CN"/>
        </w:rPr>
        <w:t xml:space="preserve">1.5 </w:t>
      </w:r>
      <w:r>
        <w:rPr>
          <w:rFonts w:hint="default"/>
          <w:color w:val="auto"/>
          <w:sz w:val="28"/>
          <w:szCs w:val="28"/>
          <w:u w:val="none"/>
          <w:lang w:val="en-US" w:eastAsia="zh-CN"/>
        </w:rPr>
        <w:t>评价范围</w:t>
      </w:r>
      <w:bookmarkEnd w:id="59"/>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根据《环境影响评价技术导则地表水环境》（HJ2.3-2018）三级B评价范围应符合以下要求：</w:t>
      </w:r>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1）应满足其依托污水处理设施环境可行性分析的要求；</w:t>
      </w:r>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2）涉及地表水环境风险的，应覆盖环境风险影响范围所及的水环境保护目标水域。</w:t>
      </w:r>
    </w:p>
    <w:p>
      <w:pPr>
        <w:keepNext w:val="0"/>
        <w:keepLines w:val="0"/>
        <w:pageBreakBefore w:val="0"/>
        <w:widowControl w:val="0"/>
        <w:kinsoku/>
        <w:wordWrap/>
        <w:overflowPunct/>
        <w:topLinePunct w:val="0"/>
        <w:autoSpaceDE/>
        <w:autoSpaceDN/>
        <w:bidi w:val="0"/>
        <w:adjustRightInd/>
        <w:snapToGrid/>
        <w:spacing w:line="360" w:lineRule="auto"/>
        <w:ind w:right="0" w:firstLine="476" w:firstLineChars="200"/>
        <w:textAlignment w:val="auto"/>
        <w:rPr>
          <w:rFonts w:hint="default" w:ascii="Times New Roman" w:hAnsi="Times New Roman" w:eastAsia="宋体" w:cs="Times New Roman"/>
          <w:color w:val="auto"/>
          <w:spacing w:val="-1"/>
          <w:sz w:val="24"/>
          <w:szCs w:val="24"/>
          <w:u w:val="none"/>
          <w:lang w:val="en-US" w:eastAsia="zh-CN"/>
        </w:rPr>
      </w:pPr>
      <w:r>
        <w:rPr>
          <w:rFonts w:hint="default" w:ascii="Times New Roman" w:hAnsi="Times New Roman" w:eastAsia="宋体" w:cs="Times New Roman"/>
          <w:color w:val="auto"/>
          <w:spacing w:val="-1"/>
          <w:sz w:val="24"/>
          <w:szCs w:val="24"/>
          <w:u w:val="none"/>
          <w:lang w:val="en-US" w:eastAsia="zh-CN"/>
        </w:rPr>
        <w:t>结合本项目所在区域环境特点，本次地表水专项评价范围为</w:t>
      </w:r>
      <w:r>
        <w:rPr>
          <w:rFonts w:hint="eastAsia" w:cs="Times New Roman"/>
          <w:color w:val="auto"/>
          <w:spacing w:val="-1"/>
          <w:sz w:val="24"/>
          <w:szCs w:val="24"/>
          <w:u w:val="none"/>
          <w:lang w:val="en-US" w:eastAsia="zh-CN"/>
        </w:rPr>
        <w:t>横岭湖</w:t>
      </w:r>
      <w:r>
        <w:rPr>
          <w:rFonts w:hint="default" w:ascii="Times New Roman" w:hAnsi="Times New Roman" w:eastAsia="宋体" w:cs="Times New Roman"/>
          <w:color w:val="auto"/>
          <w:spacing w:val="-1"/>
          <w:sz w:val="24"/>
          <w:szCs w:val="24"/>
          <w:u w:val="none"/>
          <w:lang w:val="en-US" w:eastAsia="zh-CN"/>
        </w:rPr>
        <w:t>。</w:t>
      </w:r>
    </w:p>
    <w:p>
      <w:pPr>
        <w:pStyle w:val="3"/>
        <w:numPr>
          <w:ilvl w:val="1"/>
          <w:numId w:val="0"/>
        </w:numPr>
        <w:bidi w:val="0"/>
        <w:spacing w:line="240" w:lineRule="auto"/>
        <w:ind w:leftChars="0"/>
        <w:rPr>
          <w:rFonts w:hint="default"/>
          <w:color w:val="auto"/>
          <w:sz w:val="28"/>
          <w:szCs w:val="28"/>
          <w:u w:val="none"/>
          <w:lang w:val="en-US" w:eastAsia="zh-CN"/>
        </w:rPr>
      </w:pPr>
      <w:bookmarkStart w:id="60" w:name="_Toc5384"/>
      <w:r>
        <w:rPr>
          <w:rFonts w:hint="eastAsia"/>
          <w:color w:val="auto"/>
          <w:sz w:val="28"/>
          <w:szCs w:val="28"/>
          <w:u w:val="none"/>
          <w:lang w:val="en-US" w:eastAsia="zh-CN"/>
        </w:rPr>
        <w:t xml:space="preserve">1.6 </w:t>
      </w:r>
      <w:r>
        <w:rPr>
          <w:rFonts w:hint="default"/>
          <w:color w:val="auto"/>
          <w:sz w:val="28"/>
          <w:szCs w:val="28"/>
          <w:u w:val="none"/>
          <w:lang w:val="en-US" w:eastAsia="zh-CN"/>
        </w:rPr>
        <w:t>评价标准</w:t>
      </w:r>
      <w:bookmarkEnd w:id="6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2"/>
        <w:rPr>
          <w:rFonts w:hint="default" w:ascii="Times New Roman" w:hAnsi="Times New Roman" w:eastAsia="宋体" w:cs="Times New Roman"/>
          <w:b/>
          <w:bCs/>
          <w:color w:val="auto"/>
          <w:sz w:val="24"/>
          <w:szCs w:val="24"/>
          <w:u w:val="none"/>
        </w:rPr>
      </w:pPr>
      <w:r>
        <w:rPr>
          <w:rFonts w:hint="eastAsia" w:cs="Times New Roman"/>
          <w:b/>
          <w:bCs/>
          <w:color w:val="auto"/>
          <w:spacing w:val="-2"/>
          <w:sz w:val="24"/>
          <w:szCs w:val="24"/>
          <w:u w:val="none"/>
          <w:lang w:val="en-US" w:eastAsia="zh-CN"/>
        </w:rPr>
        <w:t xml:space="preserve">1.6.1 </w:t>
      </w:r>
      <w:r>
        <w:rPr>
          <w:rFonts w:hint="default" w:ascii="Times New Roman" w:hAnsi="Times New Roman" w:eastAsia="宋体" w:cs="Times New Roman"/>
          <w:b/>
          <w:bCs/>
          <w:color w:val="auto"/>
          <w:spacing w:val="-2"/>
          <w:sz w:val="24"/>
          <w:szCs w:val="24"/>
          <w:u w:val="none"/>
        </w:rPr>
        <w:t>地表水环境质量标准</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1、设计流量</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根据实施方案中设计参数，本项目人工湿地湿地系统设计流量Q=20000m</w:t>
      </w:r>
      <w:r>
        <w:rPr>
          <w:rFonts w:hint="eastAsia" w:ascii="Times New Roman" w:hAnsi="Times New Roman" w:eastAsia="宋体" w:cs="Times New Roman"/>
          <w:color w:val="auto"/>
          <w:sz w:val="24"/>
          <w:szCs w:val="24"/>
          <w:u w:val="none"/>
          <w:vertAlign w:val="superscript"/>
        </w:rPr>
        <w:t>3</w:t>
      </w:r>
      <w:r>
        <w:rPr>
          <w:rFonts w:hint="eastAsia" w:ascii="Times New Roman" w:hAnsi="Times New Roman" w:eastAsia="宋体" w:cs="Times New Roman"/>
          <w:color w:val="auto"/>
          <w:sz w:val="24"/>
          <w:szCs w:val="24"/>
          <w:u w:val="none"/>
        </w:rPr>
        <w:t>/d。</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2、设计进、出水水质</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本项目人工湿地出水</w:t>
      </w:r>
      <w:r>
        <w:rPr>
          <w:rFonts w:hint="eastAsia" w:cs="Times New Roman"/>
          <w:color w:val="auto"/>
          <w:sz w:val="24"/>
          <w:szCs w:val="24"/>
          <w:u w:val="none"/>
          <w:lang w:val="en-US" w:eastAsia="zh-CN"/>
        </w:rPr>
        <w:t>通过提升泵站抽至上游鱼塘养殖，设计进出水水质如下</w:t>
      </w:r>
      <w:r>
        <w:rPr>
          <w:rFonts w:hint="eastAsia" w:ascii="Times New Roman" w:hAnsi="Times New Roman" w:eastAsia="宋体" w:cs="Times New Roman"/>
          <w:color w:val="auto"/>
          <w:sz w:val="24"/>
          <w:szCs w:val="24"/>
          <w:u w:val="none"/>
        </w:rPr>
        <w:t>。</w:t>
      </w:r>
    </w:p>
    <w:p>
      <w:pPr>
        <w:adjustRightInd w:val="0"/>
        <w:snapToGrid w:val="0"/>
        <w:spacing w:line="240" w:lineRule="auto"/>
        <w:rPr>
          <w:rFonts w:hint="default" w:ascii="Times New Roman" w:hAnsi="Times New Roman" w:eastAsia="宋体" w:cs="Times New Roman"/>
          <w:b/>
          <w:bCs/>
          <w:color w:val="auto"/>
          <w:sz w:val="24"/>
          <w:szCs w:val="24"/>
          <w:u w:val="none"/>
        </w:rPr>
      </w:pPr>
      <w:r>
        <w:rPr>
          <w:rFonts w:hint="default" w:ascii="Times New Roman" w:hAnsi="Times New Roman" w:eastAsia="宋体" w:cs="Times New Roman"/>
          <w:b/>
          <w:bCs/>
          <w:color w:val="auto"/>
          <w:sz w:val="24"/>
          <w:szCs w:val="24"/>
          <w:u w:val="none"/>
        </w:rPr>
        <w:t>表</w:t>
      </w:r>
      <w:r>
        <w:rPr>
          <w:rFonts w:hint="eastAsia" w:cs="Times New Roman"/>
          <w:b/>
          <w:bCs/>
          <w:color w:val="auto"/>
          <w:sz w:val="24"/>
          <w:szCs w:val="24"/>
          <w:u w:val="none"/>
          <w:lang w:val="en-US" w:eastAsia="zh-CN"/>
        </w:rPr>
        <w:t>1</w:t>
      </w:r>
      <w:r>
        <w:rPr>
          <w:rFonts w:hint="default" w:ascii="Times New Roman" w:hAnsi="Times New Roman" w:eastAsia="宋体" w:cs="Times New Roman"/>
          <w:b/>
          <w:bCs/>
          <w:color w:val="auto"/>
          <w:sz w:val="24"/>
          <w:szCs w:val="24"/>
          <w:u w:val="none"/>
        </w:rPr>
        <w:t>-</w:t>
      </w:r>
      <w:r>
        <w:rPr>
          <w:rFonts w:hint="eastAsia" w:cs="Times New Roman"/>
          <w:b/>
          <w:bCs/>
          <w:color w:val="auto"/>
          <w:sz w:val="24"/>
          <w:szCs w:val="24"/>
          <w:u w:val="none"/>
          <w:lang w:val="en-US" w:eastAsia="zh-CN"/>
        </w:rPr>
        <w:t>1</w:t>
      </w:r>
      <w:r>
        <w:rPr>
          <w:rFonts w:hint="default" w:ascii="Times New Roman" w:hAnsi="Times New Roman" w:eastAsia="宋体" w:cs="Times New Roman"/>
          <w:b/>
          <w:bCs/>
          <w:color w:val="auto"/>
          <w:sz w:val="24"/>
          <w:szCs w:val="24"/>
          <w:u w:val="none"/>
        </w:rPr>
        <w:t xml:space="preserve">   </w:t>
      </w:r>
      <w:r>
        <w:rPr>
          <w:rFonts w:hint="eastAsia" w:cs="Times New Roman"/>
          <w:b/>
          <w:bCs/>
          <w:color w:val="auto"/>
          <w:sz w:val="24"/>
          <w:szCs w:val="24"/>
          <w:u w:val="none"/>
          <w:lang w:val="en-US" w:eastAsia="zh-CN"/>
        </w:rPr>
        <w:t xml:space="preserve">         </w:t>
      </w:r>
      <w:r>
        <w:rPr>
          <w:rFonts w:hint="default" w:ascii="Times New Roman" w:hAnsi="Times New Roman" w:eastAsia="宋体" w:cs="Times New Roman"/>
          <w:b/>
          <w:bCs/>
          <w:color w:val="auto"/>
          <w:sz w:val="24"/>
          <w:szCs w:val="24"/>
          <w:u w:val="none"/>
        </w:rPr>
        <w:t xml:space="preserve"> 本项目进出水水质一览表</w:t>
      </w:r>
      <w:r>
        <w:rPr>
          <w:rFonts w:hint="eastAsia" w:cs="Times New Roman"/>
          <w:b/>
          <w:bCs/>
          <w:color w:val="auto"/>
          <w:sz w:val="24"/>
          <w:szCs w:val="24"/>
          <w:u w:val="none"/>
          <w:lang w:val="en-US" w:eastAsia="zh-CN"/>
        </w:rPr>
        <w:t xml:space="preserve">     </w:t>
      </w:r>
      <w:r>
        <w:rPr>
          <w:rFonts w:hint="default" w:ascii="Times New Roman" w:hAnsi="Times New Roman" w:eastAsia="宋体" w:cs="Times New Roman"/>
          <w:b/>
          <w:bCs/>
          <w:color w:val="auto"/>
          <w:sz w:val="24"/>
          <w:szCs w:val="24"/>
          <w:u w:val="none"/>
        </w:rPr>
        <w:t xml:space="preserve">    单位:mg/L</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50" w:line="240" w:lineRule="auto"/>
        <w:ind w:leftChars="0"/>
        <w:textAlignment w:val="auto"/>
        <w:outlineLvl w:val="9"/>
        <w:rPr>
          <w:u w:val="none"/>
        </w:rPr>
      </w:pPr>
      <w:r>
        <w:rPr>
          <w:u w:val="none"/>
        </w:rPr>
        <w:drawing>
          <wp:inline distT="0" distB="0" distL="114300" distR="114300">
            <wp:extent cx="5710555" cy="1005205"/>
            <wp:effectExtent l="0" t="0" r="4445" b="444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6"/>
                    <a:stretch>
                      <a:fillRect/>
                    </a:stretch>
                  </pic:blipFill>
                  <pic:spPr>
                    <a:xfrm>
                      <a:off x="0" y="0"/>
                      <a:ext cx="5710555" cy="1005205"/>
                    </a:xfrm>
                    <a:prstGeom prst="rect">
                      <a:avLst/>
                    </a:prstGeom>
                    <a:noFill/>
                    <a:ln>
                      <a:noFill/>
                    </a:ln>
                  </pic:spPr>
                </pic:pic>
              </a:graphicData>
            </a:graphic>
          </wp:inline>
        </w:drawing>
      </w:r>
    </w:p>
    <w:p>
      <w:pPr>
        <w:pStyle w:val="3"/>
        <w:numPr>
          <w:ilvl w:val="1"/>
          <w:numId w:val="0"/>
        </w:numPr>
        <w:bidi w:val="0"/>
        <w:spacing w:line="240" w:lineRule="auto"/>
        <w:ind w:leftChars="0"/>
        <w:rPr>
          <w:rFonts w:hint="default"/>
          <w:color w:val="auto"/>
          <w:sz w:val="28"/>
          <w:szCs w:val="28"/>
          <w:u w:val="none"/>
          <w:lang w:val="en-US" w:eastAsia="zh-CN"/>
        </w:rPr>
      </w:pPr>
      <w:bookmarkStart w:id="61" w:name="_Toc16497"/>
      <w:r>
        <w:rPr>
          <w:rFonts w:hint="eastAsia"/>
          <w:color w:val="auto"/>
          <w:sz w:val="28"/>
          <w:szCs w:val="28"/>
          <w:u w:val="none"/>
          <w:lang w:val="en-US" w:eastAsia="zh-CN"/>
        </w:rPr>
        <w:t xml:space="preserve">1.7 </w:t>
      </w:r>
      <w:r>
        <w:rPr>
          <w:rFonts w:hint="default"/>
          <w:color w:val="auto"/>
          <w:sz w:val="28"/>
          <w:szCs w:val="28"/>
          <w:u w:val="none"/>
          <w:lang w:val="en-US" w:eastAsia="zh-CN"/>
        </w:rPr>
        <w:t>评价方法</w:t>
      </w:r>
      <w:bookmarkEnd w:id="61"/>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kern w:val="0"/>
          <w:sz w:val="24"/>
          <w:szCs w:val="24"/>
          <w:u w:val="none"/>
          <w:lang w:val="en-US" w:eastAsia="zh-CN" w:bidi="ar"/>
        </w:rPr>
        <w:t>通过现场踏勘，确定评价范围的现状评价采用收集资料方法，影响评价采用模式预测和分析方法。</w:t>
      </w:r>
    </w:p>
    <w:p>
      <w:pPr>
        <w:pStyle w:val="3"/>
        <w:numPr>
          <w:ilvl w:val="1"/>
          <w:numId w:val="0"/>
        </w:numPr>
        <w:bidi w:val="0"/>
        <w:spacing w:line="240" w:lineRule="auto"/>
        <w:ind w:leftChars="0"/>
        <w:rPr>
          <w:rFonts w:hint="default"/>
          <w:color w:val="auto"/>
          <w:sz w:val="28"/>
          <w:szCs w:val="28"/>
          <w:u w:val="none"/>
          <w:lang w:val="en-US" w:eastAsia="zh-CN"/>
        </w:rPr>
      </w:pPr>
      <w:bookmarkStart w:id="62" w:name="_Toc21769"/>
      <w:r>
        <w:rPr>
          <w:rFonts w:hint="eastAsia"/>
          <w:color w:val="auto"/>
          <w:sz w:val="28"/>
          <w:szCs w:val="28"/>
          <w:u w:val="none"/>
          <w:lang w:val="en-US" w:eastAsia="zh-CN"/>
        </w:rPr>
        <w:t xml:space="preserve">1.8 </w:t>
      </w:r>
      <w:r>
        <w:rPr>
          <w:rFonts w:hint="default"/>
          <w:color w:val="auto"/>
          <w:sz w:val="28"/>
          <w:szCs w:val="28"/>
          <w:u w:val="none"/>
          <w:lang w:val="en-US" w:eastAsia="zh-CN"/>
        </w:rPr>
        <w:t>环境保护目标</w:t>
      </w:r>
      <w:bookmarkEnd w:id="62"/>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none"/>
          <w:lang w:val="en-US" w:eastAsia="zh-CN" w:bidi="ar"/>
        </w:rPr>
      </w:pPr>
      <w:r>
        <w:rPr>
          <w:rFonts w:hint="default" w:ascii="Times New Roman" w:hAnsi="Times New Roman" w:eastAsia="宋体" w:cs="Times New Roman"/>
          <w:color w:val="auto"/>
          <w:kern w:val="0"/>
          <w:sz w:val="24"/>
          <w:szCs w:val="24"/>
          <w:u w:val="none"/>
          <w:lang w:val="en-US" w:eastAsia="zh-CN" w:bidi="ar"/>
        </w:rPr>
        <w:t>根据《环境影响评价技术导则地表水环境》（HJ2.3-2018）水环境保护目标为饮用水水源保护区、饮用水取水口，涉水的自然保护区、风景名胜区，重要湿地、重点保护目标与珍稀水生生物的栖息地、重要水生生物的自然产卵场及索饵场、越冬场和洄游通道，天然渔场等渔业水体，以及水产种质资源保护区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FF0000"/>
          <w:kern w:val="0"/>
          <w:sz w:val="24"/>
          <w:szCs w:val="24"/>
          <w:u w:val="single"/>
          <w:lang w:val="en-US" w:eastAsia="zh-CN" w:bidi="ar"/>
        </w:rPr>
      </w:pPr>
      <w:r>
        <w:rPr>
          <w:rFonts w:hint="default" w:ascii="Times New Roman" w:hAnsi="Times New Roman" w:eastAsia="宋体" w:cs="Times New Roman"/>
          <w:color w:val="FF0000"/>
          <w:kern w:val="0"/>
          <w:sz w:val="24"/>
          <w:szCs w:val="24"/>
          <w:u w:val="single"/>
          <w:lang w:val="en-US" w:eastAsia="zh-CN" w:bidi="ar"/>
        </w:rPr>
        <w:t>本项目评价范围</w:t>
      </w:r>
      <w:r>
        <w:rPr>
          <w:rFonts w:hint="eastAsia" w:cs="Times New Roman"/>
          <w:color w:val="FF0000"/>
          <w:kern w:val="0"/>
          <w:sz w:val="24"/>
          <w:szCs w:val="24"/>
          <w:u w:val="single"/>
          <w:lang w:val="en-US" w:eastAsia="zh-CN" w:bidi="ar"/>
        </w:rPr>
        <w:t>有</w:t>
      </w:r>
      <w:r>
        <w:rPr>
          <w:rFonts w:hint="default" w:ascii="Times New Roman" w:hAnsi="Times New Roman" w:eastAsia="宋体" w:cs="Times New Roman"/>
          <w:color w:val="FF0000"/>
          <w:kern w:val="0"/>
          <w:sz w:val="24"/>
          <w:szCs w:val="24"/>
          <w:u w:val="single"/>
          <w:lang w:val="en-US" w:eastAsia="zh-CN" w:bidi="ar"/>
        </w:rPr>
        <w:t>湖南湘阴横岭湖省级自然保护区</w:t>
      </w:r>
      <w:r>
        <w:rPr>
          <w:rFonts w:hint="eastAsia" w:cs="Times New Roman"/>
          <w:color w:val="FF0000"/>
          <w:kern w:val="0"/>
          <w:sz w:val="24"/>
          <w:szCs w:val="24"/>
          <w:u w:val="single"/>
          <w:lang w:val="en-US" w:eastAsia="zh-CN" w:bidi="ar"/>
        </w:rPr>
        <w:t>，</w:t>
      </w:r>
      <w:r>
        <w:rPr>
          <w:rFonts w:hint="default" w:ascii="Times New Roman" w:hAnsi="Times New Roman" w:eastAsia="宋体" w:cs="Times New Roman"/>
          <w:color w:val="FF0000"/>
          <w:kern w:val="0"/>
          <w:sz w:val="24"/>
          <w:szCs w:val="24"/>
          <w:u w:val="single"/>
          <w:lang w:val="en-US" w:eastAsia="zh-CN" w:bidi="ar"/>
        </w:rPr>
        <w:t>湖南湘阴横岭湖省级自然保护区</w:t>
      </w:r>
      <w:r>
        <w:rPr>
          <w:rFonts w:hint="eastAsia" w:ascii="Times New Roman" w:hAnsi="Times New Roman" w:eastAsia="宋体" w:cs="Times New Roman"/>
          <w:color w:val="FF0000"/>
          <w:kern w:val="0"/>
          <w:sz w:val="24"/>
          <w:szCs w:val="24"/>
          <w:u w:val="single"/>
          <w:lang w:val="en-US" w:eastAsia="zh-CN" w:bidi="ar"/>
        </w:rPr>
        <w:t>为项目回水管网西侧10米处，但本项目与</w:t>
      </w:r>
      <w:r>
        <w:rPr>
          <w:rFonts w:hint="default" w:ascii="Times New Roman" w:hAnsi="Times New Roman" w:eastAsia="宋体" w:cs="Times New Roman"/>
          <w:color w:val="FF0000"/>
          <w:kern w:val="0"/>
          <w:sz w:val="24"/>
          <w:szCs w:val="24"/>
          <w:u w:val="single"/>
          <w:lang w:val="en-US" w:eastAsia="zh-CN" w:bidi="ar"/>
        </w:rPr>
        <w:t>湖南湘阴横岭湖省级自然保护区</w:t>
      </w:r>
      <w:r>
        <w:rPr>
          <w:rFonts w:hint="eastAsia" w:ascii="Times New Roman" w:hAnsi="Times New Roman" w:eastAsia="宋体" w:cs="Times New Roman"/>
          <w:color w:val="FF0000"/>
          <w:kern w:val="0"/>
          <w:sz w:val="24"/>
          <w:szCs w:val="24"/>
          <w:u w:val="single"/>
          <w:lang w:val="en-US" w:eastAsia="zh-CN" w:bidi="ar"/>
        </w:rPr>
        <w:t>防洪堤隔断，在水闸关闭的情况，本项目不会对</w:t>
      </w:r>
      <w:r>
        <w:rPr>
          <w:rFonts w:hint="default" w:ascii="Times New Roman" w:hAnsi="Times New Roman" w:eastAsia="宋体" w:cs="Times New Roman"/>
          <w:color w:val="FF0000"/>
          <w:kern w:val="0"/>
          <w:sz w:val="24"/>
          <w:szCs w:val="24"/>
          <w:u w:val="single"/>
          <w:lang w:val="en-US" w:eastAsia="zh-CN" w:bidi="ar"/>
        </w:rPr>
        <w:t>湖南湘阴横岭湖省级自然保护区</w:t>
      </w:r>
      <w:r>
        <w:rPr>
          <w:rFonts w:hint="eastAsia" w:ascii="Times New Roman" w:hAnsi="Times New Roman" w:eastAsia="宋体" w:cs="Times New Roman"/>
          <w:color w:val="FF0000"/>
          <w:kern w:val="0"/>
          <w:sz w:val="24"/>
          <w:szCs w:val="24"/>
          <w:u w:val="single"/>
          <w:lang w:val="en-US" w:eastAsia="zh-CN" w:bidi="ar"/>
        </w:rPr>
        <w:t>水体造成影响。故本评价要求，项目在施工期间，青山岛水闸需要保持在关闭状态。</w:t>
      </w:r>
    </w:p>
    <w:p>
      <w:pPr>
        <w:rPr>
          <w:rFonts w:hint="default" w:ascii="Times New Roman" w:hAnsi="Times New Roman" w:eastAsia="宋体" w:cs="Times New Roman"/>
          <w:color w:val="auto"/>
          <w:sz w:val="24"/>
          <w:szCs w:val="24"/>
          <w:u w:val="none"/>
          <w:lang w:val="en-US" w:eastAsia="zh-CN"/>
        </w:rPr>
      </w:pPr>
    </w:p>
    <w:p>
      <w:pPr>
        <w:rPr>
          <w:rFonts w:hint="default" w:ascii="Times New Roman" w:hAnsi="Times New Roman" w:eastAsia="宋体" w:cs="Times New Roman"/>
          <w:color w:val="auto"/>
          <w:sz w:val="24"/>
          <w:szCs w:val="24"/>
          <w:u w:val="none"/>
        </w:rPr>
        <w:sectPr>
          <w:footerReference r:id="rId8" w:type="default"/>
          <w:pgSz w:w="11907" w:h="16839"/>
          <w:pgMar w:top="1404" w:right="1442" w:bottom="1406" w:left="1449" w:header="0" w:footer="1644" w:gutter="0"/>
          <w:pgBorders>
            <w:top w:val="none" w:sz="0" w:space="0"/>
            <w:left w:val="none" w:sz="0" w:space="0"/>
            <w:bottom w:val="none" w:sz="0" w:space="0"/>
            <w:right w:val="none" w:sz="0" w:space="0"/>
          </w:pgBorders>
          <w:pgNumType w:fmt="decimal" w:start="1"/>
          <w:cols w:space="720" w:num="1"/>
        </w:sectPr>
      </w:pPr>
    </w:p>
    <w:p>
      <w:pPr>
        <w:pStyle w:val="2"/>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textAlignment w:val="auto"/>
        <w:rPr>
          <w:rFonts w:hint="default" w:eastAsia="宋体" w:cs="Times New Roman"/>
          <w:color w:val="auto"/>
          <w:sz w:val="32"/>
          <w:szCs w:val="32"/>
          <w:u w:val="none"/>
          <w:lang w:val="en-US" w:eastAsia="zh-CN"/>
        </w:rPr>
      </w:pPr>
      <w:bookmarkStart w:id="63" w:name="_bookmark7"/>
      <w:bookmarkEnd w:id="63"/>
      <w:bookmarkStart w:id="64" w:name="_Toc9530"/>
      <w:r>
        <w:rPr>
          <w:rFonts w:hint="eastAsia" w:eastAsia="宋体" w:cs="Times New Roman"/>
          <w:color w:val="auto"/>
          <w:sz w:val="32"/>
          <w:szCs w:val="32"/>
          <w:u w:val="none"/>
          <w:lang w:val="en-US" w:eastAsia="zh-CN"/>
        </w:rPr>
        <w:t xml:space="preserve">2 </w:t>
      </w:r>
      <w:r>
        <w:rPr>
          <w:rFonts w:hint="default" w:eastAsia="宋体" w:cs="Times New Roman"/>
          <w:color w:val="auto"/>
          <w:sz w:val="32"/>
          <w:szCs w:val="32"/>
          <w:u w:val="none"/>
          <w:lang w:val="en-US" w:eastAsia="zh-CN"/>
        </w:rPr>
        <w:t>地表水环境质量现状调查与评价</w:t>
      </w:r>
      <w:bookmarkEnd w:id="64"/>
    </w:p>
    <w:p>
      <w:pPr>
        <w:pStyle w:val="3"/>
        <w:numPr>
          <w:ilvl w:val="1"/>
          <w:numId w:val="0"/>
        </w:numPr>
        <w:bidi w:val="0"/>
        <w:spacing w:line="240" w:lineRule="auto"/>
        <w:ind w:leftChars="0"/>
        <w:rPr>
          <w:rFonts w:hint="default"/>
          <w:color w:val="auto"/>
          <w:sz w:val="28"/>
          <w:szCs w:val="28"/>
          <w:u w:val="none"/>
          <w:lang w:val="en-US" w:eastAsia="zh-CN"/>
        </w:rPr>
      </w:pPr>
      <w:bookmarkStart w:id="65" w:name="_Toc21352"/>
      <w:r>
        <w:rPr>
          <w:rFonts w:hint="eastAsia"/>
          <w:color w:val="auto"/>
          <w:sz w:val="28"/>
          <w:szCs w:val="28"/>
          <w:u w:val="none"/>
          <w:lang w:val="en-US" w:eastAsia="zh-CN"/>
        </w:rPr>
        <w:t xml:space="preserve">2.1 </w:t>
      </w:r>
      <w:r>
        <w:rPr>
          <w:rFonts w:hint="default"/>
          <w:color w:val="auto"/>
          <w:sz w:val="28"/>
          <w:szCs w:val="28"/>
          <w:u w:val="none"/>
          <w:lang w:val="en-US" w:eastAsia="zh-CN"/>
        </w:rPr>
        <w:t>水环境现状调查</w:t>
      </w:r>
      <w:bookmarkEnd w:id="65"/>
    </w:p>
    <w:p>
      <w:pPr>
        <w:adjustRightInd w:val="0"/>
        <w:snapToGrid w:val="0"/>
        <w:spacing w:line="360" w:lineRule="auto"/>
        <w:ind w:firstLine="480" w:firstLineChars="200"/>
        <w:rPr>
          <w:rFonts w:hint="default" w:cs="Times New Roman"/>
          <w:color w:val="auto"/>
          <w:sz w:val="24"/>
          <w:szCs w:val="24"/>
          <w:u w:val="none"/>
          <w:lang w:val="en-US" w:eastAsia="zh-CN"/>
        </w:rPr>
      </w:pPr>
      <w:r>
        <w:rPr>
          <w:rFonts w:hint="eastAsia" w:cs="Times New Roman"/>
          <w:color w:val="auto"/>
          <w:sz w:val="24"/>
          <w:szCs w:val="24"/>
          <w:u w:val="none"/>
          <w:lang w:val="en-US" w:eastAsia="zh-CN"/>
        </w:rPr>
        <w:t>根据《湘阴县青山岛横岭湖团山围闸口人工湿地工程可行性研究报告》（2023年1月）。</w:t>
      </w:r>
    </w:p>
    <w:p>
      <w:pPr>
        <w:pStyle w:val="91"/>
        <w:keepNext w:val="0"/>
        <w:keepLines w:val="0"/>
        <w:suppressLineNumbers w:val="0"/>
        <w:spacing w:before="0" w:beforeAutospacing="0" w:after="0" w:afterAutospacing="0"/>
        <w:ind w:left="0" w:right="0" w:firstLine="48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本次收集了横岭湖2018-2021 年10 月的水质常规监测结果，每月监测一次，具体结果见</w:t>
      </w:r>
      <w:r>
        <w:rPr>
          <w:rFonts w:hint="eastAsia" w:cs="Times New Roman"/>
          <w:color w:val="auto"/>
          <w:highlight w:val="none"/>
          <w:u w:val="none"/>
          <w:lang w:val="en-US" w:eastAsia="zh-CN"/>
        </w:rPr>
        <w:t>下表</w:t>
      </w:r>
      <w:r>
        <w:rPr>
          <w:rFonts w:hint="eastAsia" w:ascii="Times New Roman" w:hAnsi="Times New Roman" w:eastAsia="宋体" w:cs="Times New Roman"/>
          <w:color w:val="auto"/>
          <w:highlight w:val="none"/>
          <w:u w:val="none"/>
          <w:lang w:val="en-US" w:eastAsia="zh-CN"/>
        </w:rPr>
        <w:t>，由表可知，横岭湖近年多数月份水质处于地表水环境质量Ⅳ类标准，2018 年4 月和2019 年10月达Ⅴ类标准，整体上看，水质虽好转，但2021 年4 月、8 月总磷浓度偏高，且5 个月份处于Ⅳ类标准，根据《湖南省主要地表水系水环境功能区划》（DB43/023-2005），横岭湖水体属渔业用水区，执行《地表水环境质量标准》（GB3838-2002）Ⅲ类水标准。</w:t>
      </w: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表</w:t>
      </w:r>
      <w:r>
        <w:rPr>
          <w:rFonts w:hint="eastAsia" w:cs="Times New Roman"/>
          <w:b/>
          <w:bCs/>
          <w:color w:val="auto"/>
          <w:sz w:val="21"/>
          <w:szCs w:val="21"/>
          <w:highlight w:val="none"/>
          <w:u w:val="none"/>
          <w:lang w:val="en-US" w:eastAsia="zh-CN"/>
        </w:rPr>
        <w:t>2</w:t>
      </w:r>
      <w:r>
        <w:rPr>
          <w:rFonts w:hint="eastAsia" w:ascii="Times New Roman" w:hAnsi="Times New Roman" w:eastAsia="宋体" w:cs="Times New Roman"/>
          <w:b/>
          <w:bCs/>
          <w:color w:val="auto"/>
          <w:sz w:val="21"/>
          <w:szCs w:val="21"/>
          <w:highlight w:val="none"/>
          <w:u w:val="none"/>
          <w:lang w:val="en-US" w:eastAsia="zh-CN"/>
        </w:rPr>
        <w:t xml:space="preserve">-1 </w:t>
      </w:r>
      <w:r>
        <w:rPr>
          <w:rFonts w:hint="eastAsia" w:cs="Times New Roman"/>
          <w:b/>
          <w:bCs/>
          <w:color w:val="auto"/>
          <w:sz w:val="21"/>
          <w:szCs w:val="21"/>
          <w:highlight w:val="none"/>
          <w:u w:val="none"/>
          <w:lang w:val="en-US" w:eastAsia="zh-CN"/>
        </w:rPr>
        <w:t xml:space="preserve">                 </w:t>
      </w:r>
      <w:r>
        <w:rPr>
          <w:rFonts w:hint="eastAsia" w:ascii="Times New Roman" w:hAnsi="Times New Roman" w:eastAsia="宋体" w:cs="Times New Roman"/>
          <w:b/>
          <w:bCs/>
          <w:color w:val="auto"/>
          <w:sz w:val="21"/>
          <w:szCs w:val="21"/>
          <w:highlight w:val="none"/>
          <w:u w:val="none"/>
          <w:lang w:val="en-US" w:eastAsia="zh-CN"/>
        </w:rPr>
        <w:t>2018 年横岭湖常规监测数据</w:t>
      </w: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r>
        <w:rPr>
          <w:b/>
          <w:bCs/>
          <w:sz w:val="21"/>
          <w:szCs w:val="21"/>
          <w:u w:val="none"/>
        </w:rPr>
        <w:drawing>
          <wp:inline distT="0" distB="0" distL="114300" distR="114300">
            <wp:extent cx="5678805" cy="2921000"/>
            <wp:effectExtent l="0" t="0" r="17145" b="12700"/>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21"/>
                    <a:stretch>
                      <a:fillRect/>
                    </a:stretch>
                  </pic:blipFill>
                  <pic:spPr>
                    <a:xfrm>
                      <a:off x="0" y="0"/>
                      <a:ext cx="5678805" cy="2921000"/>
                    </a:xfrm>
                    <a:prstGeom prst="rect">
                      <a:avLst/>
                    </a:prstGeom>
                    <a:noFill/>
                    <a:ln>
                      <a:noFill/>
                    </a:ln>
                  </pic:spPr>
                </pic:pic>
              </a:graphicData>
            </a:graphic>
          </wp:inline>
        </w:drawing>
      </w: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表</w:t>
      </w:r>
      <w:r>
        <w:rPr>
          <w:rFonts w:hint="eastAsia" w:cs="Times New Roman"/>
          <w:b/>
          <w:bCs/>
          <w:color w:val="auto"/>
          <w:sz w:val="21"/>
          <w:szCs w:val="21"/>
          <w:highlight w:val="none"/>
          <w:u w:val="none"/>
          <w:lang w:val="en-US" w:eastAsia="zh-CN"/>
        </w:rPr>
        <w:t>2</w:t>
      </w:r>
      <w:r>
        <w:rPr>
          <w:rFonts w:hint="eastAsia" w:ascii="Times New Roman" w:hAnsi="Times New Roman" w:eastAsia="宋体" w:cs="Times New Roman"/>
          <w:b/>
          <w:bCs/>
          <w:color w:val="auto"/>
          <w:sz w:val="21"/>
          <w:szCs w:val="21"/>
          <w:highlight w:val="none"/>
          <w:u w:val="none"/>
          <w:lang w:val="en-US" w:eastAsia="zh-CN"/>
        </w:rPr>
        <w:t xml:space="preserve">-2 </w:t>
      </w:r>
      <w:r>
        <w:rPr>
          <w:rFonts w:hint="eastAsia" w:cs="Times New Roman"/>
          <w:b/>
          <w:bCs/>
          <w:color w:val="auto"/>
          <w:sz w:val="21"/>
          <w:szCs w:val="21"/>
          <w:highlight w:val="none"/>
          <w:u w:val="none"/>
          <w:lang w:val="en-US" w:eastAsia="zh-CN"/>
        </w:rPr>
        <w:t xml:space="preserve">                  </w:t>
      </w:r>
      <w:r>
        <w:rPr>
          <w:rFonts w:hint="eastAsia" w:ascii="Times New Roman" w:hAnsi="Times New Roman" w:eastAsia="宋体" w:cs="Times New Roman"/>
          <w:b/>
          <w:bCs/>
          <w:color w:val="auto"/>
          <w:sz w:val="21"/>
          <w:szCs w:val="21"/>
          <w:highlight w:val="none"/>
          <w:u w:val="none"/>
          <w:lang w:val="en-US" w:eastAsia="zh-CN"/>
        </w:rPr>
        <w:t>2019 年横岭湖常规监测数据</w:t>
      </w: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r>
        <w:rPr>
          <w:b/>
          <w:bCs/>
          <w:sz w:val="21"/>
          <w:szCs w:val="21"/>
          <w:u w:val="none"/>
        </w:rPr>
        <w:drawing>
          <wp:inline distT="0" distB="0" distL="114300" distR="114300">
            <wp:extent cx="5703570" cy="2925445"/>
            <wp:effectExtent l="0" t="0" r="11430" b="8255"/>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22"/>
                    <a:stretch>
                      <a:fillRect/>
                    </a:stretch>
                  </pic:blipFill>
                  <pic:spPr>
                    <a:xfrm>
                      <a:off x="0" y="0"/>
                      <a:ext cx="5703570" cy="2925445"/>
                    </a:xfrm>
                    <a:prstGeom prst="rect">
                      <a:avLst/>
                    </a:prstGeom>
                    <a:noFill/>
                    <a:ln>
                      <a:noFill/>
                    </a:ln>
                  </pic:spPr>
                </pic:pic>
              </a:graphicData>
            </a:graphic>
          </wp:inline>
        </w:drawing>
      </w: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表</w:t>
      </w:r>
      <w:r>
        <w:rPr>
          <w:rFonts w:hint="eastAsia" w:cs="Times New Roman"/>
          <w:b/>
          <w:bCs/>
          <w:color w:val="auto"/>
          <w:sz w:val="21"/>
          <w:szCs w:val="21"/>
          <w:highlight w:val="none"/>
          <w:u w:val="none"/>
          <w:lang w:val="en-US" w:eastAsia="zh-CN"/>
        </w:rPr>
        <w:t>2</w:t>
      </w:r>
      <w:r>
        <w:rPr>
          <w:rFonts w:hint="eastAsia" w:ascii="Times New Roman" w:hAnsi="Times New Roman" w:eastAsia="宋体" w:cs="Times New Roman"/>
          <w:b/>
          <w:bCs/>
          <w:color w:val="auto"/>
          <w:sz w:val="21"/>
          <w:szCs w:val="21"/>
          <w:highlight w:val="none"/>
          <w:u w:val="none"/>
          <w:lang w:val="en-US" w:eastAsia="zh-CN"/>
        </w:rPr>
        <w:t xml:space="preserve">-3 </w:t>
      </w:r>
      <w:r>
        <w:rPr>
          <w:rFonts w:hint="eastAsia" w:cs="Times New Roman"/>
          <w:b/>
          <w:bCs/>
          <w:color w:val="auto"/>
          <w:sz w:val="21"/>
          <w:szCs w:val="21"/>
          <w:highlight w:val="none"/>
          <w:u w:val="none"/>
          <w:lang w:val="en-US" w:eastAsia="zh-CN"/>
        </w:rPr>
        <w:t xml:space="preserve">                  </w:t>
      </w:r>
      <w:r>
        <w:rPr>
          <w:rFonts w:hint="eastAsia" w:ascii="Times New Roman" w:hAnsi="Times New Roman" w:eastAsia="宋体" w:cs="Times New Roman"/>
          <w:b/>
          <w:bCs/>
          <w:color w:val="auto"/>
          <w:sz w:val="21"/>
          <w:szCs w:val="21"/>
          <w:highlight w:val="none"/>
          <w:u w:val="none"/>
          <w:lang w:val="en-US" w:eastAsia="zh-CN"/>
        </w:rPr>
        <w:t>2020 年横岭湖常规监测数据</w:t>
      </w: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r>
        <w:rPr>
          <w:b/>
          <w:bCs/>
          <w:sz w:val="21"/>
          <w:szCs w:val="21"/>
          <w:u w:val="none"/>
        </w:rPr>
        <w:drawing>
          <wp:inline distT="0" distB="0" distL="114300" distR="114300">
            <wp:extent cx="5669280" cy="2813685"/>
            <wp:effectExtent l="0" t="0" r="7620" b="571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23"/>
                    <a:stretch>
                      <a:fillRect/>
                    </a:stretch>
                  </pic:blipFill>
                  <pic:spPr>
                    <a:xfrm>
                      <a:off x="0" y="0"/>
                      <a:ext cx="5669280" cy="2813685"/>
                    </a:xfrm>
                    <a:prstGeom prst="rect">
                      <a:avLst/>
                    </a:prstGeom>
                    <a:noFill/>
                    <a:ln>
                      <a:noFill/>
                    </a:ln>
                  </pic:spPr>
                </pic:pic>
              </a:graphicData>
            </a:graphic>
          </wp:inline>
        </w:drawing>
      </w: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表</w:t>
      </w:r>
      <w:r>
        <w:rPr>
          <w:rFonts w:hint="eastAsia" w:cs="Times New Roman"/>
          <w:b/>
          <w:bCs/>
          <w:color w:val="auto"/>
          <w:sz w:val="21"/>
          <w:szCs w:val="21"/>
          <w:highlight w:val="none"/>
          <w:u w:val="none"/>
          <w:lang w:val="en-US" w:eastAsia="zh-CN"/>
        </w:rPr>
        <w:t>2</w:t>
      </w:r>
      <w:r>
        <w:rPr>
          <w:rFonts w:hint="eastAsia" w:ascii="Times New Roman" w:hAnsi="Times New Roman" w:eastAsia="宋体" w:cs="Times New Roman"/>
          <w:b/>
          <w:bCs/>
          <w:color w:val="auto"/>
          <w:sz w:val="21"/>
          <w:szCs w:val="21"/>
          <w:highlight w:val="none"/>
          <w:u w:val="none"/>
          <w:lang w:val="en-US" w:eastAsia="zh-CN"/>
        </w:rPr>
        <w:t xml:space="preserve">-4 </w:t>
      </w:r>
      <w:r>
        <w:rPr>
          <w:rFonts w:hint="eastAsia" w:cs="Times New Roman"/>
          <w:b/>
          <w:bCs/>
          <w:color w:val="auto"/>
          <w:sz w:val="21"/>
          <w:szCs w:val="21"/>
          <w:highlight w:val="none"/>
          <w:u w:val="none"/>
          <w:lang w:val="en-US" w:eastAsia="zh-CN"/>
        </w:rPr>
        <w:t xml:space="preserve">                 </w:t>
      </w:r>
      <w:r>
        <w:rPr>
          <w:rFonts w:hint="eastAsia" w:ascii="Times New Roman" w:hAnsi="Times New Roman" w:eastAsia="宋体" w:cs="Times New Roman"/>
          <w:b/>
          <w:bCs/>
          <w:color w:val="auto"/>
          <w:sz w:val="21"/>
          <w:szCs w:val="21"/>
          <w:highlight w:val="none"/>
          <w:u w:val="none"/>
          <w:lang w:val="en-US" w:eastAsia="zh-CN"/>
        </w:rPr>
        <w:t>2021 年横岭湖常规监测数据</w:t>
      </w: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color w:val="auto"/>
          <w:highlight w:val="none"/>
          <w:u w:val="none"/>
          <w:lang w:val="en-US" w:eastAsia="zh-CN"/>
        </w:rPr>
      </w:pPr>
      <w:r>
        <w:rPr>
          <w:b/>
          <w:bCs/>
          <w:sz w:val="21"/>
          <w:szCs w:val="21"/>
          <w:u w:val="none"/>
        </w:rPr>
        <w:drawing>
          <wp:inline distT="0" distB="0" distL="114300" distR="114300">
            <wp:extent cx="5646420" cy="2194560"/>
            <wp:effectExtent l="0" t="0" r="11430" b="1524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24"/>
                    <a:stretch>
                      <a:fillRect/>
                    </a:stretch>
                  </pic:blipFill>
                  <pic:spPr>
                    <a:xfrm>
                      <a:off x="0" y="0"/>
                      <a:ext cx="5646420" cy="2194560"/>
                    </a:xfrm>
                    <a:prstGeom prst="rect">
                      <a:avLst/>
                    </a:prstGeom>
                    <a:noFill/>
                    <a:ln>
                      <a:noFill/>
                    </a:ln>
                  </pic:spPr>
                </pic:pic>
              </a:graphicData>
            </a:graphic>
          </wp:inline>
        </w:drawing>
      </w:r>
    </w:p>
    <w:p>
      <w:pPr>
        <w:pStyle w:val="91"/>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青山岛垸内鱼塘既有养殖功能，也是青山岛区域生产生活污水的纳污水体，为了解青山岛鱼塘的水质现状，2021 年11 月12日派出检测组对垸内鱼塘进行取样检测，根据检测结果，各监测点位化学需氧量、总磷、总氮存在着不同程度的超Ⅲ类标准的现象见下表。</w:t>
      </w:r>
    </w:p>
    <w:p>
      <w:pPr>
        <w:pStyle w:val="91"/>
        <w:keepNext w:val="0"/>
        <w:keepLines w:val="0"/>
        <w:suppressLineNumbers w:val="0"/>
        <w:spacing w:before="0" w:beforeAutospacing="0" w:after="0" w:afterAutospacing="0" w:line="240" w:lineRule="auto"/>
        <w:ind w:left="0" w:leftChars="0" w:right="0" w:firstLine="0" w:firstLineChars="0"/>
        <w:jc w:val="left"/>
        <w:rPr>
          <w:rFonts w:hint="eastAsia"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表</w:t>
      </w:r>
      <w:r>
        <w:rPr>
          <w:rFonts w:hint="eastAsia" w:cs="Times New Roman"/>
          <w:b/>
          <w:bCs/>
          <w:color w:val="auto"/>
          <w:sz w:val="21"/>
          <w:szCs w:val="21"/>
          <w:highlight w:val="none"/>
          <w:u w:val="none"/>
          <w:lang w:val="en-US" w:eastAsia="zh-CN"/>
        </w:rPr>
        <w:t>2</w:t>
      </w:r>
      <w:r>
        <w:rPr>
          <w:rFonts w:hint="eastAsia" w:ascii="Times New Roman" w:hAnsi="Times New Roman" w:eastAsia="宋体" w:cs="Times New Roman"/>
          <w:b/>
          <w:bCs/>
          <w:color w:val="auto"/>
          <w:sz w:val="21"/>
          <w:szCs w:val="21"/>
          <w:highlight w:val="none"/>
          <w:u w:val="none"/>
          <w:lang w:val="en-US" w:eastAsia="zh-CN"/>
        </w:rPr>
        <w:t xml:space="preserve">-5 </w:t>
      </w:r>
      <w:r>
        <w:rPr>
          <w:rFonts w:hint="eastAsia" w:cs="Times New Roman"/>
          <w:b/>
          <w:bCs/>
          <w:color w:val="auto"/>
          <w:sz w:val="21"/>
          <w:szCs w:val="21"/>
          <w:highlight w:val="none"/>
          <w:u w:val="none"/>
          <w:lang w:val="en-US" w:eastAsia="zh-CN"/>
        </w:rPr>
        <w:t xml:space="preserve">                      </w:t>
      </w:r>
      <w:r>
        <w:rPr>
          <w:rFonts w:hint="eastAsia" w:ascii="Times New Roman" w:hAnsi="Times New Roman" w:eastAsia="宋体" w:cs="Times New Roman"/>
          <w:b/>
          <w:bCs/>
          <w:color w:val="auto"/>
          <w:sz w:val="21"/>
          <w:szCs w:val="21"/>
          <w:highlight w:val="none"/>
          <w:u w:val="none"/>
          <w:lang w:val="en-US" w:eastAsia="zh-CN"/>
        </w:rPr>
        <w:t>青山岛鱼塘水质监测结果</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color w:val="auto"/>
          <w:kern w:val="0"/>
          <w:sz w:val="24"/>
          <w:szCs w:val="24"/>
          <w:u w:val="none"/>
          <w:lang w:val="en-US" w:eastAsia="zh-CN" w:bidi="ar"/>
        </w:rPr>
      </w:pPr>
      <w:r>
        <w:rPr>
          <w:u w:val="none"/>
        </w:rPr>
        <w:drawing>
          <wp:inline distT="0" distB="0" distL="114300" distR="114300">
            <wp:extent cx="5648325" cy="2888615"/>
            <wp:effectExtent l="0" t="0" r="9525" b="6985"/>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29"/>
                    <a:stretch>
                      <a:fillRect/>
                    </a:stretch>
                  </pic:blipFill>
                  <pic:spPr>
                    <a:xfrm>
                      <a:off x="0" y="0"/>
                      <a:ext cx="5648325" cy="2888615"/>
                    </a:xfrm>
                    <a:prstGeom prst="rect">
                      <a:avLst/>
                    </a:prstGeom>
                    <a:noFill/>
                    <a:ln>
                      <a:noFill/>
                    </a:ln>
                  </pic:spPr>
                </pic:pic>
              </a:graphicData>
            </a:graphic>
          </wp:inline>
        </w:drawing>
      </w:r>
    </w:p>
    <w:p>
      <w:pPr>
        <w:spacing w:line="360" w:lineRule="auto"/>
        <w:ind w:firstLine="480" w:firstLineChars="200"/>
        <w:rPr>
          <w:rFonts w:hint="eastAsia" w:ascii="Times New Roman" w:hAnsi="Times New Roman" w:eastAsia="宋体" w:cs="Times New Roman"/>
          <w:color w:val="auto"/>
          <w:sz w:val="24"/>
          <w:u w:val="none"/>
        </w:rPr>
      </w:pPr>
      <w:r>
        <w:rPr>
          <w:rFonts w:hint="eastAsia" w:ascii="Times New Roman" w:hAnsi="Times New Roman" w:eastAsia="宋体" w:cs="Times New Roman"/>
          <w:color w:val="auto"/>
          <w:sz w:val="24"/>
          <w:u w:val="none"/>
        </w:rPr>
        <w:t>（3）区域污染源统计</w:t>
      </w:r>
    </w:p>
    <w:p>
      <w:pPr>
        <w:spacing w:line="360" w:lineRule="auto"/>
        <w:ind w:firstLine="480" w:firstLineChars="200"/>
        <w:rPr>
          <w:rFonts w:hint="eastAsia" w:ascii="Times New Roman" w:hAnsi="Times New Roman" w:eastAsia="宋体" w:cs="Times New Roman"/>
          <w:color w:val="auto"/>
          <w:sz w:val="24"/>
          <w:u w:val="none"/>
        </w:rPr>
      </w:pPr>
      <w:r>
        <w:rPr>
          <w:rFonts w:hint="eastAsia" w:ascii="Times New Roman" w:hAnsi="Times New Roman" w:eastAsia="宋体" w:cs="Times New Roman"/>
          <w:color w:val="auto"/>
          <w:sz w:val="24"/>
          <w:u w:val="none"/>
        </w:rPr>
        <w:t>①农村生活污染</w:t>
      </w:r>
    </w:p>
    <w:p>
      <w:pPr>
        <w:spacing w:line="360" w:lineRule="auto"/>
        <w:ind w:firstLine="480" w:firstLineChars="200"/>
        <w:rPr>
          <w:rFonts w:hint="eastAsia" w:ascii="Times New Roman" w:hAnsi="Times New Roman" w:eastAsia="宋体" w:cs="Times New Roman"/>
          <w:color w:val="auto"/>
          <w:sz w:val="24"/>
          <w:u w:val="none"/>
        </w:rPr>
      </w:pPr>
      <w:r>
        <w:rPr>
          <w:rFonts w:hint="eastAsia" w:ascii="Times New Roman" w:hAnsi="Times New Roman" w:eastAsia="宋体" w:cs="Times New Roman"/>
          <w:color w:val="auto"/>
          <w:sz w:val="24"/>
          <w:u w:val="none"/>
        </w:rPr>
        <w:t>根据《排放源统计调查产排污核算方法和系数手册》（生态环境部2021 年）中&lt;生活源产排污核算方法和系数手册&gt;，污染物年排放量=常住人口*人均产污强度*365，其中各污染物产污强度分别为：COD 29.88g/人·天，总氮2.59g/人·天，总磷0.35 g/人·天。青山岛常住人口约400 人，则计算出区域农村生活污染源各污染物年排放量为COD 4.36 吨，总氮0.38 吨，总磷0.05 吨。</w:t>
      </w:r>
    </w:p>
    <w:p>
      <w:pPr>
        <w:spacing w:line="360" w:lineRule="auto"/>
        <w:ind w:firstLine="480" w:firstLineChars="200"/>
        <w:rPr>
          <w:rFonts w:hint="eastAsia" w:ascii="Times New Roman" w:hAnsi="Times New Roman" w:eastAsia="宋体" w:cs="Times New Roman"/>
          <w:color w:val="auto"/>
          <w:sz w:val="24"/>
          <w:u w:val="none"/>
        </w:rPr>
      </w:pPr>
      <w:r>
        <w:rPr>
          <w:rFonts w:hint="eastAsia" w:ascii="Times New Roman" w:hAnsi="Times New Roman" w:eastAsia="宋体" w:cs="Times New Roman"/>
          <w:color w:val="auto"/>
          <w:sz w:val="24"/>
          <w:u w:val="none"/>
        </w:rPr>
        <w:t>②农业种植业污染</w:t>
      </w:r>
    </w:p>
    <w:p>
      <w:pPr>
        <w:spacing w:line="360" w:lineRule="auto"/>
        <w:ind w:firstLine="480" w:firstLineChars="200"/>
        <w:rPr>
          <w:rFonts w:hint="eastAsia" w:ascii="Times New Roman" w:hAnsi="Times New Roman" w:eastAsia="宋体" w:cs="Times New Roman"/>
          <w:color w:val="auto"/>
          <w:sz w:val="24"/>
          <w:u w:val="none"/>
        </w:rPr>
      </w:pPr>
      <w:r>
        <w:rPr>
          <w:rFonts w:hint="eastAsia" w:ascii="Times New Roman" w:hAnsi="Times New Roman" w:eastAsia="宋体" w:cs="Times New Roman"/>
          <w:color w:val="auto"/>
          <w:sz w:val="24"/>
          <w:u w:val="none"/>
        </w:rPr>
        <w:t>农业种植，主要是指农田中剩余的化肥和农药经径流进入水体，使水环境中氮、磷等营养盐负荷增加，而使水体遭受污染。农田径流污染源强系数取值为:坡长修正为1.0，农作物类型修正为1.0，土壤类型修正为1，化肥施用量为1.0，降水量修正为1.3, 计算源强总系数为1.2。标准农田源强系数为:COD 15kg/亩·年，氨氮2kg/亩·年，总磷0.3kg 亩·年，总氮3kg/亩·年。采用系数法估算农田径流污染，农业非点源计算公式为:农田流失负荷=农田面积x 农田综合修正系数x标准农田源强系数。青山岛上耕地面积1500 亩，则计算出区域农业种植各污染物年排放量为COD 29.25 吨，总氮5.85 吨，总磷0.59吨。</w:t>
      </w:r>
    </w:p>
    <w:p>
      <w:pPr>
        <w:spacing w:line="360" w:lineRule="auto"/>
        <w:ind w:firstLine="480" w:firstLineChars="200"/>
        <w:rPr>
          <w:rFonts w:hint="eastAsia" w:ascii="Times New Roman" w:hAnsi="Times New Roman" w:eastAsia="宋体" w:cs="Times New Roman"/>
          <w:color w:val="auto"/>
          <w:sz w:val="24"/>
          <w:u w:val="none"/>
        </w:rPr>
      </w:pPr>
      <w:r>
        <w:rPr>
          <w:rFonts w:hint="eastAsia" w:ascii="Times New Roman" w:hAnsi="Times New Roman" w:eastAsia="宋体" w:cs="Times New Roman"/>
          <w:color w:val="auto"/>
          <w:sz w:val="24"/>
          <w:u w:val="none"/>
        </w:rPr>
        <w:t>③水产养殖业污染</w:t>
      </w:r>
    </w:p>
    <w:p>
      <w:pPr>
        <w:spacing w:line="360" w:lineRule="auto"/>
        <w:ind w:firstLine="480" w:firstLineChars="200"/>
        <w:rPr>
          <w:rFonts w:hint="default" w:ascii="Times New Roman" w:hAnsi="Times New Roman" w:eastAsia="宋体" w:cs="Times New Roman"/>
          <w:color w:val="auto"/>
          <w:sz w:val="24"/>
          <w:u w:val="none"/>
        </w:rPr>
        <w:sectPr>
          <w:footerReference r:id="rId9" w:type="default"/>
          <w:pgSz w:w="11907" w:h="16839"/>
          <w:pgMar w:top="1406" w:right="1440" w:bottom="1406" w:left="1451" w:header="0" w:footer="1358" w:gutter="0"/>
          <w:pgBorders>
            <w:top w:val="none" w:sz="0" w:space="0"/>
            <w:left w:val="none" w:sz="0" w:space="0"/>
            <w:bottom w:val="none" w:sz="0" w:space="0"/>
            <w:right w:val="none" w:sz="0" w:space="0"/>
          </w:pgBorders>
          <w:pgNumType w:fmt="decimal"/>
          <w:cols w:space="720" w:num="1"/>
        </w:sectPr>
      </w:pPr>
      <w:r>
        <w:rPr>
          <w:rFonts w:hint="eastAsia" w:ascii="Times New Roman" w:hAnsi="Times New Roman" w:eastAsia="宋体" w:cs="Times New Roman"/>
          <w:color w:val="auto"/>
          <w:sz w:val="24"/>
          <w:u w:val="none"/>
        </w:rPr>
        <w:t>通过对现场调研，青山岛目前水面养殖面积约6000 亩，年产量约100 吨。根据《排放源统计调查产排污核算方法和系数手册》（生态环境部2021 年）中&lt;农业源产排污核算方法和系数手册&gt;确定的水产养殖业排污系数进行核算，区域水产养殖年污染物排放量为COD1.31 吨，总氮0.21 吨，总磷0.02 吨。由上述分析可知，区域年污染物排放量为COD 34.92 吨，总氮6.44 吨，总磷0.66 吨，</w:t>
      </w:r>
    </w:p>
    <w:p>
      <w:pPr>
        <w:pStyle w:val="2"/>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textAlignment w:val="auto"/>
        <w:rPr>
          <w:rFonts w:hint="default" w:eastAsia="宋体" w:cs="Times New Roman"/>
          <w:color w:val="auto"/>
          <w:sz w:val="32"/>
          <w:szCs w:val="32"/>
          <w:u w:val="none"/>
          <w:lang w:val="en-US" w:eastAsia="zh-CN"/>
        </w:rPr>
      </w:pPr>
      <w:bookmarkStart w:id="66" w:name="_Toc21132"/>
      <w:r>
        <w:rPr>
          <w:rFonts w:hint="eastAsia" w:eastAsia="宋体" w:cs="Times New Roman"/>
          <w:color w:val="auto"/>
          <w:sz w:val="32"/>
          <w:szCs w:val="32"/>
          <w:u w:val="none"/>
          <w:lang w:val="en-US" w:eastAsia="zh-CN"/>
        </w:rPr>
        <w:t xml:space="preserve">3 </w:t>
      </w:r>
      <w:r>
        <w:rPr>
          <w:rFonts w:hint="default" w:eastAsia="宋体" w:cs="Times New Roman"/>
          <w:color w:val="auto"/>
          <w:sz w:val="32"/>
          <w:szCs w:val="32"/>
          <w:u w:val="none"/>
          <w:lang w:val="en-US" w:eastAsia="zh-CN"/>
        </w:rPr>
        <w:t>地表水环境影响预测与评价</w:t>
      </w:r>
      <w:bookmarkEnd w:id="66"/>
    </w:p>
    <w:p>
      <w:pPr>
        <w:pStyle w:val="3"/>
        <w:numPr>
          <w:ilvl w:val="1"/>
          <w:numId w:val="0"/>
        </w:numPr>
        <w:bidi w:val="0"/>
        <w:spacing w:line="240" w:lineRule="auto"/>
        <w:ind w:leftChars="0"/>
        <w:rPr>
          <w:rFonts w:hint="default"/>
          <w:color w:val="auto"/>
          <w:sz w:val="28"/>
          <w:szCs w:val="28"/>
          <w:u w:val="none"/>
          <w:lang w:val="en-US" w:eastAsia="zh-CN"/>
        </w:rPr>
      </w:pPr>
      <w:bookmarkStart w:id="67" w:name="_Toc17992"/>
      <w:r>
        <w:rPr>
          <w:rFonts w:hint="eastAsia"/>
          <w:color w:val="auto"/>
          <w:sz w:val="28"/>
          <w:szCs w:val="28"/>
          <w:u w:val="none"/>
          <w:lang w:val="en-US" w:eastAsia="zh-CN"/>
        </w:rPr>
        <w:t xml:space="preserve">3.1 </w:t>
      </w:r>
      <w:r>
        <w:rPr>
          <w:rFonts w:hint="default"/>
          <w:color w:val="auto"/>
          <w:sz w:val="28"/>
          <w:szCs w:val="28"/>
          <w:u w:val="none"/>
          <w:lang w:val="en-US" w:eastAsia="zh-CN"/>
        </w:rPr>
        <w:t>施工期影响分析</w:t>
      </w:r>
      <w:bookmarkEnd w:id="67"/>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施工期废水主要是施工建筑队人员产生的生活污水</w:t>
      </w:r>
      <w:r>
        <w:rPr>
          <w:rFonts w:hint="default" w:ascii="Times New Roman" w:hAnsi="Times New Roman" w:eastAsia="宋体" w:cs="Times New Roman"/>
          <w:color w:val="auto"/>
          <w:sz w:val="24"/>
          <w:u w:val="none"/>
          <w:lang w:eastAsia="zh-CN"/>
        </w:rPr>
        <w:t>、施工废水、围堰废水</w:t>
      </w:r>
      <w:r>
        <w:rPr>
          <w:rFonts w:hint="default" w:ascii="Times New Roman" w:hAnsi="Times New Roman" w:eastAsia="宋体" w:cs="Times New Roman"/>
          <w:color w:val="auto"/>
          <w:sz w:val="24"/>
          <w:u w:val="none"/>
        </w:rPr>
        <w:t>。</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1）</w:t>
      </w:r>
      <w:r>
        <w:rPr>
          <w:rFonts w:hint="default" w:ascii="Times New Roman" w:hAnsi="Times New Roman" w:eastAsia="宋体" w:cs="Times New Roman"/>
          <w:color w:val="auto"/>
          <w:sz w:val="24"/>
          <w:szCs w:val="28"/>
          <w:u w:val="none"/>
        </w:rPr>
        <w:t>生活污水</w:t>
      </w:r>
    </w:p>
    <w:p>
      <w:pPr>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rPr>
        <w:t>本项</w:t>
      </w:r>
      <w:r>
        <w:rPr>
          <w:rFonts w:hint="default" w:ascii="Times New Roman" w:hAnsi="Times New Roman" w:eastAsia="宋体" w:cs="Times New Roman"/>
          <w:color w:val="auto"/>
          <w:sz w:val="24"/>
          <w:u w:val="none"/>
          <w:lang w:eastAsia="zh-CN"/>
        </w:rPr>
        <w:t>目</w:t>
      </w:r>
      <w:r>
        <w:rPr>
          <w:rFonts w:hint="default" w:ascii="Times New Roman" w:hAnsi="Times New Roman" w:eastAsia="宋体" w:cs="Times New Roman"/>
          <w:color w:val="auto"/>
          <w:sz w:val="24"/>
          <w:u w:val="none"/>
        </w:rPr>
        <w:t>就近租用</w:t>
      </w:r>
      <w:r>
        <w:rPr>
          <w:rFonts w:hint="default" w:ascii="Times New Roman" w:hAnsi="Times New Roman" w:eastAsia="宋体" w:cs="Times New Roman"/>
          <w:color w:val="auto"/>
          <w:sz w:val="24"/>
          <w:u w:val="none"/>
          <w:lang w:val="en-US" w:eastAsia="zh-CN"/>
        </w:rPr>
        <w:t>现有施工营地</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lang w:val="en-US" w:eastAsia="zh-CN"/>
        </w:rPr>
        <w:t>生活污水</w:t>
      </w:r>
      <w:r>
        <w:rPr>
          <w:rFonts w:hint="default" w:ascii="Times New Roman" w:hAnsi="Times New Roman" w:eastAsia="宋体" w:cs="Times New Roman"/>
          <w:color w:val="auto"/>
          <w:sz w:val="24"/>
          <w:u w:val="none"/>
        </w:rPr>
        <w:t>经</w:t>
      </w:r>
      <w:r>
        <w:rPr>
          <w:rFonts w:hint="default" w:ascii="Times New Roman" w:hAnsi="Times New Roman" w:eastAsia="宋体" w:cs="Times New Roman"/>
          <w:color w:val="auto"/>
          <w:sz w:val="24"/>
          <w:u w:val="none"/>
          <w:lang w:val="en-US" w:eastAsia="zh-CN"/>
        </w:rPr>
        <w:t>施工营地</w:t>
      </w:r>
      <w:r>
        <w:rPr>
          <w:rFonts w:hint="default" w:ascii="Times New Roman" w:hAnsi="Times New Roman" w:eastAsia="宋体" w:cs="Times New Roman"/>
          <w:color w:val="auto"/>
          <w:sz w:val="24"/>
          <w:u w:val="none"/>
        </w:rPr>
        <w:t>现有化粪池处理后</w:t>
      </w:r>
      <w:r>
        <w:rPr>
          <w:rFonts w:hint="eastAsia" w:cs="Times New Roman"/>
          <w:color w:val="auto"/>
          <w:sz w:val="24"/>
          <w:u w:val="none"/>
          <w:lang w:val="en-US" w:eastAsia="zh-CN"/>
        </w:rPr>
        <w:t>用于周边农田农肥</w:t>
      </w:r>
      <w:r>
        <w:rPr>
          <w:rFonts w:hint="default" w:ascii="Times New Roman" w:hAnsi="Times New Roman" w:eastAsia="宋体" w:cs="Times New Roman"/>
          <w:color w:val="auto"/>
          <w:sz w:val="24"/>
          <w:u w:val="none"/>
        </w:rPr>
        <w:t>。</w:t>
      </w:r>
    </w:p>
    <w:p>
      <w:pPr>
        <w:spacing w:line="360" w:lineRule="auto"/>
        <w:ind w:firstLine="480" w:firstLineChars="200"/>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lang w:val="en-US" w:eastAsia="zh-CN"/>
        </w:rPr>
        <w:t>2）施工废水</w:t>
      </w:r>
    </w:p>
    <w:p>
      <w:pPr>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eastAsia="zh-CN"/>
        </w:rPr>
        <w:t>本项目</w:t>
      </w:r>
      <w:r>
        <w:rPr>
          <w:rFonts w:hint="default" w:ascii="Times New Roman" w:hAnsi="Times New Roman" w:eastAsia="宋体" w:cs="Times New Roman"/>
          <w:color w:val="auto"/>
          <w:sz w:val="24"/>
          <w:u w:val="none"/>
        </w:rPr>
        <w:t>施工废水主要为施工机械、运输车辆冲洗废水，废水中主要污染物为SS、石油类等。据初步估算，冲洗1台施工机械/运输车辆约产生废水</w:t>
      </w:r>
      <w:r>
        <w:rPr>
          <w:rFonts w:hint="default" w:ascii="Times New Roman" w:hAnsi="Times New Roman" w:eastAsia="宋体" w:cs="Times New Roman"/>
          <w:color w:val="auto"/>
          <w:sz w:val="24"/>
          <w:u w:val="none"/>
          <w:lang w:val="en-US" w:eastAsia="zh-CN"/>
        </w:rPr>
        <w:t>1</w:t>
      </w:r>
      <w:r>
        <w:rPr>
          <w:rFonts w:hint="default" w:ascii="Times New Roman" w:hAnsi="Times New Roman" w:eastAsia="宋体" w:cs="Times New Roman"/>
          <w:color w:val="auto"/>
          <w:sz w:val="24"/>
          <w:u w:val="none"/>
        </w:rPr>
        <w:t>00L，按平均每天冲洗5台计，则废水产生量约为</w:t>
      </w:r>
      <w:r>
        <w:rPr>
          <w:rFonts w:hint="default" w:ascii="Times New Roman" w:hAnsi="Times New Roman" w:eastAsia="宋体" w:cs="Times New Roman"/>
          <w:color w:val="auto"/>
          <w:sz w:val="24"/>
          <w:u w:val="none"/>
          <w:lang w:val="en-US" w:eastAsia="zh-CN"/>
        </w:rPr>
        <w:t>0.5</w:t>
      </w:r>
      <w:r>
        <w:rPr>
          <w:rFonts w:hint="default" w:ascii="Times New Roman" w:hAnsi="Times New Roman" w:eastAsia="宋体" w:cs="Times New Roman"/>
          <w:color w:val="auto"/>
          <w:sz w:val="24"/>
          <w:u w:val="none"/>
        </w:rPr>
        <w:t>m</w:t>
      </w:r>
      <w:r>
        <w:rPr>
          <w:rFonts w:hint="default" w:ascii="Times New Roman" w:hAnsi="Times New Roman" w:eastAsia="宋体" w:cs="Times New Roman"/>
          <w:color w:val="auto"/>
          <w:sz w:val="24"/>
          <w:u w:val="none"/>
          <w:vertAlign w:val="superscript"/>
        </w:rPr>
        <w:t>3</w:t>
      </w:r>
      <w:r>
        <w:rPr>
          <w:rFonts w:hint="default" w:ascii="Times New Roman" w:hAnsi="Times New Roman" w:eastAsia="宋体" w:cs="Times New Roman"/>
          <w:color w:val="auto"/>
          <w:sz w:val="24"/>
          <w:u w:val="none"/>
        </w:rPr>
        <w:t>/d。类比同类型废水水质</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其</w:t>
      </w:r>
      <w:r>
        <w:rPr>
          <w:rFonts w:hint="default" w:ascii="Times New Roman" w:hAnsi="Times New Roman" w:eastAsia="宋体" w:cs="Times New Roman"/>
          <w:color w:val="auto"/>
          <w:sz w:val="24"/>
          <w:u w:val="none"/>
          <w:lang w:val="en-US" w:eastAsia="zh-CN"/>
        </w:rPr>
        <w:t>SS</w:t>
      </w:r>
      <w:r>
        <w:rPr>
          <w:rFonts w:hint="default" w:ascii="Times New Roman" w:hAnsi="Times New Roman" w:eastAsia="宋体" w:cs="Times New Roman"/>
          <w:color w:val="auto"/>
          <w:sz w:val="24"/>
          <w:u w:val="none"/>
        </w:rPr>
        <w:t>最大浓度约为2000mg/L</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石油类浓度约为20mg/L</w:t>
      </w:r>
      <w:r>
        <w:rPr>
          <w:rFonts w:hint="default" w:ascii="Times New Roman" w:hAnsi="Times New Roman" w:eastAsia="宋体" w:cs="Times New Roman"/>
          <w:color w:val="auto"/>
          <w:sz w:val="24"/>
          <w:u w:val="none"/>
          <w:lang w:eastAsia="zh-CN"/>
        </w:rPr>
        <w:t>。本项目拟在施工</w:t>
      </w:r>
      <w:r>
        <w:rPr>
          <w:rFonts w:hint="default" w:ascii="Times New Roman" w:hAnsi="Times New Roman" w:eastAsia="宋体" w:cs="Times New Roman"/>
          <w:color w:val="auto"/>
          <w:sz w:val="24"/>
          <w:u w:val="none"/>
          <w:lang w:val="en-US" w:eastAsia="zh-CN"/>
        </w:rPr>
        <w:t>场地进出口</w:t>
      </w:r>
      <w:r>
        <w:rPr>
          <w:rFonts w:hint="default" w:ascii="Times New Roman" w:hAnsi="Times New Roman" w:eastAsia="宋体" w:cs="Times New Roman"/>
          <w:color w:val="auto"/>
          <w:sz w:val="24"/>
          <w:u w:val="none"/>
          <w:lang w:eastAsia="zh-CN"/>
        </w:rPr>
        <w:t>修建临时的隔油沉淀池，施工废水经收集处理后，</w:t>
      </w:r>
      <w:r>
        <w:rPr>
          <w:rFonts w:hint="default" w:ascii="Times New Roman" w:hAnsi="Times New Roman" w:eastAsia="宋体" w:cs="Times New Roman"/>
          <w:color w:val="FF0000"/>
          <w:sz w:val="24"/>
          <w:u w:val="single"/>
          <w:lang w:eastAsia="zh-CN"/>
        </w:rPr>
        <w:t>回用于运输车辆的清洗</w:t>
      </w:r>
      <w:r>
        <w:rPr>
          <w:rFonts w:hint="default" w:ascii="Times New Roman" w:hAnsi="Times New Roman" w:eastAsia="宋体" w:cs="Times New Roman"/>
          <w:color w:val="auto"/>
          <w:sz w:val="24"/>
          <w:u w:val="none"/>
          <w:lang w:eastAsia="zh-CN"/>
        </w:rPr>
        <w:t>，对周边水环境基本无影响。</w:t>
      </w:r>
    </w:p>
    <w:p>
      <w:pPr>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3）</w:t>
      </w:r>
      <w:r>
        <w:rPr>
          <w:rFonts w:hint="default" w:ascii="Times New Roman" w:hAnsi="Times New Roman" w:eastAsia="宋体" w:cs="Times New Roman"/>
          <w:color w:val="auto"/>
          <w:sz w:val="24"/>
          <w:u w:val="none"/>
          <w:lang w:eastAsia="zh-CN"/>
        </w:rPr>
        <w:t>围堰废水</w:t>
      </w:r>
    </w:p>
    <w:p>
      <w:pPr>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本项目施工期选择在秋冬季，水位较低的季节。修建围堰后，将围堰内水抽至施工营地的沉淀池中，围堰废水经沉淀后</w:t>
      </w:r>
      <w:r>
        <w:rPr>
          <w:rFonts w:hint="default" w:ascii="Times New Roman" w:hAnsi="Times New Roman" w:eastAsia="宋体" w:cs="Times New Roman"/>
          <w:color w:val="FF0000"/>
          <w:sz w:val="24"/>
          <w:u w:val="single"/>
          <w:lang w:val="en-US" w:eastAsia="zh-CN"/>
        </w:rPr>
        <w:t>，</w:t>
      </w:r>
      <w:r>
        <w:rPr>
          <w:rFonts w:hint="eastAsia" w:cs="Times New Roman"/>
          <w:color w:val="FF0000"/>
          <w:sz w:val="24"/>
          <w:u w:val="single"/>
          <w:lang w:val="en-US" w:eastAsia="zh-CN"/>
        </w:rPr>
        <w:t>回用于运输车辆的清洗</w:t>
      </w:r>
      <w:r>
        <w:rPr>
          <w:rFonts w:hint="default" w:ascii="Times New Roman" w:hAnsi="Times New Roman" w:eastAsia="宋体" w:cs="Times New Roman"/>
          <w:color w:val="FF0000"/>
          <w:sz w:val="24"/>
          <w:u w:val="single"/>
          <w:lang w:val="en-US" w:eastAsia="zh-CN"/>
        </w:rPr>
        <w:t>。</w:t>
      </w:r>
    </w:p>
    <w:p>
      <w:pPr>
        <w:pStyle w:val="3"/>
        <w:numPr>
          <w:ilvl w:val="1"/>
          <w:numId w:val="0"/>
        </w:numPr>
        <w:bidi w:val="0"/>
        <w:spacing w:line="240" w:lineRule="auto"/>
        <w:ind w:leftChars="0"/>
        <w:rPr>
          <w:rFonts w:hint="default"/>
          <w:color w:val="auto"/>
          <w:sz w:val="28"/>
          <w:szCs w:val="28"/>
          <w:u w:val="none"/>
          <w:lang w:val="en-US" w:eastAsia="zh-CN"/>
        </w:rPr>
      </w:pPr>
      <w:bookmarkStart w:id="68" w:name="_Toc11536"/>
      <w:r>
        <w:rPr>
          <w:rFonts w:hint="eastAsia"/>
          <w:color w:val="auto"/>
          <w:sz w:val="28"/>
          <w:szCs w:val="28"/>
          <w:u w:val="none"/>
          <w:lang w:val="en-US" w:eastAsia="zh-CN"/>
        </w:rPr>
        <w:t xml:space="preserve">3.2 </w:t>
      </w:r>
      <w:r>
        <w:rPr>
          <w:rFonts w:hint="default"/>
          <w:color w:val="auto"/>
          <w:sz w:val="28"/>
          <w:szCs w:val="28"/>
          <w:u w:val="none"/>
          <w:lang w:val="en-US" w:eastAsia="zh-CN"/>
        </w:rPr>
        <w:t>运营期水污染源分析</w:t>
      </w:r>
      <w:bookmarkEnd w:id="68"/>
    </w:p>
    <w:p>
      <w:pPr>
        <w:adjustRightInd w:val="0"/>
        <w:snapToGrid w:val="0"/>
        <w:spacing w:line="360" w:lineRule="auto"/>
        <w:ind w:firstLine="480" w:firstLineChars="200"/>
        <w:jc w:val="left"/>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rPr>
        <w:t>项目</w:t>
      </w:r>
      <w:r>
        <w:rPr>
          <w:rFonts w:hint="default" w:ascii="Times New Roman" w:hAnsi="Times New Roman" w:eastAsia="宋体" w:cs="Times New Roman"/>
          <w:color w:val="auto"/>
          <w:sz w:val="24"/>
          <w:u w:val="none"/>
          <w:lang w:val="en-US" w:eastAsia="zh-CN"/>
        </w:rPr>
        <w:t>所在地不设办公用房，故无废水产生。</w:t>
      </w:r>
    </w:p>
    <w:p>
      <w:pPr>
        <w:adjustRightInd w:val="0"/>
        <w:snapToGrid w:val="0"/>
        <w:spacing w:line="360" w:lineRule="auto"/>
        <w:ind w:firstLine="480" w:firstLineChars="200"/>
        <w:jc w:val="left"/>
        <w:rPr>
          <w:rFonts w:hint="default" w:ascii="Times New Roman" w:hAnsi="Times New Roman" w:eastAsia="宋体" w:cs="Times New Roman"/>
          <w:color w:val="FF0000"/>
          <w:sz w:val="24"/>
          <w:u w:val="single"/>
          <w:lang w:val="en-US" w:eastAsia="zh-CN"/>
        </w:rPr>
      </w:pPr>
      <w:r>
        <w:rPr>
          <w:rFonts w:hint="eastAsia" w:cs="Times New Roman"/>
          <w:color w:val="FF0000"/>
          <w:sz w:val="24"/>
          <w:u w:val="single"/>
          <w:lang w:val="en-US" w:eastAsia="zh-CN"/>
        </w:rPr>
        <w:t>根据本项目初步设计方案和初步设计批复，在汛期，鱼塘尾水可直接通过退水渠经团山围闸口排入横岭湖，有效保护人工湿地；在枯水期，鱼塘尾水经本项目人工湿地处理后，通过提升泵和回水管道，泵入上游鱼塘作为鱼塘生态补水。</w:t>
      </w:r>
    </w:p>
    <w:p>
      <w:pPr>
        <w:keepNext w:val="0"/>
        <w:keepLines w:val="0"/>
        <w:pageBreakBefore w:val="0"/>
        <w:widowControl w:val="0"/>
        <w:kinsoku/>
        <w:wordWrap/>
        <w:overflowPunct/>
        <w:topLinePunct w:val="0"/>
        <w:autoSpaceDE/>
        <w:autoSpaceDN/>
        <w:bidi w:val="0"/>
        <w:adjustRightInd/>
        <w:snapToGrid/>
        <w:spacing w:before="0" w:beforeLines="50" w:line="360" w:lineRule="auto"/>
        <w:ind w:left="0" w:right="0" w:firstLine="480" w:firstLineChars="200"/>
        <w:textAlignment w:val="auto"/>
        <w:rPr>
          <w:rFonts w:hint="default" w:ascii="Times New Roman" w:hAnsi="Times New Roman" w:eastAsia="宋体" w:cs="Times New Roman"/>
          <w:color w:val="auto"/>
          <w:sz w:val="24"/>
          <w:szCs w:val="24"/>
          <w:u w:val="none"/>
        </w:rPr>
      </w:pPr>
    </w:p>
    <w:p>
      <w:pPr>
        <w:rPr>
          <w:rFonts w:hint="default" w:ascii="Times New Roman" w:hAnsi="Times New Roman" w:eastAsia="宋体" w:cs="Times New Roman"/>
          <w:color w:val="auto"/>
          <w:sz w:val="24"/>
          <w:szCs w:val="24"/>
          <w:u w:val="none"/>
        </w:rPr>
        <w:sectPr>
          <w:footerReference r:id="rId10" w:type="default"/>
          <w:pgSz w:w="11907" w:h="16839"/>
          <w:pgMar w:top="1418" w:right="1437" w:bottom="1494" w:left="1440" w:header="0" w:footer="1358" w:gutter="0"/>
          <w:pgBorders>
            <w:top w:val="none" w:sz="0" w:space="0"/>
            <w:left w:val="none" w:sz="0" w:space="0"/>
            <w:bottom w:val="none" w:sz="0" w:space="0"/>
            <w:right w:val="none" w:sz="0" w:space="0"/>
          </w:pgBorders>
          <w:pgNumType w:fmt="decimal"/>
          <w:cols w:space="720" w:num="1"/>
        </w:sectPr>
      </w:pPr>
    </w:p>
    <w:p>
      <w:pPr>
        <w:pStyle w:val="3"/>
        <w:numPr>
          <w:ilvl w:val="1"/>
          <w:numId w:val="0"/>
        </w:numPr>
        <w:bidi w:val="0"/>
        <w:spacing w:line="240" w:lineRule="auto"/>
        <w:ind w:leftChars="0"/>
        <w:rPr>
          <w:rFonts w:hint="default"/>
          <w:color w:val="auto"/>
          <w:sz w:val="28"/>
          <w:szCs w:val="28"/>
          <w:u w:val="none"/>
          <w:lang w:val="en-US" w:eastAsia="zh-CN"/>
        </w:rPr>
      </w:pPr>
      <w:bookmarkStart w:id="69" w:name="_Toc12915"/>
      <w:r>
        <w:rPr>
          <w:rFonts w:hint="eastAsia"/>
          <w:color w:val="auto"/>
          <w:sz w:val="28"/>
          <w:szCs w:val="28"/>
          <w:u w:val="none"/>
          <w:lang w:val="en-US" w:eastAsia="zh-CN"/>
        </w:rPr>
        <w:t xml:space="preserve">3.3 </w:t>
      </w:r>
      <w:r>
        <w:rPr>
          <w:rFonts w:hint="default"/>
          <w:color w:val="auto"/>
          <w:sz w:val="28"/>
          <w:szCs w:val="28"/>
          <w:u w:val="none"/>
          <w:lang w:val="en-US" w:eastAsia="zh-CN"/>
        </w:rPr>
        <w:t>水环境影响分析</w:t>
      </w:r>
      <w:bookmarkEnd w:id="69"/>
    </w:p>
    <w:p>
      <w:pPr>
        <w:autoSpaceDE w:val="0"/>
        <w:autoSpaceDN w:val="0"/>
        <w:adjustRightInd w:val="0"/>
        <w:spacing w:line="360" w:lineRule="auto"/>
        <w:ind w:firstLine="452"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pacing w:val="-7"/>
          <w:sz w:val="24"/>
          <w:szCs w:val="24"/>
          <w:u w:val="none"/>
        </w:rPr>
        <w:t>本项目进水水质为</w:t>
      </w:r>
      <w:r>
        <w:rPr>
          <w:rFonts w:hint="eastAsia" w:cs="Times New Roman"/>
          <w:color w:val="auto"/>
          <w:spacing w:val="-7"/>
          <w:sz w:val="24"/>
          <w:szCs w:val="24"/>
          <w:u w:val="none"/>
          <w:lang w:val="en-US" w:eastAsia="zh-CN"/>
        </w:rPr>
        <w:t>青山岛鱼塘</w:t>
      </w:r>
      <w:r>
        <w:rPr>
          <w:rFonts w:hint="default" w:ascii="Times New Roman" w:hAnsi="Times New Roman" w:eastAsia="宋体" w:cs="Times New Roman"/>
          <w:color w:val="auto"/>
          <w:spacing w:val="-1"/>
          <w:sz w:val="24"/>
          <w:szCs w:val="24"/>
          <w:u w:val="none"/>
          <w:lang w:eastAsia="zh-CN"/>
        </w:rPr>
        <w:t>，</w:t>
      </w:r>
      <w:r>
        <w:rPr>
          <w:rFonts w:hint="default" w:ascii="Times New Roman" w:hAnsi="Times New Roman" w:eastAsia="宋体" w:cs="Times New Roman"/>
          <w:color w:val="auto"/>
          <w:spacing w:val="-1"/>
          <w:sz w:val="24"/>
          <w:szCs w:val="24"/>
          <w:u w:val="none"/>
          <w:lang w:val="en-US" w:eastAsia="zh-CN"/>
        </w:rPr>
        <w:t>经人工湿地处理后，然后</w:t>
      </w:r>
      <w:r>
        <w:rPr>
          <w:rFonts w:hint="eastAsia" w:cs="Times New Roman"/>
          <w:color w:val="auto"/>
          <w:spacing w:val="-1"/>
          <w:sz w:val="24"/>
          <w:szCs w:val="24"/>
          <w:u w:val="none"/>
          <w:lang w:val="en-US" w:eastAsia="zh-CN"/>
        </w:rPr>
        <w:t>返至</w:t>
      </w:r>
      <w:r>
        <w:rPr>
          <w:rFonts w:hint="eastAsia" w:cs="Times New Roman"/>
          <w:color w:val="auto"/>
          <w:spacing w:val="-7"/>
          <w:sz w:val="24"/>
          <w:szCs w:val="24"/>
          <w:u w:val="none"/>
          <w:lang w:val="en-US" w:eastAsia="zh-CN"/>
        </w:rPr>
        <w:t>青山岛鱼塘上游</w:t>
      </w:r>
      <w:r>
        <w:rPr>
          <w:rFonts w:hint="default" w:ascii="Times New Roman" w:hAnsi="Times New Roman" w:eastAsia="宋体" w:cs="Times New Roman"/>
          <w:color w:val="auto"/>
          <w:spacing w:val="-1"/>
          <w:sz w:val="24"/>
          <w:szCs w:val="24"/>
          <w:u w:val="none"/>
          <w:lang w:val="en-US" w:eastAsia="zh-CN"/>
        </w:rPr>
        <w:t>，</w:t>
      </w:r>
      <w:r>
        <w:rPr>
          <w:rFonts w:hint="eastAsia" w:cs="Times New Roman"/>
          <w:color w:val="auto"/>
          <w:spacing w:val="-1"/>
          <w:sz w:val="24"/>
          <w:szCs w:val="24"/>
          <w:u w:val="none"/>
          <w:lang w:val="en-US" w:eastAsia="zh-CN"/>
        </w:rPr>
        <w:t>人工湿地</w:t>
      </w:r>
      <w:r>
        <w:rPr>
          <w:rFonts w:hint="eastAsia" w:ascii="Times New Roman" w:hAnsi="Times New Roman" w:eastAsia="宋体" w:cs="Times New Roman"/>
          <w:color w:val="auto"/>
          <w:spacing w:val="-1"/>
          <w:sz w:val="24"/>
          <w:szCs w:val="24"/>
          <w:u w:val="none"/>
          <w:lang w:val="en-US" w:eastAsia="zh-CN"/>
        </w:rPr>
        <w:t>出水水</w:t>
      </w:r>
      <w:r>
        <w:rPr>
          <w:rFonts w:hint="default" w:ascii="Times New Roman" w:hAnsi="Times New Roman" w:eastAsia="宋体" w:cs="Times New Roman"/>
          <w:color w:val="auto"/>
          <w:spacing w:val="-1"/>
          <w:sz w:val="24"/>
          <w:szCs w:val="24"/>
          <w:u w:val="none"/>
          <w:lang w:val="en-US" w:eastAsia="zh-CN"/>
        </w:rPr>
        <w:t>质</w:t>
      </w:r>
      <w:r>
        <w:rPr>
          <w:rFonts w:hint="eastAsia" w:cs="Times New Roman"/>
          <w:color w:val="auto"/>
          <w:spacing w:val="-1"/>
          <w:sz w:val="24"/>
          <w:szCs w:val="24"/>
          <w:u w:val="none"/>
          <w:lang w:val="en-US" w:eastAsia="zh-CN"/>
        </w:rPr>
        <w:t>为</w:t>
      </w:r>
      <w:r>
        <w:rPr>
          <w:rFonts w:hint="eastAsia" w:cs="Times New Roman"/>
          <w:color w:val="auto"/>
          <w:sz w:val="24"/>
          <w:szCs w:val="24"/>
          <w:u w:val="none"/>
          <w:lang w:val="en-US" w:eastAsia="zh-CN"/>
        </w:rPr>
        <w:t>pH：6~9、COD≤20mg/L、总氮≤1.0mg/L、总磷≤0.05mg/L</w:t>
      </w:r>
      <w:r>
        <w:rPr>
          <w:rFonts w:hint="default" w:ascii="Times New Roman" w:hAnsi="Times New Roman" w:eastAsia="宋体" w:cs="Times New Roman"/>
          <w:color w:val="auto"/>
          <w:sz w:val="24"/>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pacing w:val="-1"/>
          <w:sz w:val="24"/>
          <w:szCs w:val="24"/>
          <w:u w:val="none"/>
        </w:rPr>
        <w:t>本项目</w:t>
      </w:r>
      <w:r>
        <w:rPr>
          <w:rFonts w:hint="default" w:ascii="Times New Roman" w:hAnsi="Times New Roman" w:eastAsia="宋体" w:cs="Times New Roman"/>
          <w:color w:val="auto"/>
          <w:spacing w:val="-1"/>
          <w:sz w:val="24"/>
          <w:szCs w:val="24"/>
          <w:u w:val="none"/>
          <w:lang w:eastAsia="zh-CN"/>
        </w:rPr>
        <w:t>污水</w:t>
      </w:r>
      <w:r>
        <w:rPr>
          <w:rFonts w:hint="default" w:ascii="Times New Roman" w:hAnsi="Times New Roman" w:eastAsia="宋体" w:cs="Times New Roman"/>
          <w:color w:val="auto"/>
          <w:spacing w:val="-1"/>
          <w:sz w:val="24"/>
          <w:szCs w:val="24"/>
          <w:u w:val="none"/>
        </w:rPr>
        <w:t>排放口不在生态红线规划区内，不在水源保护区内，不在水环</w:t>
      </w:r>
      <w:r>
        <w:rPr>
          <w:rFonts w:hint="default" w:ascii="Times New Roman" w:hAnsi="Times New Roman" w:eastAsia="宋体" w:cs="Times New Roman"/>
          <w:color w:val="auto"/>
          <w:spacing w:val="-6"/>
          <w:sz w:val="24"/>
          <w:szCs w:val="24"/>
          <w:u w:val="none"/>
        </w:rPr>
        <w:t>境空间管控区内。本项目</w:t>
      </w:r>
      <w:r>
        <w:rPr>
          <w:rFonts w:hint="default" w:ascii="Times New Roman" w:hAnsi="Times New Roman" w:eastAsia="宋体" w:cs="Times New Roman"/>
          <w:color w:val="auto"/>
          <w:spacing w:val="-6"/>
          <w:sz w:val="24"/>
          <w:szCs w:val="24"/>
          <w:u w:val="none"/>
          <w:lang w:eastAsia="zh-CN"/>
        </w:rPr>
        <w:t>湿地</w:t>
      </w:r>
      <w:r>
        <w:rPr>
          <w:rFonts w:hint="default" w:ascii="Times New Roman" w:hAnsi="Times New Roman" w:eastAsia="宋体" w:cs="Times New Roman"/>
          <w:color w:val="auto"/>
          <w:spacing w:val="-6"/>
          <w:sz w:val="24"/>
          <w:szCs w:val="24"/>
          <w:u w:val="none"/>
        </w:rPr>
        <w:t>正常</w:t>
      </w:r>
      <w:r>
        <w:rPr>
          <w:rFonts w:hint="default" w:ascii="Times New Roman" w:hAnsi="Times New Roman" w:eastAsia="宋体" w:cs="Times New Roman"/>
          <w:color w:val="auto"/>
          <w:spacing w:val="-6"/>
          <w:sz w:val="24"/>
          <w:szCs w:val="24"/>
          <w:u w:val="none"/>
          <w:lang w:eastAsia="zh-CN"/>
        </w:rPr>
        <w:t>运行</w:t>
      </w:r>
      <w:r>
        <w:rPr>
          <w:rFonts w:hint="default" w:ascii="Times New Roman" w:hAnsi="Times New Roman" w:eastAsia="宋体" w:cs="Times New Roman"/>
          <w:color w:val="auto"/>
          <w:spacing w:val="-6"/>
          <w:sz w:val="24"/>
          <w:szCs w:val="24"/>
          <w:u w:val="none"/>
        </w:rPr>
        <w:t>情况下，COD、氨氮外排预测浓度均</w:t>
      </w:r>
      <w:r>
        <w:rPr>
          <w:rFonts w:hint="default" w:ascii="Times New Roman" w:hAnsi="Times New Roman" w:eastAsia="宋体" w:cs="Times New Roman"/>
          <w:color w:val="auto"/>
          <w:spacing w:val="-1"/>
          <w:sz w:val="24"/>
          <w:szCs w:val="24"/>
          <w:u w:val="none"/>
        </w:rPr>
        <w:t>不超过水环境质量底线及资</w:t>
      </w:r>
      <w:r>
        <w:rPr>
          <w:rFonts w:hint="default" w:ascii="Times New Roman" w:hAnsi="Times New Roman" w:eastAsia="宋体" w:cs="Times New Roman"/>
          <w:color w:val="auto"/>
          <w:spacing w:val="-2"/>
          <w:sz w:val="24"/>
          <w:szCs w:val="24"/>
          <w:u w:val="none"/>
        </w:rPr>
        <w:t>源利用上线要求，符合环境准入清单管理要求。</w:t>
      </w:r>
    </w:p>
    <w:p>
      <w:pPr>
        <w:rPr>
          <w:rFonts w:hint="default" w:ascii="Times New Roman" w:hAnsi="Times New Roman" w:eastAsia="宋体" w:cs="Times New Roman"/>
          <w:color w:val="auto"/>
          <w:sz w:val="24"/>
          <w:szCs w:val="24"/>
          <w:u w:val="none"/>
        </w:rPr>
        <w:sectPr>
          <w:footerReference r:id="rId11" w:type="default"/>
          <w:pgSz w:w="11907" w:h="16839"/>
          <w:pgMar w:top="1400" w:right="1457" w:bottom="1495" w:left="1445" w:header="0" w:footer="1358" w:gutter="0"/>
          <w:pgBorders>
            <w:top w:val="none" w:sz="0" w:space="0"/>
            <w:left w:val="none" w:sz="0" w:space="0"/>
            <w:bottom w:val="none" w:sz="0" w:space="0"/>
            <w:right w:val="none" w:sz="0" w:space="0"/>
          </w:pgBorders>
          <w:pgNumType w:fmt="decimal"/>
          <w:cols w:space="720" w:num="1"/>
        </w:sectPr>
      </w:pPr>
    </w:p>
    <w:p>
      <w:pPr>
        <w:spacing w:line="337" w:lineRule="auto"/>
        <w:rPr>
          <w:rFonts w:hint="default" w:ascii="Times New Roman" w:hAnsi="Times New Roman" w:eastAsia="宋体" w:cs="Times New Roman"/>
          <w:color w:val="auto"/>
          <w:sz w:val="24"/>
          <w:szCs w:val="24"/>
          <w:u w:val="none"/>
        </w:rPr>
      </w:pPr>
    </w:p>
    <w:p>
      <w:pPr>
        <w:pStyle w:val="3"/>
        <w:numPr>
          <w:ilvl w:val="1"/>
          <w:numId w:val="0"/>
        </w:numPr>
        <w:bidi w:val="0"/>
        <w:spacing w:line="240" w:lineRule="auto"/>
        <w:ind w:leftChars="0"/>
        <w:rPr>
          <w:rFonts w:hint="default"/>
          <w:color w:val="auto"/>
          <w:sz w:val="28"/>
          <w:szCs w:val="28"/>
          <w:u w:val="none"/>
          <w:lang w:val="en-US" w:eastAsia="zh-CN"/>
        </w:rPr>
      </w:pPr>
      <w:bookmarkStart w:id="70" w:name="_Toc13829"/>
      <w:r>
        <w:rPr>
          <w:rFonts w:hint="eastAsia"/>
          <w:color w:val="auto"/>
          <w:sz w:val="28"/>
          <w:szCs w:val="28"/>
          <w:u w:val="none"/>
          <w:lang w:val="en-US" w:eastAsia="zh-CN"/>
        </w:rPr>
        <w:t xml:space="preserve">3.4 </w:t>
      </w:r>
      <w:r>
        <w:rPr>
          <w:rFonts w:hint="default"/>
          <w:color w:val="auto"/>
          <w:sz w:val="28"/>
          <w:szCs w:val="28"/>
          <w:u w:val="none"/>
          <w:lang w:val="en-US" w:eastAsia="zh-CN"/>
        </w:rPr>
        <w:t>环境监测计划</w:t>
      </w:r>
      <w:bookmarkEnd w:id="70"/>
    </w:p>
    <w:p>
      <w:pPr>
        <w:adjustRightInd w:val="0"/>
        <w:snapToGrid w:val="0"/>
        <w:spacing w:line="360" w:lineRule="auto"/>
        <w:ind w:firstLine="480" w:firstLineChars="200"/>
        <w:rPr>
          <w:rFonts w:hint="eastAsia" w:cs="Times New Roman"/>
          <w:color w:val="FF0000"/>
          <w:sz w:val="24"/>
          <w:u w:val="single"/>
          <w:lang w:val="en-US" w:eastAsia="zh-CN"/>
        </w:rPr>
      </w:pPr>
      <w:r>
        <w:rPr>
          <w:rFonts w:hint="eastAsia" w:cs="Times New Roman"/>
          <w:color w:val="FF0000"/>
          <w:sz w:val="24"/>
          <w:u w:val="single"/>
          <w:lang w:val="en-US" w:eastAsia="zh-CN"/>
        </w:rPr>
        <w:t>根据《人工湿地水质净化技术指南》（环办水体函〔2021〕173号 ）4.6.1要求，本项目应监测和分析人工湿地进出水的水量与水质，包括流量、水位、水温、溶解氧、pH值、悬浮物、五日生化需氧量、化学需氧量、高锰酸盐指数、氨氮、总氮和总磷等，以评价湿地水质净化效果；</w:t>
      </w:r>
    </w:p>
    <w:p>
      <w:pPr>
        <w:adjustRightInd w:val="0"/>
        <w:snapToGrid w:val="0"/>
        <w:spacing w:line="360" w:lineRule="auto"/>
        <w:ind w:firstLine="480" w:firstLineChars="200"/>
        <w:rPr>
          <w:rFonts w:hint="default" w:cs="Times New Roman"/>
          <w:color w:val="FF0000"/>
          <w:sz w:val="24"/>
          <w:u w:val="single"/>
          <w:lang w:val="en-US" w:eastAsia="zh-CN"/>
        </w:rPr>
      </w:pPr>
      <w:r>
        <w:rPr>
          <w:rFonts w:hint="default" w:cs="Times New Roman"/>
          <w:color w:val="FF0000"/>
          <w:sz w:val="24"/>
          <w:u w:val="single"/>
          <w:lang w:val="en-US" w:eastAsia="zh-CN"/>
        </w:rPr>
        <w:t>具有在线监测设备的应每日记录监测数据。委托有资质单位监测的，每月监测次数不少于2次，监测报告存档备案。</w:t>
      </w:r>
    </w:p>
    <w:p>
      <w:pPr>
        <w:adjustRightInd w:val="0"/>
        <w:snapToGrid w:val="0"/>
        <w:spacing w:line="360" w:lineRule="auto"/>
        <w:ind w:firstLine="480" w:firstLineChars="200"/>
        <w:rPr>
          <w:rFonts w:hint="default" w:cs="Times New Roman"/>
          <w:color w:val="FF0000"/>
          <w:sz w:val="24"/>
          <w:u w:val="single"/>
          <w:lang w:val="en-US" w:eastAsia="zh-CN"/>
        </w:rPr>
      </w:pPr>
      <w:r>
        <w:rPr>
          <w:rFonts w:hint="default" w:cs="Times New Roman"/>
          <w:color w:val="FF0000"/>
          <w:sz w:val="24"/>
          <w:u w:val="single"/>
          <w:lang w:val="en-US" w:eastAsia="zh-CN"/>
        </w:rPr>
        <w:t>人工湿地进出水水质波动或恶化时，应对人工湿地系统各运行单元开展水质监测分析，可根据需要适当增加监测指标、监测点位和监测频率。</w:t>
      </w:r>
    </w:p>
    <w:p>
      <w:pPr>
        <w:adjustRightInd w:val="0"/>
        <w:snapToGrid w:val="0"/>
        <w:spacing w:line="360" w:lineRule="auto"/>
        <w:ind w:firstLine="480" w:firstLineChars="200"/>
        <w:rPr>
          <w:rFonts w:hint="default" w:cs="Times New Roman"/>
          <w:color w:val="FF0000"/>
          <w:sz w:val="24"/>
          <w:u w:val="single"/>
          <w:lang w:val="en-US" w:eastAsia="zh-CN"/>
        </w:rPr>
      </w:pPr>
      <w:r>
        <w:rPr>
          <w:rFonts w:hint="default" w:cs="Times New Roman"/>
          <w:color w:val="FF0000"/>
          <w:sz w:val="24"/>
          <w:u w:val="single"/>
          <w:lang w:val="en-US" w:eastAsia="zh-CN"/>
        </w:rPr>
        <w:t>应根据水质指标的监测和分析，及时调整人工湿地运行方式及管理措施。</w:t>
      </w:r>
    </w:p>
    <w:p>
      <w:pPr>
        <w:adjustRightInd w:val="0"/>
        <w:snapToGrid w:val="0"/>
        <w:spacing w:line="360" w:lineRule="auto"/>
        <w:ind w:firstLine="480" w:firstLineChars="200"/>
        <w:rPr>
          <w:rFonts w:hint="default" w:ascii="Times New Roman" w:hAnsi="Times New Roman" w:eastAsia="宋体" w:cs="Times New Roman"/>
          <w:color w:val="FF0000"/>
          <w:sz w:val="24"/>
          <w:u w:val="single"/>
        </w:rPr>
      </w:pPr>
      <w:r>
        <w:rPr>
          <w:rFonts w:hint="default" w:ascii="Times New Roman" w:hAnsi="Times New Roman" w:eastAsia="宋体" w:cs="Times New Roman"/>
          <w:color w:val="FF0000"/>
          <w:sz w:val="24"/>
          <w:u w:val="single"/>
        </w:rPr>
        <w:t>人工湿地运行维护监测指标、方式、点位及频率见表</w:t>
      </w:r>
      <w:r>
        <w:rPr>
          <w:rFonts w:hint="eastAsia" w:ascii="Times New Roman" w:hAnsi="Times New Roman" w:eastAsia="宋体" w:cs="Times New Roman"/>
          <w:color w:val="FF0000"/>
          <w:sz w:val="24"/>
          <w:u w:val="single"/>
          <w:lang w:val="en-US" w:eastAsia="zh-CN"/>
        </w:rPr>
        <w:t>3-1</w:t>
      </w:r>
      <w:r>
        <w:rPr>
          <w:rFonts w:hint="default" w:ascii="Times New Roman" w:hAnsi="Times New Roman" w:eastAsia="宋体" w:cs="Times New Roman"/>
          <w:color w:val="FF0000"/>
          <w:sz w:val="24"/>
          <w:u w:val="single"/>
        </w:rPr>
        <w:t>。</w:t>
      </w:r>
    </w:p>
    <w:p>
      <w:pPr>
        <w:keepNext w:val="0"/>
        <w:keepLines w:val="0"/>
        <w:pageBreakBefore w:val="0"/>
        <w:widowControl w:val="0"/>
        <w:tabs>
          <w:tab w:val="left" w:pos="4065"/>
        </w:tabs>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color w:val="FF0000"/>
          <w:kern w:val="1"/>
          <w:sz w:val="21"/>
          <w:szCs w:val="21"/>
          <w:u w:val="single"/>
        </w:rPr>
      </w:pPr>
      <w:r>
        <w:rPr>
          <w:rFonts w:hint="default" w:ascii="Times New Roman" w:hAnsi="Times New Roman" w:eastAsia="宋体" w:cs="Times New Roman"/>
          <w:b/>
          <w:color w:val="FF0000"/>
          <w:kern w:val="1"/>
          <w:sz w:val="21"/>
          <w:szCs w:val="21"/>
          <w:u w:val="single"/>
        </w:rPr>
        <w:t>表</w:t>
      </w:r>
      <w:r>
        <w:rPr>
          <w:rFonts w:hint="eastAsia" w:ascii="Times New Roman" w:hAnsi="Times New Roman" w:eastAsia="宋体" w:cs="Times New Roman"/>
          <w:b/>
          <w:color w:val="FF0000"/>
          <w:kern w:val="1"/>
          <w:sz w:val="21"/>
          <w:szCs w:val="21"/>
          <w:u w:val="single"/>
          <w:lang w:val="en-US" w:eastAsia="zh-CN"/>
        </w:rPr>
        <w:t>3-1</w:t>
      </w:r>
      <w:r>
        <w:rPr>
          <w:rFonts w:hint="eastAsia" w:cs="Times New Roman"/>
          <w:b/>
          <w:color w:val="FF0000"/>
          <w:kern w:val="1"/>
          <w:sz w:val="21"/>
          <w:szCs w:val="21"/>
          <w:u w:val="single"/>
          <w:lang w:val="en-US" w:eastAsia="zh-CN"/>
        </w:rPr>
        <w:t xml:space="preserve">                    </w:t>
      </w:r>
      <w:r>
        <w:rPr>
          <w:rFonts w:hint="default" w:ascii="Times New Roman" w:hAnsi="Times New Roman" w:eastAsia="宋体" w:cs="Times New Roman"/>
          <w:b/>
          <w:color w:val="FF0000"/>
          <w:kern w:val="1"/>
          <w:sz w:val="21"/>
          <w:szCs w:val="21"/>
          <w:u w:val="single"/>
        </w:rPr>
        <w:t>本项目环境监测计划一览表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85" w:type="dxa"/>
          <w:left w:w="108" w:type="dxa"/>
          <w:bottom w:w="85" w:type="dxa"/>
          <w:right w:w="108" w:type="dxa"/>
        </w:tblCellMar>
      </w:tblPr>
      <w:tblGrid>
        <w:gridCol w:w="2310"/>
        <w:gridCol w:w="2310"/>
        <w:gridCol w:w="2311"/>
        <w:gridCol w:w="23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1250"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b/>
                <w:bCs/>
                <w:color w:val="FF0000"/>
                <w:sz w:val="21"/>
                <w:szCs w:val="21"/>
                <w:u w:val="single"/>
                <w:lang w:val="en-US" w:eastAsia="zh-CN"/>
              </w:rPr>
            </w:pPr>
            <w:r>
              <w:rPr>
                <w:rFonts w:hint="eastAsia" w:cs="Times New Roman"/>
                <w:b/>
                <w:bCs/>
                <w:color w:val="FF0000"/>
                <w:sz w:val="21"/>
                <w:szCs w:val="21"/>
                <w:u w:val="single"/>
                <w:lang w:val="en-US" w:eastAsia="zh-CN"/>
              </w:rPr>
              <w:t>监测指标</w:t>
            </w:r>
          </w:p>
        </w:tc>
        <w:tc>
          <w:tcPr>
            <w:tcW w:w="125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FF0000"/>
                <w:sz w:val="21"/>
                <w:szCs w:val="21"/>
                <w:u w:val="single"/>
                <w:lang w:val="en-US" w:eastAsia="zh-CN"/>
              </w:rPr>
            </w:pPr>
            <w:r>
              <w:rPr>
                <w:rFonts w:hint="eastAsia" w:cs="Times New Roman"/>
                <w:b/>
                <w:bCs/>
                <w:color w:val="FF0000"/>
                <w:sz w:val="21"/>
                <w:szCs w:val="21"/>
                <w:u w:val="single"/>
                <w:lang w:val="en-US" w:eastAsia="zh-CN"/>
              </w:rPr>
              <w:t>监测方式</w:t>
            </w:r>
          </w:p>
        </w:tc>
        <w:tc>
          <w:tcPr>
            <w:tcW w:w="1250"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b/>
                <w:bCs/>
                <w:color w:val="FF0000"/>
                <w:sz w:val="21"/>
                <w:szCs w:val="21"/>
                <w:u w:val="single"/>
                <w:lang w:val="en-US" w:eastAsia="zh-CN"/>
              </w:rPr>
            </w:pPr>
            <w:r>
              <w:rPr>
                <w:rFonts w:hint="eastAsia" w:cs="Times New Roman"/>
                <w:b/>
                <w:bCs/>
                <w:color w:val="FF0000"/>
                <w:sz w:val="21"/>
                <w:szCs w:val="21"/>
                <w:u w:val="single"/>
                <w:lang w:val="en-US" w:eastAsia="zh-CN"/>
              </w:rPr>
              <w:t>监测点位</w:t>
            </w:r>
          </w:p>
        </w:tc>
        <w:tc>
          <w:tcPr>
            <w:tcW w:w="125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FF0000"/>
                <w:sz w:val="21"/>
                <w:szCs w:val="21"/>
                <w:u w:val="single"/>
                <w:lang w:val="en-US" w:eastAsia="zh-CN"/>
              </w:rPr>
            </w:pPr>
            <w:r>
              <w:rPr>
                <w:rFonts w:hint="eastAsia" w:cs="Times New Roman"/>
                <w:b/>
                <w:bCs/>
                <w:color w:val="FF0000"/>
                <w:sz w:val="21"/>
                <w:szCs w:val="21"/>
                <w:u w:val="single"/>
                <w:lang w:val="en-US" w:eastAsia="zh-C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1250"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流量</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eastAsia" w:cs="Times New Roman"/>
                <w:color w:val="FF0000"/>
                <w:kern w:val="2"/>
                <w:sz w:val="21"/>
                <w:szCs w:val="21"/>
                <w:u w:val="single"/>
                <w:lang w:val="en-US" w:eastAsia="zh-CN" w:bidi="ar-SA"/>
              </w:rPr>
              <w:t>在线监测</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eastAsia" w:cs="Times New Roman"/>
                <w:color w:val="FF0000"/>
                <w:kern w:val="2"/>
                <w:sz w:val="21"/>
                <w:szCs w:val="21"/>
                <w:u w:val="single"/>
                <w:lang w:val="en-US" w:eastAsia="zh-CN" w:bidi="ar-SA"/>
              </w:rPr>
              <w:t>人工湿地进水、出水</w:t>
            </w:r>
          </w:p>
        </w:tc>
        <w:tc>
          <w:tcPr>
            <w:tcW w:w="1250" w:type="pct"/>
            <w:vMerge w:val="restar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eastAsia" w:cs="Times New Roman"/>
                <w:color w:val="FF0000"/>
                <w:kern w:val="2"/>
                <w:sz w:val="21"/>
                <w:szCs w:val="21"/>
                <w:u w:val="single"/>
                <w:lang w:val="en-US" w:eastAsia="zh-CN" w:bidi="ar-SA"/>
              </w:rPr>
              <w:t>每日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1250"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FF0000"/>
                <w:sz w:val="21"/>
                <w:szCs w:val="21"/>
                <w:u w:val="single"/>
                <w:lang w:val="en-US" w:eastAsia="zh-CN"/>
              </w:rPr>
            </w:pPr>
            <w:r>
              <w:rPr>
                <w:rFonts w:hint="eastAsia" w:cs="Times New Roman"/>
                <w:color w:val="FF0000"/>
                <w:sz w:val="21"/>
                <w:szCs w:val="21"/>
                <w:u w:val="single"/>
                <w:lang w:val="en-US" w:eastAsia="zh-CN"/>
              </w:rPr>
              <w:t>水位</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eastAsia" w:cs="Times New Roman"/>
                <w:color w:val="FF0000"/>
                <w:kern w:val="2"/>
                <w:sz w:val="21"/>
                <w:szCs w:val="21"/>
                <w:u w:val="single"/>
                <w:lang w:val="en-US" w:eastAsia="zh-CN" w:bidi="ar-SA"/>
              </w:rPr>
              <w:t>水位标尺</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eastAsia" w:cs="Times New Roman"/>
                <w:color w:val="FF0000"/>
                <w:kern w:val="2"/>
                <w:sz w:val="21"/>
                <w:szCs w:val="21"/>
                <w:u w:val="single"/>
                <w:lang w:val="en-US" w:eastAsia="zh-CN" w:bidi="ar-SA"/>
              </w:rPr>
              <w:t>水渠、人工湿地各单元</w:t>
            </w:r>
          </w:p>
        </w:tc>
        <w:tc>
          <w:tcPr>
            <w:tcW w:w="1250" w:type="pct"/>
            <w:vMerge w:val="continue"/>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125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悬浮物、五日生化需氧量、化学需氧量、高锰酸盐指数、氨氮、总氮、总磷</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default" w:ascii="Times New Roman" w:hAnsi="Times New Roman" w:eastAsia="宋体" w:cs="Times New Roman"/>
                <w:color w:val="FF0000"/>
                <w:kern w:val="2"/>
                <w:sz w:val="21"/>
                <w:szCs w:val="21"/>
                <w:u w:val="single"/>
                <w:lang w:val="en-US" w:eastAsia="zh-CN" w:bidi="ar-SA"/>
              </w:rPr>
              <w:t>在线监测、委托监测</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default" w:ascii="Times New Roman" w:hAnsi="Times New Roman" w:eastAsia="宋体" w:cs="Times New Roman"/>
                <w:color w:val="FF0000"/>
                <w:kern w:val="2"/>
                <w:sz w:val="21"/>
                <w:szCs w:val="21"/>
                <w:u w:val="single"/>
                <w:lang w:val="en-US" w:eastAsia="zh-CN" w:bidi="ar-SA"/>
              </w:rPr>
              <w:t>人工湿地各单元的进水、出水</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default" w:ascii="Times New Roman" w:hAnsi="Times New Roman" w:eastAsia="宋体" w:cs="Times New Roman"/>
                <w:color w:val="FF0000"/>
                <w:kern w:val="2"/>
                <w:sz w:val="21"/>
                <w:szCs w:val="21"/>
                <w:u w:val="single"/>
                <w:lang w:val="en-US" w:eastAsia="zh-CN" w:bidi="ar-SA"/>
              </w:rPr>
              <w:t>在线监测每日监</w:t>
            </w:r>
          </w:p>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default" w:ascii="Times New Roman" w:hAnsi="Times New Roman" w:eastAsia="宋体" w:cs="Times New Roman"/>
                <w:color w:val="FF0000"/>
                <w:kern w:val="2"/>
                <w:sz w:val="21"/>
                <w:szCs w:val="21"/>
                <w:u w:val="single"/>
                <w:lang w:val="en-US" w:eastAsia="zh-CN" w:bidi="ar-SA"/>
              </w:rPr>
              <w:t>测、委托监测每月</w:t>
            </w:r>
          </w:p>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default" w:ascii="Times New Roman" w:hAnsi="Times New Roman" w:eastAsia="宋体" w:cs="Times New Roman"/>
                <w:color w:val="FF0000"/>
                <w:kern w:val="2"/>
                <w:sz w:val="21"/>
                <w:szCs w:val="21"/>
                <w:u w:val="single"/>
                <w:lang w:val="en-US" w:eastAsia="zh-CN" w:bidi="ar-SA"/>
              </w:rPr>
              <w:t>不少于两次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cantSplit/>
          <w:trHeight w:val="0" w:hRule="atLeast"/>
          <w:jc w:val="center"/>
        </w:trPr>
        <w:tc>
          <w:tcPr>
            <w:tcW w:w="125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FF0000"/>
                <w:sz w:val="21"/>
                <w:szCs w:val="21"/>
                <w:u w:val="single"/>
              </w:rPr>
              <w:t>水温、溶解氧、pH值</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default" w:ascii="Times New Roman" w:hAnsi="Times New Roman" w:eastAsia="宋体" w:cs="Times New Roman"/>
                <w:color w:val="FF0000"/>
                <w:kern w:val="2"/>
                <w:sz w:val="21"/>
                <w:szCs w:val="21"/>
                <w:u w:val="single"/>
                <w:lang w:val="en-US" w:eastAsia="zh-CN" w:bidi="ar-SA"/>
              </w:rPr>
              <w:t>便携式检测仪</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default" w:ascii="Times New Roman" w:hAnsi="Times New Roman" w:eastAsia="宋体" w:cs="Times New Roman"/>
                <w:color w:val="FF0000"/>
                <w:kern w:val="2"/>
                <w:sz w:val="21"/>
                <w:szCs w:val="21"/>
                <w:u w:val="single"/>
                <w:lang w:val="en-US" w:eastAsia="zh-CN" w:bidi="ar-SA"/>
              </w:rPr>
              <w:t>人工湿地各单元</w:t>
            </w:r>
          </w:p>
        </w:tc>
        <w:tc>
          <w:tcPr>
            <w:tcW w:w="1250"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2"/>
                <w:sz w:val="21"/>
                <w:szCs w:val="21"/>
                <w:u w:val="single"/>
                <w:lang w:val="en-US" w:eastAsia="zh-CN" w:bidi="ar-SA"/>
              </w:rPr>
            </w:pPr>
            <w:r>
              <w:rPr>
                <w:rFonts w:hint="default" w:ascii="Times New Roman" w:hAnsi="Times New Roman" w:eastAsia="宋体" w:cs="Times New Roman"/>
                <w:color w:val="FF0000"/>
                <w:kern w:val="2"/>
                <w:sz w:val="21"/>
                <w:szCs w:val="21"/>
                <w:u w:val="single"/>
                <w:lang w:val="en-US" w:eastAsia="zh-CN" w:bidi="ar-SA"/>
              </w:rPr>
              <w:t>每日</w:t>
            </w:r>
          </w:p>
        </w:tc>
      </w:tr>
    </w:tbl>
    <w:p>
      <w:pPr>
        <w:rPr>
          <w:rFonts w:hint="default" w:ascii="Times New Roman" w:hAnsi="Times New Roman" w:eastAsia="宋体" w:cs="Times New Roman"/>
          <w:color w:val="auto"/>
          <w:sz w:val="24"/>
          <w:szCs w:val="24"/>
          <w:u w:val="none"/>
        </w:rPr>
        <w:sectPr>
          <w:footerReference r:id="rId12" w:type="default"/>
          <w:pgSz w:w="11907" w:h="16839"/>
          <w:pgMar w:top="1431" w:right="1437" w:bottom="1494" w:left="1440" w:header="0" w:footer="1358" w:gutter="0"/>
          <w:pgBorders>
            <w:top w:val="none" w:sz="0" w:space="0"/>
            <w:left w:val="none" w:sz="0" w:space="0"/>
            <w:bottom w:val="none" w:sz="0" w:space="0"/>
            <w:right w:val="none" w:sz="0" w:space="0"/>
          </w:pgBorders>
          <w:pgNumType w:fmt="decimal"/>
          <w:cols w:space="720" w:num="1"/>
        </w:sectPr>
      </w:pPr>
    </w:p>
    <w:p>
      <w:pPr>
        <w:pStyle w:val="2"/>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textAlignment w:val="auto"/>
        <w:rPr>
          <w:rFonts w:hint="default" w:eastAsia="宋体" w:cs="Times New Roman"/>
          <w:color w:val="auto"/>
          <w:sz w:val="32"/>
          <w:szCs w:val="32"/>
          <w:u w:val="none"/>
          <w:lang w:val="en-US" w:eastAsia="zh-CN"/>
        </w:rPr>
      </w:pPr>
      <w:bookmarkStart w:id="71" w:name="_Toc27975"/>
      <w:r>
        <w:rPr>
          <w:rFonts w:hint="eastAsia" w:eastAsia="宋体" w:cs="Times New Roman"/>
          <w:color w:val="auto"/>
          <w:sz w:val="32"/>
          <w:szCs w:val="32"/>
          <w:u w:val="none"/>
          <w:lang w:val="en-US" w:eastAsia="zh-CN"/>
        </w:rPr>
        <w:t xml:space="preserve">4 </w:t>
      </w:r>
      <w:r>
        <w:rPr>
          <w:rFonts w:hint="default" w:eastAsia="宋体" w:cs="Times New Roman"/>
          <w:color w:val="auto"/>
          <w:sz w:val="32"/>
          <w:szCs w:val="32"/>
          <w:u w:val="none"/>
          <w:lang w:val="en-US" w:eastAsia="zh-CN"/>
        </w:rPr>
        <w:t>地表水污染防治措施</w:t>
      </w:r>
      <w:bookmarkEnd w:id="71"/>
    </w:p>
    <w:p>
      <w:pPr>
        <w:pStyle w:val="3"/>
        <w:numPr>
          <w:ilvl w:val="1"/>
          <w:numId w:val="0"/>
        </w:numPr>
        <w:bidi w:val="0"/>
        <w:spacing w:line="240" w:lineRule="auto"/>
        <w:ind w:leftChars="0"/>
        <w:rPr>
          <w:rFonts w:hint="default"/>
          <w:color w:val="auto"/>
          <w:sz w:val="28"/>
          <w:szCs w:val="28"/>
          <w:u w:val="none"/>
          <w:lang w:val="en-US" w:eastAsia="zh-CN"/>
        </w:rPr>
      </w:pPr>
      <w:bookmarkStart w:id="72" w:name="_Toc18957"/>
      <w:r>
        <w:rPr>
          <w:rFonts w:hint="eastAsia"/>
          <w:color w:val="auto"/>
          <w:sz w:val="28"/>
          <w:szCs w:val="28"/>
          <w:u w:val="none"/>
          <w:lang w:val="en-US" w:eastAsia="zh-CN"/>
        </w:rPr>
        <w:t xml:space="preserve">4.1 </w:t>
      </w:r>
      <w:r>
        <w:rPr>
          <w:rFonts w:hint="default"/>
          <w:color w:val="auto"/>
          <w:sz w:val="28"/>
          <w:szCs w:val="28"/>
          <w:u w:val="none"/>
          <w:lang w:val="en-US" w:eastAsia="zh-CN"/>
        </w:rPr>
        <w:t>施工期地表水污染防治措施</w:t>
      </w:r>
      <w:bookmarkEnd w:id="72"/>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lang w:eastAsia="zh-CN"/>
        </w:rPr>
        <w:t>工程施工期间，施工单位应严格执行《建设工程施工场地文明施工及环境管理暂行规定》，对排水进行组织设计，严禁废水乱排、乱流，污染环境。</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val="en-US" w:eastAsia="zh-CN"/>
        </w:rPr>
        <w:t>2）</w:t>
      </w:r>
      <w:r>
        <w:rPr>
          <w:rFonts w:hint="default" w:ascii="Times New Roman" w:hAnsi="Times New Roman" w:eastAsia="宋体" w:cs="Times New Roman"/>
          <w:color w:val="auto"/>
          <w:sz w:val="24"/>
          <w:szCs w:val="24"/>
          <w:u w:val="none"/>
          <w:lang w:eastAsia="zh-CN"/>
        </w:rPr>
        <w:t>施工单位对施工场地用水应严格管理，贯彻“一水多用、重复利用、节约用水”的原则，尽量减少废水的排放量，减轻废水排放对周围环境的影响。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val="en-US" w:eastAsia="zh-CN"/>
        </w:rPr>
        <w:t>3）</w:t>
      </w:r>
      <w:r>
        <w:rPr>
          <w:rFonts w:hint="default" w:ascii="Times New Roman" w:hAnsi="Times New Roman" w:eastAsia="宋体" w:cs="Times New Roman"/>
          <w:color w:val="auto"/>
          <w:sz w:val="24"/>
          <w:szCs w:val="24"/>
          <w:u w:val="none"/>
          <w:lang w:eastAsia="zh-CN"/>
        </w:rPr>
        <w:t>加强施工机械设备的维修保养，避免在施工过程中燃料油的跑、冒、滴、漏。</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val="en-US" w:eastAsia="zh-CN"/>
        </w:rPr>
        <w:t>4）</w:t>
      </w:r>
      <w:r>
        <w:rPr>
          <w:rFonts w:hint="default" w:ascii="Times New Roman" w:hAnsi="Times New Roman" w:eastAsia="宋体" w:cs="Times New Roman"/>
          <w:color w:val="auto"/>
          <w:sz w:val="24"/>
          <w:szCs w:val="24"/>
          <w:u w:val="none"/>
          <w:lang w:eastAsia="zh-CN"/>
        </w:rPr>
        <w:t>施工期间施工机械的冲洗将产生少量含油废水经隔油沉淀池收集处理后回用于酒水抑尘。</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5</w:t>
      </w:r>
      <w:r>
        <w:rPr>
          <w:rFonts w:hint="default" w:ascii="Times New Roman" w:hAnsi="Times New Roman" w:eastAsia="宋体" w:cs="Times New Roman"/>
          <w:color w:val="auto"/>
          <w:sz w:val="24"/>
          <w:szCs w:val="24"/>
          <w:u w:val="none"/>
          <w:lang w:val="en-US" w:eastAsia="zh-CN"/>
        </w:rPr>
        <w:t>）</w:t>
      </w:r>
      <w:r>
        <w:rPr>
          <w:rFonts w:hint="default" w:ascii="Times New Roman" w:hAnsi="Times New Roman" w:eastAsia="宋体" w:cs="Times New Roman"/>
          <w:color w:val="auto"/>
          <w:sz w:val="24"/>
          <w:szCs w:val="24"/>
          <w:u w:val="none"/>
        </w:rPr>
        <w:t>本项</w:t>
      </w:r>
      <w:r>
        <w:rPr>
          <w:rFonts w:hint="default" w:ascii="Times New Roman" w:hAnsi="Times New Roman" w:eastAsia="宋体" w:cs="Times New Roman"/>
          <w:color w:val="auto"/>
          <w:sz w:val="24"/>
          <w:szCs w:val="24"/>
          <w:u w:val="none"/>
          <w:lang w:eastAsia="zh-CN"/>
        </w:rPr>
        <w:t>目</w:t>
      </w:r>
      <w:r>
        <w:rPr>
          <w:rFonts w:hint="default" w:ascii="Times New Roman" w:hAnsi="Times New Roman" w:eastAsia="宋体" w:cs="Times New Roman"/>
          <w:color w:val="auto"/>
          <w:sz w:val="24"/>
          <w:szCs w:val="24"/>
          <w:u w:val="none"/>
        </w:rPr>
        <w:t>施工临时生活设施就近</w:t>
      </w:r>
      <w:r>
        <w:rPr>
          <w:rFonts w:hint="default" w:ascii="Times New Roman" w:hAnsi="Times New Roman" w:eastAsia="宋体" w:cs="Times New Roman"/>
          <w:color w:val="auto"/>
          <w:sz w:val="24"/>
          <w:szCs w:val="24"/>
          <w:u w:val="none"/>
          <w:lang w:val="en-US" w:eastAsia="zh-CN"/>
        </w:rPr>
        <w:t>施工营地</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经</w:t>
      </w:r>
      <w:r>
        <w:rPr>
          <w:rFonts w:hint="default" w:ascii="Times New Roman" w:hAnsi="Times New Roman" w:eastAsia="宋体" w:cs="Times New Roman"/>
          <w:color w:val="auto"/>
          <w:sz w:val="24"/>
          <w:szCs w:val="24"/>
          <w:u w:val="none"/>
          <w:lang w:val="en-US" w:eastAsia="zh-CN"/>
        </w:rPr>
        <w:t>施工营地</w:t>
      </w:r>
      <w:r>
        <w:rPr>
          <w:rFonts w:hint="default" w:ascii="Times New Roman" w:hAnsi="Times New Roman" w:eastAsia="宋体" w:cs="Times New Roman"/>
          <w:color w:val="auto"/>
          <w:sz w:val="24"/>
          <w:szCs w:val="24"/>
          <w:u w:val="none"/>
        </w:rPr>
        <w:t>化粪池处理后</w:t>
      </w:r>
      <w:r>
        <w:rPr>
          <w:rFonts w:hint="eastAsia" w:cs="Times New Roman"/>
          <w:color w:val="auto"/>
          <w:sz w:val="24"/>
          <w:szCs w:val="24"/>
          <w:u w:val="none"/>
          <w:lang w:val="en-US" w:eastAsia="zh-CN"/>
        </w:rPr>
        <w:t>定期清掏，用于周边农田农肥</w:t>
      </w:r>
      <w:r>
        <w:rPr>
          <w:rFonts w:hint="default" w:ascii="Times New Roman" w:hAnsi="Times New Roman" w:eastAsia="宋体" w:cs="Times New Roman"/>
          <w:color w:val="auto"/>
          <w:sz w:val="24"/>
          <w:szCs w:val="24"/>
          <w:u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严格执行上述环保措施、加强施工期的环境管理下，本项目施工期间产生的废水对水环境的影响不大，因此，措施可行。</w:t>
      </w:r>
    </w:p>
    <w:p>
      <w:pPr>
        <w:rPr>
          <w:rFonts w:hint="default" w:ascii="Times New Roman" w:hAnsi="Times New Roman" w:eastAsia="宋体" w:cs="Times New Roman"/>
          <w:color w:val="auto"/>
          <w:sz w:val="24"/>
          <w:szCs w:val="24"/>
          <w:u w:val="none"/>
        </w:rPr>
      </w:pPr>
    </w:p>
    <w:p>
      <w:pPr>
        <w:pStyle w:val="3"/>
        <w:numPr>
          <w:ilvl w:val="1"/>
          <w:numId w:val="0"/>
        </w:numPr>
        <w:bidi w:val="0"/>
        <w:spacing w:line="240" w:lineRule="auto"/>
        <w:ind w:leftChars="0"/>
        <w:rPr>
          <w:rFonts w:hint="default"/>
          <w:color w:val="auto"/>
          <w:sz w:val="28"/>
          <w:szCs w:val="28"/>
          <w:u w:val="none"/>
          <w:lang w:val="en-US" w:eastAsia="zh-CN"/>
        </w:rPr>
      </w:pPr>
      <w:bookmarkStart w:id="73" w:name="_Toc4814"/>
      <w:r>
        <w:rPr>
          <w:rFonts w:hint="eastAsia"/>
          <w:color w:val="auto"/>
          <w:sz w:val="28"/>
          <w:szCs w:val="28"/>
          <w:u w:val="none"/>
          <w:lang w:val="en-US" w:eastAsia="zh-CN"/>
        </w:rPr>
        <w:t>4.2 运营期</w:t>
      </w:r>
      <w:r>
        <w:rPr>
          <w:rFonts w:hint="default"/>
          <w:color w:val="auto"/>
          <w:sz w:val="28"/>
          <w:szCs w:val="28"/>
          <w:u w:val="none"/>
          <w:lang w:val="en-US" w:eastAsia="zh-CN"/>
        </w:rPr>
        <w:t>地表水污染防治措施</w:t>
      </w:r>
      <w:bookmarkEnd w:id="73"/>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val="en-US" w:eastAsia="zh-CN"/>
        </w:rPr>
        <w:t>由于人工湿地系统是对污水处理厂尾水进一步的净化提升，因此人工湿地处理系统出水不会对区域水环境造成不利影响，而是有利于区域水环境的进一步改善。为防止湿地系统非正常运行导致湿地对河流水质稳定的作用下降，评价建议：</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val="en-US" w:eastAsia="zh-CN"/>
        </w:rPr>
        <w:t>（1）项目营运期间应采取严格的工作制度及管理措施，严防事故排污。</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val="en-US" w:eastAsia="zh-CN"/>
        </w:rPr>
        <w:t>（2）注重冬季对湿地运行采取强化措施，确保冬季人工湿地运行效率，如表流湿地采用逐级密植挺水植物的方式进行植物覆盖保温，潜流湿地则采用覆盖保温塑料地膜的方式进行人工外加保温等。</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val="en-US" w:eastAsia="zh-CN"/>
        </w:rPr>
        <w:t>（3）做好人工湿地的运营维护工作，合理及时收割湿地植物，维护湿地保持稳定的去除效率，确保出水水质达标排放。</w:t>
      </w:r>
    </w:p>
    <w:p>
      <w:p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val="en-US" w:eastAsia="zh-CN"/>
        </w:rPr>
        <w:t>在采取上述评价建议措施的基础上，本项目运营期污水污染对环境的影响较小，技术措施可行。</w:t>
      </w:r>
    </w:p>
    <w:p>
      <w:pPr>
        <w:rPr>
          <w:rFonts w:hint="default" w:ascii="Times New Roman" w:hAnsi="Times New Roman" w:eastAsia="宋体" w:cs="Times New Roman"/>
          <w:color w:val="auto"/>
          <w:sz w:val="24"/>
          <w:szCs w:val="24"/>
          <w:u w:val="none"/>
        </w:rPr>
        <w:sectPr>
          <w:footerReference r:id="rId13" w:type="default"/>
          <w:pgSz w:w="11907" w:h="16839"/>
          <w:pgMar w:top="1395" w:right="1208" w:bottom="1494" w:left="1440" w:header="0" w:footer="1358" w:gutter="0"/>
          <w:pgBorders>
            <w:top w:val="none" w:sz="0" w:space="0"/>
            <w:left w:val="none" w:sz="0" w:space="0"/>
            <w:bottom w:val="none" w:sz="0" w:space="0"/>
            <w:right w:val="none" w:sz="0" w:space="0"/>
          </w:pgBorders>
          <w:pgNumType w:fmt="decimal"/>
          <w:cols w:space="720" w:num="1"/>
        </w:sectPr>
      </w:pPr>
    </w:p>
    <w:p>
      <w:pPr>
        <w:pStyle w:val="2"/>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textAlignment w:val="auto"/>
        <w:rPr>
          <w:rFonts w:hint="default" w:ascii="Times New Roman" w:hAnsi="Times New Roman" w:eastAsia="宋体" w:cs="Times New Roman"/>
          <w:color w:val="auto"/>
          <w:sz w:val="32"/>
          <w:szCs w:val="32"/>
          <w:u w:val="none"/>
        </w:rPr>
      </w:pPr>
      <w:bookmarkStart w:id="74" w:name="_Toc10052"/>
      <w:r>
        <w:rPr>
          <w:rFonts w:hint="eastAsia" w:eastAsia="宋体" w:cs="Times New Roman"/>
          <w:color w:val="auto"/>
          <w:sz w:val="32"/>
          <w:szCs w:val="32"/>
          <w:u w:val="none"/>
          <w:lang w:val="en-US" w:eastAsia="zh-CN"/>
        </w:rPr>
        <w:t xml:space="preserve">5 </w:t>
      </w:r>
      <w:r>
        <w:rPr>
          <w:rFonts w:hint="default" w:ascii="Times New Roman" w:hAnsi="Times New Roman" w:eastAsia="宋体" w:cs="Times New Roman"/>
          <w:color w:val="auto"/>
          <w:sz w:val="32"/>
          <w:szCs w:val="32"/>
          <w:u w:val="none"/>
        </w:rPr>
        <w:t>地表水专项评价结论</w:t>
      </w:r>
      <w:bookmarkEnd w:id="74"/>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none"/>
          <w:lang w:val="en-US" w:eastAsia="zh-CN" w:bidi="ar"/>
        </w:rPr>
      </w:pPr>
      <w:r>
        <w:rPr>
          <w:rFonts w:hint="default" w:ascii="Times New Roman" w:hAnsi="Times New Roman" w:eastAsia="宋体" w:cs="Times New Roman"/>
          <w:color w:val="auto"/>
          <w:kern w:val="0"/>
          <w:sz w:val="24"/>
          <w:szCs w:val="24"/>
          <w:u w:val="none"/>
          <w:lang w:val="en-US" w:eastAsia="zh-CN" w:bidi="ar"/>
        </w:rPr>
        <w:t>本项目建成后对</w:t>
      </w:r>
      <w:r>
        <w:rPr>
          <w:rFonts w:hint="eastAsia" w:cs="Times New Roman"/>
          <w:color w:val="auto"/>
          <w:kern w:val="0"/>
          <w:sz w:val="24"/>
          <w:szCs w:val="24"/>
          <w:u w:val="none"/>
          <w:lang w:val="en-US" w:eastAsia="zh-CN" w:bidi="ar"/>
        </w:rPr>
        <w:t>青山岛鱼塘水质</w:t>
      </w:r>
      <w:r>
        <w:rPr>
          <w:rFonts w:hint="default" w:ascii="Times New Roman" w:hAnsi="Times New Roman" w:eastAsia="宋体" w:cs="Times New Roman"/>
          <w:color w:val="auto"/>
          <w:kern w:val="0"/>
          <w:sz w:val="24"/>
          <w:szCs w:val="24"/>
          <w:u w:val="none"/>
          <w:lang w:val="en-US" w:eastAsia="zh-CN" w:bidi="ar"/>
        </w:rPr>
        <w:t>得到进一步净化，施工期和营运期在采取环保提出的各项措施后，可满足环保要求。从环保角度，对区域地表水影响可以接受，项目建设可行。</w:t>
      </w:r>
    </w:p>
    <w:p>
      <w:pPr>
        <w:pStyle w:val="11"/>
        <w:rPr>
          <w:rFonts w:hint="default" w:ascii="Times New Roman" w:hAnsi="Times New Roman" w:eastAsia="宋体" w:cs="Times New Roman"/>
          <w:color w:val="auto"/>
          <w:u w:val="none"/>
        </w:rPr>
      </w:pPr>
    </w:p>
    <w:p>
      <w:pPr>
        <w:spacing w:before="78" w:line="198" w:lineRule="auto"/>
        <w:ind w:firstLine="486"/>
        <w:rPr>
          <w:rFonts w:hint="default" w:ascii="Times New Roman" w:hAnsi="Times New Roman" w:eastAsia="宋体" w:cs="Times New Roman"/>
          <w:color w:val="auto"/>
          <w:sz w:val="24"/>
          <w:szCs w:val="24"/>
          <w:u w:val="none"/>
        </w:rPr>
      </w:pPr>
    </w:p>
    <w:p>
      <w:pPr>
        <w:pStyle w:val="12"/>
        <w:ind w:left="0" w:leftChars="0" w:firstLine="0" w:firstLineChars="0"/>
        <w:jc w:val="center"/>
        <w:rPr>
          <w:rFonts w:hint="default" w:ascii="Times New Roman" w:hAnsi="Times New Roman" w:eastAsia="宋体" w:cs="Times New Roman"/>
          <w:color w:val="auto"/>
          <w:u w:val="none"/>
          <w:lang w:eastAsia="zh-CN"/>
        </w:rPr>
      </w:pPr>
    </w:p>
    <w:sectPr>
      <w:footerReference r:id="rId14" w:type="default"/>
      <w:pgSz w:w="11906" w:h="16838"/>
      <w:pgMar w:top="1440" w:right="1803" w:bottom="1440" w:left="1803" w:header="851" w:footer="992" w:gutter="0"/>
      <w:pgBorders>
        <w:top w:val="none" w:sz="0" w:space="0"/>
        <w:left w:val="none" w:sz="0" w:space="0"/>
        <w:bottom w:val="none" w:sz="0" w:space="0"/>
        <w:right w:val="none" w:sz="0" w:space="0"/>
      </w:pgBorders>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宋体 ...騀.">
    <w:altName w:val="宋体"/>
    <w:panose1 w:val="00000000000000000000"/>
    <w:charset w:val="86"/>
    <w:family w:val="roma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FangSong_GB2312">
    <w:altName w:val="仿宋"/>
    <w:panose1 w:val="00000000000000000000"/>
    <w:charset w:val="86"/>
    <w:family w:val="auto"/>
    <w:pitch w:val="default"/>
    <w:sig w:usb0="00000000" w:usb1="00000000" w:usb2="00000000" w:usb3="00000000" w:csb0="0004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rPr>
                              <w:rStyle w:val="35"/>
                              <w:rFonts w:ascii="宋体" w:hAnsi="宋体"/>
                              <w:sz w:val="28"/>
                              <w:szCs w:val="28"/>
                            </w:rPr>
                          </w:pPr>
                          <w:r>
                            <w:rPr>
                              <w:rStyle w:val="35"/>
                              <w:rFonts w:hint="eastAsia" w:ascii="宋体" w:hAnsi="宋体"/>
                              <w:sz w:val="28"/>
                              <w:szCs w:val="28"/>
                            </w:rPr>
                            <w:t>—</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64</w:t>
                          </w:r>
                          <w:r>
                            <w:rPr>
                              <w:rFonts w:ascii="宋体" w:hAnsi="宋体"/>
                              <w:sz w:val="26"/>
                              <w:szCs w:val="26"/>
                            </w:rPr>
                            <w:fldChar w:fldCharType="end"/>
                          </w:r>
                          <w:r>
                            <w:rPr>
                              <w:rStyle w:val="35"/>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X0UM88cBAAB0AwAADgAAAAAAAAABACAAAAAeAQAAZHJzL2Uyb0RvYy54&#10;bWxQSwUGAAAAAAYABgBZAQAAVwUAAAAA&#10;">
              <v:fill on="f" focussize="0,0"/>
              <v:stroke on="f"/>
              <v:imagedata o:title=""/>
              <o:lock v:ext="edit" aspectratio="f"/>
              <v:textbox inset="0mm,0mm,0mm,0mm" style="mso-fit-shape-to-text:t;">
                <w:txbxContent>
                  <w:p>
                    <w:pPr>
                      <w:pStyle w:val="23"/>
                      <w:rPr>
                        <w:rStyle w:val="35"/>
                        <w:rFonts w:ascii="宋体" w:hAnsi="宋体"/>
                        <w:sz w:val="28"/>
                        <w:szCs w:val="28"/>
                      </w:rPr>
                    </w:pPr>
                    <w:r>
                      <w:rPr>
                        <w:rStyle w:val="35"/>
                        <w:rFonts w:hint="eastAsia" w:ascii="宋体" w:hAnsi="宋体"/>
                        <w:sz w:val="28"/>
                        <w:szCs w:val="28"/>
                      </w:rPr>
                      <w:t>—</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64</w:t>
                    </w:r>
                    <w:r>
                      <w:rPr>
                        <w:rFonts w:ascii="宋体" w:hAnsi="宋体"/>
                        <w:sz w:val="26"/>
                        <w:szCs w:val="26"/>
                      </w:rPr>
                      <w:fldChar w:fldCharType="end"/>
                    </w:r>
                    <w:r>
                      <w:rPr>
                        <w:rStyle w:val="35"/>
                        <w:rFonts w:hint="eastAsia" w:ascii="宋体" w:hAnsi="宋体"/>
                        <w:sz w:val="28"/>
                        <w:szCs w:val="28"/>
                      </w:rPr>
                      <w:t>—</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36" w:lineRule="exact"/>
      <w:ind w:firstLine="4422"/>
      <w:rPr>
        <w:rFonts w:ascii="Tahoma" w:hAnsi="Tahoma" w:eastAsia="Tahoma" w:cs="Tahoma"/>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2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pPr>
                          <w:r>
                            <w:fldChar w:fldCharType="begin"/>
                          </w:r>
                          <w:r>
                            <w:instrText xml:space="preserve"> PAGE  \* MERGEFORMAT </w:instrText>
                          </w:r>
                          <w:r>
                            <w:fldChar w:fldCharType="separate"/>
                          </w:r>
                          <w:r>
                            <w:t>24</w:t>
                          </w:r>
                          <w:r>
                            <w:fldChar w:fldCharType="end"/>
                          </w:r>
                        </w:p>
                      </w:txbxContent>
                    </wps:txbx>
                    <wps:bodyPr vert="horz" wrap="none" lIns="0" tIns="0" rIns="0" bIns="0" anchor="t" anchorCtr="0" upright="0">
                      <a:spAutoFit/>
                    </wps:bodyPr>
                  </wps:wsp>
                </a:graphicData>
              </a:graphic>
            </wp:anchor>
          </w:drawing>
        </mc:Choice>
        <mc:Fallback>
          <w:pict>
            <v:shape id="文本框 210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GWfNhbFAQAAdAMAAA4AAAAAAAAAAQAgAAAAHgEAAGRycy9lMm9Eb2MueG1s&#10;UEsFBgAAAAAGAAYAWQEAAFUFAAAAAA==&#10;">
              <v:fill on="f" focussize="0,0"/>
              <v:stroke on="f"/>
              <v:imagedata o:title=""/>
              <o:lock v:ext="edit" aspectratio="f"/>
              <v:textbox inset="0mm,0mm,0mm,0mm" style="mso-fit-shape-to-text:t;">
                <w:txbxContent>
                  <w:p>
                    <w:pPr>
                      <w:pStyle w:val="2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36" w:lineRule="exact"/>
      <w:ind w:firstLine="4422"/>
      <w:rPr>
        <w:rFonts w:ascii="Tahoma" w:hAnsi="Tahoma" w:eastAsia="Tahoma" w:cs="Tahoma"/>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2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pPr>
                          <w:r>
                            <w:fldChar w:fldCharType="begin"/>
                          </w:r>
                          <w:r>
                            <w:instrText xml:space="preserve"> PAGE  \* MERGEFORMAT </w:instrText>
                          </w:r>
                          <w:r>
                            <w:fldChar w:fldCharType="separate"/>
                          </w:r>
                          <w:r>
                            <w:t>25</w:t>
                          </w:r>
                          <w:r>
                            <w:fldChar w:fldCharType="end"/>
                          </w:r>
                        </w:p>
                      </w:txbxContent>
                    </wps:txbx>
                    <wps:bodyPr vert="horz" wrap="none" lIns="0" tIns="0" rIns="0" bIns="0" anchor="t" anchorCtr="0" upright="0">
                      <a:spAutoFit/>
                    </wps:bodyPr>
                  </wps:wsp>
                </a:graphicData>
              </a:graphic>
            </wp:anchor>
          </w:drawing>
        </mc:Choice>
        <mc:Fallback>
          <w:pict>
            <v:shape id="文本框 2104"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BNCbkxgEAAHQDAAAOAAAAAAAAAAEAIAAAAB4BAABkcnMvZTJvRG9jLnht&#10;bFBLBQYAAAAABgAGAFkBAABWBQAAAAA=&#10;">
              <v:fill on="f" focussize="0,0"/>
              <v:stroke on="f"/>
              <v:imagedata o:title=""/>
              <o:lock v:ext="edit" aspectratio="f"/>
              <v:textbox inset="0mm,0mm,0mm,0mm" style="mso-fit-shape-to-text:t;">
                <w:txbxContent>
                  <w:p>
                    <w:pPr>
                      <w:pStyle w:val="23"/>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36" w:lineRule="exact"/>
      <w:ind w:firstLine="4420"/>
      <w:rPr>
        <w:rFonts w:ascii="Tahoma" w:hAnsi="Tahoma" w:eastAsia="Tahoma" w:cs="Tahoma"/>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2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pPr>
                          <w:r>
                            <w:fldChar w:fldCharType="begin"/>
                          </w:r>
                          <w:r>
                            <w:instrText xml:space="preserve"> PAGE  \* MERGEFORMAT </w:instrText>
                          </w:r>
                          <w:r>
                            <w:fldChar w:fldCharType="separate"/>
                          </w:r>
                          <w:r>
                            <w:t>27</w:t>
                          </w:r>
                          <w:r>
                            <w:fldChar w:fldCharType="end"/>
                          </w:r>
                        </w:p>
                      </w:txbxContent>
                    </wps:txbx>
                    <wps:bodyPr vert="horz" wrap="none" lIns="0" tIns="0" rIns="0" bIns="0" anchor="t" anchorCtr="0" upright="0">
                      <a:spAutoFit/>
                    </wps:bodyPr>
                  </wps:wsp>
                </a:graphicData>
              </a:graphic>
            </wp:anchor>
          </w:drawing>
        </mc:Choice>
        <mc:Fallback>
          <w:pict>
            <v:shape id="文本框 2105"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qbOi8xgEAAHQDAAAOAAAAAAAAAAEAIAAAAB4BAABkcnMvZTJvRG9jLnht&#10;bFBLBQYAAAAABgAGAFkBAABWBQAAAAA=&#10;">
              <v:fill on="f" focussize="0,0"/>
              <v:stroke on="f"/>
              <v:imagedata o:title=""/>
              <o:lock v:ext="edit" aspectratio="f"/>
              <v:textbox inset="0mm,0mm,0mm,0mm" style="mso-fit-shape-to-text:t;">
                <w:txbxContent>
                  <w:p>
                    <w:pPr>
                      <w:pStyle w:val="23"/>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rPr>
                              <w:rStyle w:val="35"/>
                              <w:rFonts w:ascii="宋体" w:hAnsi="宋体"/>
                              <w:sz w:val="28"/>
                              <w:szCs w:val="28"/>
                            </w:rPr>
                          </w:pPr>
                          <w:r>
                            <w:rPr>
                              <w:rStyle w:val="35"/>
                              <w:rFonts w:hint="eastAsia" w:ascii="宋体" w:hAnsi="宋体"/>
                              <w:sz w:val="28"/>
                              <w:szCs w:val="28"/>
                            </w:rPr>
                            <w:t>—</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64</w:t>
                          </w:r>
                          <w:r>
                            <w:rPr>
                              <w:rFonts w:ascii="宋体" w:hAnsi="宋体"/>
                              <w:sz w:val="26"/>
                              <w:szCs w:val="26"/>
                            </w:rPr>
                            <w:fldChar w:fldCharType="end"/>
                          </w:r>
                          <w:r>
                            <w:rPr>
                              <w:rStyle w:val="35"/>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mGyH2xgEAAHMDAAAOAAAAAAAAAAEAIAAAAB4BAABkcnMvZTJvRG9jLnht&#10;bFBLBQYAAAAABgAGAFkBAABWBQAAAAA=&#10;">
              <v:fill on="f" focussize="0,0"/>
              <v:stroke on="f"/>
              <v:imagedata o:title=""/>
              <o:lock v:ext="edit" aspectratio="f"/>
              <v:textbox inset="0mm,0mm,0mm,0mm" style="mso-fit-shape-to-text:t;">
                <w:txbxContent>
                  <w:p>
                    <w:pPr>
                      <w:pStyle w:val="23"/>
                      <w:rPr>
                        <w:rStyle w:val="35"/>
                        <w:rFonts w:ascii="宋体" w:hAnsi="宋体"/>
                        <w:sz w:val="28"/>
                        <w:szCs w:val="28"/>
                      </w:rPr>
                    </w:pPr>
                    <w:r>
                      <w:rPr>
                        <w:rStyle w:val="35"/>
                        <w:rFonts w:hint="eastAsia" w:ascii="宋体" w:hAnsi="宋体"/>
                        <w:sz w:val="28"/>
                        <w:szCs w:val="28"/>
                      </w:rPr>
                      <w:t>—</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64</w:t>
                    </w:r>
                    <w:r>
                      <w:rPr>
                        <w:rFonts w:ascii="宋体" w:hAnsi="宋体"/>
                        <w:sz w:val="26"/>
                        <w:szCs w:val="26"/>
                      </w:rPr>
                      <w:fldChar w:fldCharType="end"/>
                    </w:r>
                    <w:r>
                      <w:rPr>
                        <w:rStyle w:val="35"/>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30" w:lineRule="exact"/>
      <w:ind w:firstLine="4236"/>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rPr>
                              <w:sz w:val="28"/>
                              <w:szCs w:val="28"/>
                            </w:rPr>
                          </w:pPr>
                          <w:r>
                            <w:rPr>
                              <w:sz w:val="28"/>
                              <w:szCs w:val="28"/>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84</w:t>
                          </w:r>
                          <w:r>
                            <w:rPr>
                              <w:sz w:val="28"/>
                              <w:szCs w:val="28"/>
                            </w:rPr>
                            <w:fldChar w:fldCharType="end"/>
                          </w:r>
                          <w:r>
                            <w:rPr>
                              <w:sz w:val="28"/>
                              <w:szCs w:val="28"/>
                            </w:rPr>
                            <w:t>—</w:t>
                          </w:r>
                        </w:p>
                      </w:txbxContent>
                    </wps:txbx>
                    <wps:bodyPr vert="horz" wrap="none" lIns="0" tIns="0" rIns="0" bIns="0" anchor="t" anchorCtr="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ZQAg8cBAAB0AwAADgAAAAAAAAABACAAAAAeAQAAZHJzL2Uyb0RvYy54&#10;bWxQSwUGAAAAAAYABgBZAQAAVwUAAAAA&#10;">
              <v:fill on="f" focussize="0,0"/>
              <v:stroke on="f"/>
              <v:imagedata o:title=""/>
              <o:lock v:ext="edit" aspectratio="f"/>
              <v:textbox inset="0mm,0mm,0mm,0mm" style="mso-fit-shape-to-text:t;">
                <w:txbxContent>
                  <w:p>
                    <w:pPr>
                      <w:pStyle w:val="23"/>
                      <w:rPr>
                        <w:sz w:val="28"/>
                        <w:szCs w:val="28"/>
                      </w:rPr>
                    </w:pPr>
                    <w:r>
                      <w:rPr>
                        <w:sz w:val="28"/>
                        <w:szCs w:val="28"/>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84</w:t>
                    </w:r>
                    <w:r>
                      <w:rPr>
                        <w:sz w:val="28"/>
                        <w:szCs w:val="28"/>
                      </w:rPr>
                      <w:fldChar w:fldCharType="end"/>
                    </w:r>
                    <w:r>
                      <w:rPr>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30" w:lineRule="exact"/>
      <w:ind w:firstLine="4236"/>
      <w:rPr>
        <w:rFonts w:ascii="Tahoma" w:hAnsi="Tahoma" w:eastAsia="Tahoma" w:cs="Tahoma"/>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33" w:lineRule="exact"/>
      <w:ind w:firstLine="4457"/>
      <w:rPr>
        <w:rFonts w:ascii="Tahoma" w:hAnsi="Tahoma" w:eastAsia="Tahoma" w:cs="Tahoma"/>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33" w:lineRule="exact"/>
      <w:rPr>
        <w:rFonts w:ascii="Tahoma" w:hAnsi="Tahoma" w:eastAsia="Tahoma" w:cs="Tahoma"/>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20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pPr>
                          <w:r>
                            <w:fldChar w:fldCharType="begin"/>
                          </w:r>
                          <w:r>
                            <w:instrText xml:space="preserve"> PAGE  \* MERGEFORMAT </w:instrText>
                          </w:r>
                          <w:r>
                            <w:fldChar w:fldCharType="separate"/>
                          </w:r>
                          <w:r>
                            <w:t>6</w:t>
                          </w:r>
                          <w:r>
                            <w:fldChar w:fldCharType="end"/>
                          </w:r>
                        </w:p>
                      </w:txbxContent>
                    </wps:txbx>
                    <wps:bodyPr vert="horz" wrap="none" lIns="0" tIns="0" rIns="0" bIns="0" anchor="t" anchorCtr="0" upright="0">
                      <a:spAutoFit/>
                    </wps:bodyPr>
                  </wps:wsp>
                </a:graphicData>
              </a:graphic>
            </wp:anchor>
          </w:drawing>
        </mc:Choice>
        <mc:Fallback>
          <w:pict>
            <v:shape id="文本框 209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H4WkgscBAAB0AwAADgAAAAAAAAABACAAAAAeAQAAZHJzL2Uyb0RvYy54&#10;bWxQSwUGAAAAAAYABgBZAQAAVwUAAAAA&#10;">
              <v:fill on="f" focussize="0,0"/>
              <v:stroke on="f"/>
              <v:imagedata o:title=""/>
              <o:lock v:ext="edit" aspectratio="f"/>
              <v:textbox inset="0mm,0mm,0mm,0mm" style="mso-fit-shape-to-text:t;">
                <w:txbxContent>
                  <w:p>
                    <w:pPr>
                      <w:pStyle w:val="23"/>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36" w:lineRule="exact"/>
      <w:ind w:firstLine="5815"/>
      <w:rPr>
        <w:rFonts w:ascii="Tahoma" w:hAnsi="Tahoma" w:eastAsia="Tahoma" w:cs="Tahoma"/>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20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209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HsutHDIAQAAdAMAAA4AAAAAAAAAAQAgAAAAHgEAAGRycy9lMm9Eb2Mu&#10;eG1sUEsFBgAAAAAGAAYAWQEAAFgFAAAAAA==&#10;">
              <v:fill on="f" focussize="0,0"/>
              <v:stroke on="f"/>
              <v:imagedata o:title=""/>
              <o:lock v:ext="edit" aspectratio="f"/>
              <v:textbox inset="0mm,0mm,0mm,0mm" style="mso-fit-shape-to-text:t;">
                <w:txbxContent>
                  <w:p>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36" w:lineRule="exact"/>
      <w:ind w:firstLine="4423"/>
      <w:rPr>
        <w:rFonts w:ascii="Tahoma" w:hAnsi="Tahoma" w:eastAsia="Tahoma" w:cs="Tahoma"/>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2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pPr>
                          <w:r>
                            <w:fldChar w:fldCharType="begin"/>
                          </w:r>
                          <w:r>
                            <w:instrText xml:space="preserve"> PAGE  \* MERGEFORMAT </w:instrText>
                          </w:r>
                          <w:r>
                            <w:fldChar w:fldCharType="separate"/>
                          </w:r>
                          <w:r>
                            <w:t>20</w:t>
                          </w:r>
                          <w:r>
                            <w:fldChar w:fldCharType="end"/>
                          </w:r>
                        </w:p>
                      </w:txbxContent>
                    </wps:txbx>
                    <wps:bodyPr vert="horz" wrap="none" lIns="0" tIns="0" rIns="0" bIns="0" anchor="t" anchorCtr="0" upright="0">
                      <a:spAutoFit/>
                    </wps:bodyPr>
                  </wps:wsp>
                </a:graphicData>
              </a:graphic>
            </wp:anchor>
          </w:drawing>
        </mc:Choice>
        <mc:Fallback>
          <w:pict>
            <v:shape id="文本框 210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ICSebPFAQAAdAMAAA4AAAAAAAAAAQAgAAAAHgEAAGRycy9lMm9Eb2MueG1s&#10;UEsFBgAAAAAGAAYAWQEAAFUFAAAAAA==&#10;">
              <v:fill on="f" focussize="0,0"/>
              <v:stroke on="f"/>
              <v:imagedata o:title=""/>
              <o:lock v:ext="edit" aspectratio="f"/>
              <v:textbox inset="0mm,0mm,0mm,0mm" style="mso-fit-shape-to-text:t;">
                <w:txbxContent>
                  <w:p>
                    <w:pPr>
                      <w:pStyle w:val="23"/>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36" w:lineRule="exact"/>
      <w:ind w:firstLine="4418"/>
      <w:rPr>
        <w:rFonts w:ascii="Tahoma" w:hAnsi="Tahoma" w:eastAsia="Tahoma" w:cs="Tahoma"/>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2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pPr>
                          <w:r>
                            <w:fldChar w:fldCharType="begin"/>
                          </w:r>
                          <w:r>
                            <w:instrText xml:space="preserve"> PAGE  \* MERGEFORMAT </w:instrText>
                          </w:r>
                          <w:r>
                            <w:fldChar w:fldCharType="separate"/>
                          </w:r>
                          <w:r>
                            <w:t>23</w:t>
                          </w:r>
                          <w:r>
                            <w:fldChar w:fldCharType="end"/>
                          </w:r>
                        </w:p>
                      </w:txbxContent>
                    </wps:txbx>
                    <wps:bodyPr vert="horz" wrap="none" lIns="0" tIns="0" rIns="0" bIns="0" anchor="t" anchorCtr="0" upright="0">
                      <a:spAutoFit/>
                    </wps:bodyPr>
                  </wps:wsp>
                </a:graphicData>
              </a:graphic>
            </wp:anchor>
          </w:drawing>
        </mc:Choice>
        <mc:Fallback>
          <w:pict>
            <v:shape id="文本框 210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ffnuCxgEAAHQDAAAOAAAAAAAAAAEAIAAAAB4BAABkcnMvZTJvRG9jLnht&#10;bFBLBQYAAAAABgAGAFkBAABWBQAAAAA=&#10;">
              <v:fill on="f" focussize="0,0"/>
              <v:stroke on="f"/>
              <v:imagedata o:title=""/>
              <o:lock v:ext="edit" aspectratio="f"/>
              <v:textbox inset="0mm,0mm,0mm,0mm" style="mso-fit-shape-to-text:t;">
                <w:txbxContent>
                  <w:p>
                    <w:pPr>
                      <w:pStyle w:val="23"/>
                    </w:pPr>
                    <w:r>
                      <w:fldChar w:fldCharType="begin"/>
                    </w:r>
                    <w:r>
                      <w:instrText xml:space="preserve"> PAGE  \* MERGEFORMAT </w:instrText>
                    </w:r>
                    <w:r>
                      <w:fldChar w:fldCharType="separate"/>
                    </w:r>
                    <w:r>
                      <w:t>23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DBDBF4"/>
    <w:multiLevelType w:val="singleLevel"/>
    <w:tmpl w:val="89DBDBF4"/>
    <w:lvl w:ilvl="0" w:tentative="0">
      <w:start w:val="7"/>
      <w:numFmt w:val="decimal"/>
      <w:suff w:val="space"/>
      <w:lvlText w:val="(%1)"/>
      <w:lvlJc w:val="left"/>
    </w:lvl>
  </w:abstractNum>
  <w:abstractNum w:abstractNumId="1">
    <w:nsid w:val="00000001"/>
    <w:multiLevelType w:val="singleLevel"/>
    <w:tmpl w:val="00000001"/>
    <w:lvl w:ilvl="0" w:tentative="0">
      <w:start w:val="6"/>
      <w:numFmt w:val="decimal"/>
      <w:suff w:val="nothing"/>
      <w:lvlText w:val="（%1）"/>
      <w:lvlJc w:val="left"/>
    </w:lvl>
  </w:abstractNum>
  <w:abstractNum w:abstractNumId="2">
    <w:nsid w:val="1E5D06D6"/>
    <w:multiLevelType w:val="singleLevel"/>
    <w:tmpl w:val="1E5D06D6"/>
    <w:lvl w:ilvl="0" w:tentative="0">
      <w:start w:val="1"/>
      <w:numFmt w:val="decimal"/>
      <w:suff w:val="nothing"/>
      <w:lvlText w:val="%1、"/>
      <w:lvlJc w:val="left"/>
    </w:lvl>
  </w:abstractNum>
  <w:abstractNum w:abstractNumId="3">
    <w:nsid w:val="36C5083D"/>
    <w:multiLevelType w:val="multilevel"/>
    <w:tmpl w:val="36C5083D"/>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0" w:firstLine="0"/>
      </w:pPr>
      <w:rPr>
        <w:rFonts w:hint="default" w:ascii="宋体" w:hAnsi="宋体" w:eastAsia="宋体" w:cs="宋体"/>
        <w:sz w:val="24"/>
        <w:szCs w:val="24"/>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4">
    <w:nsid w:val="66ECBE3A"/>
    <w:multiLevelType w:val="singleLevel"/>
    <w:tmpl w:val="66ECBE3A"/>
    <w:lvl w:ilvl="0" w:tentative="0">
      <w:start w:val="1"/>
      <w:numFmt w:val="decimal"/>
      <w:suff w:val="nothing"/>
      <w:lvlText w:val="%1、"/>
      <w:lvlJc w:val="left"/>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5NTFkZmY1NTZjZmNiODg1MGFlYjU1Y2M1MmY3MjMifQ=="/>
  </w:docVars>
  <w:rsids>
    <w:rsidRoot w:val="00172A27"/>
    <w:rsid w:val="00001A32"/>
    <w:rsid w:val="00001CED"/>
    <w:rsid w:val="00001E67"/>
    <w:rsid w:val="00003CD8"/>
    <w:rsid w:val="00013AC6"/>
    <w:rsid w:val="00014965"/>
    <w:rsid w:val="0001523A"/>
    <w:rsid w:val="00016ECB"/>
    <w:rsid w:val="0002353A"/>
    <w:rsid w:val="000256F5"/>
    <w:rsid w:val="000269F6"/>
    <w:rsid w:val="00031939"/>
    <w:rsid w:val="00031BFA"/>
    <w:rsid w:val="00032D25"/>
    <w:rsid w:val="00033275"/>
    <w:rsid w:val="0003347C"/>
    <w:rsid w:val="00047D50"/>
    <w:rsid w:val="0005219D"/>
    <w:rsid w:val="00053326"/>
    <w:rsid w:val="000542EA"/>
    <w:rsid w:val="0005568F"/>
    <w:rsid w:val="00056625"/>
    <w:rsid w:val="0006153D"/>
    <w:rsid w:val="00061B1F"/>
    <w:rsid w:val="000664DB"/>
    <w:rsid w:val="0006794E"/>
    <w:rsid w:val="0007127D"/>
    <w:rsid w:val="00071AE5"/>
    <w:rsid w:val="0007285D"/>
    <w:rsid w:val="00073A7C"/>
    <w:rsid w:val="00074783"/>
    <w:rsid w:val="000801E0"/>
    <w:rsid w:val="000805FB"/>
    <w:rsid w:val="000806FD"/>
    <w:rsid w:val="00082A29"/>
    <w:rsid w:val="0008331D"/>
    <w:rsid w:val="00083C18"/>
    <w:rsid w:val="00085BC2"/>
    <w:rsid w:val="00092899"/>
    <w:rsid w:val="000A1719"/>
    <w:rsid w:val="000A178E"/>
    <w:rsid w:val="000A467B"/>
    <w:rsid w:val="000A557E"/>
    <w:rsid w:val="000B03F2"/>
    <w:rsid w:val="000B058F"/>
    <w:rsid w:val="000B60A5"/>
    <w:rsid w:val="000B693F"/>
    <w:rsid w:val="000C09AC"/>
    <w:rsid w:val="000C0A63"/>
    <w:rsid w:val="000C1764"/>
    <w:rsid w:val="000C17B0"/>
    <w:rsid w:val="000C437E"/>
    <w:rsid w:val="000D02A0"/>
    <w:rsid w:val="000D06A4"/>
    <w:rsid w:val="000D2075"/>
    <w:rsid w:val="000D4253"/>
    <w:rsid w:val="000D6A59"/>
    <w:rsid w:val="000E211B"/>
    <w:rsid w:val="000E5F16"/>
    <w:rsid w:val="000F2AA7"/>
    <w:rsid w:val="000F4452"/>
    <w:rsid w:val="000F6DA1"/>
    <w:rsid w:val="000F701B"/>
    <w:rsid w:val="001017DD"/>
    <w:rsid w:val="0010316F"/>
    <w:rsid w:val="001056A0"/>
    <w:rsid w:val="00111A75"/>
    <w:rsid w:val="00115279"/>
    <w:rsid w:val="0011545D"/>
    <w:rsid w:val="00117459"/>
    <w:rsid w:val="0011749A"/>
    <w:rsid w:val="001221BD"/>
    <w:rsid w:val="001262BA"/>
    <w:rsid w:val="00127A68"/>
    <w:rsid w:val="00131303"/>
    <w:rsid w:val="00140B13"/>
    <w:rsid w:val="00141B68"/>
    <w:rsid w:val="001466DA"/>
    <w:rsid w:val="00151347"/>
    <w:rsid w:val="00154DE1"/>
    <w:rsid w:val="00155B40"/>
    <w:rsid w:val="001572D4"/>
    <w:rsid w:val="00157435"/>
    <w:rsid w:val="00163EEA"/>
    <w:rsid w:val="00167A07"/>
    <w:rsid w:val="00167B91"/>
    <w:rsid w:val="0017046A"/>
    <w:rsid w:val="001704A3"/>
    <w:rsid w:val="001716CC"/>
    <w:rsid w:val="0017504D"/>
    <w:rsid w:val="00177422"/>
    <w:rsid w:val="0018099E"/>
    <w:rsid w:val="00184F10"/>
    <w:rsid w:val="00185546"/>
    <w:rsid w:val="0019146B"/>
    <w:rsid w:val="00194398"/>
    <w:rsid w:val="00194D5C"/>
    <w:rsid w:val="001A1419"/>
    <w:rsid w:val="001A72E0"/>
    <w:rsid w:val="001A7D2A"/>
    <w:rsid w:val="001B574C"/>
    <w:rsid w:val="001B6AD2"/>
    <w:rsid w:val="001C0AF9"/>
    <w:rsid w:val="001C155A"/>
    <w:rsid w:val="001C4337"/>
    <w:rsid w:val="001C48C0"/>
    <w:rsid w:val="001C73BA"/>
    <w:rsid w:val="001D6528"/>
    <w:rsid w:val="001D6726"/>
    <w:rsid w:val="001D691D"/>
    <w:rsid w:val="001D7D62"/>
    <w:rsid w:val="001E6338"/>
    <w:rsid w:val="001F3347"/>
    <w:rsid w:val="001F4440"/>
    <w:rsid w:val="001F63D4"/>
    <w:rsid w:val="001F69E4"/>
    <w:rsid w:val="0020188B"/>
    <w:rsid w:val="002033EA"/>
    <w:rsid w:val="00206A65"/>
    <w:rsid w:val="002110D0"/>
    <w:rsid w:val="00212D31"/>
    <w:rsid w:val="002130C7"/>
    <w:rsid w:val="002130FC"/>
    <w:rsid w:val="002174F7"/>
    <w:rsid w:val="002218A8"/>
    <w:rsid w:val="00221F4D"/>
    <w:rsid w:val="0022306D"/>
    <w:rsid w:val="00223D38"/>
    <w:rsid w:val="002264FA"/>
    <w:rsid w:val="00226574"/>
    <w:rsid w:val="002278EC"/>
    <w:rsid w:val="00234B0A"/>
    <w:rsid w:val="002357C7"/>
    <w:rsid w:val="002367C4"/>
    <w:rsid w:val="00242065"/>
    <w:rsid w:val="00243F70"/>
    <w:rsid w:val="00252DAE"/>
    <w:rsid w:val="0025679E"/>
    <w:rsid w:val="0025773D"/>
    <w:rsid w:val="00260C68"/>
    <w:rsid w:val="002648B0"/>
    <w:rsid w:val="0026580A"/>
    <w:rsid w:val="002713B8"/>
    <w:rsid w:val="0027176C"/>
    <w:rsid w:val="00273000"/>
    <w:rsid w:val="00275271"/>
    <w:rsid w:val="0027535E"/>
    <w:rsid w:val="00275AA6"/>
    <w:rsid w:val="0027690D"/>
    <w:rsid w:val="00277837"/>
    <w:rsid w:val="0028025E"/>
    <w:rsid w:val="002807D5"/>
    <w:rsid w:val="00282CCD"/>
    <w:rsid w:val="00283541"/>
    <w:rsid w:val="00290EAB"/>
    <w:rsid w:val="002925D5"/>
    <w:rsid w:val="00294099"/>
    <w:rsid w:val="00296F57"/>
    <w:rsid w:val="002A168C"/>
    <w:rsid w:val="002A22D2"/>
    <w:rsid w:val="002A2C48"/>
    <w:rsid w:val="002A3EED"/>
    <w:rsid w:val="002A4A39"/>
    <w:rsid w:val="002A4D6D"/>
    <w:rsid w:val="002A5A17"/>
    <w:rsid w:val="002A6425"/>
    <w:rsid w:val="002A67CE"/>
    <w:rsid w:val="002B49E2"/>
    <w:rsid w:val="002B6E69"/>
    <w:rsid w:val="002B7B00"/>
    <w:rsid w:val="002B7C44"/>
    <w:rsid w:val="002C1388"/>
    <w:rsid w:val="002C1867"/>
    <w:rsid w:val="002C2C9C"/>
    <w:rsid w:val="002C3C6A"/>
    <w:rsid w:val="002D42DB"/>
    <w:rsid w:val="002E1F3A"/>
    <w:rsid w:val="002E298A"/>
    <w:rsid w:val="002E5F6C"/>
    <w:rsid w:val="002F02A4"/>
    <w:rsid w:val="002F05B5"/>
    <w:rsid w:val="002F272B"/>
    <w:rsid w:val="002F3A96"/>
    <w:rsid w:val="002F589C"/>
    <w:rsid w:val="002F7C6D"/>
    <w:rsid w:val="003027E4"/>
    <w:rsid w:val="0030332C"/>
    <w:rsid w:val="00307F69"/>
    <w:rsid w:val="00312296"/>
    <w:rsid w:val="0031340E"/>
    <w:rsid w:val="00316464"/>
    <w:rsid w:val="003173FD"/>
    <w:rsid w:val="00320607"/>
    <w:rsid w:val="0032073A"/>
    <w:rsid w:val="0032161B"/>
    <w:rsid w:val="00321D8E"/>
    <w:rsid w:val="00322A29"/>
    <w:rsid w:val="00334996"/>
    <w:rsid w:val="00335292"/>
    <w:rsid w:val="00335A69"/>
    <w:rsid w:val="003364E1"/>
    <w:rsid w:val="00336969"/>
    <w:rsid w:val="00336C52"/>
    <w:rsid w:val="00341B3E"/>
    <w:rsid w:val="00341B42"/>
    <w:rsid w:val="00345154"/>
    <w:rsid w:val="0034560E"/>
    <w:rsid w:val="00350523"/>
    <w:rsid w:val="00351821"/>
    <w:rsid w:val="00352975"/>
    <w:rsid w:val="003532FE"/>
    <w:rsid w:val="00355AAB"/>
    <w:rsid w:val="00356868"/>
    <w:rsid w:val="0036118F"/>
    <w:rsid w:val="00364543"/>
    <w:rsid w:val="0036485B"/>
    <w:rsid w:val="00373B0D"/>
    <w:rsid w:val="00376988"/>
    <w:rsid w:val="003776CC"/>
    <w:rsid w:val="00381A72"/>
    <w:rsid w:val="0039336D"/>
    <w:rsid w:val="003A048A"/>
    <w:rsid w:val="003A1948"/>
    <w:rsid w:val="003A19A9"/>
    <w:rsid w:val="003B05D6"/>
    <w:rsid w:val="003B152A"/>
    <w:rsid w:val="003B4658"/>
    <w:rsid w:val="003B545B"/>
    <w:rsid w:val="003B6C7E"/>
    <w:rsid w:val="003C3167"/>
    <w:rsid w:val="003C758B"/>
    <w:rsid w:val="003D3EE9"/>
    <w:rsid w:val="003E71F7"/>
    <w:rsid w:val="003E7681"/>
    <w:rsid w:val="003E7B18"/>
    <w:rsid w:val="003F0809"/>
    <w:rsid w:val="003F611C"/>
    <w:rsid w:val="003F755C"/>
    <w:rsid w:val="00400A2B"/>
    <w:rsid w:val="004036A9"/>
    <w:rsid w:val="00406F01"/>
    <w:rsid w:val="004077E7"/>
    <w:rsid w:val="00411B36"/>
    <w:rsid w:val="004121D7"/>
    <w:rsid w:val="00413F13"/>
    <w:rsid w:val="00414630"/>
    <w:rsid w:val="00414E5F"/>
    <w:rsid w:val="004156F6"/>
    <w:rsid w:val="00416D50"/>
    <w:rsid w:val="00417772"/>
    <w:rsid w:val="00420E6A"/>
    <w:rsid w:val="00423C6D"/>
    <w:rsid w:val="00425BC0"/>
    <w:rsid w:val="00433CA9"/>
    <w:rsid w:val="0043425D"/>
    <w:rsid w:val="0043521D"/>
    <w:rsid w:val="00442024"/>
    <w:rsid w:val="0044254C"/>
    <w:rsid w:val="00442BC8"/>
    <w:rsid w:val="00443F6A"/>
    <w:rsid w:val="00447398"/>
    <w:rsid w:val="00450A17"/>
    <w:rsid w:val="00453BC8"/>
    <w:rsid w:val="004569DF"/>
    <w:rsid w:val="00466321"/>
    <w:rsid w:val="004672AF"/>
    <w:rsid w:val="00467FEA"/>
    <w:rsid w:val="004727B0"/>
    <w:rsid w:val="00475309"/>
    <w:rsid w:val="00480247"/>
    <w:rsid w:val="0048081D"/>
    <w:rsid w:val="0048117E"/>
    <w:rsid w:val="00484E69"/>
    <w:rsid w:val="004855F6"/>
    <w:rsid w:val="00486C6E"/>
    <w:rsid w:val="00486F0C"/>
    <w:rsid w:val="00490B5D"/>
    <w:rsid w:val="00494670"/>
    <w:rsid w:val="00495491"/>
    <w:rsid w:val="00496665"/>
    <w:rsid w:val="004A0EB4"/>
    <w:rsid w:val="004A28AD"/>
    <w:rsid w:val="004A3823"/>
    <w:rsid w:val="004A4DCD"/>
    <w:rsid w:val="004A59BB"/>
    <w:rsid w:val="004B21D3"/>
    <w:rsid w:val="004B43A3"/>
    <w:rsid w:val="004B4C49"/>
    <w:rsid w:val="004B58A5"/>
    <w:rsid w:val="004B63D9"/>
    <w:rsid w:val="004C0882"/>
    <w:rsid w:val="004C55BE"/>
    <w:rsid w:val="004D275A"/>
    <w:rsid w:val="004E0762"/>
    <w:rsid w:val="004E43BF"/>
    <w:rsid w:val="004E5B30"/>
    <w:rsid w:val="004F0779"/>
    <w:rsid w:val="004F1230"/>
    <w:rsid w:val="004F173F"/>
    <w:rsid w:val="004F177C"/>
    <w:rsid w:val="004F2DCE"/>
    <w:rsid w:val="005039CB"/>
    <w:rsid w:val="0050558F"/>
    <w:rsid w:val="005057E0"/>
    <w:rsid w:val="00505873"/>
    <w:rsid w:val="00506286"/>
    <w:rsid w:val="00510813"/>
    <w:rsid w:val="0051138C"/>
    <w:rsid w:val="00511DE0"/>
    <w:rsid w:val="0051271D"/>
    <w:rsid w:val="00514BED"/>
    <w:rsid w:val="005177DB"/>
    <w:rsid w:val="00517F02"/>
    <w:rsid w:val="00520AAA"/>
    <w:rsid w:val="00524547"/>
    <w:rsid w:val="005258A2"/>
    <w:rsid w:val="00530F7C"/>
    <w:rsid w:val="00534567"/>
    <w:rsid w:val="00534F43"/>
    <w:rsid w:val="00535A84"/>
    <w:rsid w:val="00536889"/>
    <w:rsid w:val="00542E07"/>
    <w:rsid w:val="00554A7B"/>
    <w:rsid w:val="0055572C"/>
    <w:rsid w:val="0056064F"/>
    <w:rsid w:val="0056121E"/>
    <w:rsid w:val="00561B84"/>
    <w:rsid w:val="0056504C"/>
    <w:rsid w:val="00565410"/>
    <w:rsid w:val="00565D9E"/>
    <w:rsid w:val="005668F3"/>
    <w:rsid w:val="00571D98"/>
    <w:rsid w:val="005720AE"/>
    <w:rsid w:val="00572C3E"/>
    <w:rsid w:val="0058030D"/>
    <w:rsid w:val="00582045"/>
    <w:rsid w:val="00590AE3"/>
    <w:rsid w:val="005918F1"/>
    <w:rsid w:val="005A06B7"/>
    <w:rsid w:val="005A1759"/>
    <w:rsid w:val="005A2BBA"/>
    <w:rsid w:val="005A6724"/>
    <w:rsid w:val="005B33B8"/>
    <w:rsid w:val="005B7DB4"/>
    <w:rsid w:val="005C090A"/>
    <w:rsid w:val="005D0369"/>
    <w:rsid w:val="005D53FE"/>
    <w:rsid w:val="005D7A0F"/>
    <w:rsid w:val="005E0438"/>
    <w:rsid w:val="005E1791"/>
    <w:rsid w:val="005E2CE6"/>
    <w:rsid w:val="005E6324"/>
    <w:rsid w:val="005E6B05"/>
    <w:rsid w:val="005E7AF2"/>
    <w:rsid w:val="005F228B"/>
    <w:rsid w:val="005F29CD"/>
    <w:rsid w:val="005F4A73"/>
    <w:rsid w:val="005F4DFB"/>
    <w:rsid w:val="005F6CC0"/>
    <w:rsid w:val="00602C4E"/>
    <w:rsid w:val="00603E5B"/>
    <w:rsid w:val="00604BC8"/>
    <w:rsid w:val="006155E0"/>
    <w:rsid w:val="00615B4C"/>
    <w:rsid w:val="00615B5D"/>
    <w:rsid w:val="00620A04"/>
    <w:rsid w:val="00621444"/>
    <w:rsid w:val="0062146F"/>
    <w:rsid w:val="00622329"/>
    <w:rsid w:val="00624100"/>
    <w:rsid w:val="0063410E"/>
    <w:rsid w:val="006343AF"/>
    <w:rsid w:val="0063634A"/>
    <w:rsid w:val="0064250D"/>
    <w:rsid w:val="006535EB"/>
    <w:rsid w:val="00655050"/>
    <w:rsid w:val="00655492"/>
    <w:rsid w:val="00657D2A"/>
    <w:rsid w:val="00663016"/>
    <w:rsid w:val="00674605"/>
    <w:rsid w:val="006748B8"/>
    <w:rsid w:val="0068535B"/>
    <w:rsid w:val="006863B8"/>
    <w:rsid w:val="0068736E"/>
    <w:rsid w:val="0069290A"/>
    <w:rsid w:val="00694E9C"/>
    <w:rsid w:val="00695D6D"/>
    <w:rsid w:val="00697032"/>
    <w:rsid w:val="006975AC"/>
    <w:rsid w:val="006A15FB"/>
    <w:rsid w:val="006A2EDD"/>
    <w:rsid w:val="006A3F25"/>
    <w:rsid w:val="006A72BF"/>
    <w:rsid w:val="006B04CF"/>
    <w:rsid w:val="006B332A"/>
    <w:rsid w:val="006B33BD"/>
    <w:rsid w:val="006B3BDA"/>
    <w:rsid w:val="006B4FC9"/>
    <w:rsid w:val="006C3F75"/>
    <w:rsid w:val="006D0C0F"/>
    <w:rsid w:val="006D170E"/>
    <w:rsid w:val="006E06AF"/>
    <w:rsid w:val="006F1789"/>
    <w:rsid w:val="00704336"/>
    <w:rsid w:val="00706C5D"/>
    <w:rsid w:val="007073F1"/>
    <w:rsid w:val="0071154F"/>
    <w:rsid w:val="007118E6"/>
    <w:rsid w:val="007225C9"/>
    <w:rsid w:val="00732643"/>
    <w:rsid w:val="00735CD7"/>
    <w:rsid w:val="007453AB"/>
    <w:rsid w:val="0075365E"/>
    <w:rsid w:val="00754034"/>
    <w:rsid w:val="00754BF1"/>
    <w:rsid w:val="00755A30"/>
    <w:rsid w:val="00755E1C"/>
    <w:rsid w:val="00756556"/>
    <w:rsid w:val="0076132B"/>
    <w:rsid w:val="007623AE"/>
    <w:rsid w:val="00764A0C"/>
    <w:rsid w:val="00770B19"/>
    <w:rsid w:val="007711FA"/>
    <w:rsid w:val="00774FA0"/>
    <w:rsid w:val="00776620"/>
    <w:rsid w:val="00777B6D"/>
    <w:rsid w:val="00784855"/>
    <w:rsid w:val="00784F39"/>
    <w:rsid w:val="0078545C"/>
    <w:rsid w:val="007906C4"/>
    <w:rsid w:val="00792FC8"/>
    <w:rsid w:val="007940EA"/>
    <w:rsid w:val="007965E5"/>
    <w:rsid w:val="007967E8"/>
    <w:rsid w:val="007A2B11"/>
    <w:rsid w:val="007A2E64"/>
    <w:rsid w:val="007A3D71"/>
    <w:rsid w:val="007A63F2"/>
    <w:rsid w:val="007A6C49"/>
    <w:rsid w:val="007B01F2"/>
    <w:rsid w:val="007B68DE"/>
    <w:rsid w:val="007C1857"/>
    <w:rsid w:val="007C514F"/>
    <w:rsid w:val="007D01E2"/>
    <w:rsid w:val="007D081F"/>
    <w:rsid w:val="007D0F95"/>
    <w:rsid w:val="007D4EBC"/>
    <w:rsid w:val="007D7ECB"/>
    <w:rsid w:val="007E0C83"/>
    <w:rsid w:val="007E25A1"/>
    <w:rsid w:val="007E4BD2"/>
    <w:rsid w:val="007E707F"/>
    <w:rsid w:val="007E7145"/>
    <w:rsid w:val="007E76E1"/>
    <w:rsid w:val="007F04BB"/>
    <w:rsid w:val="007F3916"/>
    <w:rsid w:val="007F75FB"/>
    <w:rsid w:val="00801179"/>
    <w:rsid w:val="00802479"/>
    <w:rsid w:val="00805372"/>
    <w:rsid w:val="00805B7B"/>
    <w:rsid w:val="0081293E"/>
    <w:rsid w:val="00814FFB"/>
    <w:rsid w:val="0081746D"/>
    <w:rsid w:val="00820568"/>
    <w:rsid w:val="00824028"/>
    <w:rsid w:val="00824C63"/>
    <w:rsid w:val="00831A80"/>
    <w:rsid w:val="008332C8"/>
    <w:rsid w:val="00833743"/>
    <w:rsid w:val="008340A4"/>
    <w:rsid w:val="00834188"/>
    <w:rsid w:val="00836799"/>
    <w:rsid w:val="00837028"/>
    <w:rsid w:val="00837131"/>
    <w:rsid w:val="0084405F"/>
    <w:rsid w:val="008441CF"/>
    <w:rsid w:val="00845F57"/>
    <w:rsid w:val="00852132"/>
    <w:rsid w:val="008521E0"/>
    <w:rsid w:val="008525B0"/>
    <w:rsid w:val="008619A0"/>
    <w:rsid w:val="00866AE4"/>
    <w:rsid w:val="00867CBC"/>
    <w:rsid w:val="0087385F"/>
    <w:rsid w:val="00876C30"/>
    <w:rsid w:val="00877017"/>
    <w:rsid w:val="008773C0"/>
    <w:rsid w:val="00880364"/>
    <w:rsid w:val="00882DD2"/>
    <w:rsid w:val="00886C4C"/>
    <w:rsid w:val="0088711C"/>
    <w:rsid w:val="00890607"/>
    <w:rsid w:val="00892ECF"/>
    <w:rsid w:val="00892F06"/>
    <w:rsid w:val="00894285"/>
    <w:rsid w:val="008A1889"/>
    <w:rsid w:val="008A1C20"/>
    <w:rsid w:val="008A40AE"/>
    <w:rsid w:val="008A4E19"/>
    <w:rsid w:val="008A56A8"/>
    <w:rsid w:val="008A5A14"/>
    <w:rsid w:val="008A67C5"/>
    <w:rsid w:val="008B22E1"/>
    <w:rsid w:val="008B3C78"/>
    <w:rsid w:val="008B4AE9"/>
    <w:rsid w:val="008C175A"/>
    <w:rsid w:val="008C28FB"/>
    <w:rsid w:val="008C30AD"/>
    <w:rsid w:val="008C6A26"/>
    <w:rsid w:val="008D068E"/>
    <w:rsid w:val="008D0F7A"/>
    <w:rsid w:val="008D1E75"/>
    <w:rsid w:val="008D2A8E"/>
    <w:rsid w:val="008D5352"/>
    <w:rsid w:val="008D63BE"/>
    <w:rsid w:val="008E0CE8"/>
    <w:rsid w:val="008E0CFF"/>
    <w:rsid w:val="008E55D4"/>
    <w:rsid w:val="008E5D6B"/>
    <w:rsid w:val="008E689B"/>
    <w:rsid w:val="008E76F0"/>
    <w:rsid w:val="008F0EBD"/>
    <w:rsid w:val="008F15FE"/>
    <w:rsid w:val="008F2A94"/>
    <w:rsid w:val="008F5187"/>
    <w:rsid w:val="008F709C"/>
    <w:rsid w:val="0090312B"/>
    <w:rsid w:val="00904961"/>
    <w:rsid w:val="00907FC4"/>
    <w:rsid w:val="009100CD"/>
    <w:rsid w:val="0091169F"/>
    <w:rsid w:val="009171F2"/>
    <w:rsid w:val="0091736D"/>
    <w:rsid w:val="009300F3"/>
    <w:rsid w:val="00931001"/>
    <w:rsid w:val="00931863"/>
    <w:rsid w:val="00933524"/>
    <w:rsid w:val="00935484"/>
    <w:rsid w:val="00935CA5"/>
    <w:rsid w:val="009379E5"/>
    <w:rsid w:val="0094134B"/>
    <w:rsid w:val="0094278D"/>
    <w:rsid w:val="009468B3"/>
    <w:rsid w:val="0095308A"/>
    <w:rsid w:val="00953DE4"/>
    <w:rsid w:val="00955AEE"/>
    <w:rsid w:val="0095663B"/>
    <w:rsid w:val="00956F14"/>
    <w:rsid w:val="00961899"/>
    <w:rsid w:val="009620FD"/>
    <w:rsid w:val="0096247A"/>
    <w:rsid w:val="00965F4B"/>
    <w:rsid w:val="00966F52"/>
    <w:rsid w:val="00970F8A"/>
    <w:rsid w:val="00971FB5"/>
    <w:rsid w:val="00972D2A"/>
    <w:rsid w:val="00975CC5"/>
    <w:rsid w:val="00976328"/>
    <w:rsid w:val="00976B4E"/>
    <w:rsid w:val="0097769D"/>
    <w:rsid w:val="009814C8"/>
    <w:rsid w:val="00983345"/>
    <w:rsid w:val="00984458"/>
    <w:rsid w:val="00984D54"/>
    <w:rsid w:val="00984FD7"/>
    <w:rsid w:val="00985283"/>
    <w:rsid w:val="00987322"/>
    <w:rsid w:val="0098756D"/>
    <w:rsid w:val="00993390"/>
    <w:rsid w:val="009945A0"/>
    <w:rsid w:val="00996B1B"/>
    <w:rsid w:val="009A0F3B"/>
    <w:rsid w:val="009A16AC"/>
    <w:rsid w:val="009A1956"/>
    <w:rsid w:val="009A24A8"/>
    <w:rsid w:val="009A34E8"/>
    <w:rsid w:val="009A72C7"/>
    <w:rsid w:val="009B0897"/>
    <w:rsid w:val="009B589F"/>
    <w:rsid w:val="009C039F"/>
    <w:rsid w:val="009C428C"/>
    <w:rsid w:val="009D0852"/>
    <w:rsid w:val="009D0D5D"/>
    <w:rsid w:val="009D1FBF"/>
    <w:rsid w:val="009D513D"/>
    <w:rsid w:val="009E399C"/>
    <w:rsid w:val="009E3AC6"/>
    <w:rsid w:val="009E43C1"/>
    <w:rsid w:val="009E7E95"/>
    <w:rsid w:val="009F05E8"/>
    <w:rsid w:val="009F116F"/>
    <w:rsid w:val="009F329E"/>
    <w:rsid w:val="009F7C51"/>
    <w:rsid w:val="009F7ED3"/>
    <w:rsid w:val="00A018E3"/>
    <w:rsid w:val="00A03607"/>
    <w:rsid w:val="00A047FF"/>
    <w:rsid w:val="00A04FEF"/>
    <w:rsid w:val="00A122CD"/>
    <w:rsid w:val="00A12A32"/>
    <w:rsid w:val="00A14248"/>
    <w:rsid w:val="00A14947"/>
    <w:rsid w:val="00A23DC5"/>
    <w:rsid w:val="00A2583D"/>
    <w:rsid w:val="00A34028"/>
    <w:rsid w:val="00A35568"/>
    <w:rsid w:val="00A36E53"/>
    <w:rsid w:val="00A37056"/>
    <w:rsid w:val="00A4358F"/>
    <w:rsid w:val="00A46F67"/>
    <w:rsid w:val="00A509A9"/>
    <w:rsid w:val="00A50B83"/>
    <w:rsid w:val="00A53018"/>
    <w:rsid w:val="00A54AA1"/>
    <w:rsid w:val="00A568FF"/>
    <w:rsid w:val="00A61496"/>
    <w:rsid w:val="00A61833"/>
    <w:rsid w:val="00A624C6"/>
    <w:rsid w:val="00A63952"/>
    <w:rsid w:val="00A63CEC"/>
    <w:rsid w:val="00A644C2"/>
    <w:rsid w:val="00A7031E"/>
    <w:rsid w:val="00A728B1"/>
    <w:rsid w:val="00A73BA3"/>
    <w:rsid w:val="00A763DE"/>
    <w:rsid w:val="00A803D6"/>
    <w:rsid w:val="00A81282"/>
    <w:rsid w:val="00A81425"/>
    <w:rsid w:val="00A81550"/>
    <w:rsid w:val="00A8713F"/>
    <w:rsid w:val="00A87344"/>
    <w:rsid w:val="00A91167"/>
    <w:rsid w:val="00A9171C"/>
    <w:rsid w:val="00A9211F"/>
    <w:rsid w:val="00A92FFD"/>
    <w:rsid w:val="00A95975"/>
    <w:rsid w:val="00A9708D"/>
    <w:rsid w:val="00AA2C17"/>
    <w:rsid w:val="00AA4172"/>
    <w:rsid w:val="00AA597D"/>
    <w:rsid w:val="00AA754C"/>
    <w:rsid w:val="00AB1914"/>
    <w:rsid w:val="00AB5330"/>
    <w:rsid w:val="00AB7747"/>
    <w:rsid w:val="00AB7A64"/>
    <w:rsid w:val="00AC2532"/>
    <w:rsid w:val="00AD10E6"/>
    <w:rsid w:val="00AD1507"/>
    <w:rsid w:val="00AD2996"/>
    <w:rsid w:val="00AD5A70"/>
    <w:rsid w:val="00AD738B"/>
    <w:rsid w:val="00AE1753"/>
    <w:rsid w:val="00AE1BF4"/>
    <w:rsid w:val="00AE3FF0"/>
    <w:rsid w:val="00AE5484"/>
    <w:rsid w:val="00AE5D97"/>
    <w:rsid w:val="00AE6794"/>
    <w:rsid w:val="00AF71C9"/>
    <w:rsid w:val="00B008FB"/>
    <w:rsid w:val="00B01110"/>
    <w:rsid w:val="00B02262"/>
    <w:rsid w:val="00B03CEC"/>
    <w:rsid w:val="00B077AD"/>
    <w:rsid w:val="00B07A5E"/>
    <w:rsid w:val="00B11351"/>
    <w:rsid w:val="00B1209F"/>
    <w:rsid w:val="00B12AD0"/>
    <w:rsid w:val="00B16495"/>
    <w:rsid w:val="00B2306A"/>
    <w:rsid w:val="00B2471B"/>
    <w:rsid w:val="00B24F30"/>
    <w:rsid w:val="00B26523"/>
    <w:rsid w:val="00B31ABF"/>
    <w:rsid w:val="00B335AE"/>
    <w:rsid w:val="00B35A3A"/>
    <w:rsid w:val="00B37CE1"/>
    <w:rsid w:val="00B40ACF"/>
    <w:rsid w:val="00B46BAA"/>
    <w:rsid w:val="00B4746C"/>
    <w:rsid w:val="00B50655"/>
    <w:rsid w:val="00B508A0"/>
    <w:rsid w:val="00B50B5F"/>
    <w:rsid w:val="00B5188C"/>
    <w:rsid w:val="00B51969"/>
    <w:rsid w:val="00B54128"/>
    <w:rsid w:val="00B5454D"/>
    <w:rsid w:val="00B55826"/>
    <w:rsid w:val="00B60426"/>
    <w:rsid w:val="00B622DD"/>
    <w:rsid w:val="00B63522"/>
    <w:rsid w:val="00B66AFC"/>
    <w:rsid w:val="00B75130"/>
    <w:rsid w:val="00B76F1D"/>
    <w:rsid w:val="00B829F3"/>
    <w:rsid w:val="00B92A19"/>
    <w:rsid w:val="00B92E78"/>
    <w:rsid w:val="00B9544C"/>
    <w:rsid w:val="00B954B7"/>
    <w:rsid w:val="00BA29E9"/>
    <w:rsid w:val="00BA3483"/>
    <w:rsid w:val="00BB1762"/>
    <w:rsid w:val="00BB1D58"/>
    <w:rsid w:val="00BB3618"/>
    <w:rsid w:val="00BB6818"/>
    <w:rsid w:val="00BC0C9E"/>
    <w:rsid w:val="00BC32DC"/>
    <w:rsid w:val="00BD1B51"/>
    <w:rsid w:val="00BD34E3"/>
    <w:rsid w:val="00BD47F6"/>
    <w:rsid w:val="00BE13B3"/>
    <w:rsid w:val="00BE312D"/>
    <w:rsid w:val="00BE3FCA"/>
    <w:rsid w:val="00BF1789"/>
    <w:rsid w:val="00C00FBC"/>
    <w:rsid w:val="00C0240D"/>
    <w:rsid w:val="00C02821"/>
    <w:rsid w:val="00C0292D"/>
    <w:rsid w:val="00C05719"/>
    <w:rsid w:val="00C10578"/>
    <w:rsid w:val="00C17D62"/>
    <w:rsid w:val="00C2156C"/>
    <w:rsid w:val="00C21FDC"/>
    <w:rsid w:val="00C24EE7"/>
    <w:rsid w:val="00C2596A"/>
    <w:rsid w:val="00C271BE"/>
    <w:rsid w:val="00C27425"/>
    <w:rsid w:val="00C328FE"/>
    <w:rsid w:val="00C33A05"/>
    <w:rsid w:val="00C369F3"/>
    <w:rsid w:val="00C407B7"/>
    <w:rsid w:val="00C42500"/>
    <w:rsid w:val="00C4409D"/>
    <w:rsid w:val="00C455BE"/>
    <w:rsid w:val="00C51E5F"/>
    <w:rsid w:val="00C60137"/>
    <w:rsid w:val="00C61E4B"/>
    <w:rsid w:val="00C62E3A"/>
    <w:rsid w:val="00C64503"/>
    <w:rsid w:val="00C64A1F"/>
    <w:rsid w:val="00C64BFF"/>
    <w:rsid w:val="00C75645"/>
    <w:rsid w:val="00C763C9"/>
    <w:rsid w:val="00C80057"/>
    <w:rsid w:val="00C8232E"/>
    <w:rsid w:val="00C82C79"/>
    <w:rsid w:val="00C84753"/>
    <w:rsid w:val="00C84F37"/>
    <w:rsid w:val="00C91611"/>
    <w:rsid w:val="00C94083"/>
    <w:rsid w:val="00CA3585"/>
    <w:rsid w:val="00CA3D5A"/>
    <w:rsid w:val="00CA4C7C"/>
    <w:rsid w:val="00CB0183"/>
    <w:rsid w:val="00CB1EA3"/>
    <w:rsid w:val="00CB384A"/>
    <w:rsid w:val="00CB552C"/>
    <w:rsid w:val="00CB627F"/>
    <w:rsid w:val="00CB6A9E"/>
    <w:rsid w:val="00CC0A10"/>
    <w:rsid w:val="00CC6181"/>
    <w:rsid w:val="00CC6E96"/>
    <w:rsid w:val="00CD2BCD"/>
    <w:rsid w:val="00CD3619"/>
    <w:rsid w:val="00CD36AA"/>
    <w:rsid w:val="00CD3791"/>
    <w:rsid w:val="00CD4346"/>
    <w:rsid w:val="00CD65B0"/>
    <w:rsid w:val="00CD78A8"/>
    <w:rsid w:val="00CE02CD"/>
    <w:rsid w:val="00CE0F80"/>
    <w:rsid w:val="00CE10E9"/>
    <w:rsid w:val="00CE2D97"/>
    <w:rsid w:val="00CE676B"/>
    <w:rsid w:val="00CF0B6A"/>
    <w:rsid w:val="00D0072E"/>
    <w:rsid w:val="00D02048"/>
    <w:rsid w:val="00D04DF0"/>
    <w:rsid w:val="00D05DA7"/>
    <w:rsid w:val="00D15727"/>
    <w:rsid w:val="00D16332"/>
    <w:rsid w:val="00D16BA2"/>
    <w:rsid w:val="00D23242"/>
    <w:rsid w:val="00D24972"/>
    <w:rsid w:val="00D2515E"/>
    <w:rsid w:val="00D308ED"/>
    <w:rsid w:val="00D3132D"/>
    <w:rsid w:val="00D439BE"/>
    <w:rsid w:val="00D5224D"/>
    <w:rsid w:val="00D56178"/>
    <w:rsid w:val="00D56CF0"/>
    <w:rsid w:val="00D56F5C"/>
    <w:rsid w:val="00D651AC"/>
    <w:rsid w:val="00D704B1"/>
    <w:rsid w:val="00D70B63"/>
    <w:rsid w:val="00D72B92"/>
    <w:rsid w:val="00D72ED4"/>
    <w:rsid w:val="00D73F61"/>
    <w:rsid w:val="00D754C0"/>
    <w:rsid w:val="00D776A2"/>
    <w:rsid w:val="00D801C4"/>
    <w:rsid w:val="00D85723"/>
    <w:rsid w:val="00D86CEA"/>
    <w:rsid w:val="00D90836"/>
    <w:rsid w:val="00D95896"/>
    <w:rsid w:val="00D95CC6"/>
    <w:rsid w:val="00DA2DA3"/>
    <w:rsid w:val="00DA6615"/>
    <w:rsid w:val="00DA76AE"/>
    <w:rsid w:val="00DB181E"/>
    <w:rsid w:val="00DB1C7A"/>
    <w:rsid w:val="00DB2983"/>
    <w:rsid w:val="00DB343D"/>
    <w:rsid w:val="00DB5579"/>
    <w:rsid w:val="00DB5CFE"/>
    <w:rsid w:val="00DC21DC"/>
    <w:rsid w:val="00DC4843"/>
    <w:rsid w:val="00DC4B66"/>
    <w:rsid w:val="00DC72A6"/>
    <w:rsid w:val="00DD136A"/>
    <w:rsid w:val="00DD2113"/>
    <w:rsid w:val="00DD265E"/>
    <w:rsid w:val="00DE7134"/>
    <w:rsid w:val="00DF1930"/>
    <w:rsid w:val="00DF408F"/>
    <w:rsid w:val="00DF514A"/>
    <w:rsid w:val="00DF5D64"/>
    <w:rsid w:val="00DF7F51"/>
    <w:rsid w:val="00E032CB"/>
    <w:rsid w:val="00E0358D"/>
    <w:rsid w:val="00E06327"/>
    <w:rsid w:val="00E10330"/>
    <w:rsid w:val="00E12E1A"/>
    <w:rsid w:val="00E13F40"/>
    <w:rsid w:val="00E15A86"/>
    <w:rsid w:val="00E2064B"/>
    <w:rsid w:val="00E21168"/>
    <w:rsid w:val="00E22940"/>
    <w:rsid w:val="00E25239"/>
    <w:rsid w:val="00E265B1"/>
    <w:rsid w:val="00E275B0"/>
    <w:rsid w:val="00E31582"/>
    <w:rsid w:val="00E318B6"/>
    <w:rsid w:val="00E31A0C"/>
    <w:rsid w:val="00E3764E"/>
    <w:rsid w:val="00E412D0"/>
    <w:rsid w:val="00E46AF6"/>
    <w:rsid w:val="00E47CDB"/>
    <w:rsid w:val="00E566BC"/>
    <w:rsid w:val="00E60982"/>
    <w:rsid w:val="00E60C8D"/>
    <w:rsid w:val="00E6162F"/>
    <w:rsid w:val="00E6311B"/>
    <w:rsid w:val="00E65D97"/>
    <w:rsid w:val="00E662DB"/>
    <w:rsid w:val="00E67EFD"/>
    <w:rsid w:val="00E702DC"/>
    <w:rsid w:val="00E71FFB"/>
    <w:rsid w:val="00E74E4D"/>
    <w:rsid w:val="00E75967"/>
    <w:rsid w:val="00E76D1D"/>
    <w:rsid w:val="00E806F8"/>
    <w:rsid w:val="00E86106"/>
    <w:rsid w:val="00E862B6"/>
    <w:rsid w:val="00E87752"/>
    <w:rsid w:val="00E8793B"/>
    <w:rsid w:val="00E90A12"/>
    <w:rsid w:val="00E90F81"/>
    <w:rsid w:val="00E91A6D"/>
    <w:rsid w:val="00E9242D"/>
    <w:rsid w:val="00E9333E"/>
    <w:rsid w:val="00E9408A"/>
    <w:rsid w:val="00EB041C"/>
    <w:rsid w:val="00EB7BE9"/>
    <w:rsid w:val="00EC08F6"/>
    <w:rsid w:val="00EC141D"/>
    <w:rsid w:val="00EC3E86"/>
    <w:rsid w:val="00EC52D6"/>
    <w:rsid w:val="00EC5855"/>
    <w:rsid w:val="00EC5874"/>
    <w:rsid w:val="00ED192D"/>
    <w:rsid w:val="00ED30B4"/>
    <w:rsid w:val="00ED31F5"/>
    <w:rsid w:val="00ED452A"/>
    <w:rsid w:val="00ED580E"/>
    <w:rsid w:val="00EE2B52"/>
    <w:rsid w:val="00EE31EC"/>
    <w:rsid w:val="00EF2759"/>
    <w:rsid w:val="00EF2BA3"/>
    <w:rsid w:val="00EF45EB"/>
    <w:rsid w:val="00EF5099"/>
    <w:rsid w:val="00EF5E33"/>
    <w:rsid w:val="00F00075"/>
    <w:rsid w:val="00F03E73"/>
    <w:rsid w:val="00F07822"/>
    <w:rsid w:val="00F152B0"/>
    <w:rsid w:val="00F15C95"/>
    <w:rsid w:val="00F17494"/>
    <w:rsid w:val="00F22985"/>
    <w:rsid w:val="00F22DC7"/>
    <w:rsid w:val="00F23347"/>
    <w:rsid w:val="00F241AB"/>
    <w:rsid w:val="00F266C0"/>
    <w:rsid w:val="00F31382"/>
    <w:rsid w:val="00F35829"/>
    <w:rsid w:val="00F42868"/>
    <w:rsid w:val="00F43199"/>
    <w:rsid w:val="00F465A7"/>
    <w:rsid w:val="00F5014C"/>
    <w:rsid w:val="00F50B7C"/>
    <w:rsid w:val="00F50DD6"/>
    <w:rsid w:val="00F5202D"/>
    <w:rsid w:val="00F52CF6"/>
    <w:rsid w:val="00F54496"/>
    <w:rsid w:val="00F56B7F"/>
    <w:rsid w:val="00F5755A"/>
    <w:rsid w:val="00F60084"/>
    <w:rsid w:val="00F61097"/>
    <w:rsid w:val="00F66E4D"/>
    <w:rsid w:val="00F67632"/>
    <w:rsid w:val="00F7210F"/>
    <w:rsid w:val="00F74345"/>
    <w:rsid w:val="00F74441"/>
    <w:rsid w:val="00F74A57"/>
    <w:rsid w:val="00F7533C"/>
    <w:rsid w:val="00F772D8"/>
    <w:rsid w:val="00F77F30"/>
    <w:rsid w:val="00F821D1"/>
    <w:rsid w:val="00F82589"/>
    <w:rsid w:val="00F82B19"/>
    <w:rsid w:val="00F864BF"/>
    <w:rsid w:val="00F90AA7"/>
    <w:rsid w:val="00F9212D"/>
    <w:rsid w:val="00F95C34"/>
    <w:rsid w:val="00F96229"/>
    <w:rsid w:val="00F971AA"/>
    <w:rsid w:val="00F97714"/>
    <w:rsid w:val="00FA074A"/>
    <w:rsid w:val="00FA301A"/>
    <w:rsid w:val="00FA406A"/>
    <w:rsid w:val="00FA5CB6"/>
    <w:rsid w:val="00FB45A5"/>
    <w:rsid w:val="00FB51AF"/>
    <w:rsid w:val="00FC3559"/>
    <w:rsid w:val="00FC66AC"/>
    <w:rsid w:val="00FD0ABA"/>
    <w:rsid w:val="00FD18F4"/>
    <w:rsid w:val="00FD1E89"/>
    <w:rsid w:val="00FD4931"/>
    <w:rsid w:val="00FD62B8"/>
    <w:rsid w:val="00FD6443"/>
    <w:rsid w:val="00FD74B4"/>
    <w:rsid w:val="00FF2638"/>
    <w:rsid w:val="00FF50BF"/>
    <w:rsid w:val="00FF6D80"/>
    <w:rsid w:val="00FF6FCE"/>
    <w:rsid w:val="00FF7518"/>
    <w:rsid w:val="00FF7FD8"/>
    <w:rsid w:val="010114F3"/>
    <w:rsid w:val="010333FC"/>
    <w:rsid w:val="010B405F"/>
    <w:rsid w:val="011613D5"/>
    <w:rsid w:val="01172A03"/>
    <w:rsid w:val="0119677B"/>
    <w:rsid w:val="01275B88"/>
    <w:rsid w:val="01415CD2"/>
    <w:rsid w:val="014C5DB0"/>
    <w:rsid w:val="0157090D"/>
    <w:rsid w:val="015B5A28"/>
    <w:rsid w:val="015C48BA"/>
    <w:rsid w:val="015F6660"/>
    <w:rsid w:val="016235C6"/>
    <w:rsid w:val="016B2A66"/>
    <w:rsid w:val="016D0077"/>
    <w:rsid w:val="017D6DEF"/>
    <w:rsid w:val="018046E7"/>
    <w:rsid w:val="01822573"/>
    <w:rsid w:val="01883B96"/>
    <w:rsid w:val="018C1375"/>
    <w:rsid w:val="018C1895"/>
    <w:rsid w:val="0194674A"/>
    <w:rsid w:val="01A155FC"/>
    <w:rsid w:val="01AE2B0D"/>
    <w:rsid w:val="01B35D44"/>
    <w:rsid w:val="01B666C0"/>
    <w:rsid w:val="01B87BAA"/>
    <w:rsid w:val="01CA5CC8"/>
    <w:rsid w:val="01D1627A"/>
    <w:rsid w:val="01E01D0E"/>
    <w:rsid w:val="01E31D20"/>
    <w:rsid w:val="01F12967"/>
    <w:rsid w:val="01F236B3"/>
    <w:rsid w:val="01F27033"/>
    <w:rsid w:val="01F46DDD"/>
    <w:rsid w:val="02055D76"/>
    <w:rsid w:val="020B6A0C"/>
    <w:rsid w:val="020E5FCD"/>
    <w:rsid w:val="021C21DE"/>
    <w:rsid w:val="022C7401"/>
    <w:rsid w:val="022E14A5"/>
    <w:rsid w:val="02320E0B"/>
    <w:rsid w:val="0237037C"/>
    <w:rsid w:val="024261A6"/>
    <w:rsid w:val="02467A44"/>
    <w:rsid w:val="02477318"/>
    <w:rsid w:val="024B505A"/>
    <w:rsid w:val="025739FF"/>
    <w:rsid w:val="026D4CA4"/>
    <w:rsid w:val="026F1557"/>
    <w:rsid w:val="02836FD5"/>
    <w:rsid w:val="02913B65"/>
    <w:rsid w:val="029167E5"/>
    <w:rsid w:val="02934CF1"/>
    <w:rsid w:val="02AE55E9"/>
    <w:rsid w:val="02B23101"/>
    <w:rsid w:val="02B52B3C"/>
    <w:rsid w:val="02B67BB0"/>
    <w:rsid w:val="02B74878"/>
    <w:rsid w:val="02C153C7"/>
    <w:rsid w:val="02C358B0"/>
    <w:rsid w:val="02C76EAF"/>
    <w:rsid w:val="02CA54BE"/>
    <w:rsid w:val="02E8423C"/>
    <w:rsid w:val="02FA2462"/>
    <w:rsid w:val="031F2043"/>
    <w:rsid w:val="032E79E0"/>
    <w:rsid w:val="03524C45"/>
    <w:rsid w:val="035B12CD"/>
    <w:rsid w:val="03727144"/>
    <w:rsid w:val="03747CFB"/>
    <w:rsid w:val="037E6D6A"/>
    <w:rsid w:val="03830BB7"/>
    <w:rsid w:val="038976A5"/>
    <w:rsid w:val="03912F41"/>
    <w:rsid w:val="039218D2"/>
    <w:rsid w:val="039849B2"/>
    <w:rsid w:val="03993C05"/>
    <w:rsid w:val="039E6195"/>
    <w:rsid w:val="03A76903"/>
    <w:rsid w:val="03AE3AF3"/>
    <w:rsid w:val="03B3792E"/>
    <w:rsid w:val="03B44E81"/>
    <w:rsid w:val="03C03826"/>
    <w:rsid w:val="03C3096B"/>
    <w:rsid w:val="03D0245E"/>
    <w:rsid w:val="03D90444"/>
    <w:rsid w:val="03E4661B"/>
    <w:rsid w:val="03F62A3E"/>
    <w:rsid w:val="03F80D98"/>
    <w:rsid w:val="03FB03BA"/>
    <w:rsid w:val="03FB2A2B"/>
    <w:rsid w:val="0405748B"/>
    <w:rsid w:val="040A794C"/>
    <w:rsid w:val="040D490D"/>
    <w:rsid w:val="041B0A5C"/>
    <w:rsid w:val="043164D2"/>
    <w:rsid w:val="04390EE3"/>
    <w:rsid w:val="044E5A9E"/>
    <w:rsid w:val="04642403"/>
    <w:rsid w:val="04683B1B"/>
    <w:rsid w:val="046F5906"/>
    <w:rsid w:val="04770389"/>
    <w:rsid w:val="047B6353"/>
    <w:rsid w:val="04893C18"/>
    <w:rsid w:val="04980C9F"/>
    <w:rsid w:val="04996E29"/>
    <w:rsid w:val="04AB1EA0"/>
    <w:rsid w:val="04AB7753"/>
    <w:rsid w:val="04AF424C"/>
    <w:rsid w:val="04B07D86"/>
    <w:rsid w:val="04B44B79"/>
    <w:rsid w:val="04B53003"/>
    <w:rsid w:val="04C31A08"/>
    <w:rsid w:val="04C655C9"/>
    <w:rsid w:val="04CA2628"/>
    <w:rsid w:val="04CF6AD3"/>
    <w:rsid w:val="04D01847"/>
    <w:rsid w:val="04D87928"/>
    <w:rsid w:val="04DD675D"/>
    <w:rsid w:val="04DF1A8A"/>
    <w:rsid w:val="04E377CC"/>
    <w:rsid w:val="04EC2892"/>
    <w:rsid w:val="04F15281"/>
    <w:rsid w:val="04F15EBA"/>
    <w:rsid w:val="04F217BD"/>
    <w:rsid w:val="04F66AC6"/>
    <w:rsid w:val="05031BE1"/>
    <w:rsid w:val="050375E0"/>
    <w:rsid w:val="050C068C"/>
    <w:rsid w:val="05130419"/>
    <w:rsid w:val="053718C6"/>
    <w:rsid w:val="05381718"/>
    <w:rsid w:val="053E2C54"/>
    <w:rsid w:val="05476D0D"/>
    <w:rsid w:val="05493C75"/>
    <w:rsid w:val="054B6977"/>
    <w:rsid w:val="05500DC0"/>
    <w:rsid w:val="05634469"/>
    <w:rsid w:val="0568330F"/>
    <w:rsid w:val="056A659B"/>
    <w:rsid w:val="05742AC8"/>
    <w:rsid w:val="057513FF"/>
    <w:rsid w:val="057B4000"/>
    <w:rsid w:val="057F6DC9"/>
    <w:rsid w:val="05822D1E"/>
    <w:rsid w:val="059F073A"/>
    <w:rsid w:val="05A26417"/>
    <w:rsid w:val="05B22EA2"/>
    <w:rsid w:val="05B253F0"/>
    <w:rsid w:val="05B37778"/>
    <w:rsid w:val="05B43260"/>
    <w:rsid w:val="05CB4219"/>
    <w:rsid w:val="05CF0274"/>
    <w:rsid w:val="05D92AD9"/>
    <w:rsid w:val="05F14F57"/>
    <w:rsid w:val="05F61781"/>
    <w:rsid w:val="05F9510C"/>
    <w:rsid w:val="05FD2B10"/>
    <w:rsid w:val="0603173B"/>
    <w:rsid w:val="06055520"/>
    <w:rsid w:val="061153CA"/>
    <w:rsid w:val="06192EFB"/>
    <w:rsid w:val="06197802"/>
    <w:rsid w:val="061D6D0E"/>
    <w:rsid w:val="062067FE"/>
    <w:rsid w:val="062F5F1C"/>
    <w:rsid w:val="06352F05"/>
    <w:rsid w:val="06386D73"/>
    <w:rsid w:val="063E7D85"/>
    <w:rsid w:val="064A4E92"/>
    <w:rsid w:val="065C27E1"/>
    <w:rsid w:val="06602727"/>
    <w:rsid w:val="066118BD"/>
    <w:rsid w:val="067B1F1D"/>
    <w:rsid w:val="067F2405"/>
    <w:rsid w:val="06851FBC"/>
    <w:rsid w:val="0694011F"/>
    <w:rsid w:val="06952D48"/>
    <w:rsid w:val="069B7AE1"/>
    <w:rsid w:val="069C5763"/>
    <w:rsid w:val="069F5975"/>
    <w:rsid w:val="06A82D0D"/>
    <w:rsid w:val="06A905A2"/>
    <w:rsid w:val="06C07699"/>
    <w:rsid w:val="06CD0028"/>
    <w:rsid w:val="06CD6519"/>
    <w:rsid w:val="06DA58BE"/>
    <w:rsid w:val="06E27EE4"/>
    <w:rsid w:val="06EC7E1C"/>
    <w:rsid w:val="06F244A5"/>
    <w:rsid w:val="06FA2477"/>
    <w:rsid w:val="06FD15E5"/>
    <w:rsid w:val="070103DE"/>
    <w:rsid w:val="0701761C"/>
    <w:rsid w:val="07074BF1"/>
    <w:rsid w:val="070875E0"/>
    <w:rsid w:val="070D04BC"/>
    <w:rsid w:val="071F001B"/>
    <w:rsid w:val="07216AA4"/>
    <w:rsid w:val="07251B4B"/>
    <w:rsid w:val="07293586"/>
    <w:rsid w:val="07295285"/>
    <w:rsid w:val="07487DBA"/>
    <w:rsid w:val="074B1659"/>
    <w:rsid w:val="075229E7"/>
    <w:rsid w:val="075727B7"/>
    <w:rsid w:val="077522AE"/>
    <w:rsid w:val="07770C56"/>
    <w:rsid w:val="0790350F"/>
    <w:rsid w:val="07972D2B"/>
    <w:rsid w:val="079C6E54"/>
    <w:rsid w:val="079E06FB"/>
    <w:rsid w:val="07A442D4"/>
    <w:rsid w:val="07AD5E6F"/>
    <w:rsid w:val="07AF1BE8"/>
    <w:rsid w:val="07B84325"/>
    <w:rsid w:val="07BA233A"/>
    <w:rsid w:val="07BD1EB3"/>
    <w:rsid w:val="07DA78E0"/>
    <w:rsid w:val="07FE2B6F"/>
    <w:rsid w:val="08022B9F"/>
    <w:rsid w:val="08087D19"/>
    <w:rsid w:val="080C703A"/>
    <w:rsid w:val="081952B3"/>
    <w:rsid w:val="08226517"/>
    <w:rsid w:val="082365B1"/>
    <w:rsid w:val="082779D0"/>
    <w:rsid w:val="0837398B"/>
    <w:rsid w:val="084E7652"/>
    <w:rsid w:val="085D1644"/>
    <w:rsid w:val="08626C5A"/>
    <w:rsid w:val="086A5B0F"/>
    <w:rsid w:val="086E75E9"/>
    <w:rsid w:val="086F75C9"/>
    <w:rsid w:val="08760957"/>
    <w:rsid w:val="087846C0"/>
    <w:rsid w:val="087F780C"/>
    <w:rsid w:val="088039DF"/>
    <w:rsid w:val="08844E22"/>
    <w:rsid w:val="088968DD"/>
    <w:rsid w:val="088C1F29"/>
    <w:rsid w:val="08966833"/>
    <w:rsid w:val="08A90D2D"/>
    <w:rsid w:val="08B55AB0"/>
    <w:rsid w:val="08BB45BC"/>
    <w:rsid w:val="08C07E24"/>
    <w:rsid w:val="08C571E9"/>
    <w:rsid w:val="08DD3C60"/>
    <w:rsid w:val="08F0070A"/>
    <w:rsid w:val="08F4223A"/>
    <w:rsid w:val="08F85810"/>
    <w:rsid w:val="08FF7541"/>
    <w:rsid w:val="090221EB"/>
    <w:rsid w:val="092217DD"/>
    <w:rsid w:val="09260233"/>
    <w:rsid w:val="092C1016"/>
    <w:rsid w:val="092C3269"/>
    <w:rsid w:val="092E4D8E"/>
    <w:rsid w:val="093A7294"/>
    <w:rsid w:val="093F0735"/>
    <w:rsid w:val="093F130F"/>
    <w:rsid w:val="09446B93"/>
    <w:rsid w:val="09465165"/>
    <w:rsid w:val="09547CAD"/>
    <w:rsid w:val="0962248A"/>
    <w:rsid w:val="09703868"/>
    <w:rsid w:val="098C2B06"/>
    <w:rsid w:val="09976DD7"/>
    <w:rsid w:val="099C619C"/>
    <w:rsid w:val="099F5C8C"/>
    <w:rsid w:val="099F6BCB"/>
    <w:rsid w:val="09A339CE"/>
    <w:rsid w:val="09A8576E"/>
    <w:rsid w:val="09A911B7"/>
    <w:rsid w:val="09AA4D5C"/>
    <w:rsid w:val="09AC7F82"/>
    <w:rsid w:val="09AF2373"/>
    <w:rsid w:val="09B53E2F"/>
    <w:rsid w:val="09BA7D80"/>
    <w:rsid w:val="09C01C73"/>
    <w:rsid w:val="09D34EF7"/>
    <w:rsid w:val="09DC47EA"/>
    <w:rsid w:val="09E14DD8"/>
    <w:rsid w:val="09E162A4"/>
    <w:rsid w:val="09F14FED"/>
    <w:rsid w:val="09FC3544"/>
    <w:rsid w:val="09FE29B2"/>
    <w:rsid w:val="0A02010A"/>
    <w:rsid w:val="0A24470B"/>
    <w:rsid w:val="0A2A19F9"/>
    <w:rsid w:val="0A327BA9"/>
    <w:rsid w:val="0A331AAC"/>
    <w:rsid w:val="0A354C97"/>
    <w:rsid w:val="0A3960E0"/>
    <w:rsid w:val="0A3974EE"/>
    <w:rsid w:val="0A444601"/>
    <w:rsid w:val="0A483ADC"/>
    <w:rsid w:val="0A48552D"/>
    <w:rsid w:val="0A4A0473"/>
    <w:rsid w:val="0A4F5663"/>
    <w:rsid w:val="0A530095"/>
    <w:rsid w:val="0A5A27D9"/>
    <w:rsid w:val="0A5D5410"/>
    <w:rsid w:val="0A6939AD"/>
    <w:rsid w:val="0A717628"/>
    <w:rsid w:val="0A730B0F"/>
    <w:rsid w:val="0A8522AD"/>
    <w:rsid w:val="0A887803"/>
    <w:rsid w:val="0A8C6210"/>
    <w:rsid w:val="0A9E2212"/>
    <w:rsid w:val="0AAF0151"/>
    <w:rsid w:val="0ACA7865"/>
    <w:rsid w:val="0ACE4A7B"/>
    <w:rsid w:val="0AD031DF"/>
    <w:rsid w:val="0AE93662"/>
    <w:rsid w:val="0AFC6CA1"/>
    <w:rsid w:val="0B01641A"/>
    <w:rsid w:val="0B083913"/>
    <w:rsid w:val="0B137E81"/>
    <w:rsid w:val="0B2439F9"/>
    <w:rsid w:val="0B293A5F"/>
    <w:rsid w:val="0B3643CE"/>
    <w:rsid w:val="0B3F3282"/>
    <w:rsid w:val="0B6727D9"/>
    <w:rsid w:val="0B68215D"/>
    <w:rsid w:val="0B6A36D6"/>
    <w:rsid w:val="0B6B4077"/>
    <w:rsid w:val="0B6E5911"/>
    <w:rsid w:val="0B7078E0"/>
    <w:rsid w:val="0B756EE5"/>
    <w:rsid w:val="0B797EDD"/>
    <w:rsid w:val="0B7A075E"/>
    <w:rsid w:val="0B7A6E4E"/>
    <w:rsid w:val="0B7D0094"/>
    <w:rsid w:val="0B9630D7"/>
    <w:rsid w:val="0B984EA0"/>
    <w:rsid w:val="0BAB2C6B"/>
    <w:rsid w:val="0BBB2199"/>
    <w:rsid w:val="0BC75351"/>
    <w:rsid w:val="0BD27BF6"/>
    <w:rsid w:val="0BD74E46"/>
    <w:rsid w:val="0C013622"/>
    <w:rsid w:val="0C104906"/>
    <w:rsid w:val="0C1110C3"/>
    <w:rsid w:val="0C1342A1"/>
    <w:rsid w:val="0C1C33F0"/>
    <w:rsid w:val="0C1F0797"/>
    <w:rsid w:val="0C1F363C"/>
    <w:rsid w:val="0C2D48D2"/>
    <w:rsid w:val="0C304E24"/>
    <w:rsid w:val="0C4A6E11"/>
    <w:rsid w:val="0C4A74E7"/>
    <w:rsid w:val="0C4F3999"/>
    <w:rsid w:val="0C5063DF"/>
    <w:rsid w:val="0C67251C"/>
    <w:rsid w:val="0C692CC5"/>
    <w:rsid w:val="0C7E68E6"/>
    <w:rsid w:val="0C811679"/>
    <w:rsid w:val="0C912478"/>
    <w:rsid w:val="0C950B9E"/>
    <w:rsid w:val="0C970AA6"/>
    <w:rsid w:val="0C9910B8"/>
    <w:rsid w:val="0CA5180B"/>
    <w:rsid w:val="0CDD2D53"/>
    <w:rsid w:val="0CEC568C"/>
    <w:rsid w:val="0CEF0CD8"/>
    <w:rsid w:val="0CF0029B"/>
    <w:rsid w:val="0CF06F2A"/>
    <w:rsid w:val="0CF167FE"/>
    <w:rsid w:val="0CFD3FB9"/>
    <w:rsid w:val="0D210408"/>
    <w:rsid w:val="0D2E35AF"/>
    <w:rsid w:val="0D3155AA"/>
    <w:rsid w:val="0D3377ED"/>
    <w:rsid w:val="0D3C216F"/>
    <w:rsid w:val="0D3F0613"/>
    <w:rsid w:val="0D670A32"/>
    <w:rsid w:val="0D6C72FA"/>
    <w:rsid w:val="0D731909"/>
    <w:rsid w:val="0D782A7C"/>
    <w:rsid w:val="0D7C0F42"/>
    <w:rsid w:val="0D84701C"/>
    <w:rsid w:val="0D8B6C53"/>
    <w:rsid w:val="0D9A6E96"/>
    <w:rsid w:val="0D9D1B34"/>
    <w:rsid w:val="0DA10224"/>
    <w:rsid w:val="0DA26F5D"/>
    <w:rsid w:val="0DAC58D4"/>
    <w:rsid w:val="0DBD3B65"/>
    <w:rsid w:val="0DC42165"/>
    <w:rsid w:val="0DCB704F"/>
    <w:rsid w:val="0DD43D73"/>
    <w:rsid w:val="0DEA1BCB"/>
    <w:rsid w:val="0DEA1BE5"/>
    <w:rsid w:val="0DF0289C"/>
    <w:rsid w:val="0DF02A51"/>
    <w:rsid w:val="0DF47188"/>
    <w:rsid w:val="0DF5231E"/>
    <w:rsid w:val="0DF6591F"/>
    <w:rsid w:val="0DF8507F"/>
    <w:rsid w:val="0DFA1202"/>
    <w:rsid w:val="0E110D06"/>
    <w:rsid w:val="0E1235A8"/>
    <w:rsid w:val="0E20337C"/>
    <w:rsid w:val="0E2B5D40"/>
    <w:rsid w:val="0E344BF5"/>
    <w:rsid w:val="0E370B89"/>
    <w:rsid w:val="0E392296"/>
    <w:rsid w:val="0E4742D5"/>
    <w:rsid w:val="0E4A05E4"/>
    <w:rsid w:val="0E6F60C6"/>
    <w:rsid w:val="0E76520D"/>
    <w:rsid w:val="0E8042DE"/>
    <w:rsid w:val="0E81124B"/>
    <w:rsid w:val="0E8536A2"/>
    <w:rsid w:val="0E953BF5"/>
    <w:rsid w:val="0E9D5B72"/>
    <w:rsid w:val="0E9D6C3E"/>
    <w:rsid w:val="0EA16F23"/>
    <w:rsid w:val="0EA55AF2"/>
    <w:rsid w:val="0EBD108E"/>
    <w:rsid w:val="0ED2440E"/>
    <w:rsid w:val="0ED308B1"/>
    <w:rsid w:val="0EE708C1"/>
    <w:rsid w:val="0EE74C52"/>
    <w:rsid w:val="0EEC7E92"/>
    <w:rsid w:val="0EF17524"/>
    <w:rsid w:val="0EF6634E"/>
    <w:rsid w:val="0EF66870"/>
    <w:rsid w:val="0EFA1587"/>
    <w:rsid w:val="0EFB1BB6"/>
    <w:rsid w:val="0F046CBD"/>
    <w:rsid w:val="0F13775A"/>
    <w:rsid w:val="0F16254C"/>
    <w:rsid w:val="0F1770AA"/>
    <w:rsid w:val="0F1D38DB"/>
    <w:rsid w:val="0F4B669A"/>
    <w:rsid w:val="0F4C5C53"/>
    <w:rsid w:val="0F5174CA"/>
    <w:rsid w:val="0F523506"/>
    <w:rsid w:val="0F533280"/>
    <w:rsid w:val="0F56490B"/>
    <w:rsid w:val="0F711E78"/>
    <w:rsid w:val="0F7A59AB"/>
    <w:rsid w:val="0F7E410D"/>
    <w:rsid w:val="0F83098B"/>
    <w:rsid w:val="0F9A112B"/>
    <w:rsid w:val="0FAD3A1C"/>
    <w:rsid w:val="0FB945AA"/>
    <w:rsid w:val="0FBF6A48"/>
    <w:rsid w:val="0FD6408A"/>
    <w:rsid w:val="0FD83CA6"/>
    <w:rsid w:val="0FD871D1"/>
    <w:rsid w:val="0FEB1C2B"/>
    <w:rsid w:val="0FFC0270"/>
    <w:rsid w:val="10017FB3"/>
    <w:rsid w:val="101A2510"/>
    <w:rsid w:val="101E3DAE"/>
    <w:rsid w:val="10216CFF"/>
    <w:rsid w:val="10234120"/>
    <w:rsid w:val="102962AF"/>
    <w:rsid w:val="10371353"/>
    <w:rsid w:val="10533A57"/>
    <w:rsid w:val="105E1AA1"/>
    <w:rsid w:val="106D2F64"/>
    <w:rsid w:val="107E5FE4"/>
    <w:rsid w:val="107F04D7"/>
    <w:rsid w:val="10863E80"/>
    <w:rsid w:val="10942F92"/>
    <w:rsid w:val="10A818CA"/>
    <w:rsid w:val="10B63710"/>
    <w:rsid w:val="10D4204A"/>
    <w:rsid w:val="10D920A3"/>
    <w:rsid w:val="10E43A7A"/>
    <w:rsid w:val="10F0334D"/>
    <w:rsid w:val="10FD1C16"/>
    <w:rsid w:val="1102547E"/>
    <w:rsid w:val="11032FA4"/>
    <w:rsid w:val="11052878"/>
    <w:rsid w:val="11074842"/>
    <w:rsid w:val="110831BA"/>
    <w:rsid w:val="11166CCA"/>
    <w:rsid w:val="111C2F7A"/>
    <w:rsid w:val="11203B56"/>
    <w:rsid w:val="11292A0B"/>
    <w:rsid w:val="113013DE"/>
    <w:rsid w:val="11360C54"/>
    <w:rsid w:val="1145536B"/>
    <w:rsid w:val="11721F69"/>
    <w:rsid w:val="11755C50"/>
    <w:rsid w:val="1176055B"/>
    <w:rsid w:val="118001DD"/>
    <w:rsid w:val="118063A3"/>
    <w:rsid w:val="11910E95"/>
    <w:rsid w:val="11924EB2"/>
    <w:rsid w:val="11A2458A"/>
    <w:rsid w:val="11A32467"/>
    <w:rsid w:val="11BA289F"/>
    <w:rsid w:val="11C2148E"/>
    <w:rsid w:val="11C40985"/>
    <w:rsid w:val="11CE3E3B"/>
    <w:rsid w:val="11DA3D05"/>
    <w:rsid w:val="11DB182B"/>
    <w:rsid w:val="11E22FB1"/>
    <w:rsid w:val="11E429C5"/>
    <w:rsid w:val="11F25CEF"/>
    <w:rsid w:val="11FD2952"/>
    <w:rsid w:val="12016269"/>
    <w:rsid w:val="120314AE"/>
    <w:rsid w:val="121C256F"/>
    <w:rsid w:val="12255C4E"/>
    <w:rsid w:val="122B037F"/>
    <w:rsid w:val="122B06C2"/>
    <w:rsid w:val="122B3718"/>
    <w:rsid w:val="12364B3D"/>
    <w:rsid w:val="125419A2"/>
    <w:rsid w:val="12577104"/>
    <w:rsid w:val="12620B60"/>
    <w:rsid w:val="126637EB"/>
    <w:rsid w:val="12695089"/>
    <w:rsid w:val="127C6797"/>
    <w:rsid w:val="12850115"/>
    <w:rsid w:val="128B3251"/>
    <w:rsid w:val="128B4FFF"/>
    <w:rsid w:val="128E0326"/>
    <w:rsid w:val="12940358"/>
    <w:rsid w:val="12942106"/>
    <w:rsid w:val="12977BDD"/>
    <w:rsid w:val="129F5349"/>
    <w:rsid w:val="12A04F4F"/>
    <w:rsid w:val="12A6008B"/>
    <w:rsid w:val="12B81C02"/>
    <w:rsid w:val="12D02AEB"/>
    <w:rsid w:val="12D87B7C"/>
    <w:rsid w:val="12DB71B2"/>
    <w:rsid w:val="12E526AF"/>
    <w:rsid w:val="12EA2F3A"/>
    <w:rsid w:val="12F06C5C"/>
    <w:rsid w:val="12FA7347"/>
    <w:rsid w:val="12FE379E"/>
    <w:rsid w:val="1303728B"/>
    <w:rsid w:val="13054DB2"/>
    <w:rsid w:val="131D56A4"/>
    <w:rsid w:val="13310C85"/>
    <w:rsid w:val="13373653"/>
    <w:rsid w:val="1340403C"/>
    <w:rsid w:val="13472E4B"/>
    <w:rsid w:val="13597BC1"/>
    <w:rsid w:val="135A1AB0"/>
    <w:rsid w:val="135F79C5"/>
    <w:rsid w:val="13672A09"/>
    <w:rsid w:val="13675A6C"/>
    <w:rsid w:val="13705C8C"/>
    <w:rsid w:val="137A1AD5"/>
    <w:rsid w:val="137A57A0"/>
    <w:rsid w:val="13951726"/>
    <w:rsid w:val="13A20852"/>
    <w:rsid w:val="13AA21BF"/>
    <w:rsid w:val="13B30CB1"/>
    <w:rsid w:val="13B5663B"/>
    <w:rsid w:val="13B837B4"/>
    <w:rsid w:val="13C50F53"/>
    <w:rsid w:val="13C922C6"/>
    <w:rsid w:val="13C95DDF"/>
    <w:rsid w:val="13E26254"/>
    <w:rsid w:val="140137CB"/>
    <w:rsid w:val="140B464A"/>
    <w:rsid w:val="14116BCD"/>
    <w:rsid w:val="141D7AED"/>
    <w:rsid w:val="142179C9"/>
    <w:rsid w:val="142825B6"/>
    <w:rsid w:val="14350C65"/>
    <w:rsid w:val="14396509"/>
    <w:rsid w:val="143F2545"/>
    <w:rsid w:val="1447165C"/>
    <w:rsid w:val="144933C4"/>
    <w:rsid w:val="144A5E1A"/>
    <w:rsid w:val="144B7398"/>
    <w:rsid w:val="146525E9"/>
    <w:rsid w:val="146975C2"/>
    <w:rsid w:val="146B5F74"/>
    <w:rsid w:val="147F2942"/>
    <w:rsid w:val="14804B3A"/>
    <w:rsid w:val="14812B5E"/>
    <w:rsid w:val="14916A45"/>
    <w:rsid w:val="14930F86"/>
    <w:rsid w:val="14A40521"/>
    <w:rsid w:val="14A5642A"/>
    <w:rsid w:val="14AA0AD5"/>
    <w:rsid w:val="14B73671"/>
    <w:rsid w:val="14C022D9"/>
    <w:rsid w:val="14C076C6"/>
    <w:rsid w:val="14CA14DD"/>
    <w:rsid w:val="14D032C8"/>
    <w:rsid w:val="14D56430"/>
    <w:rsid w:val="14F11B56"/>
    <w:rsid w:val="14F3389B"/>
    <w:rsid w:val="14F9076B"/>
    <w:rsid w:val="150E7B83"/>
    <w:rsid w:val="150F0169"/>
    <w:rsid w:val="15115C90"/>
    <w:rsid w:val="151439D2"/>
    <w:rsid w:val="15242CFC"/>
    <w:rsid w:val="15301487"/>
    <w:rsid w:val="153F66EF"/>
    <w:rsid w:val="154020D1"/>
    <w:rsid w:val="15590206"/>
    <w:rsid w:val="155A0657"/>
    <w:rsid w:val="156264EB"/>
    <w:rsid w:val="15627C0F"/>
    <w:rsid w:val="156F4E32"/>
    <w:rsid w:val="156F5D50"/>
    <w:rsid w:val="1571729B"/>
    <w:rsid w:val="15757437"/>
    <w:rsid w:val="158252A2"/>
    <w:rsid w:val="15875F52"/>
    <w:rsid w:val="15892CDA"/>
    <w:rsid w:val="158E65F3"/>
    <w:rsid w:val="15962639"/>
    <w:rsid w:val="1596380B"/>
    <w:rsid w:val="159D4C03"/>
    <w:rsid w:val="15AA5E00"/>
    <w:rsid w:val="15C0622B"/>
    <w:rsid w:val="15D50D44"/>
    <w:rsid w:val="15E64399"/>
    <w:rsid w:val="15F15AC1"/>
    <w:rsid w:val="15F4035D"/>
    <w:rsid w:val="15FF30BE"/>
    <w:rsid w:val="160E5090"/>
    <w:rsid w:val="160F6914"/>
    <w:rsid w:val="16117A38"/>
    <w:rsid w:val="161E0D86"/>
    <w:rsid w:val="16213887"/>
    <w:rsid w:val="16281BE4"/>
    <w:rsid w:val="162C539E"/>
    <w:rsid w:val="163C0E54"/>
    <w:rsid w:val="163C75C3"/>
    <w:rsid w:val="165D7FC8"/>
    <w:rsid w:val="165E4F6A"/>
    <w:rsid w:val="165F6ECF"/>
    <w:rsid w:val="16607176"/>
    <w:rsid w:val="166149F5"/>
    <w:rsid w:val="166401D7"/>
    <w:rsid w:val="1666025D"/>
    <w:rsid w:val="16742F05"/>
    <w:rsid w:val="167D1838"/>
    <w:rsid w:val="16811F36"/>
    <w:rsid w:val="16920812"/>
    <w:rsid w:val="16A31434"/>
    <w:rsid w:val="16AF1032"/>
    <w:rsid w:val="16B9038D"/>
    <w:rsid w:val="16BD6A70"/>
    <w:rsid w:val="16C859AB"/>
    <w:rsid w:val="16D15681"/>
    <w:rsid w:val="16D74CB7"/>
    <w:rsid w:val="17001571"/>
    <w:rsid w:val="170830C2"/>
    <w:rsid w:val="170F1571"/>
    <w:rsid w:val="17156D9B"/>
    <w:rsid w:val="171B52F9"/>
    <w:rsid w:val="171F06C2"/>
    <w:rsid w:val="173739A8"/>
    <w:rsid w:val="173F0F72"/>
    <w:rsid w:val="1743228E"/>
    <w:rsid w:val="174F2A9F"/>
    <w:rsid w:val="175400B6"/>
    <w:rsid w:val="17673BCB"/>
    <w:rsid w:val="17690593"/>
    <w:rsid w:val="176B1995"/>
    <w:rsid w:val="176D5C4E"/>
    <w:rsid w:val="17735226"/>
    <w:rsid w:val="1776627E"/>
    <w:rsid w:val="177D2056"/>
    <w:rsid w:val="17836BED"/>
    <w:rsid w:val="17884ACD"/>
    <w:rsid w:val="17A56B63"/>
    <w:rsid w:val="17AE0791"/>
    <w:rsid w:val="17AE3BA5"/>
    <w:rsid w:val="17B350B9"/>
    <w:rsid w:val="17CA1504"/>
    <w:rsid w:val="17D8605E"/>
    <w:rsid w:val="17DE3E23"/>
    <w:rsid w:val="17E44DF6"/>
    <w:rsid w:val="17E72CD8"/>
    <w:rsid w:val="17F94FDA"/>
    <w:rsid w:val="180E28FE"/>
    <w:rsid w:val="18211DD8"/>
    <w:rsid w:val="18240824"/>
    <w:rsid w:val="182608ED"/>
    <w:rsid w:val="182A7828"/>
    <w:rsid w:val="183D0F49"/>
    <w:rsid w:val="184053F5"/>
    <w:rsid w:val="18443EB0"/>
    <w:rsid w:val="18476679"/>
    <w:rsid w:val="185729F3"/>
    <w:rsid w:val="185B536B"/>
    <w:rsid w:val="185D11EC"/>
    <w:rsid w:val="185F4F64"/>
    <w:rsid w:val="18673A10"/>
    <w:rsid w:val="18716C98"/>
    <w:rsid w:val="187622AE"/>
    <w:rsid w:val="18803A1F"/>
    <w:rsid w:val="18852558"/>
    <w:rsid w:val="18866623"/>
    <w:rsid w:val="18891FE1"/>
    <w:rsid w:val="188D7D23"/>
    <w:rsid w:val="189A41EE"/>
    <w:rsid w:val="189C1059"/>
    <w:rsid w:val="18A06414"/>
    <w:rsid w:val="18A40754"/>
    <w:rsid w:val="18B9187B"/>
    <w:rsid w:val="18BF1EA7"/>
    <w:rsid w:val="18C249F0"/>
    <w:rsid w:val="18DE13E4"/>
    <w:rsid w:val="18E2586C"/>
    <w:rsid w:val="18E25AD1"/>
    <w:rsid w:val="18E558E7"/>
    <w:rsid w:val="190E24E6"/>
    <w:rsid w:val="191044B0"/>
    <w:rsid w:val="19185113"/>
    <w:rsid w:val="191D550D"/>
    <w:rsid w:val="1927504B"/>
    <w:rsid w:val="192E42C7"/>
    <w:rsid w:val="19333619"/>
    <w:rsid w:val="19365912"/>
    <w:rsid w:val="193E726F"/>
    <w:rsid w:val="194D2CE1"/>
    <w:rsid w:val="19525550"/>
    <w:rsid w:val="195E16BF"/>
    <w:rsid w:val="19677C54"/>
    <w:rsid w:val="196B742C"/>
    <w:rsid w:val="196F755D"/>
    <w:rsid w:val="198A6011"/>
    <w:rsid w:val="19B238D5"/>
    <w:rsid w:val="19B64A96"/>
    <w:rsid w:val="19D84FCE"/>
    <w:rsid w:val="19DE4ACF"/>
    <w:rsid w:val="19ED78B8"/>
    <w:rsid w:val="1A00675E"/>
    <w:rsid w:val="1A133DA7"/>
    <w:rsid w:val="1A160062"/>
    <w:rsid w:val="1A1B310D"/>
    <w:rsid w:val="1A1C66C0"/>
    <w:rsid w:val="1A1E1FE7"/>
    <w:rsid w:val="1A256F32"/>
    <w:rsid w:val="1A2F6DF9"/>
    <w:rsid w:val="1A42393B"/>
    <w:rsid w:val="1A443A2F"/>
    <w:rsid w:val="1A4E6D24"/>
    <w:rsid w:val="1A524EDB"/>
    <w:rsid w:val="1A534161"/>
    <w:rsid w:val="1A554742"/>
    <w:rsid w:val="1A554870"/>
    <w:rsid w:val="1A6F7B77"/>
    <w:rsid w:val="1A725422"/>
    <w:rsid w:val="1A7656D6"/>
    <w:rsid w:val="1A7E38C5"/>
    <w:rsid w:val="1A8979AF"/>
    <w:rsid w:val="1A9B10DB"/>
    <w:rsid w:val="1ACC4407"/>
    <w:rsid w:val="1AE31E7C"/>
    <w:rsid w:val="1AEC5ABF"/>
    <w:rsid w:val="1AEF729B"/>
    <w:rsid w:val="1AFA5F43"/>
    <w:rsid w:val="1B0071E4"/>
    <w:rsid w:val="1B046F80"/>
    <w:rsid w:val="1B28356A"/>
    <w:rsid w:val="1B325D61"/>
    <w:rsid w:val="1B3267B5"/>
    <w:rsid w:val="1B433D05"/>
    <w:rsid w:val="1B495729"/>
    <w:rsid w:val="1B545E82"/>
    <w:rsid w:val="1B6E4200"/>
    <w:rsid w:val="1B8076CB"/>
    <w:rsid w:val="1B975BC2"/>
    <w:rsid w:val="1B99253B"/>
    <w:rsid w:val="1BA40094"/>
    <w:rsid w:val="1BA86C22"/>
    <w:rsid w:val="1BB92BDD"/>
    <w:rsid w:val="1BBE69F1"/>
    <w:rsid w:val="1BC25DC8"/>
    <w:rsid w:val="1BC77652"/>
    <w:rsid w:val="1BCA4DEA"/>
    <w:rsid w:val="1BD871E7"/>
    <w:rsid w:val="1BDC68CC"/>
    <w:rsid w:val="1BE21B34"/>
    <w:rsid w:val="1BE50277"/>
    <w:rsid w:val="1BF70FEB"/>
    <w:rsid w:val="1BF75C81"/>
    <w:rsid w:val="1BF81957"/>
    <w:rsid w:val="1C092B1C"/>
    <w:rsid w:val="1C095F13"/>
    <w:rsid w:val="1C0C13AF"/>
    <w:rsid w:val="1C0D25D0"/>
    <w:rsid w:val="1C175DB7"/>
    <w:rsid w:val="1C181028"/>
    <w:rsid w:val="1C2269D4"/>
    <w:rsid w:val="1C2B491A"/>
    <w:rsid w:val="1C314E69"/>
    <w:rsid w:val="1C386686"/>
    <w:rsid w:val="1C490BFA"/>
    <w:rsid w:val="1C4E5A1B"/>
    <w:rsid w:val="1C5650F0"/>
    <w:rsid w:val="1C5E7925"/>
    <w:rsid w:val="1C672639"/>
    <w:rsid w:val="1C6A2129"/>
    <w:rsid w:val="1C71170A"/>
    <w:rsid w:val="1C746B04"/>
    <w:rsid w:val="1C887FC8"/>
    <w:rsid w:val="1C915FD7"/>
    <w:rsid w:val="1C994219"/>
    <w:rsid w:val="1C9D4B3C"/>
    <w:rsid w:val="1C9F4596"/>
    <w:rsid w:val="1CAD1CD2"/>
    <w:rsid w:val="1CAE0EA1"/>
    <w:rsid w:val="1CAE76AA"/>
    <w:rsid w:val="1CB11B06"/>
    <w:rsid w:val="1CBA4F46"/>
    <w:rsid w:val="1CC7079C"/>
    <w:rsid w:val="1CC7757C"/>
    <w:rsid w:val="1CEB14BC"/>
    <w:rsid w:val="1CEB5018"/>
    <w:rsid w:val="1D1817E1"/>
    <w:rsid w:val="1D235D75"/>
    <w:rsid w:val="1D2422D8"/>
    <w:rsid w:val="1D254180"/>
    <w:rsid w:val="1D350989"/>
    <w:rsid w:val="1D3E35E3"/>
    <w:rsid w:val="1D4D182F"/>
    <w:rsid w:val="1D5A3F4C"/>
    <w:rsid w:val="1D5F6196"/>
    <w:rsid w:val="1D6132A5"/>
    <w:rsid w:val="1D61352C"/>
    <w:rsid w:val="1D8D324C"/>
    <w:rsid w:val="1D8E249F"/>
    <w:rsid w:val="1D8E56D5"/>
    <w:rsid w:val="1DA24A86"/>
    <w:rsid w:val="1DA74C93"/>
    <w:rsid w:val="1DAB5899"/>
    <w:rsid w:val="1DB643C1"/>
    <w:rsid w:val="1DC90880"/>
    <w:rsid w:val="1DCE4CD5"/>
    <w:rsid w:val="1DD570A1"/>
    <w:rsid w:val="1DDF299A"/>
    <w:rsid w:val="1DE877AA"/>
    <w:rsid w:val="1DE87F80"/>
    <w:rsid w:val="1DEA52D0"/>
    <w:rsid w:val="1DEB4C37"/>
    <w:rsid w:val="1DF13F4F"/>
    <w:rsid w:val="1E0D0A6A"/>
    <w:rsid w:val="1E1660C5"/>
    <w:rsid w:val="1E1D5C20"/>
    <w:rsid w:val="1E391DB3"/>
    <w:rsid w:val="1E5B61CE"/>
    <w:rsid w:val="1E5B639E"/>
    <w:rsid w:val="1E645700"/>
    <w:rsid w:val="1E6F5AB5"/>
    <w:rsid w:val="1E7A43DA"/>
    <w:rsid w:val="1E8474D2"/>
    <w:rsid w:val="1E903F97"/>
    <w:rsid w:val="1E92374C"/>
    <w:rsid w:val="1E9516DF"/>
    <w:rsid w:val="1EAE7F57"/>
    <w:rsid w:val="1EAF5A4D"/>
    <w:rsid w:val="1EB277FE"/>
    <w:rsid w:val="1EBA1146"/>
    <w:rsid w:val="1EC65D3D"/>
    <w:rsid w:val="1EE53CE9"/>
    <w:rsid w:val="1EF34658"/>
    <w:rsid w:val="1EFB350D"/>
    <w:rsid w:val="1F26058A"/>
    <w:rsid w:val="1F28736C"/>
    <w:rsid w:val="1F324E61"/>
    <w:rsid w:val="1F335713"/>
    <w:rsid w:val="1F62533A"/>
    <w:rsid w:val="1F626423"/>
    <w:rsid w:val="1F68119F"/>
    <w:rsid w:val="1F690AC7"/>
    <w:rsid w:val="1F7E6617"/>
    <w:rsid w:val="1F8658CD"/>
    <w:rsid w:val="1F8E612F"/>
    <w:rsid w:val="1F90634B"/>
    <w:rsid w:val="1FA134B9"/>
    <w:rsid w:val="1FAC0C92"/>
    <w:rsid w:val="1FAD4807"/>
    <w:rsid w:val="1FB72C1D"/>
    <w:rsid w:val="1FB90654"/>
    <w:rsid w:val="1FBA6F24"/>
    <w:rsid w:val="1FC524EF"/>
    <w:rsid w:val="1FC87893"/>
    <w:rsid w:val="1FD415E6"/>
    <w:rsid w:val="1FDE45D1"/>
    <w:rsid w:val="1FE7539E"/>
    <w:rsid w:val="20060FE6"/>
    <w:rsid w:val="200A081E"/>
    <w:rsid w:val="2027280B"/>
    <w:rsid w:val="20355F42"/>
    <w:rsid w:val="20384A29"/>
    <w:rsid w:val="204328F8"/>
    <w:rsid w:val="204C64A4"/>
    <w:rsid w:val="20511636"/>
    <w:rsid w:val="20522939"/>
    <w:rsid w:val="20586E69"/>
    <w:rsid w:val="20682159"/>
    <w:rsid w:val="206D1FD6"/>
    <w:rsid w:val="20741B9C"/>
    <w:rsid w:val="20770F59"/>
    <w:rsid w:val="20863CB7"/>
    <w:rsid w:val="20963CB8"/>
    <w:rsid w:val="209C5B44"/>
    <w:rsid w:val="209D1A91"/>
    <w:rsid w:val="20A2323E"/>
    <w:rsid w:val="20B07FB6"/>
    <w:rsid w:val="20B574DD"/>
    <w:rsid w:val="20BA367F"/>
    <w:rsid w:val="20D12777"/>
    <w:rsid w:val="20D14525"/>
    <w:rsid w:val="20DF4E94"/>
    <w:rsid w:val="20F80BF8"/>
    <w:rsid w:val="20FB56A2"/>
    <w:rsid w:val="21052421"/>
    <w:rsid w:val="210E2B59"/>
    <w:rsid w:val="210F504D"/>
    <w:rsid w:val="212A3992"/>
    <w:rsid w:val="21352D06"/>
    <w:rsid w:val="213B74B1"/>
    <w:rsid w:val="213D53EE"/>
    <w:rsid w:val="21506021"/>
    <w:rsid w:val="215A2310"/>
    <w:rsid w:val="2161223E"/>
    <w:rsid w:val="2169159B"/>
    <w:rsid w:val="216B30E6"/>
    <w:rsid w:val="216E781A"/>
    <w:rsid w:val="217750CC"/>
    <w:rsid w:val="21783DDF"/>
    <w:rsid w:val="21787633"/>
    <w:rsid w:val="217C4E6C"/>
    <w:rsid w:val="217F6677"/>
    <w:rsid w:val="218C499A"/>
    <w:rsid w:val="218F645B"/>
    <w:rsid w:val="2195446D"/>
    <w:rsid w:val="21A55FC2"/>
    <w:rsid w:val="21A92086"/>
    <w:rsid w:val="21AC78F3"/>
    <w:rsid w:val="21D10C1B"/>
    <w:rsid w:val="21D124AF"/>
    <w:rsid w:val="21DE318A"/>
    <w:rsid w:val="21DF7531"/>
    <w:rsid w:val="21E81D77"/>
    <w:rsid w:val="21EE64D2"/>
    <w:rsid w:val="21EE7C9E"/>
    <w:rsid w:val="21EF5B80"/>
    <w:rsid w:val="22110F83"/>
    <w:rsid w:val="22145011"/>
    <w:rsid w:val="221729FA"/>
    <w:rsid w:val="22197B17"/>
    <w:rsid w:val="222A213F"/>
    <w:rsid w:val="222B77E5"/>
    <w:rsid w:val="222D7E81"/>
    <w:rsid w:val="223631D9"/>
    <w:rsid w:val="22394A78"/>
    <w:rsid w:val="223C1E72"/>
    <w:rsid w:val="22511DC1"/>
    <w:rsid w:val="22576990"/>
    <w:rsid w:val="225A4493"/>
    <w:rsid w:val="226407A8"/>
    <w:rsid w:val="227132E9"/>
    <w:rsid w:val="227444D0"/>
    <w:rsid w:val="22846469"/>
    <w:rsid w:val="22932C5F"/>
    <w:rsid w:val="229C4EAB"/>
    <w:rsid w:val="22A67552"/>
    <w:rsid w:val="22AD5DF3"/>
    <w:rsid w:val="22BF794B"/>
    <w:rsid w:val="22C00CF5"/>
    <w:rsid w:val="22CB72FC"/>
    <w:rsid w:val="22D56F7D"/>
    <w:rsid w:val="22E03145"/>
    <w:rsid w:val="22E32F3E"/>
    <w:rsid w:val="22F86D5F"/>
    <w:rsid w:val="22FD57EE"/>
    <w:rsid w:val="230D465D"/>
    <w:rsid w:val="23121476"/>
    <w:rsid w:val="231704B9"/>
    <w:rsid w:val="231D083E"/>
    <w:rsid w:val="2322019E"/>
    <w:rsid w:val="233F1C1A"/>
    <w:rsid w:val="23405992"/>
    <w:rsid w:val="2342583A"/>
    <w:rsid w:val="235002CB"/>
    <w:rsid w:val="235A2EF8"/>
    <w:rsid w:val="235F48A6"/>
    <w:rsid w:val="236271B7"/>
    <w:rsid w:val="236773C3"/>
    <w:rsid w:val="23791819"/>
    <w:rsid w:val="237C661D"/>
    <w:rsid w:val="237E1180"/>
    <w:rsid w:val="23924F3B"/>
    <w:rsid w:val="23955CDE"/>
    <w:rsid w:val="23995F0A"/>
    <w:rsid w:val="239C52BE"/>
    <w:rsid w:val="23A436AC"/>
    <w:rsid w:val="23A712B0"/>
    <w:rsid w:val="23AC3027"/>
    <w:rsid w:val="23B01E38"/>
    <w:rsid w:val="23BD6FE3"/>
    <w:rsid w:val="23CB5BA3"/>
    <w:rsid w:val="23CC1F70"/>
    <w:rsid w:val="23EB2FAD"/>
    <w:rsid w:val="23F60248"/>
    <w:rsid w:val="24042E63"/>
    <w:rsid w:val="240B5FA0"/>
    <w:rsid w:val="24165C9A"/>
    <w:rsid w:val="242E2942"/>
    <w:rsid w:val="243279D1"/>
    <w:rsid w:val="243A56A1"/>
    <w:rsid w:val="244F2F88"/>
    <w:rsid w:val="24541F94"/>
    <w:rsid w:val="2454722D"/>
    <w:rsid w:val="245A195E"/>
    <w:rsid w:val="24635573"/>
    <w:rsid w:val="2477022E"/>
    <w:rsid w:val="248D6170"/>
    <w:rsid w:val="24A65CC9"/>
    <w:rsid w:val="24B91D73"/>
    <w:rsid w:val="24C41203"/>
    <w:rsid w:val="24C74FB8"/>
    <w:rsid w:val="24CF3471"/>
    <w:rsid w:val="24D80578"/>
    <w:rsid w:val="24DC3351"/>
    <w:rsid w:val="24F46A34"/>
    <w:rsid w:val="24FB4504"/>
    <w:rsid w:val="24FD7FDE"/>
    <w:rsid w:val="25030CF8"/>
    <w:rsid w:val="25042DA2"/>
    <w:rsid w:val="251042CB"/>
    <w:rsid w:val="251F47C2"/>
    <w:rsid w:val="25280D20"/>
    <w:rsid w:val="25284F9D"/>
    <w:rsid w:val="252D53FE"/>
    <w:rsid w:val="252E110E"/>
    <w:rsid w:val="2540611D"/>
    <w:rsid w:val="25423C43"/>
    <w:rsid w:val="254259F1"/>
    <w:rsid w:val="254D452C"/>
    <w:rsid w:val="25560DD8"/>
    <w:rsid w:val="25612774"/>
    <w:rsid w:val="25614ED9"/>
    <w:rsid w:val="2567270B"/>
    <w:rsid w:val="257B2562"/>
    <w:rsid w:val="257F4191"/>
    <w:rsid w:val="258424AE"/>
    <w:rsid w:val="258637D7"/>
    <w:rsid w:val="259326F1"/>
    <w:rsid w:val="25B31ED9"/>
    <w:rsid w:val="25B46FB7"/>
    <w:rsid w:val="25C43228"/>
    <w:rsid w:val="25CB40B3"/>
    <w:rsid w:val="25D30D3F"/>
    <w:rsid w:val="25D52D09"/>
    <w:rsid w:val="25D85F35"/>
    <w:rsid w:val="25DE1FED"/>
    <w:rsid w:val="25E310F1"/>
    <w:rsid w:val="25E33E14"/>
    <w:rsid w:val="25E4364E"/>
    <w:rsid w:val="25E44CFA"/>
    <w:rsid w:val="25EB1B0F"/>
    <w:rsid w:val="25EC2D81"/>
    <w:rsid w:val="25EE7927"/>
    <w:rsid w:val="260A6DDB"/>
    <w:rsid w:val="261F16A9"/>
    <w:rsid w:val="261F3F85"/>
    <w:rsid w:val="261F5D33"/>
    <w:rsid w:val="26296BB1"/>
    <w:rsid w:val="262D044F"/>
    <w:rsid w:val="263F06F2"/>
    <w:rsid w:val="26410AE1"/>
    <w:rsid w:val="264528BD"/>
    <w:rsid w:val="26466E58"/>
    <w:rsid w:val="2650182F"/>
    <w:rsid w:val="265A4FBD"/>
    <w:rsid w:val="2662420B"/>
    <w:rsid w:val="266F2816"/>
    <w:rsid w:val="26782189"/>
    <w:rsid w:val="267C4F33"/>
    <w:rsid w:val="268442B2"/>
    <w:rsid w:val="26887D7C"/>
    <w:rsid w:val="268E5543"/>
    <w:rsid w:val="26906C30"/>
    <w:rsid w:val="269E6B78"/>
    <w:rsid w:val="26A11138"/>
    <w:rsid w:val="26A5448A"/>
    <w:rsid w:val="26C67935"/>
    <w:rsid w:val="26DB17B2"/>
    <w:rsid w:val="26E8136C"/>
    <w:rsid w:val="26EA6341"/>
    <w:rsid w:val="26F31699"/>
    <w:rsid w:val="2703209D"/>
    <w:rsid w:val="270933F2"/>
    <w:rsid w:val="27194039"/>
    <w:rsid w:val="27280C17"/>
    <w:rsid w:val="27295FB5"/>
    <w:rsid w:val="273E1B95"/>
    <w:rsid w:val="27441EF5"/>
    <w:rsid w:val="274A64C2"/>
    <w:rsid w:val="274E4B21"/>
    <w:rsid w:val="27565784"/>
    <w:rsid w:val="275F0ADD"/>
    <w:rsid w:val="277C73FB"/>
    <w:rsid w:val="277D0F28"/>
    <w:rsid w:val="277E4995"/>
    <w:rsid w:val="277F117F"/>
    <w:rsid w:val="2780766D"/>
    <w:rsid w:val="278247CB"/>
    <w:rsid w:val="2788787D"/>
    <w:rsid w:val="279623B0"/>
    <w:rsid w:val="27A110F5"/>
    <w:rsid w:val="27B843BD"/>
    <w:rsid w:val="27C02A7E"/>
    <w:rsid w:val="27C937EA"/>
    <w:rsid w:val="27CC1EEA"/>
    <w:rsid w:val="27CF7A19"/>
    <w:rsid w:val="27D15DD1"/>
    <w:rsid w:val="27E50111"/>
    <w:rsid w:val="27E62FAC"/>
    <w:rsid w:val="27FD48FE"/>
    <w:rsid w:val="280E2503"/>
    <w:rsid w:val="28133675"/>
    <w:rsid w:val="281E7A01"/>
    <w:rsid w:val="281F17F3"/>
    <w:rsid w:val="282E1D51"/>
    <w:rsid w:val="28356F5D"/>
    <w:rsid w:val="283A32F8"/>
    <w:rsid w:val="283C0E1E"/>
    <w:rsid w:val="28425D08"/>
    <w:rsid w:val="2843014C"/>
    <w:rsid w:val="284802E4"/>
    <w:rsid w:val="284A2313"/>
    <w:rsid w:val="284C26C7"/>
    <w:rsid w:val="284D74FA"/>
    <w:rsid w:val="284F6542"/>
    <w:rsid w:val="285A45C6"/>
    <w:rsid w:val="285B2042"/>
    <w:rsid w:val="286133E5"/>
    <w:rsid w:val="28664F51"/>
    <w:rsid w:val="286756CF"/>
    <w:rsid w:val="288D3427"/>
    <w:rsid w:val="2891299B"/>
    <w:rsid w:val="28956780"/>
    <w:rsid w:val="289907C4"/>
    <w:rsid w:val="289C7B0E"/>
    <w:rsid w:val="28A32E72"/>
    <w:rsid w:val="28A76295"/>
    <w:rsid w:val="28AB7D51"/>
    <w:rsid w:val="28AD3ACA"/>
    <w:rsid w:val="28B44E58"/>
    <w:rsid w:val="28BD6C68"/>
    <w:rsid w:val="28C01AF6"/>
    <w:rsid w:val="28C06890"/>
    <w:rsid w:val="28C30E81"/>
    <w:rsid w:val="28C50E13"/>
    <w:rsid w:val="28C90B9A"/>
    <w:rsid w:val="28D406FC"/>
    <w:rsid w:val="28D84314"/>
    <w:rsid w:val="28F00BA6"/>
    <w:rsid w:val="28FB48E2"/>
    <w:rsid w:val="291463CF"/>
    <w:rsid w:val="29176B2C"/>
    <w:rsid w:val="29177195"/>
    <w:rsid w:val="29206EB8"/>
    <w:rsid w:val="29336A3F"/>
    <w:rsid w:val="29495CA5"/>
    <w:rsid w:val="294C32E2"/>
    <w:rsid w:val="294F2DD3"/>
    <w:rsid w:val="29664652"/>
    <w:rsid w:val="29701541"/>
    <w:rsid w:val="29932CBF"/>
    <w:rsid w:val="2996585E"/>
    <w:rsid w:val="299A43A4"/>
    <w:rsid w:val="29A273A6"/>
    <w:rsid w:val="29A529F3"/>
    <w:rsid w:val="29D56F2D"/>
    <w:rsid w:val="29D60DFE"/>
    <w:rsid w:val="29DA77BF"/>
    <w:rsid w:val="29E325E0"/>
    <w:rsid w:val="29EA7A13"/>
    <w:rsid w:val="2A026B3E"/>
    <w:rsid w:val="2A031AF6"/>
    <w:rsid w:val="2A094D30"/>
    <w:rsid w:val="2A0B0AA8"/>
    <w:rsid w:val="2A0E7FC1"/>
    <w:rsid w:val="2A2060F8"/>
    <w:rsid w:val="2A2C0A1E"/>
    <w:rsid w:val="2A2D7C51"/>
    <w:rsid w:val="2A452503"/>
    <w:rsid w:val="2A465F84"/>
    <w:rsid w:val="2A756A5F"/>
    <w:rsid w:val="2A7B0970"/>
    <w:rsid w:val="2A7F4FF2"/>
    <w:rsid w:val="2A805824"/>
    <w:rsid w:val="2A88641D"/>
    <w:rsid w:val="2A88659C"/>
    <w:rsid w:val="2A8D493C"/>
    <w:rsid w:val="2A8D6519"/>
    <w:rsid w:val="2A957EE6"/>
    <w:rsid w:val="2A9860B3"/>
    <w:rsid w:val="2AB40E88"/>
    <w:rsid w:val="2AC91962"/>
    <w:rsid w:val="2AE13EFE"/>
    <w:rsid w:val="2AE337D3"/>
    <w:rsid w:val="2AEC1FD1"/>
    <w:rsid w:val="2AF03B19"/>
    <w:rsid w:val="2AF31299"/>
    <w:rsid w:val="2AF456D7"/>
    <w:rsid w:val="2AFD0A94"/>
    <w:rsid w:val="2B261911"/>
    <w:rsid w:val="2B2632D1"/>
    <w:rsid w:val="2B2F07C6"/>
    <w:rsid w:val="2B3455B9"/>
    <w:rsid w:val="2B471FB3"/>
    <w:rsid w:val="2B4A3852"/>
    <w:rsid w:val="2B4F7EF5"/>
    <w:rsid w:val="2B620F25"/>
    <w:rsid w:val="2B62521D"/>
    <w:rsid w:val="2B8B0A09"/>
    <w:rsid w:val="2B9B27DC"/>
    <w:rsid w:val="2B9F4285"/>
    <w:rsid w:val="2BA936A8"/>
    <w:rsid w:val="2BC52ED8"/>
    <w:rsid w:val="2BDC5755"/>
    <w:rsid w:val="2BDF21EC"/>
    <w:rsid w:val="2BDF4279"/>
    <w:rsid w:val="2BE37B42"/>
    <w:rsid w:val="2BE91B70"/>
    <w:rsid w:val="2BEE458F"/>
    <w:rsid w:val="2BEE55D3"/>
    <w:rsid w:val="2C00210F"/>
    <w:rsid w:val="2C1005F7"/>
    <w:rsid w:val="2C11743E"/>
    <w:rsid w:val="2C1E1CFD"/>
    <w:rsid w:val="2C1F083A"/>
    <w:rsid w:val="2C315A5A"/>
    <w:rsid w:val="2C3A283A"/>
    <w:rsid w:val="2C3B7B84"/>
    <w:rsid w:val="2C471F66"/>
    <w:rsid w:val="2C504E98"/>
    <w:rsid w:val="2C5A4C9C"/>
    <w:rsid w:val="2C62693F"/>
    <w:rsid w:val="2C6E75F9"/>
    <w:rsid w:val="2C725028"/>
    <w:rsid w:val="2C862667"/>
    <w:rsid w:val="2C9D5C03"/>
    <w:rsid w:val="2CA945A8"/>
    <w:rsid w:val="2CB15ED7"/>
    <w:rsid w:val="2CB90C8F"/>
    <w:rsid w:val="2CC47634"/>
    <w:rsid w:val="2CC643E5"/>
    <w:rsid w:val="2CC856C0"/>
    <w:rsid w:val="2CD20350"/>
    <w:rsid w:val="2CD61CEF"/>
    <w:rsid w:val="2CDB22EA"/>
    <w:rsid w:val="2CEB3F09"/>
    <w:rsid w:val="2CEF2C5E"/>
    <w:rsid w:val="2CF103F0"/>
    <w:rsid w:val="2D202083"/>
    <w:rsid w:val="2D2C32D2"/>
    <w:rsid w:val="2D2F7793"/>
    <w:rsid w:val="2D371839"/>
    <w:rsid w:val="2D3B59C9"/>
    <w:rsid w:val="2D412A2F"/>
    <w:rsid w:val="2D4D13D7"/>
    <w:rsid w:val="2D5C609F"/>
    <w:rsid w:val="2D652BC5"/>
    <w:rsid w:val="2D776B6B"/>
    <w:rsid w:val="2D8C0151"/>
    <w:rsid w:val="2D8D7A26"/>
    <w:rsid w:val="2D947006"/>
    <w:rsid w:val="2D984D48"/>
    <w:rsid w:val="2D9E56F5"/>
    <w:rsid w:val="2DAB007F"/>
    <w:rsid w:val="2DAF19A8"/>
    <w:rsid w:val="2DB1395E"/>
    <w:rsid w:val="2DB96A6D"/>
    <w:rsid w:val="2DDD3AA0"/>
    <w:rsid w:val="2DEA131C"/>
    <w:rsid w:val="2DF12E9C"/>
    <w:rsid w:val="2DF221CE"/>
    <w:rsid w:val="2E3D144C"/>
    <w:rsid w:val="2E453E46"/>
    <w:rsid w:val="2E56075F"/>
    <w:rsid w:val="2E570912"/>
    <w:rsid w:val="2E582FD8"/>
    <w:rsid w:val="2E5E3BC7"/>
    <w:rsid w:val="2E667F96"/>
    <w:rsid w:val="2E683B0A"/>
    <w:rsid w:val="2E7023A8"/>
    <w:rsid w:val="2E7C28D5"/>
    <w:rsid w:val="2E8226AB"/>
    <w:rsid w:val="2E9956D1"/>
    <w:rsid w:val="2E9A064C"/>
    <w:rsid w:val="2EA1315F"/>
    <w:rsid w:val="2ED26038"/>
    <w:rsid w:val="2EE63891"/>
    <w:rsid w:val="2EEE2746"/>
    <w:rsid w:val="2EF50E96"/>
    <w:rsid w:val="2EF73CF0"/>
    <w:rsid w:val="2EF91F2F"/>
    <w:rsid w:val="2EFA733D"/>
    <w:rsid w:val="2F0B779C"/>
    <w:rsid w:val="2F0D0E1E"/>
    <w:rsid w:val="2F0D407F"/>
    <w:rsid w:val="2F105677"/>
    <w:rsid w:val="2F11461F"/>
    <w:rsid w:val="2F1F5328"/>
    <w:rsid w:val="2F2E3344"/>
    <w:rsid w:val="2F4A2072"/>
    <w:rsid w:val="2F4F0B88"/>
    <w:rsid w:val="2F57478F"/>
    <w:rsid w:val="2F651F62"/>
    <w:rsid w:val="2F695135"/>
    <w:rsid w:val="2F6B4E8D"/>
    <w:rsid w:val="2F7A52CE"/>
    <w:rsid w:val="2F7D7C09"/>
    <w:rsid w:val="2F7E1D1C"/>
    <w:rsid w:val="2F832C79"/>
    <w:rsid w:val="2F925B34"/>
    <w:rsid w:val="2F9470AE"/>
    <w:rsid w:val="2F995BF7"/>
    <w:rsid w:val="2F9D7297"/>
    <w:rsid w:val="2FA430DC"/>
    <w:rsid w:val="2FA50736"/>
    <w:rsid w:val="2FAC5669"/>
    <w:rsid w:val="2FAD2F52"/>
    <w:rsid w:val="2FB27C17"/>
    <w:rsid w:val="2FC1720E"/>
    <w:rsid w:val="2FC46D62"/>
    <w:rsid w:val="2FCF1B93"/>
    <w:rsid w:val="2FD22068"/>
    <w:rsid w:val="2FE95EC5"/>
    <w:rsid w:val="2FEB68F0"/>
    <w:rsid w:val="2FEF2D58"/>
    <w:rsid w:val="300639C1"/>
    <w:rsid w:val="30090BAE"/>
    <w:rsid w:val="302B0468"/>
    <w:rsid w:val="30330D58"/>
    <w:rsid w:val="303F61C1"/>
    <w:rsid w:val="30463E1E"/>
    <w:rsid w:val="305807BF"/>
    <w:rsid w:val="30580BC9"/>
    <w:rsid w:val="3088065D"/>
    <w:rsid w:val="308C66BA"/>
    <w:rsid w:val="308F00BD"/>
    <w:rsid w:val="30A150EE"/>
    <w:rsid w:val="30A47560"/>
    <w:rsid w:val="30A95DA7"/>
    <w:rsid w:val="30AA7EA8"/>
    <w:rsid w:val="30BA628E"/>
    <w:rsid w:val="30BE0737"/>
    <w:rsid w:val="30C904F0"/>
    <w:rsid w:val="30D96CC6"/>
    <w:rsid w:val="30F7382B"/>
    <w:rsid w:val="30F77FD8"/>
    <w:rsid w:val="30FC114A"/>
    <w:rsid w:val="31090FB6"/>
    <w:rsid w:val="31093867"/>
    <w:rsid w:val="311D1515"/>
    <w:rsid w:val="311D316D"/>
    <w:rsid w:val="311E2ED7"/>
    <w:rsid w:val="31280191"/>
    <w:rsid w:val="313257C4"/>
    <w:rsid w:val="31327262"/>
    <w:rsid w:val="31363954"/>
    <w:rsid w:val="313703D4"/>
    <w:rsid w:val="313E79B5"/>
    <w:rsid w:val="31453A15"/>
    <w:rsid w:val="314E49B7"/>
    <w:rsid w:val="31572824"/>
    <w:rsid w:val="315C449C"/>
    <w:rsid w:val="316A07AA"/>
    <w:rsid w:val="31751C22"/>
    <w:rsid w:val="318034D8"/>
    <w:rsid w:val="318F2D1D"/>
    <w:rsid w:val="31A240F4"/>
    <w:rsid w:val="31A445B1"/>
    <w:rsid w:val="31B82709"/>
    <w:rsid w:val="31C0486E"/>
    <w:rsid w:val="31C8084B"/>
    <w:rsid w:val="31C917FE"/>
    <w:rsid w:val="31D9148B"/>
    <w:rsid w:val="31DF23B3"/>
    <w:rsid w:val="31E56082"/>
    <w:rsid w:val="31F84007"/>
    <w:rsid w:val="3200668B"/>
    <w:rsid w:val="320329AC"/>
    <w:rsid w:val="3216448E"/>
    <w:rsid w:val="322578AE"/>
    <w:rsid w:val="32381B81"/>
    <w:rsid w:val="323C423F"/>
    <w:rsid w:val="323E5792"/>
    <w:rsid w:val="32400B34"/>
    <w:rsid w:val="324F3EE7"/>
    <w:rsid w:val="32543208"/>
    <w:rsid w:val="325523B1"/>
    <w:rsid w:val="326964D7"/>
    <w:rsid w:val="326B739A"/>
    <w:rsid w:val="32737B32"/>
    <w:rsid w:val="32821B23"/>
    <w:rsid w:val="328F13DA"/>
    <w:rsid w:val="32966566"/>
    <w:rsid w:val="329B1251"/>
    <w:rsid w:val="329D070B"/>
    <w:rsid w:val="329E6876"/>
    <w:rsid w:val="32AE53B5"/>
    <w:rsid w:val="32C17D74"/>
    <w:rsid w:val="32DD0992"/>
    <w:rsid w:val="32DE3557"/>
    <w:rsid w:val="32E502DC"/>
    <w:rsid w:val="32FF1D8F"/>
    <w:rsid w:val="33024AED"/>
    <w:rsid w:val="33076042"/>
    <w:rsid w:val="330A641A"/>
    <w:rsid w:val="331522B5"/>
    <w:rsid w:val="332C31B3"/>
    <w:rsid w:val="332E5B47"/>
    <w:rsid w:val="333304B5"/>
    <w:rsid w:val="33341FAF"/>
    <w:rsid w:val="333746BC"/>
    <w:rsid w:val="333A761A"/>
    <w:rsid w:val="333C7F24"/>
    <w:rsid w:val="334C1462"/>
    <w:rsid w:val="335A61B8"/>
    <w:rsid w:val="335F423E"/>
    <w:rsid w:val="339D250E"/>
    <w:rsid w:val="33A1422B"/>
    <w:rsid w:val="33BC3F16"/>
    <w:rsid w:val="33BE4DDD"/>
    <w:rsid w:val="33C4678A"/>
    <w:rsid w:val="33C67264"/>
    <w:rsid w:val="33CB39B0"/>
    <w:rsid w:val="33D15D10"/>
    <w:rsid w:val="33D37375"/>
    <w:rsid w:val="33D74FB0"/>
    <w:rsid w:val="33D91C17"/>
    <w:rsid w:val="33D934D4"/>
    <w:rsid w:val="33E505BB"/>
    <w:rsid w:val="33E800AC"/>
    <w:rsid w:val="33FE2F6A"/>
    <w:rsid w:val="34031DE2"/>
    <w:rsid w:val="34060532"/>
    <w:rsid w:val="34062137"/>
    <w:rsid w:val="340A0022"/>
    <w:rsid w:val="342E6414"/>
    <w:rsid w:val="34390907"/>
    <w:rsid w:val="3449468D"/>
    <w:rsid w:val="34527549"/>
    <w:rsid w:val="34575650"/>
    <w:rsid w:val="345D63A4"/>
    <w:rsid w:val="34645984"/>
    <w:rsid w:val="346534AA"/>
    <w:rsid w:val="34727975"/>
    <w:rsid w:val="34767593"/>
    <w:rsid w:val="347F6565"/>
    <w:rsid w:val="34916D5E"/>
    <w:rsid w:val="34930017"/>
    <w:rsid w:val="3498562E"/>
    <w:rsid w:val="349D2C44"/>
    <w:rsid w:val="34A15E1B"/>
    <w:rsid w:val="34A81FC5"/>
    <w:rsid w:val="34AB2A37"/>
    <w:rsid w:val="34B85CD0"/>
    <w:rsid w:val="34DF21B5"/>
    <w:rsid w:val="34FE154D"/>
    <w:rsid w:val="34FF38FF"/>
    <w:rsid w:val="35053B70"/>
    <w:rsid w:val="350B6860"/>
    <w:rsid w:val="35121EE8"/>
    <w:rsid w:val="35264A5E"/>
    <w:rsid w:val="352670DE"/>
    <w:rsid w:val="353F1F4D"/>
    <w:rsid w:val="355D23D3"/>
    <w:rsid w:val="355E5AD1"/>
    <w:rsid w:val="35614940"/>
    <w:rsid w:val="356419B4"/>
    <w:rsid w:val="356E7C5B"/>
    <w:rsid w:val="357144D1"/>
    <w:rsid w:val="35731BF7"/>
    <w:rsid w:val="35794D6E"/>
    <w:rsid w:val="358861CB"/>
    <w:rsid w:val="358F3CB3"/>
    <w:rsid w:val="35957DBF"/>
    <w:rsid w:val="35961234"/>
    <w:rsid w:val="359E4EC6"/>
    <w:rsid w:val="35A42FD1"/>
    <w:rsid w:val="35A63D7A"/>
    <w:rsid w:val="35D13D10"/>
    <w:rsid w:val="35F46606"/>
    <w:rsid w:val="35F5260C"/>
    <w:rsid w:val="35F920FC"/>
    <w:rsid w:val="36032F1D"/>
    <w:rsid w:val="36074A7F"/>
    <w:rsid w:val="360C75D5"/>
    <w:rsid w:val="36114D3E"/>
    <w:rsid w:val="361327C4"/>
    <w:rsid w:val="361A45B2"/>
    <w:rsid w:val="362430BF"/>
    <w:rsid w:val="36296F45"/>
    <w:rsid w:val="36592B9B"/>
    <w:rsid w:val="365C2BAC"/>
    <w:rsid w:val="365C587D"/>
    <w:rsid w:val="365E076B"/>
    <w:rsid w:val="36720FBA"/>
    <w:rsid w:val="36923549"/>
    <w:rsid w:val="36AA1648"/>
    <w:rsid w:val="36B75FBF"/>
    <w:rsid w:val="36BE6EA2"/>
    <w:rsid w:val="36C025DF"/>
    <w:rsid w:val="36C20B95"/>
    <w:rsid w:val="36DB7058"/>
    <w:rsid w:val="36E9264B"/>
    <w:rsid w:val="36F952B1"/>
    <w:rsid w:val="36FB4891"/>
    <w:rsid w:val="36FF1994"/>
    <w:rsid w:val="370074BA"/>
    <w:rsid w:val="3702474C"/>
    <w:rsid w:val="37024FE0"/>
    <w:rsid w:val="3703155C"/>
    <w:rsid w:val="37074CED"/>
    <w:rsid w:val="37082F44"/>
    <w:rsid w:val="370C2303"/>
    <w:rsid w:val="371062E8"/>
    <w:rsid w:val="3714068C"/>
    <w:rsid w:val="371A69F2"/>
    <w:rsid w:val="371B60A2"/>
    <w:rsid w:val="37383DDD"/>
    <w:rsid w:val="373A2185"/>
    <w:rsid w:val="374B6987"/>
    <w:rsid w:val="3758678B"/>
    <w:rsid w:val="376822D6"/>
    <w:rsid w:val="377203B8"/>
    <w:rsid w:val="37896CF9"/>
    <w:rsid w:val="37964A33"/>
    <w:rsid w:val="379D15D1"/>
    <w:rsid w:val="37B00EE0"/>
    <w:rsid w:val="37B3277F"/>
    <w:rsid w:val="37B32FA0"/>
    <w:rsid w:val="37C91C27"/>
    <w:rsid w:val="37D32434"/>
    <w:rsid w:val="37E1109A"/>
    <w:rsid w:val="37E63A49"/>
    <w:rsid w:val="37E868CC"/>
    <w:rsid w:val="37EB7A11"/>
    <w:rsid w:val="37F76B0F"/>
    <w:rsid w:val="37F95B87"/>
    <w:rsid w:val="38016A62"/>
    <w:rsid w:val="38174155"/>
    <w:rsid w:val="381B2DA1"/>
    <w:rsid w:val="382F386A"/>
    <w:rsid w:val="3834566E"/>
    <w:rsid w:val="385721D7"/>
    <w:rsid w:val="385E5A08"/>
    <w:rsid w:val="38653A79"/>
    <w:rsid w:val="38732C3F"/>
    <w:rsid w:val="388D1833"/>
    <w:rsid w:val="38921A31"/>
    <w:rsid w:val="38A3226B"/>
    <w:rsid w:val="38AA0CC1"/>
    <w:rsid w:val="38C35995"/>
    <w:rsid w:val="38E25672"/>
    <w:rsid w:val="38E81BC7"/>
    <w:rsid w:val="38F12CD3"/>
    <w:rsid w:val="38F94775"/>
    <w:rsid w:val="390F1C37"/>
    <w:rsid w:val="392971ED"/>
    <w:rsid w:val="392B2074"/>
    <w:rsid w:val="39355B41"/>
    <w:rsid w:val="393873DF"/>
    <w:rsid w:val="394E325C"/>
    <w:rsid w:val="3950297B"/>
    <w:rsid w:val="395235F7"/>
    <w:rsid w:val="396215A8"/>
    <w:rsid w:val="39647716"/>
    <w:rsid w:val="39677CC5"/>
    <w:rsid w:val="396957EB"/>
    <w:rsid w:val="39697E31"/>
    <w:rsid w:val="39822409"/>
    <w:rsid w:val="399C5481"/>
    <w:rsid w:val="39A700C1"/>
    <w:rsid w:val="39AE76A2"/>
    <w:rsid w:val="39B1408A"/>
    <w:rsid w:val="39CF6FB9"/>
    <w:rsid w:val="39D23221"/>
    <w:rsid w:val="39E73DAD"/>
    <w:rsid w:val="39EF245A"/>
    <w:rsid w:val="39EF49D8"/>
    <w:rsid w:val="3A0A66CC"/>
    <w:rsid w:val="3A0B68A2"/>
    <w:rsid w:val="3A0D527E"/>
    <w:rsid w:val="3A0F6392"/>
    <w:rsid w:val="3A2225A8"/>
    <w:rsid w:val="3A437DEA"/>
    <w:rsid w:val="3A5162F8"/>
    <w:rsid w:val="3A52592F"/>
    <w:rsid w:val="3A5C3EA6"/>
    <w:rsid w:val="3A6B16A6"/>
    <w:rsid w:val="3A856654"/>
    <w:rsid w:val="3A89770A"/>
    <w:rsid w:val="3AB64605"/>
    <w:rsid w:val="3ABA33FB"/>
    <w:rsid w:val="3ABE1B66"/>
    <w:rsid w:val="3AC57875"/>
    <w:rsid w:val="3AD66DC6"/>
    <w:rsid w:val="3AD7059C"/>
    <w:rsid w:val="3AF17846"/>
    <w:rsid w:val="3AF92B9E"/>
    <w:rsid w:val="3AFC7168"/>
    <w:rsid w:val="3B054E46"/>
    <w:rsid w:val="3B1F0857"/>
    <w:rsid w:val="3B28164D"/>
    <w:rsid w:val="3B2A2492"/>
    <w:rsid w:val="3B337F8F"/>
    <w:rsid w:val="3B351174"/>
    <w:rsid w:val="3B3763D1"/>
    <w:rsid w:val="3B430836"/>
    <w:rsid w:val="3B506C62"/>
    <w:rsid w:val="3B7346FF"/>
    <w:rsid w:val="3B824942"/>
    <w:rsid w:val="3B8A37F6"/>
    <w:rsid w:val="3B8D51D7"/>
    <w:rsid w:val="3B900DC8"/>
    <w:rsid w:val="3B9823B7"/>
    <w:rsid w:val="3BA36B09"/>
    <w:rsid w:val="3BA82A38"/>
    <w:rsid w:val="3BAE3989"/>
    <w:rsid w:val="3BB07701"/>
    <w:rsid w:val="3BB372F9"/>
    <w:rsid w:val="3BDB1FCA"/>
    <w:rsid w:val="3C0108D7"/>
    <w:rsid w:val="3C0417FB"/>
    <w:rsid w:val="3C192AD4"/>
    <w:rsid w:val="3C1F3ADE"/>
    <w:rsid w:val="3C215F09"/>
    <w:rsid w:val="3C3976F6"/>
    <w:rsid w:val="3C3F0C56"/>
    <w:rsid w:val="3C45739C"/>
    <w:rsid w:val="3C4A5277"/>
    <w:rsid w:val="3C5B265E"/>
    <w:rsid w:val="3C5C33E5"/>
    <w:rsid w:val="3C73177A"/>
    <w:rsid w:val="3C830111"/>
    <w:rsid w:val="3C8800D3"/>
    <w:rsid w:val="3C94492D"/>
    <w:rsid w:val="3C9C2E0B"/>
    <w:rsid w:val="3CA00A1A"/>
    <w:rsid w:val="3CB67EEE"/>
    <w:rsid w:val="3CB70FBB"/>
    <w:rsid w:val="3CBF0F6E"/>
    <w:rsid w:val="3CC42F94"/>
    <w:rsid w:val="3CD64F45"/>
    <w:rsid w:val="3CDA245A"/>
    <w:rsid w:val="3CDC497A"/>
    <w:rsid w:val="3CE260B9"/>
    <w:rsid w:val="3CED1F0B"/>
    <w:rsid w:val="3CEE0A37"/>
    <w:rsid w:val="3CFE26EE"/>
    <w:rsid w:val="3D0F66A9"/>
    <w:rsid w:val="3D112421"/>
    <w:rsid w:val="3D181988"/>
    <w:rsid w:val="3D1B504E"/>
    <w:rsid w:val="3D232155"/>
    <w:rsid w:val="3D33058B"/>
    <w:rsid w:val="3D430B38"/>
    <w:rsid w:val="3D535092"/>
    <w:rsid w:val="3D616680"/>
    <w:rsid w:val="3D696657"/>
    <w:rsid w:val="3D6F7148"/>
    <w:rsid w:val="3D826E7B"/>
    <w:rsid w:val="3D8F7D2E"/>
    <w:rsid w:val="3D912D0A"/>
    <w:rsid w:val="3DA36F79"/>
    <w:rsid w:val="3DA6700D"/>
    <w:rsid w:val="3DC901B2"/>
    <w:rsid w:val="3DD83190"/>
    <w:rsid w:val="3DE3500A"/>
    <w:rsid w:val="3DF321A8"/>
    <w:rsid w:val="3DFC1B15"/>
    <w:rsid w:val="3E1C0F2E"/>
    <w:rsid w:val="3E220757"/>
    <w:rsid w:val="3E2A2BAA"/>
    <w:rsid w:val="3E2B2052"/>
    <w:rsid w:val="3E3068D7"/>
    <w:rsid w:val="3E462423"/>
    <w:rsid w:val="3E495BEB"/>
    <w:rsid w:val="3E4D7489"/>
    <w:rsid w:val="3E6246AA"/>
    <w:rsid w:val="3E6D2536"/>
    <w:rsid w:val="3E6E49B7"/>
    <w:rsid w:val="3E7359A9"/>
    <w:rsid w:val="3E7B0EBC"/>
    <w:rsid w:val="3E810EE1"/>
    <w:rsid w:val="3E8409D1"/>
    <w:rsid w:val="3EA213DC"/>
    <w:rsid w:val="3EA42E21"/>
    <w:rsid w:val="3EA6146F"/>
    <w:rsid w:val="3EA636FE"/>
    <w:rsid w:val="3EAB7DC3"/>
    <w:rsid w:val="3EB76FF8"/>
    <w:rsid w:val="3EC3599D"/>
    <w:rsid w:val="3EC41ABD"/>
    <w:rsid w:val="3EC735A1"/>
    <w:rsid w:val="3EC96340"/>
    <w:rsid w:val="3ED6747E"/>
    <w:rsid w:val="3EDC080D"/>
    <w:rsid w:val="3EDC57AD"/>
    <w:rsid w:val="3EE37BFF"/>
    <w:rsid w:val="3EF00463"/>
    <w:rsid w:val="3F065387"/>
    <w:rsid w:val="3F0D09C6"/>
    <w:rsid w:val="3F1E7077"/>
    <w:rsid w:val="3F204B9E"/>
    <w:rsid w:val="3F2327AF"/>
    <w:rsid w:val="3F23468E"/>
    <w:rsid w:val="3F340649"/>
    <w:rsid w:val="3F3A3A46"/>
    <w:rsid w:val="3F3B445E"/>
    <w:rsid w:val="3F474513"/>
    <w:rsid w:val="3F4A39D4"/>
    <w:rsid w:val="3F4C14EF"/>
    <w:rsid w:val="3F4D40D9"/>
    <w:rsid w:val="3F506416"/>
    <w:rsid w:val="3F5860E5"/>
    <w:rsid w:val="3F5E56C6"/>
    <w:rsid w:val="3F634D2C"/>
    <w:rsid w:val="3F660E74"/>
    <w:rsid w:val="3F6F51DD"/>
    <w:rsid w:val="3F823162"/>
    <w:rsid w:val="3F8C2233"/>
    <w:rsid w:val="3FAF7CCF"/>
    <w:rsid w:val="3FB05F21"/>
    <w:rsid w:val="3FCA2944"/>
    <w:rsid w:val="3FCB2D5B"/>
    <w:rsid w:val="3FD124CF"/>
    <w:rsid w:val="3FD17C46"/>
    <w:rsid w:val="3FDE154E"/>
    <w:rsid w:val="3FDE6C25"/>
    <w:rsid w:val="3FF329F9"/>
    <w:rsid w:val="3FFF5012"/>
    <w:rsid w:val="400B56FF"/>
    <w:rsid w:val="400C0C7E"/>
    <w:rsid w:val="40220269"/>
    <w:rsid w:val="403B0C1B"/>
    <w:rsid w:val="403D5519"/>
    <w:rsid w:val="403D5E79"/>
    <w:rsid w:val="40401A6D"/>
    <w:rsid w:val="404417A0"/>
    <w:rsid w:val="404653FF"/>
    <w:rsid w:val="404D0F95"/>
    <w:rsid w:val="40534AFF"/>
    <w:rsid w:val="406C796F"/>
    <w:rsid w:val="40767C0F"/>
    <w:rsid w:val="407A6407"/>
    <w:rsid w:val="407A6EF0"/>
    <w:rsid w:val="408E54D0"/>
    <w:rsid w:val="409E3FCC"/>
    <w:rsid w:val="40A50663"/>
    <w:rsid w:val="40B82406"/>
    <w:rsid w:val="40C56430"/>
    <w:rsid w:val="40C902B3"/>
    <w:rsid w:val="41111B6B"/>
    <w:rsid w:val="41174CCC"/>
    <w:rsid w:val="411F5C36"/>
    <w:rsid w:val="41202C33"/>
    <w:rsid w:val="41261487"/>
    <w:rsid w:val="412709D8"/>
    <w:rsid w:val="41543AFB"/>
    <w:rsid w:val="41574443"/>
    <w:rsid w:val="415B3C6B"/>
    <w:rsid w:val="415E7F28"/>
    <w:rsid w:val="41653C86"/>
    <w:rsid w:val="41664660"/>
    <w:rsid w:val="417D0085"/>
    <w:rsid w:val="41832CCF"/>
    <w:rsid w:val="4185518C"/>
    <w:rsid w:val="418A34E1"/>
    <w:rsid w:val="419B050B"/>
    <w:rsid w:val="419E53BB"/>
    <w:rsid w:val="419F53E4"/>
    <w:rsid w:val="41A37743"/>
    <w:rsid w:val="41A411C8"/>
    <w:rsid w:val="41B33AA7"/>
    <w:rsid w:val="41BB6849"/>
    <w:rsid w:val="41D1217F"/>
    <w:rsid w:val="41D827C2"/>
    <w:rsid w:val="41DB1250"/>
    <w:rsid w:val="41DD07B9"/>
    <w:rsid w:val="41E25059"/>
    <w:rsid w:val="41EC0D67"/>
    <w:rsid w:val="41EE2D31"/>
    <w:rsid w:val="41F92911"/>
    <w:rsid w:val="41FA7928"/>
    <w:rsid w:val="42051E29"/>
    <w:rsid w:val="420A5259"/>
    <w:rsid w:val="421A50B8"/>
    <w:rsid w:val="421E0086"/>
    <w:rsid w:val="421F4F76"/>
    <w:rsid w:val="42225BE8"/>
    <w:rsid w:val="422746A1"/>
    <w:rsid w:val="422F08A0"/>
    <w:rsid w:val="423224F1"/>
    <w:rsid w:val="423347A0"/>
    <w:rsid w:val="42342F3D"/>
    <w:rsid w:val="423A3BCC"/>
    <w:rsid w:val="42426BD9"/>
    <w:rsid w:val="424B55BC"/>
    <w:rsid w:val="425479F5"/>
    <w:rsid w:val="42636FFD"/>
    <w:rsid w:val="42755200"/>
    <w:rsid w:val="42777B22"/>
    <w:rsid w:val="429872AD"/>
    <w:rsid w:val="429A07C3"/>
    <w:rsid w:val="429C0D35"/>
    <w:rsid w:val="42A20F87"/>
    <w:rsid w:val="42B324BC"/>
    <w:rsid w:val="42C55269"/>
    <w:rsid w:val="42CB3072"/>
    <w:rsid w:val="42D030EE"/>
    <w:rsid w:val="42D44BBD"/>
    <w:rsid w:val="42D82D93"/>
    <w:rsid w:val="42DC0E67"/>
    <w:rsid w:val="42E14644"/>
    <w:rsid w:val="42E3300D"/>
    <w:rsid w:val="42EB7271"/>
    <w:rsid w:val="43057D85"/>
    <w:rsid w:val="43075CE6"/>
    <w:rsid w:val="430D5E68"/>
    <w:rsid w:val="431612B1"/>
    <w:rsid w:val="431C0C38"/>
    <w:rsid w:val="432B3B11"/>
    <w:rsid w:val="43351583"/>
    <w:rsid w:val="433A51B1"/>
    <w:rsid w:val="433A5FCA"/>
    <w:rsid w:val="433A6FE6"/>
    <w:rsid w:val="433E7291"/>
    <w:rsid w:val="43493316"/>
    <w:rsid w:val="4350713C"/>
    <w:rsid w:val="4352541F"/>
    <w:rsid w:val="435B0657"/>
    <w:rsid w:val="436653E0"/>
    <w:rsid w:val="436D4129"/>
    <w:rsid w:val="436F7EA2"/>
    <w:rsid w:val="437B4D47"/>
    <w:rsid w:val="437E0267"/>
    <w:rsid w:val="439E2535"/>
    <w:rsid w:val="43A96BDE"/>
    <w:rsid w:val="43B640FE"/>
    <w:rsid w:val="43C73EA9"/>
    <w:rsid w:val="43CF4822"/>
    <w:rsid w:val="43D36C92"/>
    <w:rsid w:val="43E84F07"/>
    <w:rsid w:val="44226CC2"/>
    <w:rsid w:val="4436276D"/>
    <w:rsid w:val="44384737"/>
    <w:rsid w:val="44462E1B"/>
    <w:rsid w:val="44564BBE"/>
    <w:rsid w:val="446430F4"/>
    <w:rsid w:val="446472DA"/>
    <w:rsid w:val="4467501D"/>
    <w:rsid w:val="44775260"/>
    <w:rsid w:val="447B4179"/>
    <w:rsid w:val="448F6BDF"/>
    <w:rsid w:val="44944F45"/>
    <w:rsid w:val="44984918"/>
    <w:rsid w:val="449C4CC6"/>
    <w:rsid w:val="44B0632B"/>
    <w:rsid w:val="44BC2C73"/>
    <w:rsid w:val="44BD4C3D"/>
    <w:rsid w:val="44CD14E0"/>
    <w:rsid w:val="44EA41C0"/>
    <w:rsid w:val="44F348A9"/>
    <w:rsid w:val="44F92119"/>
    <w:rsid w:val="44FD328B"/>
    <w:rsid w:val="451340A4"/>
    <w:rsid w:val="45183BCD"/>
    <w:rsid w:val="451C5BBF"/>
    <w:rsid w:val="452A0524"/>
    <w:rsid w:val="45357B6A"/>
    <w:rsid w:val="45612B25"/>
    <w:rsid w:val="456450B8"/>
    <w:rsid w:val="456D5910"/>
    <w:rsid w:val="457B2B2E"/>
    <w:rsid w:val="45800144"/>
    <w:rsid w:val="45844809"/>
    <w:rsid w:val="45877EA1"/>
    <w:rsid w:val="458946E9"/>
    <w:rsid w:val="459040FF"/>
    <w:rsid w:val="45A2455E"/>
    <w:rsid w:val="45A32084"/>
    <w:rsid w:val="45AF6177"/>
    <w:rsid w:val="45B57ED7"/>
    <w:rsid w:val="45BB1621"/>
    <w:rsid w:val="45C55AC9"/>
    <w:rsid w:val="45D35BB2"/>
    <w:rsid w:val="45E9646F"/>
    <w:rsid w:val="45EF1B58"/>
    <w:rsid w:val="45EF24D9"/>
    <w:rsid w:val="45FC0D57"/>
    <w:rsid w:val="460074D7"/>
    <w:rsid w:val="460348D1"/>
    <w:rsid w:val="461F3D68"/>
    <w:rsid w:val="462273E6"/>
    <w:rsid w:val="46250A0C"/>
    <w:rsid w:val="46290BCB"/>
    <w:rsid w:val="462D586E"/>
    <w:rsid w:val="462E1094"/>
    <w:rsid w:val="462E6DF1"/>
    <w:rsid w:val="463111D3"/>
    <w:rsid w:val="46340F2E"/>
    <w:rsid w:val="46364CA7"/>
    <w:rsid w:val="463A6B3C"/>
    <w:rsid w:val="464E1599"/>
    <w:rsid w:val="46510F8B"/>
    <w:rsid w:val="46546BB9"/>
    <w:rsid w:val="46574849"/>
    <w:rsid w:val="46592743"/>
    <w:rsid w:val="46597AB3"/>
    <w:rsid w:val="465B295F"/>
    <w:rsid w:val="465D0485"/>
    <w:rsid w:val="465F4280"/>
    <w:rsid w:val="466A26C3"/>
    <w:rsid w:val="467C562D"/>
    <w:rsid w:val="468974CC"/>
    <w:rsid w:val="469A77A8"/>
    <w:rsid w:val="46A11D57"/>
    <w:rsid w:val="46A32052"/>
    <w:rsid w:val="46A3358C"/>
    <w:rsid w:val="46A71700"/>
    <w:rsid w:val="46A9191C"/>
    <w:rsid w:val="46C04776"/>
    <w:rsid w:val="46C40504"/>
    <w:rsid w:val="46C60C8F"/>
    <w:rsid w:val="46CE4FB8"/>
    <w:rsid w:val="46D955A7"/>
    <w:rsid w:val="46F04E55"/>
    <w:rsid w:val="46FE4163"/>
    <w:rsid w:val="47133957"/>
    <w:rsid w:val="47154E43"/>
    <w:rsid w:val="471C20EE"/>
    <w:rsid w:val="471F2A33"/>
    <w:rsid w:val="472D42FC"/>
    <w:rsid w:val="47360175"/>
    <w:rsid w:val="474F3279"/>
    <w:rsid w:val="47546A21"/>
    <w:rsid w:val="4779329E"/>
    <w:rsid w:val="477A0BC3"/>
    <w:rsid w:val="47864444"/>
    <w:rsid w:val="479C7DAA"/>
    <w:rsid w:val="47A07E0C"/>
    <w:rsid w:val="47A4115D"/>
    <w:rsid w:val="47A82838"/>
    <w:rsid w:val="47B61E19"/>
    <w:rsid w:val="47C131DF"/>
    <w:rsid w:val="47D8338F"/>
    <w:rsid w:val="47E250E6"/>
    <w:rsid w:val="47FA07C6"/>
    <w:rsid w:val="47FD5FB7"/>
    <w:rsid w:val="48107E1B"/>
    <w:rsid w:val="481B3238"/>
    <w:rsid w:val="482E2F95"/>
    <w:rsid w:val="483E6094"/>
    <w:rsid w:val="483F42E6"/>
    <w:rsid w:val="486378A9"/>
    <w:rsid w:val="48647EA7"/>
    <w:rsid w:val="4870272E"/>
    <w:rsid w:val="487D6C46"/>
    <w:rsid w:val="48A95C04"/>
    <w:rsid w:val="48AA3747"/>
    <w:rsid w:val="48B2548C"/>
    <w:rsid w:val="48C45FE2"/>
    <w:rsid w:val="48C540C0"/>
    <w:rsid w:val="48C60564"/>
    <w:rsid w:val="48D125A1"/>
    <w:rsid w:val="48D32C81"/>
    <w:rsid w:val="48FA1A7D"/>
    <w:rsid w:val="48FC21D7"/>
    <w:rsid w:val="490343CA"/>
    <w:rsid w:val="490832A0"/>
    <w:rsid w:val="49100E85"/>
    <w:rsid w:val="49155CE2"/>
    <w:rsid w:val="491A440C"/>
    <w:rsid w:val="491B0E4C"/>
    <w:rsid w:val="492251E5"/>
    <w:rsid w:val="493D634C"/>
    <w:rsid w:val="49477EB3"/>
    <w:rsid w:val="49695393"/>
    <w:rsid w:val="496F0BFB"/>
    <w:rsid w:val="4977360C"/>
    <w:rsid w:val="499508AA"/>
    <w:rsid w:val="49961BCE"/>
    <w:rsid w:val="4996583B"/>
    <w:rsid w:val="499C7517"/>
    <w:rsid w:val="49A10689"/>
    <w:rsid w:val="49AC49EB"/>
    <w:rsid w:val="49B04D70"/>
    <w:rsid w:val="49B272F8"/>
    <w:rsid w:val="49BB5BEF"/>
    <w:rsid w:val="49C16F7D"/>
    <w:rsid w:val="49CF5BDF"/>
    <w:rsid w:val="49DC7715"/>
    <w:rsid w:val="49DD6553"/>
    <w:rsid w:val="4A023139"/>
    <w:rsid w:val="4A051293"/>
    <w:rsid w:val="4A085BF4"/>
    <w:rsid w:val="4A0E4826"/>
    <w:rsid w:val="4A1A3933"/>
    <w:rsid w:val="4A1B043B"/>
    <w:rsid w:val="4A1B1160"/>
    <w:rsid w:val="4A1E7A6B"/>
    <w:rsid w:val="4A2117CA"/>
    <w:rsid w:val="4A3414FD"/>
    <w:rsid w:val="4A3B6D2F"/>
    <w:rsid w:val="4A3E412A"/>
    <w:rsid w:val="4A3E5EDA"/>
    <w:rsid w:val="4A4C0CA0"/>
    <w:rsid w:val="4A4D6191"/>
    <w:rsid w:val="4A4E6A63"/>
    <w:rsid w:val="4A504E51"/>
    <w:rsid w:val="4A5B1A01"/>
    <w:rsid w:val="4A5F5BA3"/>
    <w:rsid w:val="4A62264E"/>
    <w:rsid w:val="4A6F158D"/>
    <w:rsid w:val="4A6F2535"/>
    <w:rsid w:val="4A721FE8"/>
    <w:rsid w:val="4A7465C4"/>
    <w:rsid w:val="4A7B576F"/>
    <w:rsid w:val="4A7B712C"/>
    <w:rsid w:val="4A7F740E"/>
    <w:rsid w:val="4A8E220A"/>
    <w:rsid w:val="4AA77F21"/>
    <w:rsid w:val="4AB72A26"/>
    <w:rsid w:val="4AD131F0"/>
    <w:rsid w:val="4AD47F7A"/>
    <w:rsid w:val="4AD914B5"/>
    <w:rsid w:val="4AE51970"/>
    <w:rsid w:val="4AE90539"/>
    <w:rsid w:val="4AF0631F"/>
    <w:rsid w:val="4B0200A9"/>
    <w:rsid w:val="4B023555"/>
    <w:rsid w:val="4B054C48"/>
    <w:rsid w:val="4B094738"/>
    <w:rsid w:val="4B1355B6"/>
    <w:rsid w:val="4B187071"/>
    <w:rsid w:val="4B1D63A4"/>
    <w:rsid w:val="4B1E304D"/>
    <w:rsid w:val="4B1F5D09"/>
    <w:rsid w:val="4B22026E"/>
    <w:rsid w:val="4B2368B7"/>
    <w:rsid w:val="4B2E419E"/>
    <w:rsid w:val="4B393D96"/>
    <w:rsid w:val="4B3B5A5E"/>
    <w:rsid w:val="4B447056"/>
    <w:rsid w:val="4B4B11F4"/>
    <w:rsid w:val="4B4D5B23"/>
    <w:rsid w:val="4B5236EA"/>
    <w:rsid w:val="4B7548E6"/>
    <w:rsid w:val="4B8D5369"/>
    <w:rsid w:val="4B92297F"/>
    <w:rsid w:val="4BA62189"/>
    <w:rsid w:val="4BB0133C"/>
    <w:rsid w:val="4BC45398"/>
    <w:rsid w:val="4BC60936"/>
    <w:rsid w:val="4BC93EC7"/>
    <w:rsid w:val="4BD061D0"/>
    <w:rsid w:val="4BF571A0"/>
    <w:rsid w:val="4BF7180A"/>
    <w:rsid w:val="4BF76C86"/>
    <w:rsid w:val="4BF84389"/>
    <w:rsid w:val="4BFA32F7"/>
    <w:rsid w:val="4BFC24EE"/>
    <w:rsid w:val="4C004255"/>
    <w:rsid w:val="4C1930A0"/>
    <w:rsid w:val="4C1E7CDB"/>
    <w:rsid w:val="4C2537F3"/>
    <w:rsid w:val="4C39104D"/>
    <w:rsid w:val="4C4A0649"/>
    <w:rsid w:val="4C4A325A"/>
    <w:rsid w:val="4C5A0678"/>
    <w:rsid w:val="4C646275"/>
    <w:rsid w:val="4C746DC9"/>
    <w:rsid w:val="4C7C2209"/>
    <w:rsid w:val="4C7C7096"/>
    <w:rsid w:val="4C8524E4"/>
    <w:rsid w:val="4C856040"/>
    <w:rsid w:val="4C865556"/>
    <w:rsid w:val="4C905CCA"/>
    <w:rsid w:val="4CA27F4D"/>
    <w:rsid w:val="4CA566E2"/>
    <w:rsid w:val="4CA7406F"/>
    <w:rsid w:val="4CAE31FE"/>
    <w:rsid w:val="4CB2621C"/>
    <w:rsid w:val="4CC76658"/>
    <w:rsid w:val="4CC81FE7"/>
    <w:rsid w:val="4CD966E4"/>
    <w:rsid w:val="4CE46A56"/>
    <w:rsid w:val="4CE470D3"/>
    <w:rsid w:val="4CEB4B2C"/>
    <w:rsid w:val="4CED534E"/>
    <w:rsid w:val="4CEE0D2F"/>
    <w:rsid w:val="4CFB60D7"/>
    <w:rsid w:val="4CFF6CC3"/>
    <w:rsid w:val="4D01270E"/>
    <w:rsid w:val="4D072EF9"/>
    <w:rsid w:val="4D1879C1"/>
    <w:rsid w:val="4D265A75"/>
    <w:rsid w:val="4D2E2B7B"/>
    <w:rsid w:val="4D3D22A1"/>
    <w:rsid w:val="4D445EFB"/>
    <w:rsid w:val="4D4B0703"/>
    <w:rsid w:val="4D4B6C12"/>
    <w:rsid w:val="4D5D6FBD"/>
    <w:rsid w:val="4D5E2D84"/>
    <w:rsid w:val="4D656449"/>
    <w:rsid w:val="4D6B792C"/>
    <w:rsid w:val="4D73058E"/>
    <w:rsid w:val="4D77717E"/>
    <w:rsid w:val="4D8409ED"/>
    <w:rsid w:val="4D8619DC"/>
    <w:rsid w:val="4DA17955"/>
    <w:rsid w:val="4DA46386"/>
    <w:rsid w:val="4DAB41CC"/>
    <w:rsid w:val="4DB95442"/>
    <w:rsid w:val="4DBE2E29"/>
    <w:rsid w:val="4DC66910"/>
    <w:rsid w:val="4DC86B2C"/>
    <w:rsid w:val="4DD1386F"/>
    <w:rsid w:val="4DD252B5"/>
    <w:rsid w:val="4DD415B3"/>
    <w:rsid w:val="4DE333EB"/>
    <w:rsid w:val="4DE65204"/>
    <w:rsid w:val="4DEC4FB0"/>
    <w:rsid w:val="4DF80A94"/>
    <w:rsid w:val="4E075D8A"/>
    <w:rsid w:val="4E191136"/>
    <w:rsid w:val="4E2F0959"/>
    <w:rsid w:val="4E3323C4"/>
    <w:rsid w:val="4E3866B1"/>
    <w:rsid w:val="4E4071E9"/>
    <w:rsid w:val="4E465C3F"/>
    <w:rsid w:val="4E4E0AED"/>
    <w:rsid w:val="4E673177"/>
    <w:rsid w:val="4E6A72EA"/>
    <w:rsid w:val="4E6E21CC"/>
    <w:rsid w:val="4E7236A7"/>
    <w:rsid w:val="4E7567C2"/>
    <w:rsid w:val="4E78601C"/>
    <w:rsid w:val="4E7D5E42"/>
    <w:rsid w:val="4E850579"/>
    <w:rsid w:val="4E853C5A"/>
    <w:rsid w:val="4E854A1D"/>
    <w:rsid w:val="4E8972EB"/>
    <w:rsid w:val="4E8B1908"/>
    <w:rsid w:val="4E8D61CF"/>
    <w:rsid w:val="4E9E788D"/>
    <w:rsid w:val="4EAA4484"/>
    <w:rsid w:val="4EAD5D22"/>
    <w:rsid w:val="4EB54F9B"/>
    <w:rsid w:val="4EBD0433"/>
    <w:rsid w:val="4EBD6226"/>
    <w:rsid w:val="4EC310A1"/>
    <w:rsid w:val="4EC97165"/>
    <w:rsid w:val="4ED17C62"/>
    <w:rsid w:val="4ED44E29"/>
    <w:rsid w:val="4EE554BC"/>
    <w:rsid w:val="4EED611E"/>
    <w:rsid w:val="4F0214B3"/>
    <w:rsid w:val="4F041DA9"/>
    <w:rsid w:val="4F0B0126"/>
    <w:rsid w:val="4F0C0C9A"/>
    <w:rsid w:val="4F1801C5"/>
    <w:rsid w:val="4F2002A2"/>
    <w:rsid w:val="4F3E1BCA"/>
    <w:rsid w:val="4F3E1FD4"/>
    <w:rsid w:val="4F4426D6"/>
    <w:rsid w:val="4F495A4B"/>
    <w:rsid w:val="4F4C3953"/>
    <w:rsid w:val="4F572B18"/>
    <w:rsid w:val="4F5F0DCA"/>
    <w:rsid w:val="4F711F6C"/>
    <w:rsid w:val="4F71341D"/>
    <w:rsid w:val="4F734876"/>
    <w:rsid w:val="4F7D2AF9"/>
    <w:rsid w:val="4F7F3673"/>
    <w:rsid w:val="4F7F3A00"/>
    <w:rsid w:val="4F840831"/>
    <w:rsid w:val="4F8A3D9F"/>
    <w:rsid w:val="4F8E345D"/>
    <w:rsid w:val="4F9A61EC"/>
    <w:rsid w:val="4FA9337C"/>
    <w:rsid w:val="4FC572AC"/>
    <w:rsid w:val="4FC62A8C"/>
    <w:rsid w:val="4FC9093A"/>
    <w:rsid w:val="4FCC37AE"/>
    <w:rsid w:val="4FE20F0D"/>
    <w:rsid w:val="4FE222BD"/>
    <w:rsid w:val="4FE3316A"/>
    <w:rsid w:val="4FF0236A"/>
    <w:rsid w:val="50025BF9"/>
    <w:rsid w:val="500558A2"/>
    <w:rsid w:val="500876B4"/>
    <w:rsid w:val="5015697C"/>
    <w:rsid w:val="501C6CBB"/>
    <w:rsid w:val="50217FF5"/>
    <w:rsid w:val="5024178C"/>
    <w:rsid w:val="50267B3A"/>
    <w:rsid w:val="504174C9"/>
    <w:rsid w:val="5045620A"/>
    <w:rsid w:val="504924F1"/>
    <w:rsid w:val="50504C4B"/>
    <w:rsid w:val="505C5B90"/>
    <w:rsid w:val="506277DA"/>
    <w:rsid w:val="506A6A8B"/>
    <w:rsid w:val="50795EBC"/>
    <w:rsid w:val="507C775A"/>
    <w:rsid w:val="507F1242"/>
    <w:rsid w:val="509A4A84"/>
    <w:rsid w:val="509C6E7C"/>
    <w:rsid w:val="50A20D13"/>
    <w:rsid w:val="50AC0D8A"/>
    <w:rsid w:val="50B623D4"/>
    <w:rsid w:val="50B67110"/>
    <w:rsid w:val="50B810C1"/>
    <w:rsid w:val="50B810F3"/>
    <w:rsid w:val="50BB78C9"/>
    <w:rsid w:val="50C07F8E"/>
    <w:rsid w:val="50C23D07"/>
    <w:rsid w:val="50C40865"/>
    <w:rsid w:val="50C8299F"/>
    <w:rsid w:val="50E023DF"/>
    <w:rsid w:val="50E91498"/>
    <w:rsid w:val="51054C73"/>
    <w:rsid w:val="510A7C1E"/>
    <w:rsid w:val="510C6D30"/>
    <w:rsid w:val="51430FA4"/>
    <w:rsid w:val="51445CCE"/>
    <w:rsid w:val="51477D68"/>
    <w:rsid w:val="515245C0"/>
    <w:rsid w:val="51554019"/>
    <w:rsid w:val="515F5A90"/>
    <w:rsid w:val="5162104E"/>
    <w:rsid w:val="516473EA"/>
    <w:rsid w:val="51703736"/>
    <w:rsid w:val="5181771E"/>
    <w:rsid w:val="51877EA9"/>
    <w:rsid w:val="518A6A6A"/>
    <w:rsid w:val="519D087F"/>
    <w:rsid w:val="51A56179"/>
    <w:rsid w:val="51A90A23"/>
    <w:rsid w:val="51C34CFC"/>
    <w:rsid w:val="51C63383"/>
    <w:rsid w:val="51D0683C"/>
    <w:rsid w:val="51D148AF"/>
    <w:rsid w:val="51D33CF1"/>
    <w:rsid w:val="51D7550F"/>
    <w:rsid w:val="51EC07E1"/>
    <w:rsid w:val="51F135E2"/>
    <w:rsid w:val="51F61EA3"/>
    <w:rsid w:val="520B4EC9"/>
    <w:rsid w:val="521B12BD"/>
    <w:rsid w:val="522A286E"/>
    <w:rsid w:val="522F48DD"/>
    <w:rsid w:val="523200B5"/>
    <w:rsid w:val="52483D98"/>
    <w:rsid w:val="525C3CE7"/>
    <w:rsid w:val="528172AA"/>
    <w:rsid w:val="528D62B1"/>
    <w:rsid w:val="52972D88"/>
    <w:rsid w:val="52972F71"/>
    <w:rsid w:val="5297619F"/>
    <w:rsid w:val="52984706"/>
    <w:rsid w:val="529D38B6"/>
    <w:rsid w:val="52A015C3"/>
    <w:rsid w:val="52C54299"/>
    <w:rsid w:val="52C8137C"/>
    <w:rsid w:val="52C97ADE"/>
    <w:rsid w:val="52CA1B96"/>
    <w:rsid w:val="52F1687B"/>
    <w:rsid w:val="52F43F1F"/>
    <w:rsid w:val="53191BD8"/>
    <w:rsid w:val="531C3D87"/>
    <w:rsid w:val="53283101"/>
    <w:rsid w:val="5337266C"/>
    <w:rsid w:val="533816D3"/>
    <w:rsid w:val="535E58BA"/>
    <w:rsid w:val="5363373C"/>
    <w:rsid w:val="536422BB"/>
    <w:rsid w:val="536C61AC"/>
    <w:rsid w:val="5371289D"/>
    <w:rsid w:val="53760DD8"/>
    <w:rsid w:val="537B1765"/>
    <w:rsid w:val="538A4709"/>
    <w:rsid w:val="53924617"/>
    <w:rsid w:val="539A4AC7"/>
    <w:rsid w:val="539D6365"/>
    <w:rsid w:val="53A039CC"/>
    <w:rsid w:val="53A1505A"/>
    <w:rsid w:val="53A312FA"/>
    <w:rsid w:val="53AD622B"/>
    <w:rsid w:val="53BE52E3"/>
    <w:rsid w:val="53C040E4"/>
    <w:rsid w:val="53E21FCA"/>
    <w:rsid w:val="54063E08"/>
    <w:rsid w:val="540C7047"/>
    <w:rsid w:val="54104D89"/>
    <w:rsid w:val="541327B7"/>
    <w:rsid w:val="541F321E"/>
    <w:rsid w:val="542401C3"/>
    <w:rsid w:val="542801C6"/>
    <w:rsid w:val="543437E8"/>
    <w:rsid w:val="543640C4"/>
    <w:rsid w:val="54370568"/>
    <w:rsid w:val="543C3DD0"/>
    <w:rsid w:val="5441014C"/>
    <w:rsid w:val="5449519D"/>
    <w:rsid w:val="54660E4D"/>
    <w:rsid w:val="54667088"/>
    <w:rsid w:val="546B0211"/>
    <w:rsid w:val="54752E3E"/>
    <w:rsid w:val="54821F61"/>
    <w:rsid w:val="5486504B"/>
    <w:rsid w:val="54866880"/>
    <w:rsid w:val="54974C26"/>
    <w:rsid w:val="54A174B3"/>
    <w:rsid w:val="54AA0D3A"/>
    <w:rsid w:val="54BC0090"/>
    <w:rsid w:val="54C55B73"/>
    <w:rsid w:val="54C55C59"/>
    <w:rsid w:val="54CE3AA7"/>
    <w:rsid w:val="54F16386"/>
    <w:rsid w:val="55015040"/>
    <w:rsid w:val="55172147"/>
    <w:rsid w:val="551B2419"/>
    <w:rsid w:val="55215F2B"/>
    <w:rsid w:val="55252731"/>
    <w:rsid w:val="553F3C35"/>
    <w:rsid w:val="55431D96"/>
    <w:rsid w:val="55480552"/>
    <w:rsid w:val="5550550D"/>
    <w:rsid w:val="55585219"/>
    <w:rsid w:val="555C6AA6"/>
    <w:rsid w:val="555E314A"/>
    <w:rsid w:val="55627AD0"/>
    <w:rsid w:val="556C2493"/>
    <w:rsid w:val="557230F7"/>
    <w:rsid w:val="557D01FC"/>
    <w:rsid w:val="5586741D"/>
    <w:rsid w:val="559B174B"/>
    <w:rsid w:val="55A22B11"/>
    <w:rsid w:val="55A46FC4"/>
    <w:rsid w:val="55A859D5"/>
    <w:rsid w:val="55AB01CC"/>
    <w:rsid w:val="55C73B6D"/>
    <w:rsid w:val="55CC4CE0"/>
    <w:rsid w:val="55CE0CF4"/>
    <w:rsid w:val="55CF368C"/>
    <w:rsid w:val="55F8121C"/>
    <w:rsid w:val="55FD202D"/>
    <w:rsid w:val="55FD3892"/>
    <w:rsid w:val="5621502B"/>
    <w:rsid w:val="56270168"/>
    <w:rsid w:val="562B6FA2"/>
    <w:rsid w:val="562B7C58"/>
    <w:rsid w:val="56356D29"/>
    <w:rsid w:val="563665FD"/>
    <w:rsid w:val="563F226F"/>
    <w:rsid w:val="56554A6D"/>
    <w:rsid w:val="565B78E8"/>
    <w:rsid w:val="565D1DDC"/>
    <w:rsid w:val="56602CE9"/>
    <w:rsid w:val="56644F18"/>
    <w:rsid w:val="56653714"/>
    <w:rsid w:val="56665134"/>
    <w:rsid w:val="566E6859"/>
    <w:rsid w:val="567649A8"/>
    <w:rsid w:val="568A7075"/>
    <w:rsid w:val="569C2904"/>
    <w:rsid w:val="56A33C92"/>
    <w:rsid w:val="56AD68BF"/>
    <w:rsid w:val="56B22A9C"/>
    <w:rsid w:val="56B72C30"/>
    <w:rsid w:val="56C241F7"/>
    <w:rsid w:val="56C63E25"/>
    <w:rsid w:val="56C65BD3"/>
    <w:rsid w:val="56C753E8"/>
    <w:rsid w:val="56CB72C5"/>
    <w:rsid w:val="56CD372D"/>
    <w:rsid w:val="56D23F72"/>
    <w:rsid w:val="56D24578"/>
    <w:rsid w:val="56DB436E"/>
    <w:rsid w:val="56DE2F1C"/>
    <w:rsid w:val="56E9366F"/>
    <w:rsid w:val="5705494D"/>
    <w:rsid w:val="57054BAD"/>
    <w:rsid w:val="57064221"/>
    <w:rsid w:val="570A5ABF"/>
    <w:rsid w:val="5714693E"/>
    <w:rsid w:val="57176CB7"/>
    <w:rsid w:val="57250B4B"/>
    <w:rsid w:val="57256D9D"/>
    <w:rsid w:val="574511ED"/>
    <w:rsid w:val="5750071B"/>
    <w:rsid w:val="57527466"/>
    <w:rsid w:val="575956A5"/>
    <w:rsid w:val="575D6BC7"/>
    <w:rsid w:val="576B4E8E"/>
    <w:rsid w:val="57757D1E"/>
    <w:rsid w:val="5789732C"/>
    <w:rsid w:val="578D7BCC"/>
    <w:rsid w:val="579F6A0C"/>
    <w:rsid w:val="57A27E1A"/>
    <w:rsid w:val="57A8737E"/>
    <w:rsid w:val="57B343A9"/>
    <w:rsid w:val="57B675EE"/>
    <w:rsid w:val="57B72A76"/>
    <w:rsid w:val="57BF0A9A"/>
    <w:rsid w:val="57DE6EB5"/>
    <w:rsid w:val="57E722A5"/>
    <w:rsid w:val="57E82253"/>
    <w:rsid w:val="57FA1ED8"/>
    <w:rsid w:val="58047E04"/>
    <w:rsid w:val="58093FC9"/>
    <w:rsid w:val="58212ECC"/>
    <w:rsid w:val="58296469"/>
    <w:rsid w:val="58342AEA"/>
    <w:rsid w:val="584570FE"/>
    <w:rsid w:val="58472D43"/>
    <w:rsid w:val="584916D2"/>
    <w:rsid w:val="584A63E6"/>
    <w:rsid w:val="58565EF7"/>
    <w:rsid w:val="585B1CB5"/>
    <w:rsid w:val="587A0A23"/>
    <w:rsid w:val="58811DFB"/>
    <w:rsid w:val="58812F33"/>
    <w:rsid w:val="58861EA9"/>
    <w:rsid w:val="58A5013C"/>
    <w:rsid w:val="58AD1A63"/>
    <w:rsid w:val="58BA52C3"/>
    <w:rsid w:val="58C92D67"/>
    <w:rsid w:val="58CD614A"/>
    <w:rsid w:val="58D5133F"/>
    <w:rsid w:val="58E10C8B"/>
    <w:rsid w:val="58E454DE"/>
    <w:rsid w:val="58F06F08"/>
    <w:rsid w:val="590E2D6B"/>
    <w:rsid w:val="5919023C"/>
    <w:rsid w:val="591926C1"/>
    <w:rsid w:val="591A3FB4"/>
    <w:rsid w:val="592068A1"/>
    <w:rsid w:val="59212B72"/>
    <w:rsid w:val="59247F1D"/>
    <w:rsid w:val="59301A29"/>
    <w:rsid w:val="593E4F95"/>
    <w:rsid w:val="59445A01"/>
    <w:rsid w:val="594C73A5"/>
    <w:rsid w:val="59530188"/>
    <w:rsid w:val="59617DBC"/>
    <w:rsid w:val="59701AD0"/>
    <w:rsid w:val="597D695E"/>
    <w:rsid w:val="599443CD"/>
    <w:rsid w:val="59A87812"/>
    <w:rsid w:val="59B82194"/>
    <w:rsid w:val="59D6612D"/>
    <w:rsid w:val="59F40395"/>
    <w:rsid w:val="59FB30B7"/>
    <w:rsid w:val="5A156C00"/>
    <w:rsid w:val="5A20238C"/>
    <w:rsid w:val="5A223836"/>
    <w:rsid w:val="5A2C6C8B"/>
    <w:rsid w:val="5A363790"/>
    <w:rsid w:val="5A3C747D"/>
    <w:rsid w:val="5A530D01"/>
    <w:rsid w:val="5A5A0BD4"/>
    <w:rsid w:val="5A61633E"/>
    <w:rsid w:val="5A767910"/>
    <w:rsid w:val="5A7F0572"/>
    <w:rsid w:val="5A80090D"/>
    <w:rsid w:val="5A8B5169"/>
    <w:rsid w:val="5A931906"/>
    <w:rsid w:val="5A9C7376"/>
    <w:rsid w:val="5A9E49E8"/>
    <w:rsid w:val="5AA04A12"/>
    <w:rsid w:val="5AA77AC9"/>
    <w:rsid w:val="5AB3646E"/>
    <w:rsid w:val="5AB95EE2"/>
    <w:rsid w:val="5AB9705D"/>
    <w:rsid w:val="5ABE2233"/>
    <w:rsid w:val="5AD16915"/>
    <w:rsid w:val="5AD429F6"/>
    <w:rsid w:val="5AD81059"/>
    <w:rsid w:val="5AE14D89"/>
    <w:rsid w:val="5AEC2CC5"/>
    <w:rsid w:val="5AF40B31"/>
    <w:rsid w:val="5AFA665C"/>
    <w:rsid w:val="5AFF16B3"/>
    <w:rsid w:val="5B067328"/>
    <w:rsid w:val="5B0D2022"/>
    <w:rsid w:val="5B0D4D97"/>
    <w:rsid w:val="5B12588A"/>
    <w:rsid w:val="5B1851F5"/>
    <w:rsid w:val="5B187A95"/>
    <w:rsid w:val="5B2348F0"/>
    <w:rsid w:val="5B2452CA"/>
    <w:rsid w:val="5B2555BE"/>
    <w:rsid w:val="5B276D18"/>
    <w:rsid w:val="5B2906F4"/>
    <w:rsid w:val="5B353327"/>
    <w:rsid w:val="5B386973"/>
    <w:rsid w:val="5B4D241F"/>
    <w:rsid w:val="5B5A5B54"/>
    <w:rsid w:val="5B6F3FE4"/>
    <w:rsid w:val="5B70435F"/>
    <w:rsid w:val="5B744332"/>
    <w:rsid w:val="5B7D0E35"/>
    <w:rsid w:val="5B8057B0"/>
    <w:rsid w:val="5B8305C0"/>
    <w:rsid w:val="5BB95D06"/>
    <w:rsid w:val="5BC55123"/>
    <w:rsid w:val="5BC6762F"/>
    <w:rsid w:val="5BCD0886"/>
    <w:rsid w:val="5BD37566"/>
    <w:rsid w:val="5BDF5D95"/>
    <w:rsid w:val="5BEF797A"/>
    <w:rsid w:val="5BF277D6"/>
    <w:rsid w:val="5BF42812"/>
    <w:rsid w:val="5BF8682E"/>
    <w:rsid w:val="5BFB3329"/>
    <w:rsid w:val="5C136E24"/>
    <w:rsid w:val="5C180D51"/>
    <w:rsid w:val="5C1856F3"/>
    <w:rsid w:val="5C6B34A4"/>
    <w:rsid w:val="5C784361"/>
    <w:rsid w:val="5C7F509B"/>
    <w:rsid w:val="5C8C39A8"/>
    <w:rsid w:val="5C8C51C9"/>
    <w:rsid w:val="5C9A5B38"/>
    <w:rsid w:val="5C9D73D6"/>
    <w:rsid w:val="5C9D7F7A"/>
    <w:rsid w:val="5C9E0E22"/>
    <w:rsid w:val="5CB624C3"/>
    <w:rsid w:val="5CBD4928"/>
    <w:rsid w:val="5CD901EE"/>
    <w:rsid w:val="5CE40B61"/>
    <w:rsid w:val="5CE9261B"/>
    <w:rsid w:val="5CF60482"/>
    <w:rsid w:val="5CF6270D"/>
    <w:rsid w:val="5CFD601C"/>
    <w:rsid w:val="5D055810"/>
    <w:rsid w:val="5D0D2688"/>
    <w:rsid w:val="5D104BC4"/>
    <w:rsid w:val="5D105DFA"/>
    <w:rsid w:val="5D1E0517"/>
    <w:rsid w:val="5D233A7F"/>
    <w:rsid w:val="5D25799B"/>
    <w:rsid w:val="5D272BC8"/>
    <w:rsid w:val="5D2F38A4"/>
    <w:rsid w:val="5D301FF8"/>
    <w:rsid w:val="5D3F6F0A"/>
    <w:rsid w:val="5D4C0522"/>
    <w:rsid w:val="5D541739"/>
    <w:rsid w:val="5D5E0913"/>
    <w:rsid w:val="5D5F781E"/>
    <w:rsid w:val="5D6A375C"/>
    <w:rsid w:val="5D700646"/>
    <w:rsid w:val="5D7161CA"/>
    <w:rsid w:val="5D744AA7"/>
    <w:rsid w:val="5D7B1836"/>
    <w:rsid w:val="5D891708"/>
    <w:rsid w:val="5D8D11F8"/>
    <w:rsid w:val="5D991433"/>
    <w:rsid w:val="5D99194B"/>
    <w:rsid w:val="5D9B49EA"/>
    <w:rsid w:val="5D9E0146"/>
    <w:rsid w:val="5DA46FF4"/>
    <w:rsid w:val="5DAB167E"/>
    <w:rsid w:val="5DAD53F7"/>
    <w:rsid w:val="5DC05EA7"/>
    <w:rsid w:val="5DCC0264"/>
    <w:rsid w:val="5DD154B4"/>
    <w:rsid w:val="5DD938F3"/>
    <w:rsid w:val="5DE331B2"/>
    <w:rsid w:val="5DE4407C"/>
    <w:rsid w:val="5DE72167"/>
    <w:rsid w:val="5DF87A0F"/>
    <w:rsid w:val="5E055371"/>
    <w:rsid w:val="5E1208AA"/>
    <w:rsid w:val="5E170D70"/>
    <w:rsid w:val="5E1A2F87"/>
    <w:rsid w:val="5E231D6D"/>
    <w:rsid w:val="5E287173"/>
    <w:rsid w:val="5E293092"/>
    <w:rsid w:val="5E4148FE"/>
    <w:rsid w:val="5E450858"/>
    <w:rsid w:val="5E4F64AE"/>
    <w:rsid w:val="5E502D0D"/>
    <w:rsid w:val="5E53117C"/>
    <w:rsid w:val="5E5463B1"/>
    <w:rsid w:val="5E620763"/>
    <w:rsid w:val="5E631F59"/>
    <w:rsid w:val="5E6C52B2"/>
    <w:rsid w:val="5E7151D4"/>
    <w:rsid w:val="5E7241A2"/>
    <w:rsid w:val="5E8944CC"/>
    <w:rsid w:val="5E8A5D8D"/>
    <w:rsid w:val="5E9A4CFF"/>
    <w:rsid w:val="5E9D190F"/>
    <w:rsid w:val="5EB366A7"/>
    <w:rsid w:val="5EC0115A"/>
    <w:rsid w:val="5EDA3339"/>
    <w:rsid w:val="5EDC03D9"/>
    <w:rsid w:val="5EEB1EC9"/>
    <w:rsid w:val="5EFA466C"/>
    <w:rsid w:val="5F1861FE"/>
    <w:rsid w:val="5F1A2B43"/>
    <w:rsid w:val="5F21609C"/>
    <w:rsid w:val="5F2913F5"/>
    <w:rsid w:val="5F2A19BE"/>
    <w:rsid w:val="5F2B6F1B"/>
    <w:rsid w:val="5F2D60E0"/>
    <w:rsid w:val="5F30646B"/>
    <w:rsid w:val="5F4B71EB"/>
    <w:rsid w:val="5F4E230F"/>
    <w:rsid w:val="5F517FEB"/>
    <w:rsid w:val="5F5D4BFA"/>
    <w:rsid w:val="5F5F2B51"/>
    <w:rsid w:val="5F792AC2"/>
    <w:rsid w:val="5F906952"/>
    <w:rsid w:val="5F96422D"/>
    <w:rsid w:val="5F9A6465"/>
    <w:rsid w:val="5FA34D03"/>
    <w:rsid w:val="5FA665A1"/>
    <w:rsid w:val="5FB837BB"/>
    <w:rsid w:val="5FBC5DC5"/>
    <w:rsid w:val="5FCE4E78"/>
    <w:rsid w:val="5FCE5C2B"/>
    <w:rsid w:val="5FD30414"/>
    <w:rsid w:val="5FDE21DF"/>
    <w:rsid w:val="5FE61B61"/>
    <w:rsid w:val="6015353F"/>
    <w:rsid w:val="601D0CC2"/>
    <w:rsid w:val="60221DB4"/>
    <w:rsid w:val="603C0CB4"/>
    <w:rsid w:val="603D591F"/>
    <w:rsid w:val="604021CA"/>
    <w:rsid w:val="60416D51"/>
    <w:rsid w:val="6042508C"/>
    <w:rsid w:val="60573036"/>
    <w:rsid w:val="60615A8C"/>
    <w:rsid w:val="60646909"/>
    <w:rsid w:val="606C5D79"/>
    <w:rsid w:val="60744A6A"/>
    <w:rsid w:val="60765E19"/>
    <w:rsid w:val="60787F3E"/>
    <w:rsid w:val="607F2DAF"/>
    <w:rsid w:val="608464D7"/>
    <w:rsid w:val="60852143"/>
    <w:rsid w:val="608B2761"/>
    <w:rsid w:val="6098238E"/>
    <w:rsid w:val="609871D6"/>
    <w:rsid w:val="609E253B"/>
    <w:rsid w:val="60A80AC1"/>
    <w:rsid w:val="60AC0791"/>
    <w:rsid w:val="60B77FA4"/>
    <w:rsid w:val="60C018E5"/>
    <w:rsid w:val="60C062C0"/>
    <w:rsid w:val="60C7306B"/>
    <w:rsid w:val="60CF0F89"/>
    <w:rsid w:val="60E455D3"/>
    <w:rsid w:val="60EF09B1"/>
    <w:rsid w:val="60F2534F"/>
    <w:rsid w:val="61007F33"/>
    <w:rsid w:val="61095297"/>
    <w:rsid w:val="610A3A32"/>
    <w:rsid w:val="6121330C"/>
    <w:rsid w:val="613B4177"/>
    <w:rsid w:val="613D1F5B"/>
    <w:rsid w:val="61480013"/>
    <w:rsid w:val="61500EBB"/>
    <w:rsid w:val="6162788F"/>
    <w:rsid w:val="616C2FEE"/>
    <w:rsid w:val="616E1341"/>
    <w:rsid w:val="617215D0"/>
    <w:rsid w:val="61742C47"/>
    <w:rsid w:val="618741B1"/>
    <w:rsid w:val="61982F37"/>
    <w:rsid w:val="619F599E"/>
    <w:rsid w:val="61A2586B"/>
    <w:rsid w:val="61B0135C"/>
    <w:rsid w:val="61B256D1"/>
    <w:rsid w:val="61BF5E69"/>
    <w:rsid w:val="61DC793B"/>
    <w:rsid w:val="61E078C9"/>
    <w:rsid w:val="61E40FB6"/>
    <w:rsid w:val="61E45B3F"/>
    <w:rsid w:val="620123E4"/>
    <w:rsid w:val="620C71E5"/>
    <w:rsid w:val="62145A44"/>
    <w:rsid w:val="621C4335"/>
    <w:rsid w:val="621D108A"/>
    <w:rsid w:val="622745DF"/>
    <w:rsid w:val="6236151B"/>
    <w:rsid w:val="62364782"/>
    <w:rsid w:val="623C31ED"/>
    <w:rsid w:val="624D358F"/>
    <w:rsid w:val="625247BE"/>
    <w:rsid w:val="62676D56"/>
    <w:rsid w:val="626C3AD2"/>
    <w:rsid w:val="627172DD"/>
    <w:rsid w:val="62731A0F"/>
    <w:rsid w:val="62765B07"/>
    <w:rsid w:val="627E65AA"/>
    <w:rsid w:val="628F77C1"/>
    <w:rsid w:val="62B9088B"/>
    <w:rsid w:val="62BA36B6"/>
    <w:rsid w:val="62C11F00"/>
    <w:rsid w:val="62CB4CB6"/>
    <w:rsid w:val="62D317A9"/>
    <w:rsid w:val="62D528EB"/>
    <w:rsid w:val="62D97ACF"/>
    <w:rsid w:val="62DD4C91"/>
    <w:rsid w:val="62E40A48"/>
    <w:rsid w:val="62E556D1"/>
    <w:rsid w:val="62F51D1A"/>
    <w:rsid w:val="62F54A0B"/>
    <w:rsid w:val="62FB1DBD"/>
    <w:rsid w:val="62FD66FD"/>
    <w:rsid w:val="63021D41"/>
    <w:rsid w:val="630260B6"/>
    <w:rsid w:val="630F1911"/>
    <w:rsid w:val="631729AA"/>
    <w:rsid w:val="63224191"/>
    <w:rsid w:val="6327452B"/>
    <w:rsid w:val="63294227"/>
    <w:rsid w:val="63402869"/>
    <w:rsid w:val="634643F1"/>
    <w:rsid w:val="636429FB"/>
    <w:rsid w:val="636F71DD"/>
    <w:rsid w:val="63715118"/>
    <w:rsid w:val="638D1F52"/>
    <w:rsid w:val="638E5DB2"/>
    <w:rsid w:val="639C6FA9"/>
    <w:rsid w:val="63A2674F"/>
    <w:rsid w:val="63A9650A"/>
    <w:rsid w:val="63B05C41"/>
    <w:rsid w:val="63B71BA3"/>
    <w:rsid w:val="63B81F81"/>
    <w:rsid w:val="63D40BE9"/>
    <w:rsid w:val="63DF6526"/>
    <w:rsid w:val="63E0211F"/>
    <w:rsid w:val="63F13622"/>
    <w:rsid w:val="63F634EE"/>
    <w:rsid w:val="64020AE6"/>
    <w:rsid w:val="64151F2C"/>
    <w:rsid w:val="642D103F"/>
    <w:rsid w:val="642F3009"/>
    <w:rsid w:val="643B2165"/>
    <w:rsid w:val="64443B78"/>
    <w:rsid w:val="6449399F"/>
    <w:rsid w:val="6460084F"/>
    <w:rsid w:val="646031C3"/>
    <w:rsid w:val="646D1D84"/>
    <w:rsid w:val="64743CB1"/>
    <w:rsid w:val="647733F2"/>
    <w:rsid w:val="64775A27"/>
    <w:rsid w:val="647C5B23"/>
    <w:rsid w:val="647D0C19"/>
    <w:rsid w:val="647F41B9"/>
    <w:rsid w:val="648B5904"/>
    <w:rsid w:val="648F1CFA"/>
    <w:rsid w:val="64A30F3F"/>
    <w:rsid w:val="64A51B2D"/>
    <w:rsid w:val="64A55035"/>
    <w:rsid w:val="64AC28AC"/>
    <w:rsid w:val="64C97FF4"/>
    <w:rsid w:val="64CD21AB"/>
    <w:rsid w:val="64D75C1E"/>
    <w:rsid w:val="64DF4A2F"/>
    <w:rsid w:val="64E404A0"/>
    <w:rsid w:val="64E60BF8"/>
    <w:rsid w:val="64E9765C"/>
    <w:rsid w:val="64FE021F"/>
    <w:rsid w:val="64FE29DC"/>
    <w:rsid w:val="65030DDA"/>
    <w:rsid w:val="65055B18"/>
    <w:rsid w:val="650A7614"/>
    <w:rsid w:val="65144583"/>
    <w:rsid w:val="65160232"/>
    <w:rsid w:val="651D5D69"/>
    <w:rsid w:val="652558C5"/>
    <w:rsid w:val="65332434"/>
    <w:rsid w:val="65350968"/>
    <w:rsid w:val="65373578"/>
    <w:rsid w:val="65493C57"/>
    <w:rsid w:val="654A79CF"/>
    <w:rsid w:val="654E07CD"/>
    <w:rsid w:val="65522731"/>
    <w:rsid w:val="6556144F"/>
    <w:rsid w:val="6559603C"/>
    <w:rsid w:val="656F1687"/>
    <w:rsid w:val="65711CFD"/>
    <w:rsid w:val="65792A57"/>
    <w:rsid w:val="65857974"/>
    <w:rsid w:val="65873F81"/>
    <w:rsid w:val="659A2891"/>
    <w:rsid w:val="65A74E21"/>
    <w:rsid w:val="65AF6DA2"/>
    <w:rsid w:val="65B112DA"/>
    <w:rsid w:val="65D96798"/>
    <w:rsid w:val="65DF45BB"/>
    <w:rsid w:val="65E168ED"/>
    <w:rsid w:val="65E5016D"/>
    <w:rsid w:val="65E66AFE"/>
    <w:rsid w:val="660B2A2A"/>
    <w:rsid w:val="66285366"/>
    <w:rsid w:val="664804B3"/>
    <w:rsid w:val="665515B5"/>
    <w:rsid w:val="66565B43"/>
    <w:rsid w:val="665778E1"/>
    <w:rsid w:val="665B5FA1"/>
    <w:rsid w:val="665B6338"/>
    <w:rsid w:val="665C3E5E"/>
    <w:rsid w:val="66690EDD"/>
    <w:rsid w:val="6674153C"/>
    <w:rsid w:val="66760FD3"/>
    <w:rsid w:val="668F4233"/>
    <w:rsid w:val="66AB0F78"/>
    <w:rsid w:val="66AC731E"/>
    <w:rsid w:val="66B04BCE"/>
    <w:rsid w:val="66B345AE"/>
    <w:rsid w:val="66C23F2F"/>
    <w:rsid w:val="66C35C8B"/>
    <w:rsid w:val="66C739CD"/>
    <w:rsid w:val="66CC2D91"/>
    <w:rsid w:val="66CE34D2"/>
    <w:rsid w:val="66DA5B19"/>
    <w:rsid w:val="66E16111"/>
    <w:rsid w:val="66F7505D"/>
    <w:rsid w:val="670630BA"/>
    <w:rsid w:val="670F2C7E"/>
    <w:rsid w:val="670F7122"/>
    <w:rsid w:val="671B56FF"/>
    <w:rsid w:val="67386952"/>
    <w:rsid w:val="673F2C7A"/>
    <w:rsid w:val="674A015A"/>
    <w:rsid w:val="67553F18"/>
    <w:rsid w:val="67582877"/>
    <w:rsid w:val="67670EBA"/>
    <w:rsid w:val="6787125F"/>
    <w:rsid w:val="67894ABC"/>
    <w:rsid w:val="67900263"/>
    <w:rsid w:val="67951D2D"/>
    <w:rsid w:val="67972E94"/>
    <w:rsid w:val="67987117"/>
    <w:rsid w:val="67991BBA"/>
    <w:rsid w:val="679A2E90"/>
    <w:rsid w:val="67A366FC"/>
    <w:rsid w:val="67A4786A"/>
    <w:rsid w:val="67AE1C1C"/>
    <w:rsid w:val="67BF03CC"/>
    <w:rsid w:val="67C90E1E"/>
    <w:rsid w:val="67CE2B39"/>
    <w:rsid w:val="67DE774C"/>
    <w:rsid w:val="67E06114"/>
    <w:rsid w:val="67E501F3"/>
    <w:rsid w:val="67E85BB0"/>
    <w:rsid w:val="67EE4F89"/>
    <w:rsid w:val="67F105D6"/>
    <w:rsid w:val="67F3434E"/>
    <w:rsid w:val="68091C30"/>
    <w:rsid w:val="68150768"/>
    <w:rsid w:val="681536BF"/>
    <w:rsid w:val="681F6961"/>
    <w:rsid w:val="68232E85"/>
    <w:rsid w:val="68283C8B"/>
    <w:rsid w:val="682E3745"/>
    <w:rsid w:val="68356714"/>
    <w:rsid w:val="683E441A"/>
    <w:rsid w:val="684061DF"/>
    <w:rsid w:val="68575549"/>
    <w:rsid w:val="685B1B3F"/>
    <w:rsid w:val="68610A2F"/>
    <w:rsid w:val="686F60CA"/>
    <w:rsid w:val="687F5BE1"/>
    <w:rsid w:val="68805514"/>
    <w:rsid w:val="688408AA"/>
    <w:rsid w:val="68882CE8"/>
    <w:rsid w:val="688A7983"/>
    <w:rsid w:val="688B287B"/>
    <w:rsid w:val="68906041"/>
    <w:rsid w:val="68972A36"/>
    <w:rsid w:val="689A40B9"/>
    <w:rsid w:val="68A404D2"/>
    <w:rsid w:val="68AF31CE"/>
    <w:rsid w:val="68B47F81"/>
    <w:rsid w:val="68BF646F"/>
    <w:rsid w:val="68D66B68"/>
    <w:rsid w:val="68DF45BF"/>
    <w:rsid w:val="68F110E5"/>
    <w:rsid w:val="68F770BF"/>
    <w:rsid w:val="690031C6"/>
    <w:rsid w:val="690245EB"/>
    <w:rsid w:val="69100251"/>
    <w:rsid w:val="691E2683"/>
    <w:rsid w:val="692A6070"/>
    <w:rsid w:val="69305F28"/>
    <w:rsid w:val="693138B5"/>
    <w:rsid w:val="69360996"/>
    <w:rsid w:val="69401815"/>
    <w:rsid w:val="694674D9"/>
    <w:rsid w:val="694E2071"/>
    <w:rsid w:val="69630DB6"/>
    <w:rsid w:val="697A3B33"/>
    <w:rsid w:val="697D6866"/>
    <w:rsid w:val="697F6E4E"/>
    <w:rsid w:val="6989046E"/>
    <w:rsid w:val="699E02E9"/>
    <w:rsid w:val="699E2456"/>
    <w:rsid w:val="69A25F9B"/>
    <w:rsid w:val="69AE677E"/>
    <w:rsid w:val="69C34D32"/>
    <w:rsid w:val="69C449BF"/>
    <w:rsid w:val="69D519C4"/>
    <w:rsid w:val="69D52412"/>
    <w:rsid w:val="69D6683B"/>
    <w:rsid w:val="69E12911"/>
    <w:rsid w:val="69ED0B3C"/>
    <w:rsid w:val="69F34AD9"/>
    <w:rsid w:val="69F61ED3"/>
    <w:rsid w:val="69F83E9D"/>
    <w:rsid w:val="6A0B1DD1"/>
    <w:rsid w:val="6A0D73FB"/>
    <w:rsid w:val="6A130CD7"/>
    <w:rsid w:val="6A2239AC"/>
    <w:rsid w:val="6A2A03AB"/>
    <w:rsid w:val="6A4F584A"/>
    <w:rsid w:val="6A723C50"/>
    <w:rsid w:val="6A8E035E"/>
    <w:rsid w:val="6A92105E"/>
    <w:rsid w:val="6A9C0CCD"/>
    <w:rsid w:val="6AA2444A"/>
    <w:rsid w:val="6AA62B52"/>
    <w:rsid w:val="6AAD425D"/>
    <w:rsid w:val="6AB16D4F"/>
    <w:rsid w:val="6AC326FD"/>
    <w:rsid w:val="6ACC53C2"/>
    <w:rsid w:val="6AD476DD"/>
    <w:rsid w:val="6AD71D05"/>
    <w:rsid w:val="6AD77F57"/>
    <w:rsid w:val="6ADA5F11"/>
    <w:rsid w:val="6ADB7A47"/>
    <w:rsid w:val="6AEB7866"/>
    <w:rsid w:val="6AF1726A"/>
    <w:rsid w:val="6B036C87"/>
    <w:rsid w:val="6B0B505F"/>
    <w:rsid w:val="6B120F8F"/>
    <w:rsid w:val="6B1E16E2"/>
    <w:rsid w:val="6B221EFB"/>
    <w:rsid w:val="6B270FAB"/>
    <w:rsid w:val="6B2807B2"/>
    <w:rsid w:val="6B287213"/>
    <w:rsid w:val="6B3208BF"/>
    <w:rsid w:val="6B322639"/>
    <w:rsid w:val="6B431148"/>
    <w:rsid w:val="6B4355EC"/>
    <w:rsid w:val="6B60619E"/>
    <w:rsid w:val="6B664736"/>
    <w:rsid w:val="6B7A7622"/>
    <w:rsid w:val="6B894FAA"/>
    <w:rsid w:val="6B99345E"/>
    <w:rsid w:val="6B9A0376"/>
    <w:rsid w:val="6B9A2751"/>
    <w:rsid w:val="6B9D249A"/>
    <w:rsid w:val="6BA238FB"/>
    <w:rsid w:val="6BAC13E3"/>
    <w:rsid w:val="6BB169FA"/>
    <w:rsid w:val="6BB43C04"/>
    <w:rsid w:val="6BB93611"/>
    <w:rsid w:val="6BBA3B00"/>
    <w:rsid w:val="6BC84A99"/>
    <w:rsid w:val="6BC8639A"/>
    <w:rsid w:val="6BD71083"/>
    <w:rsid w:val="6BDE2736"/>
    <w:rsid w:val="6BE74475"/>
    <w:rsid w:val="6BF32B6E"/>
    <w:rsid w:val="6C01652B"/>
    <w:rsid w:val="6C0A7EB8"/>
    <w:rsid w:val="6C153629"/>
    <w:rsid w:val="6C1C1043"/>
    <w:rsid w:val="6C1F12C9"/>
    <w:rsid w:val="6C240F7A"/>
    <w:rsid w:val="6C397AD4"/>
    <w:rsid w:val="6C4611A4"/>
    <w:rsid w:val="6C636C38"/>
    <w:rsid w:val="6C7218C1"/>
    <w:rsid w:val="6C8253AF"/>
    <w:rsid w:val="6C870A40"/>
    <w:rsid w:val="6C8D3AD6"/>
    <w:rsid w:val="6C8E0F02"/>
    <w:rsid w:val="6C966DF1"/>
    <w:rsid w:val="6C9C4FB4"/>
    <w:rsid w:val="6CA056B9"/>
    <w:rsid w:val="6CAD095B"/>
    <w:rsid w:val="6CAD0F6F"/>
    <w:rsid w:val="6CBE15D4"/>
    <w:rsid w:val="6CBF0CA2"/>
    <w:rsid w:val="6CC37E32"/>
    <w:rsid w:val="6CCD33BF"/>
    <w:rsid w:val="6CD361AC"/>
    <w:rsid w:val="6CD5337F"/>
    <w:rsid w:val="6CF72F2A"/>
    <w:rsid w:val="6CFC127E"/>
    <w:rsid w:val="6CFE0A04"/>
    <w:rsid w:val="6D1E7C61"/>
    <w:rsid w:val="6D231231"/>
    <w:rsid w:val="6D262379"/>
    <w:rsid w:val="6D365409"/>
    <w:rsid w:val="6D400C97"/>
    <w:rsid w:val="6D56199F"/>
    <w:rsid w:val="6D5F0E9F"/>
    <w:rsid w:val="6D6D06FE"/>
    <w:rsid w:val="6D6F091A"/>
    <w:rsid w:val="6D775875"/>
    <w:rsid w:val="6D7E46BA"/>
    <w:rsid w:val="6D83727B"/>
    <w:rsid w:val="6D8A457D"/>
    <w:rsid w:val="6D926382"/>
    <w:rsid w:val="6D9640F9"/>
    <w:rsid w:val="6D971250"/>
    <w:rsid w:val="6D994477"/>
    <w:rsid w:val="6D997745"/>
    <w:rsid w:val="6DA73C10"/>
    <w:rsid w:val="6DAD4F9F"/>
    <w:rsid w:val="6DB31DEA"/>
    <w:rsid w:val="6DB34098"/>
    <w:rsid w:val="6DB545B6"/>
    <w:rsid w:val="6DBA30B1"/>
    <w:rsid w:val="6DD34229"/>
    <w:rsid w:val="6DD53BC6"/>
    <w:rsid w:val="6DD644F6"/>
    <w:rsid w:val="6DE32653"/>
    <w:rsid w:val="6DEC65E8"/>
    <w:rsid w:val="6DF826BE"/>
    <w:rsid w:val="6DFB21AE"/>
    <w:rsid w:val="6E054DDB"/>
    <w:rsid w:val="6E127721"/>
    <w:rsid w:val="6E2150BB"/>
    <w:rsid w:val="6E250FD9"/>
    <w:rsid w:val="6E296D1B"/>
    <w:rsid w:val="6E2C0469"/>
    <w:rsid w:val="6E4375A0"/>
    <w:rsid w:val="6E46503E"/>
    <w:rsid w:val="6E514CED"/>
    <w:rsid w:val="6E64510D"/>
    <w:rsid w:val="6E7052F9"/>
    <w:rsid w:val="6E79491A"/>
    <w:rsid w:val="6E7B6E4B"/>
    <w:rsid w:val="6E8F6A85"/>
    <w:rsid w:val="6E9777C0"/>
    <w:rsid w:val="6E9F6C06"/>
    <w:rsid w:val="6EA74786"/>
    <w:rsid w:val="6EAC212B"/>
    <w:rsid w:val="6EAD16FA"/>
    <w:rsid w:val="6EB563D5"/>
    <w:rsid w:val="6EB760D5"/>
    <w:rsid w:val="6EC407F2"/>
    <w:rsid w:val="6EC9405A"/>
    <w:rsid w:val="6ECE1671"/>
    <w:rsid w:val="6ED00723"/>
    <w:rsid w:val="6ED0363B"/>
    <w:rsid w:val="6ED2719A"/>
    <w:rsid w:val="6ED34DC8"/>
    <w:rsid w:val="6ED526DE"/>
    <w:rsid w:val="6EDF387E"/>
    <w:rsid w:val="6EE3511C"/>
    <w:rsid w:val="6EE56ED9"/>
    <w:rsid w:val="6EE844E0"/>
    <w:rsid w:val="6EF177FB"/>
    <w:rsid w:val="6F012570"/>
    <w:rsid w:val="6F192507"/>
    <w:rsid w:val="6F1E1004"/>
    <w:rsid w:val="6F1F1BA3"/>
    <w:rsid w:val="6F225983"/>
    <w:rsid w:val="6F290CA3"/>
    <w:rsid w:val="6F2B6520"/>
    <w:rsid w:val="6F386628"/>
    <w:rsid w:val="6F3E2352"/>
    <w:rsid w:val="6F4158F3"/>
    <w:rsid w:val="6F452DE2"/>
    <w:rsid w:val="6F630BD6"/>
    <w:rsid w:val="6F685621"/>
    <w:rsid w:val="6F6A7926"/>
    <w:rsid w:val="6F6C4D08"/>
    <w:rsid w:val="6F6D1087"/>
    <w:rsid w:val="6F6D2068"/>
    <w:rsid w:val="6F773AB6"/>
    <w:rsid w:val="6F887A72"/>
    <w:rsid w:val="6FA36659"/>
    <w:rsid w:val="6FC1010C"/>
    <w:rsid w:val="6FE67489"/>
    <w:rsid w:val="6FFB540A"/>
    <w:rsid w:val="6FFC5590"/>
    <w:rsid w:val="700152FA"/>
    <w:rsid w:val="70024829"/>
    <w:rsid w:val="70066CDC"/>
    <w:rsid w:val="70111C0E"/>
    <w:rsid w:val="70131A31"/>
    <w:rsid w:val="70133E6A"/>
    <w:rsid w:val="70165883"/>
    <w:rsid w:val="70182BA3"/>
    <w:rsid w:val="70216130"/>
    <w:rsid w:val="70253370"/>
    <w:rsid w:val="70301DA3"/>
    <w:rsid w:val="704F058F"/>
    <w:rsid w:val="705B6F34"/>
    <w:rsid w:val="706D1DD0"/>
    <w:rsid w:val="707324D0"/>
    <w:rsid w:val="70856B87"/>
    <w:rsid w:val="70872684"/>
    <w:rsid w:val="708E2E66"/>
    <w:rsid w:val="708F175D"/>
    <w:rsid w:val="70930D7D"/>
    <w:rsid w:val="70933213"/>
    <w:rsid w:val="70944183"/>
    <w:rsid w:val="70991B8C"/>
    <w:rsid w:val="709D754D"/>
    <w:rsid w:val="70A3390E"/>
    <w:rsid w:val="70BE0B8F"/>
    <w:rsid w:val="70C8102F"/>
    <w:rsid w:val="70D527EE"/>
    <w:rsid w:val="70EC474A"/>
    <w:rsid w:val="70EF35B4"/>
    <w:rsid w:val="70F15FC6"/>
    <w:rsid w:val="70F224AF"/>
    <w:rsid w:val="70F91833"/>
    <w:rsid w:val="70FC53BB"/>
    <w:rsid w:val="71037A4C"/>
    <w:rsid w:val="71070572"/>
    <w:rsid w:val="710F044A"/>
    <w:rsid w:val="71104E96"/>
    <w:rsid w:val="711335D5"/>
    <w:rsid w:val="712B4B58"/>
    <w:rsid w:val="712C2A76"/>
    <w:rsid w:val="712D6D33"/>
    <w:rsid w:val="71347EB1"/>
    <w:rsid w:val="714506A7"/>
    <w:rsid w:val="715B5300"/>
    <w:rsid w:val="715F4BD7"/>
    <w:rsid w:val="71682B1F"/>
    <w:rsid w:val="717520AF"/>
    <w:rsid w:val="717670E7"/>
    <w:rsid w:val="717F4EF4"/>
    <w:rsid w:val="71815E8E"/>
    <w:rsid w:val="71A91138"/>
    <w:rsid w:val="71B354E5"/>
    <w:rsid w:val="71C24E59"/>
    <w:rsid w:val="71D12B19"/>
    <w:rsid w:val="71D27F8A"/>
    <w:rsid w:val="71F744C6"/>
    <w:rsid w:val="71F960CF"/>
    <w:rsid w:val="71FA110A"/>
    <w:rsid w:val="72077373"/>
    <w:rsid w:val="721A304E"/>
    <w:rsid w:val="721A5BAA"/>
    <w:rsid w:val="721D0945"/>
    <w:rsid w:val="72200254"/>
    <w:rsid w:val="72215844"/>
    <w:rsid w:val="723C6602"/>
    <w:rsid w:val="72451C4A"/>
    <w:rsid w:val="72461FBE"/>
    <w:rsid w:val="724A7260"/>
    <w:rsid w:val="72554BD0"/>
    <w:rsid w:val="725A3947"/>
    <w:rsid w:val="725B7D61"/>
    <w:rsid w:val="726A5AEB"/>
    <w:rsid w:val="726E11A1"/>
    <w:rsid w:val="72785B7B"/>
    <w:rsid w:val="7284190A"/>
    <w:rsid w:val="729430F8"/>
    <w:rsid w:val="729B64B6"/>
    <w:rsid w:val="72B105D7"/>
    <w:rsid w:val="72CC7222"/>
    <w:rsid w:val="72D07765"/>
    <w:rsid w:val="72D4094B"/>
    <w:rsid w:val="72D600D9"/>
    <w:rsid w:val="72E25FE2"/>
    <w:rsid w:val="72E90827"/>
    <w:rsid w:val="72F0605A"/>
    <w:rsid w:val="72FC0B98"/>
    <w:rsid w:val="731F5D5E"/>
    <w:rsid w:val="732E0930"/>
    <w:rsid w:val="73366E7F"/>
    <w:rsid w:val="735063D7"/>
    <w:rsid w:val="73512FD3"/>
    <w:rsid w:val="735E7467"/>
    <w:rsid w:val="73741484"/>
    <w:rsid w:val="737D796D"/>
    <w:rsid w:val="73843D6D"/>
    <w:rsid w:val="73852A1F"/>
    <w:rsid w:val="73886EEC"/>
    <w:rsid w:val="739E633C"/>
    <w:rsid w:val="73AA6208"/>
    <w:rsid w:val="73AC6191"/>
    <w:rsid w:val="73B91845"/>
    <w:rsid w:val="73C53042"/>
    <w:rsid w:val="73CB43D1"/>
    <w:rsid w:val="73D17C39"/>
    <w:rsid w:val="73DC0954"/>
    <w:rsid w:val="73E221E3"/>
    <w:rsid w:val="73E334C8"/>
    <w:rsid w:val="740242FB"/>
    <w:rsid w:val="74103551"/>
    <w:rsid w:val="741E6C86"/>
    <w:rsid w:val="741E793C"/>
    <w:rsid w:val="741F4194"/>
    <w:rsid w:val="742A7349"/>
    <w:rsid w:val="743106D8"/>
    <w:rsid w:val="74326A99"/>
    <w:rsid w:val="74471CA9"/>
    <w:rsid w:val="74511518"/>
    <w:rsid w:val="74557335"/>
    <w:rsid w:val="745B39A7"/>
    <w:rsid w:val="745B5755"/>
    <w:rsid w:val="745C7D6C"/>
    <w:rsid w:val="746024C9"/>
    <w:rsid w:val="74620D0C"/>
    <w:rsid w:val="74624D35"/>
    <w:rsid w:val="746A5389"/>
    <w:rsid w:val="74780A2A"/>
    <w:rsid w:val="74784559"/>
    <w:rsid w:val="74786307"/>
    <w:rsid w:val="748051BB"/>
    <w:rsid w:val="7481584E"/>
    <w:rsid w:val="74841A7E"/>
    <w:rsid w:val="74855837"/>
    <w:rsid w:val="748E2F68"/>
    <w:rsid w:val="74933140"/>
    <w:rsid w:val="74A27930"/>
    <w:rsid w:val="74AD48A3"/>
    <w:rsid w:val="74C07CAE"/>
    <w:rsid w:val="74D87F59"/>
    <w:rsid w:val="74DC63D8"/>
    <w:rsid w:val="74E514C2"/>
    <w:rsid w:val="750722DF"/>
    <w:rsid w:val="750F77CC"/>
    <w:rsid w:val="7516167C"/>
    <w:rsid w:val="751F38D5"/>
    <w:rsid w:val="752477A4"/>
    <w:rsid w:val="7531763E"/>
    <w:rsid w:val="7542366E"/>
    <w:rsid w:val="754B57C9"/>
    <w:rsid w:val="755D72AA"/>
    <w:rsid w:val="75630789"/>
    <w:rsid w:val="757C6765"/>
    <w:rsid w:val="75862CA5"/>
    <w:rsid w:val="7588042D"/>
    <w:rsid w:val="758D75E2"/>
    <w:rsid w:val="7594007B"/>
    <w:rsid w:val="759B3BA2"/>
    <w:rsid w:val="75BA1857"/>
    <w:rsid w:val="75C3172D"/>
    <w:rsid w:val="75C840D4"/>
    <w:rsid w:val="75D05D09"/>
    <w:rsid w:val="75DE03EB"/>
    <w:rsid w:val="75E8263B"/>
    <w:rsid w:val="75EB4BE6"/>
    <w:rsid w:val="75F73F89"/>
    <w:rsid w:val="76045978"/>
    <w:rsid w:val="760B4B7D"/>
    <w:rsid w:val="7610713E"/>
    <w:rsid w:val="7614053C"/>
    <w:rsid w:val="761558F3"/>
    <w:rsid w:val="762164BD"/>
    <w:rsid w:val="762D3121"/>
    <w:rsid w:val="76392B06"/>
    <w:rsid w:val="76403258"/>
    <w:rsid w:val="764C0A8C"/>
    <w:rsid w:val="765468FF"/>
    <w:rsid w:val="766416FD"/>
    <w:rsid w:val="766528BB"/>
    <w:rsid w:val="76655EC3"/>
    <w:rsid w:val="76742AFE"/>
    <w:rsid w:val="76876CD5"/>
    <w:rsid w:val="768C6099"/>
    <w:rsid w:val="76927701"/>
    <w:rsid w:val="76970762"/>
    <w:rsid w:val="76A24420"/>
    <w:rsid w:val="76A563DC"/>
    <w:rsid w:val="76B33626"/>
    <w:rsid w:val="76B76F8C"/>
    <w:rsid w:val="76C021E7"/>
    <w:rsid w:val="76C06287"/>
    <w:rsid w:val="76C1696F"/>
    <w:rsid w:val="76C9109B"/>
    <w:rsid w:val="76CF3A0F"/>
    <w:rsid w:val="76D55547"/>
    <w:rsid w:val="76D816F5"/>
    <w:rsid w:val="76DC6F10"/>
    <w:rsid w:val="76E303E6"/>
    <w:rsid w:val="76E618C8"/>
    <w:rsid w:val="76F2245E"/>
    <w:rsid w:val="770B1E2E"/>
    <w:rsid w:val="770B3462"/>
    <w:rsid w:val="771633B7"/>
    <w:rsid w:val="771A636B"/>
    <w:rsid w:val="77282C5F"/>
    <w:rsid w:val="772A16ED"/>
    <w:rsid w:val="77334767"/>
    <w:rsid w:val="773E7BB3"/>
    <w:rsid w:val="77424DF3"/>
    <w:rsid w:val="77476464"/>
    <w:rsid w:val="775070C7"/>
    <w:rsid w:val="77623325"/>
    <w:rsid w:val="77732A23"/>
    <w:rsid w:val="77762421"/>
    <w:rsid w:val="777D690E"/>
    <w:rsid w:val="77860258"/>
    <w:rsid w:val="77947649"/>
    <w:rsid w:val="779C541D"/>
    <w:rsid w:val="77B34321"/>
    <w:rsid w:val="77B5517C"/>
    <w:rsid w:val="77B92EBE"/>
    <w:rsid w:val="77BA09E4"/>
    <w:rsid w:val="77D01FB6"/>
    <w:rsid w:val="77DB72D8"/>
    <w:rsid w:val="77E93077"/>
    <w:rsid w:val="77EB6DF0"/>
    <w:rsid w:val="77ED4BF8"/>
    <w:rsid w:val="77F22D92"/>
    <w:rsid w:val="77F626F4"/>
    <w:rsid w:val="78032F7A"/>
    <w:rsid w:val="780B3511"/>
    <w:rsid w:val="780B4DAC"/>
    <w:rsid w:val="780F09F4"/>
    <w:rsid w:val="78131074"/>
    <w:rsid w:val="78225BD4"/>
    <w:rsid w:val="782849BC"/>
    <w:rsid w:val="782B18E2"/>
    <w:rsid w:val="782B3668"/>
    <w:rsid w:val="782B3690"/>
    <w:rsid w:val="78395DAD"/>
    <w:rsid w:val="784529A4"/>
    <w:rsid w:val="78477EB1"/>
    <w:rsid w:val="7860158C"/>
    <w:rsid w:val="787C3EEC"/>
    <w:rsid w:val="787E5EB6"/>
    <w:rsid w:val="78804BB1"/>
    <w:rsid w:val="78826FCA"/>
    <w:rsid w:val="7891516A"/>
    <w:rsid w:val="78963AFA"/>
    <w:rsid w:val="789C4F47"/>
    <w:rsid w:val="78A1403E"/>
    <w:rsid w:val="78A90480"/>
    <w:rsid w:val="78AB56FE"/>
    <w:rsid w:val="78B74A14"/>
    <w:rsid w:val="78BB2C66"/>
    <w:rsid w:val="78BE2756"/>
    <w:rsid w:val="78BE4504"/>
    <w:rsid w:val="78C20A4C"/>
    <w:rsid w:val="78D555C1"/>
    <w:rsid w:val="78D579C4"/>
    <w:rsid w:val="78FE12F8"/>
    <w:rsid w:val="790B415B"/>
    <w:rsid w:val="790E2D96"/>
    <w:rsid w:val="790F3D9C"/>
    <w:rsid w:val="79166218"/>
    <w:rsid w:val="79195C7B"/>
    <w:rsid w:val="791D122B"/>
    <w:rsid w:val="792228BA"/>
    <w:rsid w:val="793710C6"/>
    <w:rsid w:val="793B1F88"/>
    <w:rsid w:val="7945303A"/>
    <w:rsid w:val="794E2C0D"/>
    <w:rsid w:val="79532E9E"/>
    <w:rsid w:val="795F4A3B"/>
    <w:rsid w:val="797F0FFD"/>
    <w:rsid w:val="79811327"/>
    <w:rsid w:val="79817EAB"/>
    <w:rsid w:val="7985798C"/>
    <w:rsid w:val="79954710"/>
    <w:rsid w:val="79A2404B"/>
    <w:rsid w:val="79AB25CD"/>
    <w:rsid w:val="79BB48AD"/>
    <w:rsid w:val="79E166FC"/>
    <w:rsid w:val="79F84200"/>
    <w:rsid w:val="79FE404F"/>
    <w:rsid w:val="79FF2975"/>
    <w:rsid w:val="7A082280"/>
    <w:rsid w:val="7A0B19CB"/>
    <w:rsid w:val="7A100D8F"/>
    <w:rsid w:val="7A1268B5"/>
    <w:rsid w:val="7A273D0A"/>
    <w:rsid w:val="7A364017"/>
    <w:rsid w:val="7A434634"/>
    <w:rsid w:val="7A735C28"/>
    <w:rsid w:val="7A811C8D"/>
    <w:rsid w:val="7A8265E1"/>
    <w:rsid w:val="7A865B14"/>
    <w:rsid w:val="7A8C2990"/>
    <w:rsid w:val="7A9419C0"/>
    <w:rsid w:val="7AAB6B9F"/>
    <w:rsid w:val="7ABA7817"/>
    <w:rsid w:val="7ACC676C"/>
    <w:rsid w:val="7AD46E57"/>
    <w:rsid w:val="7ADE5024"/>
    <w:rsid w:val="7AE2272C"/>
    <w:rsid w:val="7AF578EB"/>
    <w:rsid w:val="7AF810EA"/>
    <w:rsid w:val="7AFC1477"/>
    <w:rsid w:val="7B0A57DF"/>
    <w:rsid w:val="7B0B038E"/>
    <w:rsid w:val="7B1E001F"/>
    <w:rsid w:val="7B2127B7"/>
    <w:rsid w:val="7B2D0E2F"/>
    <w:rsid w:val="7B4F1751"/>
    <w:rsid w:val="7B553E1B"/>
    <w:rsid w:val="7B56651E"/>
    <w:rsid w:val="7B5B2589"/>
    <w:rsid w:val="7B616180"/>
    <w:rsid w:val="7B6167B8"/>
    <w:rsid w:val="7B686D42"/>
    <w:rsid w:val="7B762E74"/>
    <w:rsid w:val="7B7D32A4"/>
    <w:rsid w:val="7B841746"/>
    <w:rsid w:val="7B845591"/>
    <w:rsid w:val="7B8E776C"/>
    <w:rsid w:val="7B964626"/>
    <w:rsid w:val="7B984BFC"/>
    <w:rsid w:val="7B9E67A2"/>
    <w:rsid w:val="7BA46FB8"/>
    <w:rsid w:val="7BAE260E"/>
    <w:rsid w:val="7BAE6AB2"/>
    <w:rsid w:val="7BC65BA9"/>
    <w:rsid w:val="7BCE0054"/>
    <w:rsid w:val="7BD5325E"/>
    <w:rsid w:val="7BD57AA8"/>
    <w:rsid w:val="7BD77DB7"/>
    <w:rsid w:val="7C0641F8"/>
    <w:rsid w:val="7C091EA2"/>
    <w:rsid w:val="7C0A4FBB"/>
    <w:rsid w:val="7C196CED"/>
    <w:rsid w:val="7C1D76DB"/>
    <w:rsid w:val="7C34248C"/>
    <w:rsid w:val="7C3D3992"/>
    <w:rsid w:val="7C4522D6"/>
    <w:rsid w:val="7C462ADF"/>
    <w:rsid w:val="7C5225FD"/>
    <w:rsid w:val="7C570EF7"/>
    <w:rsid w:val="7C5A4544"/>
    <w:rsid w:val="7C647170"/>
    <w:rsid w:val="7C6F1677"/>
    <w:rsid w:val="7C701FB9"/>
    <w:rsid w:val="7C783E6A"/>
    <w:rsid w:val="7C836D72"/>
    <w:rsid w:val="7C854FDD"/>
    <w:rsid w:val="7C9932BE"/>
    <w:rsid w:val="7CAA0B47"/>
    <w:rsid w:val="7CBC6FAC"/>
    <w:rsid w:val="7CC51A71"/>
    <w:rsid w:val="7CC9269D"/>
    <w:rsid w:val="7CCC2F65"/>
    <w:rsid w:val="7CD71937"/>
    <w:rsid w:val="7CE16A13"/>
    <w:rsid w:val="7CEA1C99"/>
    <w:rsid w:val="7CFE4D0B"/>
    <w:rsid w:val="7D0239FF"/>
    <w:rsid w:val="7D0B29E4"/>
    <w:rsid w:val="7D272678"/>
    <w:rsid w:val="7D392A25"/>
    <w:rsid w:val="7D3E5C51"/>
    <w:rsid w:val="7D3F53C1"/>
    <w:rsid w:val="7D3F5861"/>
    <w:rsid w:val="7D422657"/>
    <w:rsid w:val="7D4D49B8"/>
    <w:rsid w:val="7D515334"/>
    <w:rsid w:val="7D537911"/>
    <w:rsid w:val="7D5B2F52"/>
    <w:rsid w:val="7D5E40CD"/>
    <w:rsid w:val="7D60202E"/>
    <w:rsid w:val="7D647323"/>
    <w:rsid w:val="7D6905A3"/>
    <w:rsid w:val="7D693BED"/>
    <w:rsid w:val="7D6C0A40"/>
    <w:rsid w:val="7D715FE9"/>
    <w:rsid w:val="7D7653AD"/>
    <w:rsid w:val="7D765CAE"/>
    <w:rsid w:val="7D902089"/>
    <w:rsid w:val="7DA43CC8"/>
    <w:rsid w:val="7DB62068"/>
    <w:rsid w:val="7DB7626F"/>
    <w:rsid w:val="7DBA6297"/>
    <w:rsid w:val="7DC26844"/>
    <w:rsid w:val="7DC91956"/>
    <w:rsid w:val="7DD87E16"/>
    <w:rsid w:val="7DF41044"/>
    <w:rsid w:val="7E094315"/>
    <w:rsid w:val="7E0B3D48"/>
    <w:rsid w:val="7E0E3838"/>
    <w:rsid w:val="7E171BA4"/>
    <w:rsid w:val="7E290672"/>
    <w:rsid w:val="7E3077B5"/>
    <w:rsid w:val="7E4046E2"/>
    <w:rsid w:val="7E410F39"/>
    <w:rsid w:val="7E4454AB"/>
    <w:rsid w:val="7E44676F"/>
    <w:rsid w:val="7E4A766C"/>
    <w:rsid w:val="7E543940"/>
    <w:rsid w:val="7E616DBB"/>
    <w:rsid w:val="7E6F0E3E"/>
    <w:rsid w:val="7E70484B"/>
    <w:rsid w:val="7E741656"/>
    <w:rsid w:val="7E74183B"/>
    <w:rsid w:val="7E773198"/>
    <w:rsid w:val="7E8101C5"/>
    <w:rsid w:val="7E857F9E"/>
    <w:rsid w:val="7E8B2AD2"/>
    <w:rsid w:val="7E976222"/>
    <w:rsid w:val="7EA2525B"/>
    <w:rsid w:val="7EA44657"/>
    <w:rsid w:val="7EA67F14"/>
    <w:rsid w:val="7EB94193"/>
    <w:rsid w:val="7EBF31F3"/>
    <w:rsid w:val="7EBF7CA7"/>
    <w:rsid w:val="7EC108AA"/>
    <w:rsid w:val="7ED06D3F"/>
    <w:rsid w:val="7ED2603A"/>
    <w:rsid w:val="7EED45E6"/>
    <w:rsid w:val="7EF33E90"/>
    <w:rsid w:val="7EFD1A58"/>
    <w:rsid w:val="7EFD5221"/>
    <w:rsid w:val="7F01339C"/>
    <w:rsid w:val="7F0215EE"/>
    <w:rsid w:val="7F1135E0"/>
    <w:rsid w:val="7F1304E7"/>
    <w:rsid w:val="7F203E46"/>
    <w:rsid w:val="7F233312"/>
    <w:rsid w:val="7F297BB6"/>
    <w:rsid w:val="7F2F3506"/>
    <w:rsid w:val="7F381CBD"/>
    <w:rsid w:val="7F416B63"/>
    <w:rsid w:val="7F464B70"/>
    <w:rsid w:val="7F4734A5"/>
    <w:rsid w:val="7F50567C"/>
    <w:rsid w:val="7F5300F0"/>
    <w:rsid w:val="7F643C19"/>
    <w:rsid w:val="7F67262F"/>
    <w:rsid w:val="7F6A2E74"/>
    <w:rsid w:val="7F71407E"/>
    <w:rsid w:val="7F8C2C66"/>
    <w:rsid w:val="7F9674B7"/>
    <w:rsid w:val="7F982A38"/>
    <w:rsid w:val="7FA80294"/>
    <w:rsid w:val="7FA94F08"/>
    <w:rsid w:val="7FAE52D2"/>
    <w:rsid w:val="7FC00B62"/>
    <w:rsid w:val="7FC70142"/>
    <w:rsid w:val="7FCB2C83"/>
    <w:rsid w:val="7FD926CB"/>
    <w:rsid w:val="7FE47E50"/>
    <w:rsid w:val="7FEB5F33"/>
    <w:rsid w:val="7FF13F6C"/>
    <w:rsid w:val="7FF85699"/>
    <w:rsid w:val="7FF8790A"/>
    <w:rsid w:val="7FFB546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ocked="1"/>
    <w:lsdException w:qFormat="1" w:unhideWhenUsed="0" w:uiPriority="0" w:semiHidden="0" w:name="heading 3" w:locked="1"/>
    <w:lsdException w:qFormat="1" w:uiPriority="0" w:semiHidden="0" w:name="heading 4" w:locked="1"/>
    <w:lsdException w:qFormat="1" w:uiPriority="0" w:semiHidden="0" w:name="heading 5" w:locked="1"/>
    <w:lsdException w:qFormat="1" w:uiPriority="0" w:semiHidden="0" w:name="heading 6" w:locked="1"/>
    <w:lsdException w:qFormat="1" w:uiPriority="0" w:semiHidden="0" w:name="heading 7" w:locked="1"/>
    <w:lsdException w:qFormat="1" w:uiPriority="0" w:semiHidden="0" w:name="heading 8" w:locked="1"/>
    <w:lsdException w:qFormat="1"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0"/>
    <w:pPr>
      <w:keepNext/>
      <w:numPr>
        <w:ilvl w:val="0"/>
        <w:numId w:val="1"/>
      </w:numPr>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locked/>
    <w:uiPriority w:val="0"/>
    <w:pPr>
      <w:keepNext/>
      <w:keepLines/>
      <w:numPr>
        <w:ilvl w:val="1"/>
        <w:numId w:val="1"/>
      </w:numPr>
      <w:spacing w:before="260" w:beforeLines="0" w:beforeAutospacing="0" w:after="260" w:afterLines="0" w:afterAutospacing="0" w:line="413" w:lineRule="auto"/>
      <w:ind w:left="0" w:firstLine="0"/>
      <w:outlineLvl w:val="1"/>
    </w:pPr>
    <w:rPr>
      <w:rFonts w:ascii="Arial" w:hAnsi="Arial" w:eastAsia="黑体"/>
      <w:b/>
      <w:sz w:val="32"/>
    </w:rPr>
  </w:style>
  <w:style w:type="paragraph" w:styleId="4">
    <w:name w:val="heading 3"/>
    <w:basedOn w:val="1"/>
    <w:next w:val="1"/>
    <w:link w:val="38"/>
    <w:qFormat/>
    <w:locked/>
    <w:uiPriority w:val="0"/>
    <w:pPr>
      <w:keepNext/>
      <w:keepLines/>
      <w:numPr>
        <w:ilvl w:val="2"/>
        <w:numId w:val="1"/>
      </w:numPr>
      <w:spacing w:before="260" w:after="260" w:line="416" w:lineRule="auto"/>
      <w:ind w:left="720" w:hanging="720"/>
      <w:outlineLvl w:val="2"/>
    </w:pPr>
    <w:rPr>
      <w:b/>
      <w:bCs/>
      <w:sz w:val="32"/>
      <w:szCs w:val="32"/>
    </w:rPr>
  </w:style>
  <w:style w:type="paragraph" w:styleId="5">
    <w:name w:val="heading 4"/>
    <w:basedOn w:val="1"/>
    <w:next w:val="1"/>
    <w:link w:val="39"/>
    <w:unhideWhenUsed/>
    <w:qFormat/>
    <w:locked/>
    <w:uiPriority w:val="0"/>
    <w:pPr>
      <w:keepNext/>
      <w:keepLines/>
      <w:numPr>
        <w:ilvl w:val="3"/>
        <w:numId w:val="1"/>
      </w:numPr>
      <w:spacing w:before="280" w:after="290" w:line="376" w:lineRule="auto"/>
      <w:ind w:left="864" w:hanging="864"/>
      <w:outlineLvl w:val="3"/>
    </w:pPr>
    <w:rPr>
      <w:rFonts w:ascii="Cambria" w:hAnsi="Cambria"/>
      <w:b/>
      <w:bCs/>
      <w:sz w:val="28"/>
      <w:szCs w:val="28"/>
    </w:rPr>
  </w:style>
  <w:style w:type="paragraph" w:styleId="6">
    <w:name w:val="heading 5"/>
    <w:basedOn w:val="1"/>
    <w:next w:val="1"/>
    <w:unhideWhenUsed/>
    <w:qFormat/>
    <w:locked/>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unhideWhenUsed/>
    <w:qFormat/>
    <w:locked/>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unhideWhenUsed/>
    <w:qFormat/>
    <w:locked/>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unhideWhenUsed/>
    <w:qFormat/>
    <w:locked/>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unhideWhenUsed/>
    <w:qFormat/>
    <w:locked/>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34">
    <w:name w:val="Default Paragraph Font"/>
    <w:semiHidden/>
    <w:qFormat/>
    <w:uiPriority w:val="0"/>
  </w:style>
  <w:style w:type="table" w:default="1" w:styleId="32">
    <w:name w:val="Normal Table"/>
    <w:semiHidden/>
    <w:qFormat/>
    <w:uiPriority w:val="0"/>
    <w:tblPr>
      <w:tblCellMar>
        <w:top w:w="0" w:type="dxa"/>
        <w:left w:w="108" w:type="dxa"/>
        <w:bottom w:w="0" w:type="dxa"/>
        <w:right w:w="108" w:type="dxa"/>
      </w:tblCellMar>
    </w:tblPr>
  </w:style>
  <w:style w:type="paragraph" w:styleId="11">
    <w:name w:val="Normal Indent"/>
    <w:basedOn w:val="1"/>
    <w:next w:val="12"/>
    <w:link w:val="40"/>
    <w:qFormat/>
    <w:uiPriority w:val="0"/>
    <w:pPr>
      <w:ind w:firstLine="420"/>
    </w:pPr>
    <w:rPr>
      <w:sz w:val="28"/>
      <w:szCs w:val="20"/>
    </w:rPr>
  </w:style>
  <w:style w:type="paragraph" w:styleId="12">
    <w:name w:val="Body Text First Indent 2"/>
    <w:basedOn w:val="13"/>
    <w:next w:val="1"/>
    <w:qFormat/>
    <w:uiPriority w:val="0"/>
    <w:pPr>
      <w:ind w:firstLine="420"/>
    </w:pPr>
  </w:style>
  <w:style w:type="paragraph" w:styleId="13">
    <w:name w:val="Body Text Indent"/>
    <w:basedOn w:val="1"/>
    <w:next w:val="1"/>
    <w:link w:val="41"/>
    <w:semiHidden/>
    <w:qFormat/>
    <w:uiPriority w:val="0"/>
    <w:pPr>
      <w:spacing w:after="120"/>
      <w:ind w:left="420" w:leftChars="200"/>
    </w:pPr>
  </w:style>
  <w:style w:type="paragraph" w:styleId="14">
    <w:name w:val="caption"/>
    <w:basedOn w:val="1"/>
    <w:next w:val="1"/>
    <w:unhideWhenUsed/>
    <w:qFormat/>
    <w:locked/>
    <w:uiPriority w:val="0"/>
    <w:pPr>
      <w:spacing w:before="50" w:beforeLines="50" w:line="240" w:lineRule="auto"/>
      <w:ind w:firstLine="0" w:firstLineChars="0"/>
      <w:jc w:val="center"/>
      <w:outlineLvl w:val="9"/>
    </w:pPr>
    <w:rPr>
      <w:rFonts w:cs="Times New Roman"/>
      <w:b/>
      <w:sz w:val="21"/>
    </w:rPr>
  </w:style>
  <w:style w:type="paragraph" w:styleId="15">
    <w:name w:val="annotation text"/>
    <w:basedOn w:val="1"/>
    <w:link w:val="42"/>
    <w:semiHidden/>
    <w:qFormat/>
    <w:uiPriority w:val="0"/>
    <w:pPr>
      <w:jc w:val="left"/>
    </w:pPr>
    <w:rPr>
      <w:kern w:val="0"/>
      <w:sz w:val="24"/>
      <w:szCs w:val="20"/>
    </w:rPr>
  </w:style>
  <w:style w:type="paragraph" w:styleId="16">
    <w:name w:val="Body Text"/>
    <w:basedOn w:val="1"/>
    <w:next w:val="17"/>
    <w:link w:val="43"/>
    <w:qFormat/>
    <w:uiPriority w:val="0"/>
    <w:pPr>
      <w:widowControl/>
      <w:snapToGrid w:val="0"/>
      <w:spacing w:before="60" w:after="160" w:line="259" w:lineRule="auto"/>
      <w:ind w:right="113"/>
    </w:pPr>
    <w:rPr>
      <w:kern w:val="0"/>
      <w:sz w:val="18"/>
      <w:szCs w:val="20"/>
    </w:rPr>
  </w:style>
  <w:style w:type="paragraph" w:customStyle="1" w:styleId="17">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8">
    <w:name w:val="List 2"/>
    <w:basedOn w:val="1"/>
    <w:qFormat/>
    <w:uiPriority w:val="0"/>
    <w:pPr>
      <w:ind w:left="100" w:leftChars="200" w:hanging="200" w:hangingChars="200"/>
    </w:pPr>
  </w:style>
  <w:style w:type="paragraph" w:styleId="19">
    <w:name w:val="Plain Text"/>
    <w:basedOn w:val="1"/>
    <w:next w:val="1"/>
    <w:link w:val="44"/>
    <w:qFormat/>
    <w:uiPriority w:val="0"/>
    <w:rPr>
      <w:rFonts w:ascii="宋体" w:hAnsi="Courier New" w:cs="Courier New"/>
      <w:szCs w:val="21"/>
    </w:rPr>
  </w:style>
  <w:style w:type="paragraph" w:styleId="20">
    <w:name w:val="Date"/>
    <w:basedOn w:val="1"/>
    <w:next w:val="1"/>
    <w:link w:val="45"/>
    <w:qFormat/>
    <w:uiPriority w:val="0"/>
    <w:pPr>
      <w:ind w:left="100" w:leftChars="2500"/>
    </w:pPr>
    <w:rPr>
      <w:kern w:val="0"/>
      <w:sz w:val="24"/>
      <w:szCs w:val="20"/>
    </w:rPr>
  </w:style>
  <w:style w:type="paragraph" w:styleId="21">
    <w:name w:val="Body Text Indent 2"/>
    <w:basedOn w:val="1"/>
    <w:next w:val="1"/>
    <w:qFormat/>
    <w:uiPriority w:val="0"/>
    <w:pPr>
      <w:spacing w:line="400" w:lineRule="exact"/>
      <w:ind w:firstLine="567"/>
    </w:pPr>
    <w:rPr>
      <w:sz w:val="28"/>
    </w:rPr>
  </w:style>
  <w:style w:type="paragraph" w:styleId="22">
    <w:name w:val="Balloon Text"/>
    <w:basedOn w:val="1"/>
    <w:link w:val="46"/>
    <w:semiHidden/>
    <w:qFormat/>
    <w:uiPriority w:val="0"/>
    <w:rPr>
      <w:sz w:val="18"/>
      <w:szCs w:val="18"/>
    </w:rPr>
  </w:style>
  <w:style w:type="paragraph" w:styleId="23">
    <w:name w:val="footer"/>
    <w:basedOn w:val="1"/>
    <w:link w:val="47"/>
    <w:qFormat/>
    <w:uiPriority w:val="0"/>
    <w:pPr>
      <w:tabs>
        <w:tab w:val="center" w:pos="4153"/>
        <w:tab w:val="right" w:pos="8306"/>
      </w:tabs>
      <w:snapToGrid w:val="0"/>
      <w:jc w:val="left"/>
    </w:pPr>
    <w:rPr>
      <w:sz w:val="18"/>
      <w:szCs w:val="18"/>
    </w:rPr>
  </w:style>
  <w:style w:type="paragraph" w:styleId="24">
    <w:name w:val="header"/>
    <w:basedOn w:val="1"/>
    <w:link w:val="48"/>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locked/>
    <w:uiPriority w:val="0"/>
  </w:style>
  <w:style w:type="paragraph" w:styleId="26">
    <w:name w:val="List"/>
    <w:basedOn w:val="18"/>
    <w:qFormat/>
    <w:uiPriority w:val="0"/>
    <w:pPr>
      <w:snapToGrid w:val="0"/>
      <w:ind w:left="0" w:leftChars="0" w:firstLine="0" w:firstLineChars="0"/>
      <w:jc w:val="center"/>
    </w:pPr>
    <w:rPr>
      <w:snapToGrid w:val="0"/>
      <w:kern w:val="0"/>
      <w:sz w:val="21"/>
      <w:szCs w:val="21"/>
    </w:rPr>
  </w:style>
  <w:style w:type="paragraph" w:styleId="27">
    <w:name w:val="toc 2"/>
    <w:basedOn w:val="1"/>
    <w:next w:val="1"/>
    <w:qFormat/>
    <w:locked/>
    <w:uiPriority w:val="0"/>
    <w:pPr>
      <w:ind w:left="420" w:leftChars="200"/>
    </w:pPr>
  </w:style>
  <w:style w:type="paragraph" w:styleId="28">
    <w:name w:val="Body Text 2"/>
    <w:basedOn w:val="1"/>
    <w:link w:val="49"/>
    <w:qFormat/>
    <w:uiPriority w:val="0"/>
    <w:pPr>
      <w:spacing w:after="120" w:line="480" w:lineRule="auto"/>
    </w:pPr>
  </w:style>
  <w:style w:type="paragraph" w:styleId="29">
    <w:name w:val="Normal (Web)"/>
    <w:basedOn w:val="1"/>
    <w:link w:val="50"/>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5"/>
    <w:next w:val="15"/>
    <w:link w:val="51"/>
    <w:semiHidden/>
    <w:qFormat/>
    <w:uiPriority w:val="0"/>
    <w:rPr>
      <w:b/>
      <w:bCs/>
    </w:rPr>
  </w:style>
  <w:style w:type="paragraph" w:styleId="31">
    <w:name w:val="Body Text First Indent"/>
    <w:basedOn w:val="16"/>
    <w:link w:val="52"/>
    <w:qFormat/>
    <w:uiPriority w:val="0"/>
    <w:pPr>
      <w:widowControl w:val="0"/>
      <w:snapToGrid/>
      <w:spacing w:before="0" w:after="120" w:line="240" w:lineRule="auto"/>
      <w:ind w:right="0" w:firstLine="420" w:firstLineChars="100"/>
    </w:pPr>
    <w:rPr>
      <w:kern w:val="2"/>
      <w:sz w:val="21"/>
      <w:szCs w:val="24"/>
      <w:lang w:val="en-US" w:eastAsia="zh-CN"/>
    </w:rPr>
  </w:style>
  <w:style w:type="table" w:styleId="33">
    <w:name w:val="Table Grid"/>
    <w:basedOn w:val="3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basedOn w:val="34"/>
    <w:qFormat/>
    <w:uiPriority w:val="0"/>
  </w:style>
  <w:style w:type="character" w:styleId="36">
    <w:name w:val="Hyperlink"/>
    <w:qFormat/>
    <w:uiPriority w:val="0"/>
    <w:rPr>
      <w:color w:val="0000FF"/>
      <w:u w:val="single"/>
    </w:rPr>
  </w:style>
  <w:style w:type="character" w:styleId="37">
    <w:name w:val="annotation reference"/>
    <w:basedOn w:val="34"/>
    <w:semiHidden/>
    <w:qFormat/>
    <w:uiPriority w:val="0"/>
    <w:rPr>
      <w:sz w:val="21"/>
    </w:rPr>
  </w:style>
  <w:style w:type="character" w:customStyle="1" w:styleId="38">
    <w:name w:val="标题 3 Char"/>
    <w:basedOn w:val="34"/>
    <w:link w:val="4"/>
    <w:qFormat/>
    <w:uiPriority w:val="0"/>
    <w:rPr>
      <w:b/>
      <w:bCs/>
      <w:kern w:val="2"/>
      <w:sz w:val="32"/>
      <w:szCs w:val="32"/>
    </w:rPr>
  </w:style>
  <w:style w:type="character" w:customStyle="1" w:styleId="39">
    <w:name w:val="标题 4 Char"/>
    <w:basedOn w:val="34"/>
    <w:link w:val="5"/>
    <w:qFormat/>
    <w:uiPriority w:val="0"/>
    <w:rPr>
      <w:rFonts w:ascii="Cambria" w:hAnsi="Cambria"/>
      <w:b/>
      <w:bCs/>
      <w:kern w:val="2"/>
      <w:sz w:val="28"/>
      <w:szCs w:val="28"/>
    </w:rPr>
  </w:style>
  <w:style w:type="character" w:customStyle="1" w:styleId="40">
    <w:name w:val="正文缩进 Char"/>
    <w:link w:val="11"/>
    <w:qFormat/>
    <w:uiPriority w:val="0"/>
    <w:rPr>
      <w:kern w:val="2"/>
      <w:sz w:val="28"/>
    </w:rPr>
  </w:style>
  <w:style w:type="character" w:customStyle="1" w:styleId="41">
    <w:name w:val="正文文本缩进 Char"/>
    <w:basedOn w:val="34"/>
    <w:link w:val="13"/>
    <w:semiHidden/>
    <w:qFormat/>
    <w:locked/>
    <w:uiPriority w:val="0"/>
    <w:rPr>
      <w:rFonts w:ascii="Times New Roman" w:hAnsi="Times New Roman" w:eastAsia="宋体" w:cs="Times New Roman"/>
      <w:sz w:val="24"/>
      <w:szCs w:val="24"/>
    </w:rPr>
  </w:style>
  <w:style w:type="character" w:customStyle="1" w:styleId="42">
    <w:name w:val="批注文字 Char"/>
    <w:link w:val="15"/>
    <w:qFormat/>
    <w:locked/>
    <w:uiPriority w:val="0"/>
    <w:rPr>
      <w:rFonts w:ascii="Times New Roman" w:hAnsi="Times New Roman" w:eastAsia="宋体"/>
      <w:sz w:val="24"/>
    </w:rPr>
  </w:style>
  <w:style w:type="character" w:customStyle="1" w:styleId="43">
    <w:name w:val="正文文本 Char"/>
    <w:link w:val="16"/>
    <w:qFormat/>
    <w:locked/>
    <w:uiPriority w:val="0"/>
    <w:rPr>
      <w:sz w:val="18"/>
    </w:rPr>
  </w:style>
  <w:style w:type="character" w:customStyle="1" w:styleId="44">
    <w:name w:val="纯文本 Char"/>
    <w:basedOn w:val="34"/>
    <w:link w:val="19"/>
    <w:qFormat/>
    <w:uiPriority w:val="0"/>
    <w:rPr>
      <w:rFonts w:ascii="宋体" w:hAnsi="Courier New" w:cs="Courier New"/>
      <w:kern w:val="2"/>
      <w:sz w:val="21"/>
      <w:szCs w:val="21"/>
    </w:rPr>
  </w:style>
  <w:style w:type="character" w:customStyle="1" w:styleId="45">
    <w:name w:val="日期 Char"/>
    <w:link w:val="20"/>
    <w:qFormat/>
    <w:locked/>
    <w:uiPriority w:val="0"/>
    <w:rPr>
      <w:rFonts w:ascii="Times New Roman" w:hAnsi="Times New Roman" w:eastAsia="宋体"/>
      <w:sz w:val="24"/>
    </w:rPr>
  </w:style>
  <w:style w:type="character" w:customStyle="1" w:styleId="46">
    <w:name w:val="批注框文本 Char"/>
    <w:basedOn w:val="34"/>
    <w:link w:val="22"/>
    <w:semiHidden/>
    <w:qFormat/>
    <w:locked/>
    <w:uiPriority w:val="0"/>
    <w:rPr>
      <w:rFonts w:ascii="Times New Roman" w:hAnsi="Times New Roman" w:eastAsia="宋体" w:cs="Times New Roman"/>
      <w:sz w:val="18"/>
      <w:szCs w:val="18"/>
    </w:rPr>
  </w:style>
  <w:style w:type="character" w:customStyle="1" w:styleId="47">
    <w:name w:val="页脚 Char"/>
    <w:basedOn w:val="34"/>
    <w:link w:val="23"/>
    <w:qFormat/>
    <w:locked/>
    <w:uiPriority w:val="0"/>
    <w:rPr>
      <w:rFonts w:cs="Times New Roman"/>
      <w:sz w:val="18"/>
      <w:szCs w:val="18"/>
    </w:rPr>
  </w:style>
  <w:style w:type="character" w:customStyle="1" w:styleId="48">
    <w:name w:val="页眉 Char"/>
    <w:basedOn w:val="34"/>
    <w:link w:val="24"/>
    <w:qFormat/>
    <w:locked/>
    <w:uiPriority w:val="0"/>
    <w:rPr>
      <w:rFonts w:cs="Times New Roman"/>
      <w:sz w:val="18"/>
      <w:szCs w:val="18"/>
    </w:rPr>
  </w:style>
  <w:style w:type="character" w:customStyle="1" w:styleId="49">
    <w:name w:val="正文文本 2 Char"/>
    <w:link w:val="28"/>
    <w:qFormat/>
    <w:uiPriority w:val="0"/>
    <w:rPr>
      <w:kern w:val="2"/>
      <w:sz w:val="21"/>
      <w:szCs w:val="24"/>
    </w:rPr>
  </w:style>
  <w:style w:type="character" w:customStyle="1" w:styleId="50">
    <w:name w:val="普通(网站) Char1"/>
    <w:link w:val="29"/>
    <w:qFormat/>
    <w:locked/>
    <w:uiPriority w:val="0"/>
    <w:rPr>
      <w:rFonts w:ascii="宋体" w:hAnsi="宋体" w:eastAsia="宋体"/>
      <w:sz w:val="24"/>
    </w:rPr>
  </w:style>
  <w:style w:type="character" w:customStyle="1" w:styleId="51">
    <w:name w:val="批注主题 Char"/>
    <w:basedOn w:val="42"/>
    <w:link w:val="30"/>
    <w:semiHidden/>
    <w:qFormat/>
    <w:locked/>
    <w:uiPriority w:val="0"/>
    <w:rPr>
      <w:rFonts w:cs="Times New Roman"/>
      <w:b/>
      <w:bCs/>
      <w:kern w:val="2"/>
      <w:szCs w:val="24"/>
    </w:rPr>
  </w:style>
  <w:style w:type="character" w:customStyle="1" w:styleId="52">
    <w:name w:val="正文首行缩进 Char"/>
    <w:basedOn w:val="43"/>
    <w:link w:val="31"/>
    <w:qFormat/>
    <w:uiPriority w:val="0"/>
    <w:rPr>
      <w:kern w:val="2"/>
      <w:sz w:val="21"/>
      <w:szCs w:val="24"/>
    </w:rPr>
  </w:style>
  <w:style w:type="character" w:customStyle="1" w:styleId="53">
    <w:name w:val="正文文本 字符1"/>
    <w:basedOn w:val="34"/>
    <w:semiHidden/>
    <w:qFormat/>
    <w:uiPriority w:val="0"/>
    <w:rPr>
      <w:rFonts w:ascii="Times New Roman" w:hAnsi="Times New Roman" w:eastAsia="宋体" w:cs="Times New Roman"/>
      <w:sz w:val="24"/>
      <w:szCs w:val="24"/>
    </w:rPr>
  </w:style>
  <w:style w:type="character" w:customStyle="1" w:styleId="54">
    <w:name w:val="日期 字符"/>
    <w:basedOn w:val="34"/>
    <w:semiHidden/>
    <w:qFormat/>
    <w:uiPriority w:val="0"/>
    <w:rPr>
      <w:rFonts w:ascii="Times New Roman" w:hAnsi="Times New Roman" w:eastAsia="宋体" w:cs="Times New Roman"/>
      <w:sz w:val="24"/>
      <w:szCs w:val="24"/>
    </w:rPr>
  </w:style>
  <w:style w:type="character" w:customStyle="1" w:styleId="55">
    <w:name w:val="fontstyle01"/>
    <w:qFormat/>
    <w:uiPriority w:val="0"/>
    <w:rPr>
      <w:rFonts w:hint="eastAsia" w:ascii="宋体" w:hAnsi="宋体" w:eastAsia="宋体"/>
      <w:color w:val="000000"/>
      <w:sz w:val="24"/>
      <w:szCs w:val="24"/>
    </w:rPr>
  </w:style>
  <w:style w:type="character" w:customStyle="1" w:styleId="56">
    <w:name w:val="font31"/>
    <w:basedOn w:val="34"/>
    <w:qFormat/>
    <w:uiPriority w:val="0"/>
    <w:rPr>
      <w:rFonts w:ascii="Wingdings 2" w:hAnsi="Wingdings 2" w:cs="Wingdings 2"/>
      <w:color w:val="000000"/>
      <w:sz w:val="24"/>
      <w:szCs w:val="24"/>
      <w:u w:val="none"/>
    </w:rPr>
  </w:style>
  <w:style w:type="character" w:customStyle="1" w:styleId="57">
    <w:name w:val="普通(网站) Char"/>
    <w:qFormat/>
    <w:locked/>
    <w:uiPriority w:val="0"/>
    <w:rPr>
      <w:rFonts w:ascii="宋体" w:hAnsi="宋体" w:eastAsia="宋体"/>
      <w:sz w:val="24"/>
    </w:rPr>
  </w:style>
  <w:style w:type="character" w:customStyle="1" w:styleId="58">
    <w:name w:val="1111正文 Char"/>
    <w:link w:val="59"/>
    <w:qFormat/>
    <w:uiPriority w:val="0"/>
    <w:rPr>
      <w:sz w:val="24"/>
      <w:szCs w:val="24"/>
    </w:rPr>
  </w:style>
  <w:style w:type="paragraph" w:customStyle="1" w:styleId="59">
    <w:name w:val="1111正文"/>
    <w:basedOn w:val="1"/>
    <w:link w:val="58"/>
    <w:qFormat/>
    <w:uiPriority w:val="0"/>
    <w:pPr>
      <w:widowControl/>
      <w:snapToGrid w:val="0"/>
      <w:spacing w:line="360" w:lineRule="auto"/>
      <w:ind w:firstLine="200" w:firstLineChars="200"/>
      <w:contextualSpacing/>
    </w:pPr>
    <w:rPr>
      <w:kern w:val="0"/>
      <w:sz w:val="24"/>
    </w:rPr>
  </w:style>
  <w:style w:type="character" w:customStyle="1" w:styleId="60">
    <w:name w:val="16"/>
    <w:qFormat/>
    <w:uiPriority w:val="0"/>
    <w:rPr>
      <w:rFonts w:hint="eastAsia" w:ascii="宋体" w:hAnsi="Times New Roman" w:eastAsia="宋体"/>
      <w:sz w:val="22"/>
      <w:szCs w:val="22"/>
    </w:rPr>
  </w:style>
  <w:style w:type="character" w:customStyle="1" w:styleId="61">
    <w:name w:val="正文文本 2 Char1"/>
    <w:basedOn w:val="34"/>
    <w:qFormat/>
    <w:uiPriority w:val="0"/>
    <w:rPr>
      <w:kern w:val="2"/>
      <w:sz w:val="21"/>
      <w:szCs w:val="24"/>
    </w:rPr>
  </w:style>
  <w:style w:type="character" w:customStyle="1" w:styleId="62">
    <w:name w:val="样式 (西文) 黑体 (中文) 黑体 (符号) 宋体 五号"/>
    <w:qFormat/>
    <w:uiPriority w:val="0"/>
    <w:rPr>
      <w:rFonts w:ascii="黑体" w:eastAsia="黑体"/>
      <w:sz w:val="24"/>
      <w:szCs w:val="24"/>
    </w:rPr>
  </w:style>
  <w:style w:type="character" w:customStyle="1" w:styleId="63">
    <w:name w:val="批注文字 字符1"/>
    <w:basedOn w:val="34"/>
    <w:semiHidden/>
    <w:qFormat/>
    <w:uiPriority w:val="0"/>
    <w:rPr>
      <w:rFonts w:ascii="Times New Roman" w:hAnsi="Times New Roman" w:eastAsia="宋体" w:cs="Times New Roman"/>
      <w:sz w:val="24"/>
      <w:szCs w:val="24"/>
    </w:rPr>
  </w:style>
  <w:style w:type="character" w:customStyle="1" w:styleId="64">
    <w:name w:val="06表格内容 Char"/>
    <w:link w:val="65"/>
    <w:qFormat/>
    <w:locked/>
    <w:uiPriority w:val="0"/>
    <w:rPr>
      <w:rFonts w:cs="Courier New"/>
      <w:szCs w:val="24"/>
    </w:rPr>
  </w:style>
  <w:style w:type="paragraph" w:customStyle="1" w:styleId="65">
    <w:name w:val="06表格内容"/>
    <w:basedOn w:val="19"/>
    <w:next w:val="19"/>
    <w:link w:val="64"/>
    <w:qFormat/>
    <w:uiPriority w:val="0"/>
    <w:rPr>
      <w:rFonts w:ascii="Times New Roman" w:hAnsi="Times New Roman" w:cs="Times New Roman"/>
      <w:kern w:val="0"/>
      <w:sz w:val="20"/>
      <w:szCs w:val="24"/>
    </w:rPr>
  </w:style>
  <w:style w:type="character" w:customStyle="1" w:styleId="66">
    <w:name w:val="表格 Char"/>
    <w:link w:val="67"/>
    <w:qFormat/>
    <w:locked/>
    <w:uiPriority w:val="0"/>
    <w:rPr>
      <w:rFonts w:ascii="宋体"/>
      <w:sz w:val="21"/>
    </w:rPr>
  </w:style>
  <w:style w:type="paragraph" w:customStyle="1" w:styleId="67">
    <w:name w:val="表格"/>
    <w:basedOn w:val="1"/>
    <w:next w:val="1"/>
    <w:link w:val="66"/>
    <w:qFormat/>
    <w:uiPriority w:val="0"/>
    <w:pPr>
      <w:adjustRightInd w:val="0"/>
      <w:snapToGrid w:val="0"/>
      <w:spacing w:beforeLines="10" w:afterLines="10" w:line="259" w:lineRule="auto"/>
      <w:jc w:val="center"/>
    </w:pPr>
    <w:rPr>
      <w:rFonts w:ascii="宋体"/>
      <w:kern w:val="0"/>
      <w:szCs w:val="20"/>
    </w:rPr>
  </w:style>
  <w:style w:type="paragraph" w:customStyle="1" w:styleId="68">
    <w:name w:val="Default"/>
    <w:qFormat/>
    <w:uiPriority w:val="0"/>
    <w:pPr>
      <w:widowControl w:val="0"/>
      <w:autoSpaceDE w:val="0"/>
      <w:autoSpaceDN w:val="0"/>
      <w:adjustRightInd w:val="0"/>
    </w:pPr>
    <w:rPr>
      <w:rFonts w:ascii="宋体 ...騀." w:hAnsi="Times New Roman" w:eastAsia="宋体 ...騀." w:cs="宋体 ...騀."/>
      <w:color w:val="000000"/>
      <w:sz w:val="24"/>
      <w:szCs w:val="24"/>
      <w:lang w:val="en-US" w:eastAsia="zh-CN" w:bidi="ar-SA"/>
    </w:rPr>
  </w:style>
  <w:style w:type="paragraph" w:styleId="69">
    <w:name w:val="List Paragraph"/>
    <w:basedOn w:val="1"/>
    <w:qFormat/>
    <w:uiPriority w:val="34"/>
    <w:pPr>
      <w:widowControl/>
      <w:adjustRightInd w:val="0"/>
      <w:snapToGrid w:val="0"/>
      <w:spacing w:after="200"/>
      <w:ind w:firstLine="420" w:firstLineChars="200"/>
      <w:jc w:val="left"/>
    </w:pPr>
    <w:rPr>
      <w:rFonts w:ascii="Tahoma" w:hAnsi="Tahoma" w:eastAsia="微软雅黑"/>
      <w:kern w:val="0"/>
      <w:sz w:val="22"/>
    </w:rPr>
  </w:style>
  <w:style w:type="paragraph" w:customStyle="1" w:styleId="7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1">
    <w:name w:val="二号标题样式"/>
    <w:basedOn w:val="1"/>
    <w:qFormat/>
    <w:uiPriority w:val="0"/>
    <w:pPr>
      <w:keepNext/>
      <w:keepLines/>
      <w:spacing w:beforeLines="50" w:afterLines="50" w:line="520" w:lineRule="exact"/>
      <w:outlineLvl w:val="2"/>
    </w:pPr>
    <w:rPr>
      <w:rFonts w:ascii="Arial" w:hAnsi="Arial" w:eastAsia="黑体" w:cs="宋体"/>
      <w:sz w:val="28"/>
      <w:szCs w:val="20"/>
    </w:rPr>
  </w:style>
  <w:style w:type="paragraph" w:customStyle="1" w:styleId="72">
    <w:name w:val="表格内容"/>
    <w:basedOn w:val="1"/>
    <w:next w:val="1"/>
    <w:qFormat/>
    <w:uiPriority w:val="0"/>
    <w:pPr>
      <w:widowControl/>
      <w:adjustRightInd w:val="0"/>
      <w:jc w:val="center"/>
    </w:pPr>
    <w:rPr>
      <w:rFonts w:ascii="宋体" w:hAnsi="宋体" w:cs="宋体"/>
      <w:kern w:val="0"/>
      <w:szCs w:val="21"/>
    </w:rPr>
  </w:style>
  <w:style w:type="paragraph" w:customStyle="1" w:styleId="73">
    <w:name w:val="标题 44"/>
    <w:basedOn w:val="1"/>
    <w:next w:val="1"/>
    <w:qFormat/>
    <w:uiPriority w:val="0"/>
    <w:pPr>
      <w:adjustRightInd w:val="0"/>
      <w:snapToGrid w:val="0"/>
      <w:spacing w:line="520" w:lineRule="exact"/>
      <w:jc w:val="left"/>
    </w:pPr>
    <w:rPr>
      <w:sz w:val="28"/>
      <w:szCs w:val="22"/>
    </w:rPr>
  </w:style>
  <w:style w:type="paragraph" w:customStyle="1" w:styleId="74">
    <w:name w:val="Char Char1 Char Char Char Char Char Char Char Char Char Char Char Char Char Char Char Char"/>
    <w:basedOn w:val="1"/>
    <w:qFormat/>
    <w:uiPriority w:val="0"/>
    <w:pPr>
      <w:adjustRightInd w:val="0"/>
      <w:spacing w:line="360" w:lineRule="atLeast"/>
    </w:pPr>
  </w:style>
  <w:style w:type="paragraph" w:customStyle="1" w:styleId="75">
    <w:name w:val="表头文字"/>
    <w:basedOn w:val="1"/>
    <w:qFormat/>
    <w:uiPriority w:val="0"/>
    <w:pPr>
      <w:spacing w:beforeLines="100" w:line="400" w:lineRule="exact"/>
      <w:jc w:val="center"/>
    </w:pPr>
    <w:rPr>
      <w:rFonts w:ascii="黑体" w:hAnsi="宋体" w:eastAsia="黑体"/>
      <w:sz w:val="24"/>
      <w:szCs w:val="20"/>
    </w:rPr>
  </w:style>
  <w:style w:type="table" w:customStyle="1" w:styleId="76">
    <w:name w:val="Table Normal"/>
    <w:unhideWhenUsed/>
    <w:qFormat/>
    <w:uiPriority w:val="0"/>
    <w:tblPr>
      <w:tblCellMar>
        <w:top w:w="0" w:type="dxa"/>
        <w:left w:w="0" w:type="dxa"/>
        <w:bottom w:w="0" w:type="dxa"/>
        <w:right w:w="0" w:type="dxa"/>
      </w:tblCellMar>
    </w:tblPr>
  </w:style>
  <w:style w:type="paragraph" w:customStyle="1" w:styleId="77">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78">
    <w:name w:val="Table Paragraph"/>
    <w:basedOn w:val="1"/>
    <w:qFormat/>
    <w:uiPriority w:val="0"/>
  </w:style>
  <w:style w:type="paragraph" w:customStyle="1" w:styleId="79">
    <w:name w:val="sll-正文"/>
    <w:basedOn w:val="1"/>
    <w:qFormat/>
    <w:uiPriority w:val="0"/>
    <w:pPr>
      <w:autoSpaceDE w:val="0"/>
      <w:autoSpaceDN w:val="0"/>
      <w:adjustRightInd w:val="0"/>
      <w:snapToGrid w:val="0"/>
      <w:spacing w:line="360" w:lineRule="auto"/>
      <w:ind w:firstLine="720" w:firstLineChars="200"/>
      <w:jc w:val="left"/>
    </w:pPr>
    <w:rPr>
      <w:rFonts w:ascii="Times New Roman" w:hAnsi="Times New Roman" w:eastAsia="宋体" w:cs="宋体"/>
      <w:kern w:val="0"/>
      <w:sz w:val="24"/>
      <w:szCs w:val="21"/>
    </w:rPr>
  </w:style>
  <w:style w:type="paragraph" w:customStyle="1" w:styleId="80">
    <w:name w:val="样式6"/>
    <w:basedOn w:val="1"/>
    <w:qFormat/>
    <w:uiPriority w:val="0"/>
    <w:rPr>
      <w:rFonts w:ascii="黑体" w:eastAsia="黑体"/>
      <w:sz w:val="21"/>
      <w:szCs w:val="21"/>
    </w:rPr>
  </w:style>
  <w:style w:type="paragraph" w:customStyle="1" w:styleId="81">
    <w:name w:val="表格样式"/>
    <w:basedOn w:val="1"/>
    <w:qFormat/>
    <w:uiPriority w:val="0"/>
    <w:pPr>
      <w:jc w:val="center"/>
    </w:pPr>
    <w:rPr>
      <w:rFonts w:hint="eastAsia" w:ascii="仿宋" w:hAnsi="仿宋" w:eastAsia="仿宋"/>
    </w:rPr>
  </w:style>
  <w:style w:type="paragraph" w:customStyle="1" w:styleId="82">
    <w:name w:val="报告正文"/>
    <w:basedOn w:val="1"/>
    <w:qFormat/>
    <w:uiPriority w:val="0"/>
    <w:pPr>
      <w:widowControl/>
      <w:spacing w:line="360" w:lineRule="auto"/>
      <w:ind w:firstLine="200" w:firstLineChars="200"/>
      <w:jc w:val="left"/>
    </w:pPr>
    <w:rPr>
      <w:rFonts w:ascii="宋体" w:hAnsi="宋体"/>
      <w:kern w:val="0"/>
      <w:sz w:val="24"/>
      <w:szCs w:val="24"/>
    </w:rPr>
  </w:style>
  <w:style w:type="paragraph" w:customStyle="1" w:styleId="83">
    <w:name w:val="Body text|1"/>
    <w:basedOn w:val="1"/>
    <w:qFormat/>
    <w:uiPriority w:val="0"/>
    <w:pPr>
      <w:spacing w:line="360" w:lineRule="auto"/>
      <w:ind w:firstLine="400" w:firstLineChars="200"/>
    </w:pPr>
    <w:rPr>
      <w:rFonts w:hint="eastAsia" w:ascii="宋体" w:hAnsi="宋体"/>
      <w:sz w:val="20"/>
      <w:szCs w:val="20"/>
    </w:rPr>
  </w:style>
  <w:style w:type="character" w:customStyle="1" w:styleId="84">
    <w:name w:val="font11"/>
    <w:basedOn w:val="34"/>
    <w:qFormat/>
    <w:uiPriority w:val="0"/>
    <w:rPr>
      <w:rFonts w:hint="eastAsia" w:ascii="宋体" w:hAnsi="宋体" w:eastAsia="宋体" w:cs="宋体"/>
      <w:color w:val="000000"/>
      <w:sz w:val="21"/>
      <w:szCs w:val="21"/>
      <w:u w:val="none"/>
    </w:rPr>
  </w:style>
  <w:style w:type="character" w:customStyle="1" w:styleId="85">
    <w:name w:val="font21"/>
    <w:basedOn w:val="34"/>
    <w:qFormat/>
    <w:uiPriority w:val="0"/>
    <w:rPr>
      <w:rFonts w:hint="default" w:ascii="Times New Roman" w:hAnsi="Times New Roman" w:cs="Times New Roman"/>
      <w:color w:val="000000"/>
      <w:sz w:val="13"/>
      <w:szCs w:val="13"/>
      <w:u w:val="none"/>
      <w:vertAlign w:val="superscript"/>
    </w:rPr>
  </w:style>
  <w:style w:type="character" w:customStyle="1" w:styleId="86">
    <w:name w:val="font51"/>
    <w:basedOn w:val="34"/>
    <w:qFormat/>
    <w:uiPriority w:val="0"/>
    <w:rPr>
      <w:rFonts w:hint="default" w:ascii="Times New Roman" w:hAnsi="Times New Roman" w:cs="Times New Roman"/>
      <w:color w:val="000000"/>
      <w:sz w:val="21"/>
      <w:szCs w:val="21"/>
      <w:u w:val="none"/>
      <w:vertAlign w:val="superscript"/>
    </w:rPr>
  </w:style>
  <w:style w:type="character" w:customStyle="1" w:styleId="87">
    <w:name w:val="font41"/>
    <w:basedOn w:val="34"/>
    <w:qFormat/>
    <w:uiPriority w:val="0"/>
    <w:rPr>
      <w:rFonts w:hint="default" w:ascii="Times New Roman" w:hAnsi="Times New Roman" w:cs="Times New Roman"/>
      <w:color w:val="000000"/>
      <w:sz w:val="13"/>
      <w:szCs w:val="13"/>
      <w:u w:val="none"/>
    </w:rPr>
  </w:style>
  <w:style w:type="character" w:customStyle="1" w:styleId="88">
    <w:name w:val="font61"/>
    <w:basedOn w:val="34"/>
    <w:qFormat/>
    <w:uiPriority w:val="0"/>
    <w:rPr>
      <w:rFonts w:hint="eastAsia" w:ascii="宋体" w:hAnsi="宋体" w:eastAsia="宋体" w:cs="宋体"/>
      <w:color w:val="000000"/>
      <w:sz w:val="21"/>
      <w:szCs w:val="21"/>
      <w:u w:val="none"/>
      <w:vertAlign w:val="superscript"/>
    </w:rPr>
  </w:style>
  <w:style w:type="paragraph" w:customStyle="1" w:styleId="89">
    <w:name w:val="Body text|2"/>
    <w:basedOn w:val="1"/>
    <w:qFormat/>
    <w:uiPriority w:val="0"/>
    <w:pPr>
      <w:widowControl w:val="0"/>
      <w:shd w:val="clear" w:color="auto" w:fill="auto"/>
      <w:spacing w:line="451" w:lineRule="auto"/>
      <w:ind w:firstLine="600"/>
    </w:pPr>
    <w:rPr>
      <w:u w:val="none"/>
      <w:shd w:val="clear" w:color="auto" w:fill="auto"/>
      <w:lang w:val="zh-TW" w:eastAsia="zh-TW" w:bidi="zh-TW"/>
    </w:rPr>
  </w:style>
  <w:style w:type="paragraph" w:customStyle="1" w:styleId="90">
    <w:name w:val="LH7表头"/>
    <w:basedOn w:val="91"/>
    <w:qFormat/>
    <w:uiPriority w:val="0"/>
    <w:pPr>
      <w:spacing w:line="240" w:lineRule="auto"/>
      <w:ind w:firstLine="0" w:firstLineChars="0"/>
      <w:jc w:val="center"/>
    </w:pPr>
    <w:rPr>
      <w:rFonts w:ascii="Times New Roman"/>
      <w:b/>
    </w:rPr>
  </w:style>
  <w:style w:type="paragraph" w:customStyle="1" w:styleId="91">
    <w:name w:val="1正文"/>
    <w:basedOn w:val="1"/>
    <w:qFormat/>
    <w:uiPriority w:val="0"/>
    <w:pPr>
      <w:spacing w:line="360" w:lineRule="auto"/>
      <w:ind w:firstLine="198" w:firstLineChars="200"/>
    </w:pPr>
    <w:rPr>
      <w:sz w:val="24"/>
    </w:rPr>
  </w:style>
  <w:style w:type="paragraph" w:customStyle="1" w:styleId="92">
    <w:name w:val="ALH7正文"/>
    <w:basedOn w:val="1"/>
    <w:qFormat/>
    <w:uiPriority w:val="0"/>
    <w:pPr>
      <w:spacing w:line="360" w:lineRule="auto"/>
      <w:ind w:firstLine="480" w:firstLineChars="200"/>
    </w:pPr>
    <w:rPr>
      <w:rFonts w:ascii="Times New Roman" w:hAnsi="Times New Roman"/>
      <w:sz w:val="24"/>
    </w:rPr>
  </w:style>
  <w:style w:type="paragraph" w:customStyle="1" w:styleId="93">
    <w:name w:val="表中文字"/>
    <w:basedOn w:val="1"/>
    <w:qFormat/>
    <w:uiPriority w:val="0"/>
    <w:pPr>
      <w:widowControl/>
      <w:spacing w:line="240" w:lineRule="auto"/>
      <w:ind w:firstLine="0" w:firstLineChars="0"/>
      <w:jc w:val="center"/>
    </w:pPr>
    <w:rPr>
      <w:rFonts w:ascii="Calibri" w:hAnsi="Calibri" w:eastAsia="Times New Roman" w:cs="宋体"/>
      <w:color w:val="000000"/>
      <w:kern w:val="0"/>
      <w:sz w:val="21"/>
      <w:szCs w:val="21"/>
    </w:rPr>
  </w:style>
  <w:style w:type="paragraph" w:customStyle="1" w:styleId="94">
    <w:name w:val="M正文"/>
    <w:basedOn w:val="1"/>
    <w:qFormat/>
    <w:uiPriority w:val="0"/>
    <w:pPr>
      <w:spacing w:line="520" w:lineRule="exact"/>
      <w:ind w:firstLine="200" w:firstLineChars="200"/>
      <w:jc w:val="left"/>
    </w:pPr>
    <w:rPr>
      <w:rFonts w:ascii="Calibri" w:hAnsi="Calibri"/>
      <w:kern w:val="0"/>
      <w:sz w:val="24"/>
      <w:szCs w:val="21"/>
    </w:rPr>
  </w:style>
  <w:style w:type="paragraph" w:customStyle="1" w:styleId="95">
    <w:name w:val="表格x"/>
    <w:basedOn w:val="1"/>
    <w:qFormat/>
    <w:uiPriority w:val="0"/>
    <w:pPr>
      <w:widowControl/>
      <w:autoSpaceDE w:val="0"/>
      <w:autoSpaceDN w:val="0"/>
      <w:adjustRightInd w:val="0"/>
      <w:spacing w:line="360" w:lineRule="auto"/>
      <w:ind w:firstLine="560" w:firstLineChars="200"/>
      <w:jc w:val="center"/>
    </w:pPr>
    <w:rPr>
      <w:rFonts w:ascii="新宋体" w:hAnsi="新宋体" w:eastAsia="新宋体"/>
      <w:sz w:val="24"/>
      <w:szCs w:val="21"/>
      <w:lang w:val="zh-CN" w:eastAsia="en-US" w:bidi="en-US"/>
    </w:rPr>
  </w:style>
  <w:style w:type="paragraph" w:customStyle="1" w:styleId="96">
    <w:name w:val="HP 表格内容"/>
    <w:qFormat/>
    <w:uiPriority w:val="0"/>
    <w:pPr>
      <w:jc w:val="center"/>
    </w:pPr>
    <w:rPr>
      <w:rFonts w:ascii="Calibri" w:hAnsi="Calibri" w:eastAsia="宋体" w:cs="Times New Roman"/>
      <w:sz w:val="21"/>
      <w:szCs w:val="21"/>
      <w:lang w:val="en-US" w:eastAsia="zh-CN" w:bidi="ar-SA"/>
    </w:rPr>
  </w:style>
  <w:style w:type="paragraph" w:customStyle="1" w:styleId="97">
    <w:name w:val="[1]正文"/>
    <w:basedOn w:val="1"/>
    <w:qFormat/>
    <w:uiPriority w:val="0"/>
    <w:pPr>
      <w:widowControl/>
      <w:snapToGrid w:val="0"/>
      <w:spacing w:line="360" w:lineRule="auto"/>
      <w:ind w:firstLine="200" w:firstLineChars="200"/>
      <w:jc w:val="left"/>
    </w:pPr>
    <w:rPr>
      <w:rFonts w:cs="Calibri"/>
      <w:kern w:val="0"/>
      <w:sz w:val="24"/>
      <w:szCs w:val="28"/>
    </w:rPr>
  </w:style>
  <w:style w:type="paragraph" w:customStyle="1" w:styleId="98">
    <w:name w:val="表头-水保"/>
    <w:basedOn w:val="99"/>
    <w:qFormat/>
    <w:uiPriority w:val="0"/>
    <w:pPr>
      <w:spacing w:beforeLines="50" w:line="240" w:lineRule="auto"/>
      <w:ind w:firstLine="0"/>
      <w:jc w:val="center"/>
    </w:pPr>
  </w:style>
  <w:style w:type="paragraph" w:customStyle="1" w:styleId="99">
    <w:name w:val="_正文格式"/>
    <w:basedOn w:val="1"/>
    <w:qFormat/>
    <w:uiPriority w:val="0"/>
    <w:pPr>
      <w:spacing w:line="480" w:lineRule="exact"/>
      <w:ind w:firstLine="567"/>
    </w:pPr>
    <w:rPr>
      <w:sz w:val="28"/>
    </w:rPr>
  </w:style>
  <w:style w:type="paragraph" w:customStyle="1" w:styleId="100">
    <w:name w:val="表格-水保"/>
    <w:basedOn w:val="98"/>
    <w:qFormat/>
    <w:uiPriority w:val="0"/>
    <w:pPr>
      <w:keepLines/>
      <w:spacing w:beforeLines="0" w:line="240" w:lineRule="exact"/>
      <w:ind w:firstLineChars="0"/>
      <w:textAlignment w:val="center"/>
    </w:pPr>
    <w:rPr>
      <w:kern w:val="0"/>
      <w:sz w:val="21"/>
    </w:rPr>
  </w:style>
  <w:style w:type="character" w:customStyle="1" w:styleId="101">
    <w:name w:val="font01"/>
    <w:basedOn w:val="34"/>
    <w:qFormat/>
    <w:uiPriority w:val="0"/>
    <w:rPr>
      <w:rFonts w:hint="default" w:ascii="Times New Roman" w:hAnsi="Times New Roman" w:cs="Times New Roman"/>
      <w:color w:val="000000"/>
      <w:sz w:val="21"/>
      <w:szCs w:val="21"/>
      <w:u w:val="none"/>
    </w:rPr>
  </w:style>
  <w:style w:type="paragraph" w:customStyle="1" w:styleId="102">
    <w:name w:val="WPSOffice手动目录 1"/>
    <w:qFormat/>
    <w:uiPriority w:val="0"/>
    <w:pPr>
      <w:ind w:leftChars="0"/>
    </w:pPr>
    <w:rPr>
      <w:rFonts w:ascii="Times New Roman" w:hAnsi="Times New Roman" w:eastAsia="宋体" w:cs="Times New Roman"/>
      <w:sz w:val="20"/>
      <w:szCs w:val="20"/>
    </w:rPr>
  </w:style>
  <w:style w:type="paragraph" w:customStyle="1" w:styleId="103">
    <w:name w:val="WPSOffice手动目录 2"/>
    <w:qFormat/>
    <w:uiPriority w:val="0"/>
    <w:pPr>
      <w:ind w:leftChars="200"/>
    </w:pPr>
    <w:rPr>
      <w:rFonts w:ascii="Times New Roman" w:hAnsi="Times New Roman" w:eastAsia="宋体" w:cs="Times New Roman"/>
      <w:sz w:val="20"/>
      <w:szCs w:val="20"/>
    </w:rPr>
  </w:style>
  <w:style w:type="paragraph" w:customStyle="1" w:styleId="104">
    <w:name w:val="Other|1"/>
    <w:basedOn w:val="1"/>
    <w:qFormat/>
    <w:uiPriority w:val="0"/>
    <w:pPr>
      <w:widowControl w:val="0"/>
      <w:shd w:val="clear" w:color="auto" w:fill="auto"/>
      <w:spacing w:line="439" w:lineRule="auto"/>
      <w:ind w:firstLine="400"/>
    </w:pPr>
    <w:rPr>
      <w:rFonts w:ascii="宋体" w:hAnsi="宋体" w:eastAsia="宋体" w:cs="宋体"/>
      <w:sz w:val="22"/>
      <w:szCs w:val="22"/>
      <w:u w:val="none"/>
      <w:shd w:val="clear" w:color="auto" w:fill="auto"/>
      <w:lang w:val="zh-TW" w:eastAsia="zh-TW" w:bidi="zh-TW"/>
    </w:rPr>
  </w:style>
  <w:style w:type="paragraph" w:customStyle="1" w:styleId="105">
    <w:name w:val="样式 宋体 小四 行距: 多倍行距 1.3 字行 首行缩进:  2 字符"/>
    <w:basedOn w:val="1"/>
    <w:qFormat/>
    <w:uiPriority w:val="0"/>
    <w:pPr>
      <w:spacing w:line="600" w:lineRule="exact"/>
      <w:ind w:firstLine="480" w:firstLineChars="200"/>
    </w:pPr>
    <w:rPr>
      <w:rFonts w:ascii="宋体" w:hAnsi="宋体" w:cs="宋体"/>
      <w:kern w:val="0"/>
    </w:rPr>
  </w:style>
  <w:style w:type="paragraph" w:customStyle="1" w:styleId="106">
    <w:name w:val="表格文字"/>
    <w:next w:val="1"/>
    <w:qFormat/>
    <w:uiPriority w:val="0"/>
    <w:pPr>
      <w:snapToGrid w:val="0"/>
      <w:spacing w:line="240" w:lineRule="auto"/>
      <w:ind w:firstLine="0" w:firstLineChars="0"/>
      <w:jc w:val="center"/>
    </w:pPr>
    <w:rPr>
      <w:rFonts w:ascii="Times New Roman" w:hAnsi="Times New Roman" w:eastAsia="宋体" w:cs="Times New Roman"/>
      <w:kern w:val="44"/>
      <w:sz w:val="21"/>
    </w:rPr>
  </w:style>
  <w:style w:type="table" w:customStyle="1" w:styleId="107">
    <w:name w:val="普通表格1"/>
    <w:qFormat/>
    <w:uiPriority w:val="0"/>
    <w:tblPr>
      <w:tblCellMar>
        <w:top w:w="0" w:type="dxa"/>
        <w:left w:w="0" w:type="dxa"/>
        <w:bottom w:w="0" w:type="dxa"/>
        <w:right w:w="0" w:type="dxa"/>
      </w:tblCellMar>
    </w:tblPr>
  </w:style>
  <w:style w:type="paragraph" w:customStyle="1" w:styleId="108">
    <w:name w:val="Normal"/>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2.png"/><Relationship Id="rId28" Type="http://schemas.openxmlformats.org/officeDocument/2006/relationships/image" Target="media/image11.wmf"/><Relationship Id="rId27" Type="http://schemas.openxmlformats.org/officeDocument/2006/relationships/oleObject" Target="embeddings/oleObject2.bin"/><Relationship Id="rId26" Type="http://schemas.openxmlformats.org/officeDocument/2006/relationships/image" Target="media/image10.wmf"/><Relationship Id="rId25" Type="http://schemas.openxmlformats.org/officeDocument/2006/relationships/oleObject" Target="embeddings/oleObject1.bin"/><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116</Pages>
  <Words>59400</Words>
  <Characters>63642</Characters>
  <Lines>370</Lines>
  <Paragraphs>104</Paragraphs>
  <TotalTime>1</TotalTime>
  <ScaleCrop>false</ScaleCrop>
  <LinksUpToDate>false</LinksUpToDate>
  <CharactersWithSpaces>64807</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钟雷</cp:lastModifiedBy>
  <cp:lastPrinted>2023-04-13T01:24:00Z</cp:lastPrinted>
  <dcterms:modified xsi:type="dcterms:W3CDTF">2023-09-06T01:26:45Z</dcterms:modified>
  <cp:revision>280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608E960FEA2E497EAC677F2D8B63B462</vt:lpwstr>
  </property>
</Properties>
</file>