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val="0"/>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color w:val="auto"/>
          <w:w w:val="95"/>
          <w:sz w:val="32"/>
          <w:szCs w:val="32"/>
        </w:rPr>
      </w:pPr>
      <w:r>
        <w:rPr>
          <w:rFonts w:hint="eastAsia" w:ascii="仿宋_GB2312" w:hAnsi="仿宋_GB2312" w:eastAsia="仿宋_GB2312" w:cs="仿宋_GB2312"/>
          <w:b w:val="0"/>
          <w:color w:val="auto"/>
          <w:sz w:val="32"/>
          <w:szCs w:val="32"/>
        </w:rPr>
        <w:t>湘阴水</w:t>
      </w:r>
      <w:r>
        <w:rPr>
          <w:rFonts w:hint="eastAsia" w:ascii="仿宋_GB2312" w:hAnsi="仿宋_GB2312" w:eastAsia="仿宋_GB2312" w:cs="仿宋_GB2312"/>
          <w:b w:val="0"/>
          <w:color w:val="auto"/>
          <w:sz w:val="32"/>
          <w:szCs w:val="32"/>
          <w:lang w:eastAsia="zh-CN"/>
        </w:rPr>
        <w:t>利许</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color w:val="auto"/>
          <w:sz w:val="32"/>
          <w:szCs w:val="32"/>
          <w:lang w:val="en-US" w:eastAsia="zh-CN"/>
        </w:rPr>
        <w:t>2023</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color w:val="auto"/>
          <w:sz w:val="32"/>
          <w:szCs w:val="32"/>
          <w:lang w:val="en-US" w:eastAsia="zh-CN"/>
        </w:rPr>
        <w:t>58</w:t>
      </w:r>
      <w:r>
        <w:rPr>
          <w:rFonts w:hint="eastAsia" w:ascii="仿宋_GB2312" w:hAnsi="仿宋_GB2312" w:eastAsia="仿宋_GB2312" w:cs="仿宋_GB2312"/>
          <w:b w:val="0"/>
          <w:color w:val="auto"/>
          <w:sz w:val="32"/>
          <w:szCs w:val="32"/>
        </w:rPr>
        <w:t>号</w:t>
      </w:r>
    </w:p>
    <w:p>
      <w:pPr>
        <w:keepNext w:val="0"/>
        <w:keepLines w:val="0"/>
        <w:pageBreakBefore w:val="0"/>
        <w:widowControl w:val="0"/>
        <w:kinsoku/>
        <w:wordWrap/>
        <w:overflowPunct/>
        <w:topLinePunct w:val="0"/>
        <w:autoSpaceDE/>
        <w:autoSpaceDN/>
        <w:bidi w:val="0"/>
        <w:adjustRightInd/>
        <w:spacing w:line="600" w:lineRule="exact"/>
        <w:jc w:val="both"/>
        <w:textAlignment w:val="baseline"/>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jc w:val="left"/>
        <w:rPr>
          <w:rFonts w:hint="eastAsia" w:ascii="Calibri" w:hAnsi="Calibri" w:eastAsia="宋体" w:cs="仿宋"/>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关于湘阴县三汊港湖生态环境综合治理工程</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项目防洪影响评价报告的批复</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湘阴县城市发展集团有限公司：</w:t>
      </w:r>
    </w:p>
    <w:p>
      <w:pPr>
        <w:keepNext w:val="0"/>
        <w:keepLines w:val="0"/>
        <w:pageBreakBefore w:val="0"/>
        <w:widowControl w:val="0"/>
        <w:kinsoku/>
        <w:wordWrap/>
        <w:overflowPunct/>
        <w:topLinePunct w:val="0"/>
        <w:autoSpaceDE/>
        <w:autoSpaceDN/>
        <w:bidi w:val="0"/>
        <w:adjustRightInd/>
        <w:snapToGrid/>
        <w:spacing w:line="600" w:lineRule="exact"/>
        <w:ind w:left="0" w:firstLine="630"/>
        <w:jc w:val="both"/>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你公司《湘阴县三汊港湖生态环境综合治理工程防洪评价报告》（以下简称《报告》）等洪水影响评价审批相关申请材料收悉。依据《中华人民共和国防洪法》《中华人民共和国河道管理条例》《中华人民共和国水文条例》等有关法律法规的规定，规定和防洪影响评价报告专家技术审查意见，洪水影响评价作出行政许可决定如下：</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一、湘阴县三汊港湖生态环境综合治理工程位于岳阳市湘阴县三塘镇，具体范围为三汊港湖，属洞庭湖水系。设计内容在湘江流域湘阴段河道管理范围内的建筑物主要有生态湿地、生态护岸、生态沟渠。</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二、我局原则同意《报告》（审定稿）中的涉河工程建设方案。</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1.生态湿地建设工程：建设湖滨生态湿地190亩，湖汊生态湿地150亩，降低周边污染物对三汊港湖水质造成的污染风险。</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2.生态拦截建设工程：生态护岸长度5.9km，生态拦截沟渠总长度7.6km。</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3.农村生活污水治理工程：在建设50户联用的25m</w:t>
      </w:r>
      <w:r>
        <w:rPr>
          <w:rStyle w:val="9"/>
          <w:rFonts w:hint="eastAsia" w:ascii="仿宋_GB2312" w:hAnsi="仿宋_GB2312" w:eastAsia="仿宋_GB2312" w:cs="仿宋_GB2312"/>
          <w:snapToGrid w:val="0"/>
          <w:color w:val="auto"/>
          <w:sz w:val="32"/>
          <w:szCs w:val="32"/>
          <w:vertAlign w:val="superscript"/>
          <w:lang w:val="en-US" w:eastAsia="zh-CN"/>
        </w:rPr>
        <w:t>3</w:t>
      </w:r>
      <w:r>
        <w:rPr>
          <w:rStyle w:val="9"/>
          <w:rFonts w:hint="eastAsia" w:ascii="仿宋_GB2312" w:hAnsi="仿宋_GB2312" w:eastAsia="仿宋_GB2312" w:cs="仿宋_GB2312"/>
          <w:snapToGrid w:val="0"/>
          <w:color w:val="auto"/>
          <w:sz w:val="32"/>
          <w:szCs w:val="32"/>
          <w:vertAlign w:val="baseline"/>
          <w:lang w:val="en-US" w:eastAsia="zh-CN"/>
        </w:rPr>
        <w:t>/d污水处理站9座，100户联用的50m</w:t>
      </w:r>
      <w:r>
        <w:rPr>
          <w:rStyle w:val="9"/>
          <w:rFonts w:hint="eastAsia" w:ascii="仿宋_GB2312" w:hAnsi="仿宋_GB2312" w:eastAsia="仿宋_GB2312" w:cs="仿宋_GB2312"/>
          <w:snapToGrid w:val="0"/>
          <w:color w:val="auto"/>
          <w:sz w:val="32"/>
          <w:szCs w:val="32"/>
          <w:vertAlign w:val="superscript"/>
          <w:lang w:val="en-US" w:eastAsia="zh-CN"/>
        </w:rPr>
        <w:t>3</w:t>
      </w:r>
      <w:r>
        <w:rPr>
          <w:rStyle w:val="9"/>
          <w:rFonts w:hint="eastAsia" w:ascii="仿宋_GB2312" w:hAnsi="仿宋_GB2312" w:eastAsia="仿宋_GB2312" w:cs="仿宋_GB2312"/>
          <w:snapToGrid w:val="0"/>
          <w:color w:val="auto"/>
          <w:sz w:val="32"/>
          <w:szCs w:val="32"/>
          <w:vertAlign w:val="baseline"/>
          <w:lang w:val="en-US" w:eastAsia="zh-CN"/>
        </w:rPr>
        <w:t>/d污水处理站5座及相关配套管网12070m。</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三、你公司应严格按照《报告》（审定稿）中确定的建设方案和防洪补救补偿措施进行实施，消除工程建设给河道防洪安全带来的不利影响。防洪补救补偿措施应纳入主体工程建设内容，并与主体工程同步实施完成。</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四、工程开工前，你公司应与湘阴县水利局签订《防洪安全责任书》，将施工方案、度汛方案等资料报湘阴县水利局审查后方可开工。工程开工时，由湘阴县水利局监督施工放样。工程施工及运行期间，应接受相关水行政主管部门的监督管理，服从防汛指挥机构的统一指挥。工程竣工后，其涉河管理事项须向湘阴县水利局申请验收。</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五、工程施工和运行期间，严禁将废弃渣土、废弃物弃入河道，不得污染河道水质。工程完工后，应将遗留在河道内的废弃物和渣土清除干净，不得影响河道行洪。</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六、严格按设计要求控制好工程范围及高程，并加强监测时段、内容和方法，要进一步做好监测设计，突出监测重点，细化监测内容。如在本项目的地点、规模发生较大变化或者工程实施过程中发生重较大变更，应及时上报水利局，并补充或修改方案报我局审批。</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七、本行政许可决定有效期为三年，自签发之日起计算。期满后，若该工程未开工建设，本许可决定自行失效；需延续有效期的，你公司应在有效期届满三十日前提出延续申请。工程建设过程中涉河建设方案有较大变更的，应按规定重新办理许可手续。</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textAlignment w:val="auto"/>
        <w:rPr>
          <w:rStyle w:val="9"/>
          <w:rFonts w:hint="eastAsia" w:ascii="仿宋_GB2312" w:hAnsi="仿宋_GB2312" w:eastAsia="仿宋_GB2312" w:cs="仿宋_GB2312"/>
          <w:snapToGrid w:val="0"/>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580" w:leftChars="200" w:hanging="948" w:hangingChars="300"/>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附件：湘阴县三汊港湖生态环境综合治理工程防洪评价报告技术审查意见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textAlignment w:val="auto"/>
        <w:rPr>
          <w:rFonts w:hint="eastAsia" w:ascii="仿宋_GB2312" w:hAnsi="仿宋_GB2312" w:eastAsia="仿宋_GB2312" w:cs="仿宋_GB2312"/>
          <w:color w:val="auto"/>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Style w:val="9"/>
          <w:rFonts w:hint="eastAsia"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 xml:space="preserve">                       湘阴县水利局</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Style w:val="9"/>
          <w:rFonts w:hint="default" w:ascii="仿宋_GB2312" w:hAnsi="仿宋_GB2312" w:eastAsia="仿宋_GB2312" w:cs="仿宋_GB2312"/>
          <w:snapToGrid w:val="0"/>
          <w:color w:val="auto"/>
          <w:sz w:val="32"/>
          <w:szCs w:val="32"/>
          <w:vertAlign w:val="baseline"/>
          <w:lang w:val="en-US" w:eastAsia="zh-CN"/>
        </w:rPr>
      </w:pPr>
      <w:r>
        <w:rPr>
          <w:rStyle w:val="9"/>
          <w:rFonts w:hint="eastAsia" w:ascii="仿宋_GB2312" w:hAnsi="仿宋_GB2312" w:eastAsia="仿宋_GB2312" w:cs="仿宋_GB2312"/>
          <w:snapToGrid w:val="0"/>
          <w:color w:val="auto"/>
          <w:sz w:val="32"/>
          <w:szCs w:val="32"/>
          <w:vertAlign w:val="baseline"/>
          <w:lang w:val="en-US" w:eastAsia="zh-CN"/>
        </w:rPr>
        <w:t xml:space="preserve">2023年9月28日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7268" w:firstLineChars="2300"/>
        <w:textAlignment w:val="auto"/>
        <w:rPr>
          <w:rFonts w:hint="eastAsia" w:ascii="仿宋_GB2312" w:hAnsi="仿宋_GB2312" w:eastAsia="仿宋_GB2312" w:cs="仿宋_GB2312"/>
          <w:color w:val="auto"/>
          <w:sz w:val="32"/>
          <w:szCs w:val="32"/>
          <w:lang w:val="en-US" w:eastAsia="zh-CN" w:bidi="ar"/>
        </w:rPr>
      </w:pPr>
    </w:p>
    <w:p>
      <w:pPr>
        <w:tabs>
          <w:tab w:val="left" w:pos="8087"/>
        </w:tabs>
        <w:bidi w:val="0"/>
        <w:jc w:val="left"/>
        <w:rPr>
          <w:rFonts w:hint="eastAsia" w:cs="仿宋"/>
          <w:kern w:val="2"/>
          <w:sz w:val="32"/>
          <w:szCs w:val="32"/>
          <w:lang w:val="en-US" w:eastAsia="zh-CN" w:bidi="ar-SA"/>
        </w:rPr>
      </w:pPr>
      <w:r>
        <w:rPr>
          <w:rFonts w:hint="eastAsia" w:cs="仿宋"/>
          <w:kern w:val="2"/>
          <w:sz w:val="32"/>
          <w:szCs w:val="32"/>
          <w:lang w:val="en-US" w:eastAsia="zh-CN" w:bidi="ar-SA"/>
        </w:rPr>
        <w:tab/>
      </w:r>
    </w:p>
    <w:p>
      <w:pPr>
        <w:tabs>
          <w:tab w:val="left" w:pos="8087"/>
        </w:tabs>
        <w:bidi w:val="0"/>
        <w:jc w:val="left"/>
        <w:rPr>
          <w:rFonts w:hint="default" w:cs="仿宋"/>
          <w:kern w:val="2"/>
          <w:sz w:val="32"/>
          <w:szCs w:val="32"/>
          <w:lang w:val="en-US" w:eastAsia="zh-CN" w:bidi="ar-SA"/>
        </w:rPr>
      </w:pPr>
      <w:r>
        <w:rPr>
          <w:rFonts w:hint="eastAsia" w:ascii="黑体" w:hAnsi="黑体" w:eastAsia="黑体" w:cs="黑体"/>
          <w:kern w:val="2"/>
          <w:sz w:val="32"/>
          <w:szCs w:val="32"/>
          <w:lang w:val="en-US" w:eastAsia="zh-CN" w:bidi="ar-SA"/>
        </w:rPr>
        <w:t>附件</w:t>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7268" w:firstLineChars="2300"/>
        <w:textAlignment w:val="auto"/>
        <w:rPr>
          <w:rFonts w:hint="eastAsia" w:ascii="宋体" w:hAnsi="宋体" w:eastAsia="宋体" w:cs="宋体"/>
          <w:color w:val="auto"/>
          <w:sz w:val="28"/>
          <w:szCs w:val="28"/>
          <w:lang w:val="en-US" w:eastAsia="zh-CN" w:bidi="ar"/>
        </w:rPr>
      </w:pPr>
      <w:r>
        <w:drawing>
          <wp:anchor distT="0" distB="0" distL="114300" distR="114300" simplePos="0" relativeHeight="251659264" behindDoc="0" locked="0" layoutInCell="1" allowOverlap="1">
            <wp:simplePos x="0" y="0"/>
            <wp:positionH relativeFrom="column">
              <wp:posOffset>421005</wp:posOffset>
            </wp:positionH>
            <wp:positionV relativeFrom="paragraph">
              <wp:posOffset>13970</wp:posOffset>
            </wp:positionV>
            <wp:extent cx="4966335" cy="7641590"/>
            <wp:effectExtent l="0" t="0" r="0"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5023" t="2916" r="-2933" b="1983"/>
                    <a:stretch>
                      <a:fillRect/>
                    </a:stretch>
                  </pic:blipFill>
                  <pic:spPr>
                    <a:xfrm>
                      <a:off x="0" y="0"/>
                      <a:ext cx="4966335" cy="764159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eastAsia" w:ascii="宋体" w:hAnsi="宋体" w:eastAsia="宋体" w:cs="宋体"/>
          <w:color w:val="auto"/>
          <w:sz w:val="28"/>
          <w:szCs w:val="28"/>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eastAsia" w:ascii="宋体" w:hAnsi="宋体" w:eastAsia="宋体" w:cs="宋体"/>
          <w:color w:val="auto"/>
          <w:sz w:val="28"/>
          <w:szCs w:val="28"/>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eastAsia" w:ascii="宋体" w:hAnsi="宋体" w:eastAsia="宋体" w:cs="宋体"/>
          <w:color w:val="auto"/>
          <w:sz w:val="28"/>
          <w:szCs w:val="28"/>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default" w:ascii="宋体" w:hAnsi="宋体" w:eastAsia="宋体" w:cs="宋体"/>
          <w:color w:val="auto"/>
          <w:sz w:val="28"/>
          <w:szCs w:val="28"/>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default" w:ascii="宋体" w:hAnsi="宋体" w:eastAsia="宋体" w:cs="宋体"/>
          <w:color w:val="auto"/>
          <w:sz w:val="28"/>
          <w:szCs w:val="28"/>
          <w:lang w:val="en-US" w:eastAsia="zh-CN" w:bidi="ar"/>
        </w:rPr>
      </w:pPr>
    </w:p>
    <w:p>
      <w:pPr>
        <w:rPr>
          <w:rFonts w:hint="default" w:ascii="宋体" w:hAnsi="宋体" w:eastAsia="宋体" w:cs="宋体"/>
          <w:color w:val="auto"/>
          <w:sz w:val="28"/>
          <w:szCs w:val="28"/>
          <w:lang w:val="en-US" w:eastAsia="zh-CN" w:bidi="ar"/>
        </w:rPr>
      </w:pPr>
      <w:r>
        <w:rPr>
          <w:rFonts w:hint="default" w:ascii="宋体" w:hAnsi="宋体" w:eastAsia="宋体" w:cs="宋体"/>
          <w:color w:val="auto"/>
          <w:sz w:val="28"/>
          <w:szCs w:val="28"/>
          <w:lang w:val="en-US" w:eastAsia="zh-CN" w:bidi="ar"/>
        </w:rPr>
        <w:br w:type="page"/>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7268" w:firstLineChars="2300"/>
        <w:textAlignment w:val="auto"/>
        <w:rPr>
          <w:rFonts w:hint="default" w:ascii="宋体" w:hAnsi="宋体" w:eastAsia="宋体" w:cs="宋体"/>
          <w:color w:val="auto"/>
          <w:sz w:val="28"/>
          <w:szCs w:val="28"/>
          <w:lang w:val="en-US" w:eastAsia="zh-CN" w:bidi="ar"/>
        </w:rPr>
      </w:pPr>
      <w:r>
        <w:drawing>
          <wp:anchor distT="0" distB="0" distL="114300" distR="114300" simplePos="0" relativeHeight="251660288" behindDoc="0" locked="0" layoutInCell="1" allowOverlap="1">
            <wp:simplePos x="0" y="0"/>
            <wp:positionH relativeFrom="column">
              <wp:posOffset>114935</wp:posOffset>
            </wp:positionH>
            <wp:positionV relativeFrom="paragraph">
              <wp:posOffset>323215</wp:posOffset>
            </wp:positionV>
            <wp:extent cx="5415915" cy="7506335"/>
            <wp:effectExtent l="0" t="0" r="9525"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l="2216" t="3018" r="8233" b="15911"/>
                    <a:stretch>
                      <a:fillRect/>
                    </a:stretch>
                  </pic:blipFill>
                  <pic:spPr>
                    <a:xfrm>
                      <a:off x="0" y="0"/>
                      <a:ext cx="5415915" cy="750633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default" w:ascii="宋体" w:hAnsi="宋体" w:eastAsia="宋体" w:cs="宋体"/>
          <w:color w:val="auto"/>
          <w:sz w:val="28"/>
          <w:szCs w:val="28"/>
          <w:lang w:val="en-US" w:eastAsia="zh-CN" w:bidi="ar"/>
        </w:rPr>
        <w:sectPr>
          <w:footerReference r:id="rId3" w:type="default"/>
          <w:pgSz w:w="11906" w:h="16838"/>
          <w:pgMar w:top="2098" w:right="1474" w:bottom="1984" w:left="1587" w:header="851" w:footer="1417" w:gutter="0"/>
          <w:paperSrc/>
          <w:pgNumType w:fmt="numberInDash"/>
          <w:cols w:space="0" w:num="1"/>
          <w:rtlGutter w:val="0"/>
          <w:docGrid w:type="linesAndChars" w:linePitch="579" w:charSpace="-842"/>
        </w:sect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default" w:ascii="宋体" w:hAnsi="宋体" w:eastAsia="宋体" w:cs="宋体"/>
          <w:color w:val="auto"/>
          <w:sz w:val="28"/>
          <w:szCs w:val="28"/>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6348" w:firstLineChars="2300"/>
        <w:textAlignment w:val="auto"/>
        <w:rPr>
          <w:rFonts w:hint="default" w:ascii="宋体" w:hAnsi="宋体" w:eastAsia="宋体" w:cs="宋体"/>
          <w:color w:val="auto"/>
          <w:sz w:val="28"/>
          <w:szCs w:val="28"/>
          <w:lang w:val="en-US" w:eastAsia="zh-CN" w:bidi="ar"/>
        </w:rPr>
      </w:pPr>
    </w:p>
    <w:p>
      <w:pPr>
        <w:bidi w:val="0"/>
        <w:rPr>
          <w:rFonts w:hint="default" w:cs="仿宋" w:asciiTheme="minorHAnsi" w:hAnsiTheme="minorHAnsi" w:eastAsiaTheme="minorEastAsia"/>
          <w:kern w:val="2"/>
          <w:sz w:val="32"/>
          <w:szCs w:val="3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bookmarkStart w:id="0" w:name="_GoBack"/>
      <w:bookmarkEnd w:id="0"/>
    </w:p>
    <w:p>
      <w:pPr>
        <w:bidi w:val="0"/>
        <w:rPr>
          <w:rFonts w:hint="default"/>
          <w:lang w:val="en-US" w:eastAsia="zh-CN"/>
        </w:rPr>
      </w:pPr>
    </w:p>
    <w:p>
      <w:pPr>
        <w:bidi w:val="0"/>
        <w:rPr>
          <w:rFonts w:hint="default"/>
          <w:lang w:val="en-US" w:eastAsia="zh-CN"/>
        </w:rPr>
      </w:pPr>
    </w:p>
    <w:tbl>
      <w:tblPr>
        <w:tblStyle w:val="6"/>
        <w:tblpPr w:leftFromText="180" w:rightFromText="180" w:vertAnchor="text" w:horzAnchor="page" w:tblpXSpec="center" w:tblpY="766"/>
        <w:tblOverlap w:val="never"/>
        <w:tblW w:w="9038" w:type="dxa"/>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3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2147483648" w:afterLines="-2147483648" w:line="240" w:lineRule="auto"/>
              <w:ind w:left="0" w:leftChars="0" w:right="0" w:rightChars="0" w:firstLine="276" w:firstLineChars="100"/>
              <w:jc w:val="both"/>
              <w:textAlignment w:val="auto"/>
              <w:outlineLvl w:val="9"/>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湘阴县水利局办公室</w:t>
            </w:r>
            <w:r>
              <w:rPr>
                <w:rFonts w:hint="eastAsia" w:ascii="仿宋_GB2312" w:hAnsi="仿宋_GB2312" w:eastAsia="仿宋_GB2312" w:cs="仿宋_GB2312"/>
                <w:color w:val="auto"/>
                <w:sz w:val="28"/>
                <w:szCs w:val="28"/>
                <w:vertAlign w:val="baseline"/>
                <w:lang w:val="en-US" w:eastAsia="zh-CN"/>
              </w:rPr>
              <w:t xml:space="preserve">                      2023年9月28日印发</w:t>
            </w:r>
          </w:p>
        </w:tc>
      </w:tr>
    </w:tbl>
    <w:p>
      <w:pPr>
        <w:bidi w:val="0"/>
        <w:jc w:val="left"/>
        <w:rPr>
          <w:rFonts w:hint="default"/>
          <w:lang w:val="en-US" w:eastAsia="zh-CN"/>
        </w:rPr>
      </w:pPr>
    </w:p>
    <w:sectPr>
      <w:footerReference r:id="rId4" w:type="default"/>
      <w:pgSz w:w="11906" w:h="16838"/>
      <w:pgMar w:top="2098" w:right="1474" w:bottom="1984" w:left="1587" w:header="851" w:footer="1417" w:gutter="0"/>
      <w:paperSrc/>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YWE0OTkyZWRkYWRhODkyYzU0MTUxMmRiZjNlYzQifQ=="/>
  </w:docVars>
  <w:rsids>
    <w:rsidRoot w:val="33F16830"/>
    <w:rsid w:val="014B02BD"/>
    <w:rsid w:val="024F59C9"/>
    <w:rsid w:val="05BA7869"/>
    <w:rsid w:val="077C7A64"/>
    <w:rsid w:val="0805778D"/>
    <w:rsid w:val="0E016F15"/>
    <w:rsid w:val="1B2F305D"/>
    <w:rsid w:val="22AE0CB8"/>
    <w:rsid w:val="2416003D"/>
    <w:rsid w:val="2E3220B6"/>
    <w:rsid w:val="2E6E06D5"/>
    <w:rsid w:val="2FC107EF"/>
    <w:rsid w:val="33F16830"/>
    <w:rsid w:val="35BA1C1E"/>
    <w:rsid w:val="392C6831"/>
    <w:rsid w:val="39864FAD"/>
    <w:rsid w:val="39C70E81"/>
    <w:rsid w:val="3BCB76ED"/>
    <w:rsid w:val="45C47C3E"/>
    <w:rsid w:val="56AC3DDA"/>
    <w:rsid w:val="59BA3FF2"/>
    <w:rsid w:val="6B747A4E"/>
    <w:rsid w:val="73D03585"/>
    <w:rsid w:val="7BF41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paragraph" w:styleId="2">
    <w:name w:val="heading 2"/>
    <w:basedOn w:val="1"/>
    <w:next w:val="1"/>
    <w:qFormat/>
    <w:uiPriority w:val="0"/>
    <w:pPr>
      <w:keepNext/>
      <w:keepLines/>
      <w:spacing w:before="120" w:after="240" w:line="360" w:lineRule="auto"/>
      <w:outlineLvl w:val="1"/>
    </w:pPr>
    <w:rPr>
      <w:rFonts w:ascii="黑体" w:eastAsia="黑体"/>
      <w:snapToGrid w:val="0"/>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1057</Words>
  <Characters>1099</Characters>
  <Lines>0</Lines>
  <Paragraphs>0</Paragraphs>
  <TotalTime>0</TotalTime>
  <ScaleCrop>false</ScaleCrop>
  <LinksUpToDate>false</LinksUpToDate>
  <CharactersWithSpaces>1123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2022-11-16T07:12:00Z</dcterms:created>
  <dc:creator>webUser</dc:creator>
  <cp:lastModifiedBy>郑柳</cp:lastModifiedBy>
  <dcterms:modified xsi:type="dcterms:W3CDTF">2023-09-28T01:25:21Z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7BA8B441DB664CFE9D028763F0B692ED</vt:lpwstr>
  </property>
</Properties>
</file>