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ind w:firstLine="720"/>
        <w:rPr>
          <w:sz w:val="36"/>
          <w:szCs w:val="36"/>
        </w:rPr>
      </w:pPr>
    </w:p>
    <w:p>
      <w:pPr>
        <w:pStyle w:val="34"/>
        <w:ind w:firstLine="720"/>
        <w:rPr>
          <w:sz w:val="36"/>
          <w:szCs w:val="36"/>
        </w:rPr>
      </w:pPr>
    </w:p>
    <w:p>
      <w:pPr>
        <w:pStyle w:val="34"/>
        <w:ind w:firstLine="720"/>
        <w:rPr>
          <w:sz w:val="36"/>
          <w:szCs w:val="36"/>
        </w:rPr>
      </w:pPr>
    </w:p>
    <w:p>
      <w:pPr>
        <w:pStyle w:val="34"/>
        <w:ind w:firstLine="720"/>
        <w:rPr>
          <w:sz w:val="36"/>
          <w:szCs w:val="36"/>
        </w:rPr>
      </w:pPr>
    </w:p>
    <w:p>
      <w:pPr>
        <w:pStyle w:val="39"/>
        <w:spacing w:before="156"/>
        <w:rPr>
          <w:sz w:val="72"/>
          <w:szCs w:val="72"/>
        </w:rPr>
      </w:pPr>
      <w:r>
        <w:rPr>
          <w:rFonts w:hint="eastAsia"/>
          <w:sz w:val="72"/>
          <w:szCs w:val="72"/>
        </w:rPr>
        <w:t>建设项目环境影响报告表</w:t>
      </w:r>
    </w:p>
    <w:p>
      <w:pPr>
        <w:pStyle w:val="39"/>
        <w:spacing w:before="156"/>
        <w:rPr>
          <w:b w:val="0"/>
          <w:bCs/>
          <w:sz w:val="48"/>
          <w:szCs w:val="48"/>
        </w:rPr>
      </w:pPr>
      <w:r>
        <w:rPr>
          <w:rFonts w:hint="eastAsia"/>
          <w:b w:val="0"/>
          <w:bCs/>
          <w:sz w:val="48"/>
          <w:szCs w:val="48"/>
        </w:rPr>
        <w:t>（生态影响类）</w:t>
      </w:r>
    </w:p>
    <w:p>
      <w:pPr>
        <w:pStyle w:val="34"/>
        <w:ind w:firstLine="880"/>
        <w:rPr>
          <w:sz w:val="44"/>
          <w:szCs w:val="44"/>
        </w:rPr>
      </w:pPr>
    </w:p>
    <w:p>
      <w:pPr>
        <w:pStyle w:val="34"/>
        <w:ind w:firstLine="880"/>
        <w:rPr>
          <w:sz w:val="44"/>
          <w:szCs w:val="44"/>
        </w:rPr>
      </w:pPr>
    </w:p>
    <w:p>
      <w:pPr>
        <w:pStyle w:val="34"/>
        <w:ind w:firstLine="880"/>
        <w:rPr>
          <w:sz w:val="44"/>
          <w:szCs w:val="44"/>
        </w:rPr>
      </w:pPr>
    </w:p>
    <w:p>
      <w:pPr>
        <w:pStyle w:val="34"/>
        <w:ind w:firstLine="880"/>
        <w:rPr>
          <w:sz w:val="44"/>
          <w:szCs w:val="44"/>
        </w:rPr>
      </w:pPr>
    </w:p>
    <w:p>
      <w:pPr>
        <w:pStyle w:val="34"/>
        <w:ind w:firstLine="880"/>
        <w:rPr>
          <w:sz w:val="44"/>
          <w:szCs w:val="44"/>
        </w:rPr>
      </w:pPr>
    </w:p>
    <w:p>
      <w:pPr>
        <w:pStyle w:val="34"/>
        <w:ind w:firstLine="880"/>
        <w:rPr>
          <w:sz w:val="44"/>
          <w:szCs w:val="44"/>
        </w:rPr>
      </w:pPr>
    </w:p>
    <w:p>
      <w:pPr>
        <w:pStyle w:val="34"/>
        <w:ind w:firstLine="640"/>
        <w:rPr>
          <w:sz w:val="32"/>
          <w:szCs w:val="32"/>
          <w:u w:val="single"/>
        </w:rPr>
      </w:pPr>
      <w:r>
        <w:rPr>
          <w:rFonts w:hint="eastAsia"/>
          <w:sz w:val="32"/>
          <w:szCs w:val="32"/>
        </w:rPr>
        <w:t>项目名称：</w:t>
      </w:r>
      <w:r>
        <w:rPr>
          <w:rFonts w:hint="eastAsia"/>
          <w:sz w:val="32"/>
          <w:szCs w:val="32"/>
          <w:u w:val="single"/>
        </w:rPr>
        <w:t>湘阴县鼻湖清淤疏浚及生态修复项目</w:t>
      </w:r>
      <w:r>
        <w:rPr>
          <w:sz w:val="2"/>
          <w:szCs w:val="2"/>
          <w:u w:val="single"/>
        </w:rPr>
        <w:t>.</w:t>
      </w:r>
    </w:p>
    <w:p>
      <w:pPr>
        <w:pStyle w:val="34"/>
        <w:ind w:firstLine="640"/>
        <w:rPr>
          <w:sz w:val="32"/>
          <w:szCs w:val="32"/>
        </w:rPr>
      </w:pPr>
      <w:r>
        <w:rPr>
          <w:rFonts w:hint="eastAsia"/>
          <w:sz w:val="32"/>
          <w:szCs w:val="32"/>
        </w:rPr>
        <w:t>建设单位（盖章）：</w:t>
      </w:r>
      <w:r>
        <w:rPr>
          <w:rFonts w:hint="eastAsia"/>
          <w:sz w:val="32"/>
          <w:szCs w:val="32"/>
          <w:u w:val="single"/>
        </w:rPr>
        <w:t xml:space="preserve">湘阴恒澜水务有限公司 </w:t>
      </w:r>
      <w:r>
        <w:rPr>
          <w:sz w:val="32"/>
          <w:szCs w:val="32"/>
          <w:u w:val="single"/>
        </w:rPr>
        <w:t xml:space="preserve">         </w:t>
      </w:r>
      <w:r>
        <w:rPr>
          <w:sz w:val="2"/>
          <w:szCs w:val="2"/>
          <w:u w:val="single"/>
        </w:rPr>
        <w:t>.</w:t>
      </w:r>
    </w:p>
    <w:p>
      <w:pPr>
        <w:pStyle w:val="34"/>
        <w:ind w:firstLine="640"/>
        <w:rPr>
          <w:sz w:val="32"/>
          <w:szCs w:val="32"/>
        </w:rPr>
      </w:pPr>
      <w:r>
        <w:rPr>
          <w:rFonts w:hint="eastAsia"/>
          <w:sz w:val="32"/>
          <w:szCs w:val="32"/>
        </w:rPr>
        <w:t>编制日期：</w:t>
      </w:r>
      <w:r>
        <w:rPr>
          <w:sz w:val="32"/>
          <w:szCs w:val="32"/>
          <w:u w:val="single"/>
        </w:rPr>
        <w:t>2023</w:t>
      </w:r>
      <w:r>
        <w:rPr>
          <w:rFonts w:hint="eastAsia"/>
          <w:sz w:val="32"/>
          <w:szCs w:val="32"/>
          <w:u w:val="single"/>
        </w:rPr>
        <w:t>年</w:t>
      </w:r>
      <w:r>
        <w:rPr>
          <w:sz w:val="32"/>
          <w:szCs w:val="32"/>
          <w:u w:val="single"/>
        </w:rPr>
        <w:t>10</w:t>
      </w:r>
      <w:r>
        <w:rPr>
          <w:rFonts w:hint="eastAsia"/>
          <w:sz w:val="32"/>
          <w:szCs w:val="32"/>
          <w:u w:val="single"/>
        </w:rPr>
        <w:t xml:space="preserve">月 </w:t>
      </w:r>
      <w:r>
        <w:rPr>
          <w:sz w:val="32"/>
          <w:szCs w:val="32"/>
          <w:u w:val="single"/>
        </w:rPr>
        <w:t xml:space="preserve">                                           </w:t>
      </w:r>
      <w:r>
        <w:rPr>
          <w:sz w:val="2"/>
          <w:szCs w:val="2"/>
          <w:u w:val="single"/>
        </w:rPr>
        <w:t>.</w:t>
      </w:r>
    </w:p>
    <w:p>
      <w:pPr>
        <w:pStyle w:val="34"/>
        <w:ind w:firstLine="880"/>
        <w:rPr>
          <w:sz w:val="44"/>
          <w:szCs w:val="44"/>
        </w:rPr>
      </w:pPr>
    </w:p>
    <w:p>
      <w:pPr>
        <w:pStyle w:val="34"/>
        <w:ind w:firstLine="880"/>
        <w:rPr>
          <w:sz w:val="44"/>
          <w:szCs w:val="44"/>
        </w:rPr>
      </w:pPr>
    </w:p>
    <w:p>
      <w:pPr>
        <w:pStyle w:val="34"/>
        <w:ind w:firstLine="880"/>
        <w:rPr>
          <w:sz w:val="44"/>
          <w:szCs w:val="44"/>
        </w:rPr>
      </w:pPr>
    </w:p>
    <w:p>
      <w:pPr>
        <w:pStyle w:val="34"/>
        <w:ind w:firstLine="880"/>
        <w:rPr>
          <w:sz w:val="44"/>
          <w:szCs w:val="44"/>
        </w:rPr>
      </w:pPr>
    </w:p>
    <w:p>
      <w:pPr>
        <w:pStyle w:val="39"/>
        <w:spacing w:before="156"/>
        <w:rPr>
          <w:rFonts w:ascii="楷体" w:hAnsi="楷体" w:eastAsia="楷体"/>
          <w:sz w:val="32"/>
          <w:szCs w:val="32"/>
        </w:rPr>
        <w:sectPr>
          <w:pgSz w:w="11906" w:h="16838"/>
          <w:pgMar w:top="1440" w:right="1800" w:bottom="1440" w:left="1800" w:header="851" w:footer="992" w:gutter="0"/>
          <w:cols w:space="425" w:num="1"/>
          <w:docGrid w:type="lines" w:linePitch="312" w:charSpace="0"/>
        </w:sectPr>
      </w:pPr>
      <w:r>
        <w:rPr>
          <w:rFonts w:hint="eastAsia" w:ascii="楷体" w:hAnsi="楷体" w:eastAsia="楷体"/>
          <w:sz w:val="32"/>
          <w:szCs w:val="32"/>
        </w:rPr>
        <w:t>中华人民共和国生态环境保护部制</w:t>
      </w:r>
    </w:p>
    <w:p>
      <w:pPr>
        <w:pStyle w:val="39"/>
        <w:spacing w:before="156"/>
      </w:pPr>
    </w:p>
    <w:p>
      <w:pPr>
        <w:pStyle w:val="39"/>
        <w:spacing w:before="156"/>
      </w:pPr>
    </w:p>
    <w:p>
      <w:pPr>
        <w:pStyle w:val="39"/>
        <w:spacing w:before="156"/>
        <w:rPr>
          <w:rFonts w:ascii="楷体" w:hAnsi="楷体" w:eastAsia="楷体"/>
          <w:sz w:val="32"/>
          <w:szCs w:val="32"/>
        </w:rPr>
        <w:sectPr>
          <w:pgSz w:w="11906" w:h="16838"/>
          <w:pgMar w:top="1440" w:right="1800" w:bottom="1440" w:left="1800" w:header="851" w:footer="992" w:gutter="0"/>
          <w:cols w:space="425" w:num="1"/>
          <w:docGrid w:type="lines" w:linePitch="312" w:charSpace="0"/>
        </w:sectPr>
      </w:pPr>
    </w:p>
    <w:p>
      <w:pPr>
        <w:pStyle w:val="39"/>
        <w:spacing w:before="156"/>
        <w:rPr>
          <w:rFonts w:ascii="楷体" w:hAnsi="楷体" w:eastAsia="楷体"/>
          <w:sz w:val="32"/>
          <w:szCs w:val="32"/>
        </w:rPr>
        <w:sectPr>
          <w:pgSz w:w="11906" w:h="16838"/>
          <w:pgMar w:top="1440" w:right="1800" w:bottom="1440" w:left="1800" w:header="851" w:footer="992" w:gutter="0"/>
          <w:cols w:space="425" w:num="1"/>
          <w:docGrid w:type="lines" w:linePitch="312" w:charSpace="0"/>
        </w:sectPr>
      </w:pPr>
      <w:r>
        <w:t xml:space="preserve"> </w:t>
      </w:r>
    </w:p>
    <w:p>
      <w:pPr>
        <w:pStyle w:val="23"/>
        <w:tabs>
          <w:tab w:val="right" w:leader="dot" w:pos="8296"/>
        </w:tabs>
        <w:spacing w:line="360" w:lineRule="auto"/>
        <w:jc w:val="center"/>
        <w:rPr>
          <w:rFonts w:ascii="宋体" w:hAnsi="宋体" w:eastAsia="宋体"/>
          <w:b/>
          <w:bCs/>
          <w:sz w:val="24"/>
          <w:szCs w:val="24"/>
        </w:rPr>
      </w:pPr>
      <w:r>
        <w:rPr>
          <w:rFonts w:hint="eastAsia" w:ascii="宋体" w:hAnsi="宋体" w:eastAsia="宋体"/>
          <w:b/>
          <w:bCs/>
          <w:sz w:val="24"/>
          <w:szCs w:val="24"/>
        </w:rPr>
        <w:t xml:space="preserve">目 </w:t>
      </w:r>
      <w:r>
        <w:rPr>
          <w:rFonts w:ascii="宋体" w:hAnsi="宋体" w:eastAsia="宋体"/>
          <w:b/>
          <w:bCs/>
          <w:sz w:val="24"/>
          <w:szCs w:val="24"/>
        </w:rPr>
        <w:t xml:space="preserve"> </w:t>
      </w:r>
      <w:r>
        <w:rPr>
          <w:rFonts w:hint="eastAsia" w:ascii="宋体" w:hAnsi="宋体" w:eastAsia="宋体"/>
          <w:b/>
          <w:bCs/>
          <w:sz w:val="24"/>
          <w:szCs w:val="24"/>
        </w:rPr>
        <w:t>录</w:t>
      </w:r>
    </w:p>
    <w:p>
      <w:pPr>
        <w:pStyle w:val="23"/>
        <w:tabs>
          <w:tab w:val="right" w:leader="dot" w:pos="8296"/>
        </w:tabs>
        <w:spacing w:line="360" w:lineRule="auto"/>
        <w:rPr>
          <w:rFonts w:ascii="Times New Roman" w:hAnsi="Times New Roman" w:eastAsia="宋体" w:cs="Times New Roman"/>
          <w:sz w:val="24"/>
          <w:szCs w:val="24"/>
          <w14:ligatures w14:val="standardContextual"/>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TOC \o "1-1" \h \z \u </w:instrText>
      </w:r>
      <w:r>
        <w:rPr>
          <w:rFonts w:ascii="Times New Roman" w:hAnsi="Times New Roman" w:eastAsia="宋体" w:cs="Times New Roman"/>
          <w:sz w:val="24"/>
          <w:szCs w:val="24"/>
        </w:rPr>
        <w:fldChar w:fldCharType="separate"/>
      </w:r>
      <w:r>
        <w:fldChar w:fldCharType="begin"/>
      </w:r>
      <w:r>
        <w:instrText xml:space="preserve"> HYPERLINK \l "_Toc149605109" </w:instrText>
      </w:r>
      <w:r>
        <w:fldChar w:fldCharType="separate"/>
      </w:r>
      <w:r>
        <w:rPr>
          <w:rStyle w:val="32"/>
          <w:rFonts w:ascii="Times New Roman" w:hAnsi="Times New Roman" w:eastAsia="宋体" w:cs="Times New Roman"/>
          <w:sz w:val="24"/>
          <w:szCs w:val="24"/>
        </w:rPr>
        <w:t>一、建设项目基本情况</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_Toc149605109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"_Toc149605110" </w:instrText>
      </w:r>
      <w:r>
        <w:fldChar w:fldCharType="separate"/>
      </w:r>
      <w:r>
        <w:rPr>
          <w:rStyle w:val="32"/>
          <w:rFonts w:ascii="Times New Roman" w:hAnsi="Times New Roman" w:eastAsia="宋体" w:cs="Times New Roman"/>
          <w:sz w:val="24"/>
          <w:szCs w:val="24"/>
        </w:rPr>
        <w:t>二、建设内容</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_Toc149605110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"_Toc149605111" </w:instrText>
      </w:r>
      <w:r>
        <w:fldChar w:fldCharType="separate"/>
      </w:r>
      <w:r>
        <w:rPr>
          <w:rStyle w:val="32"/>
          <w:rFonts w:ascii="Times New Roman" w:hAnsi="Times New Roman" w:eastAsia="宋体" w:cs="Times New Roman"/>
          <w:sz w:val="24"/>
          <w:szCs w:val="24"/>
        </w:rPr>
        <w:t>三、</w:t>
      </w:r>
      <w:r>
        <w:rPr>
          <w:rStyle w:val="32"/>
          <w:rFonts w:ascii="Times New Roman" w:hAnsi="Times New Roman" w:eastAsia="宋体" w:cs="Times New Roman"/>
          <w:snapToGrid w:val="0"/>
          <w:sz w:val="24"/>
          <w:szCs w:val="24"/>
        </w:rPr>
        <w:t>生态环境现状、保护目标及评价标准</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_Toc149605111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"_Toc149605112" </w:instrText>
      </w:r>
      <w:r>
        <w:fldChar w:fldCharType="separate"/>
      </w:r>
      <w:r>
        <w:rPr>
          <w:rStyle w:val="32"/>
          <w:rFonts w:ascii="Times New Roman" w:hAnsi="Times New Roman" w:eastAsia="宋体" w:cs="Times New Roman"/>
          <w:sz w:val="24"/>
          <w:szCs w:val="24"/>
        </w:rPr>
        <w:t>四、</w:t>
      </w:r>
      <w:r>
        <w:rPr>
          <w:rStyle w:val="32"/>
          <w:rFonts w:ascii="Times New Roman" w:hAnsi="Times New Roman" w:eastAsia="宋体" w:cs="Times New Roman"/>
          <w:snapToGrid w:val="0"/>
          <w:sz w:val="24"/>
          <w:szCs w:val="24"/>
        </w:rPr>
        <w:t>生态环境影响分析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_Toc149605112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65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"_Toc149605113" </w:instrText>
      </w:r>
      <w:r>
        <w:fldChar w:fldCharType="separate"/>
      </w:r>
      <w:r>
        <w:rPr>
          <w:rStyle w:val="32"/>
          <w:rFonts w:ascii="Times New Roman" w:hAnsi="Times New Roman" w:eastAsia="宋体" w:cs="Times New Roman"/>
          <w:sz w:val="24"/>
          <w:szCs w:val="24"/>
        </w:rPr>
        <w:t>五、</w:t>
      </w:r>
      <w:r>
        <w:rPr>
          <w:rStyle w:val="32"/>
          <w:rFonts w:ascii="Times New Roman" w:hAnsi="Times New Roman" w:eastAsia="宋体" w:cs="Times New Roman"/>
          <w:snapToGrid w:val="0"/>
          <w:sz w:val="24"/>
          <w:szCs w:val="24"/>
        </w:rPr>
        <w:t>主要生态环境保护措施</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_Toc149605113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77</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"_Toc149605114" </w:instrText>
      </w:r>
      <w:r>
        <w:fldChar w:fldCharType="separate"/>
      </w:r>
      <w:r>
        <w:rPr>
          <w:rStyle w:val="32"/>
          <w:rFonts w:ascii="Times New Roman" w:hAnsi="Times New Roman" w:eastAsia="宋体" w:cs="Times New Roman"/>
          <w:sz w:val="24"/>
          <w:szCs w:val="24"/>
        </w:rPr>
        <w:t>六、</w:t>
      </w:r>
      <w:r>
        <w:rPr>
          <w:rStyle w:val="32"/>
          <w:rFonts w:ascii="Times New Roman" w:hAnsi="Times New Roman" w:eastAsia="宋体" w:cs="Times New Roman"/>
          <w:snapToGrid w:val="0"/>
          <w:sz w:val="24"/>
          <w:szCs w:val="24"/>
        </w:rPr>
        <w:t>生态环境保护措施监督检查清单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_Toc149605114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"_Toc149605115" </w:instrText>
      </w:r>
      <w:r>
        <w:fldChar w:fldCharType="separate"/>
      </w:r>
      <w:r>
        <w:rPr>
          <w:rStyle w:val="32"/>
          <w:rFonts w:ascii="Times New Roman" w:hAnsi="Times New Roman" w:eastAsia="宋体" w:cs="Times New Roman"/>
          <w:sz w:val="24"/>
          <w:szCs w:val="24"/>
        </w:rPr>
        <w:t>七、结论</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_Toc149605115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"_Toc149605116" </w:instrText>
      </w:r>
      <w:r>
        <w:fldChar w:fldCharType="separate"/>
      </w:r>
      <w:r>
        <w:rPr>
          <w:rStyle w:val="32"/>
          <w:rFonts w:ascii="Times New Roman" w:hAnsi="Times New Roman" w:eastAsia="宋体" w:cs="Times New Roman"/>
          <w:sz w:val="24"/>
          <w:szCs w:val="24"/>
        </w:rPr>
        <w:t>附件1：委托书</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_Toc149605116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"_Toc149605117" </w:instrText>
      </w:r>
      <w:r>
        <w:fldChar w:fldCharType="separate"/>
      </w:r>
      <w:r>
        <w:rPr>
          <w:rStyle w:val="32"/>
          <w:rFonts w:ascii="Times New Roman" w:hAnsi="Times New Roman" w:eastAsia="宋体" w:cs="Times New Roman"/>
          <w:sz w:val="24"/>
          <w:szCs w:val="24"/>
        </w:rPr>
        <w:t>附件2：政府常务会议决定</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_Toc149605117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"_Toc149605118" </w:instrText>
      </w:r>
      <w:r>
        <w:fldChar w:fldCharType="separate"/>
      </w:r>
      <w:r>
        <w:rPr>
          <w:rStyle w:val="32"/>
          <w:rFonts w:ascii="Times New Roman" w:hAnsi="Times New Roman" w:eastAsia="宋体" w:cs="Times New Roman"/>
          <w:sz w:val="24"/>
          <w:szCs w:val="24"/>
        </w:rPr>
        <w:t>附件3：项目入库申请表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_Toc149605118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"_Toc149605119" </w:instrText>
      </w:r>
      <w:r>
        <w:fldChar w:fldCharType="separate"/>
      </w:r>
      <w:r>
        <w:rPr>
          <w:rStyle w:val="32"/>
          <w:rFonts w:ascii="Times New Roman" w:hAnsi="Times New Roman" w:eastAsia="宋体" w:cs="Times New Roman"/>
          <w:sz w:val="24"/>
          <w:szCs w:val="24"/>
        </w:rPr>
        <w:t>附件4：立项批复</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_Toc149605119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98</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"_Toc149605120" </w:instrText>
      </w:r>
      <w:r>
        <w:fldChar w:fldCharType="separate"/>
      </w:r>
      <w:r>
        <w:rPr>
          <w:rStyle w:val="32"/>
          <w:rFonts w:ascii="Times New Roman" w:hAnsi="Times New Roman" w:eastAsia="宋体" w:cs="Times New Roman"/>
          <w:sz w:val="24"/>
          <w:szCs w:val="24"/>
        </w:rPr>
        <w:t>附件5：监测报告</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_Toc149605120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100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"_Toc149605121" </w:instrText>
      </w:r>
      <w:r>
        <w:fldChar w:fldCharType="separate"/>
      </w:r>
      <w:r>
        <w:rPr>
          <w:rStyle w:val="32"/>
          <w:rFonts w:ascii="Times New Roman" w:hAnsi="Times New Roman" w:eastAsia="宋体" w:cs="Times New Roman"/>
          <w:sz w:val="24"/>
          <w:szCs w:val="24"/>
        </w:rPr>
        <w:t>附件6：淤泥干化场不占用生态红线的证明</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_Toc149605121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111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"_Toc149605122" </w:instrText>
      </w:r>
      <w:r>
        <w:fldChar w:fldCharType="separate"/>
      </w:r>
      <w:r>
        <w:rPr>
          <w:rStyle w:val="32"/>
          <w:rFonts w:ascii="Times New Roman" w:hAnsi="Times New Roman" w:eastAsia="宋体" w:cs="Times New Roman"/>
          <w:sz w:val="24"/>
          <w:szCs w:val="24"/>
        </w:rPr>
        <w:t>附件7：专家意见</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_Toc149605122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112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"_Toc149605123" </w:instrText>
      </w:r>
      <w:r>
        <w:fldChar w:fldCharType="separate"/>
      </w:r>
      <w:r>
        <w:rPr>
          <w:rStyle w:val="32"/>
          <w:rFonts w:ascii="Times New Roman" w:hAnsi="Times New Roman" w:eastAsia="宋体" w:cs="Times New Roman"/>
          <w:sz w:val="24"/>
          <w:szCs w:val="24"/>
        </w:rPr>
        <w:t>附件8：专家签到表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_Toc149605123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115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"_Toc149605124" </w:instrText>
      </w:r>
      <w:r>
        <w:fldChar w:fldCharType="separate"/>
      </w:r>
      <w:r>
        <w:rPr>
          <w:rStyle w:val="32"/>
          <w:rFonts w:ascii="Times New Roman" w:hAnsi="Times New Roman" w:eastAsia="宋体" w:cs="Times New Roman"/>
          <w:sz w:val="24"/>
          <w:szCs w:val="24"/>
        </w:rPr>
        <w:t>附件9：专家意见修改清单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_Toc149605124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116</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"_Toc149605125" </w:instrText>
      </w:r>
      <w:r>
        <w:fldChar w:fldCharType="separate"/>
      </w:r>
      <w:r>
        <w:rPr>
          <w:rStyle w:val="32"/>
          <w:rFonts w:ascii="Times New Roman" w:hAnsi="Times New Roman" w:eastAsia="宋体" w:cs="Times New Roman"/>
          <w:sz w:val="24"/>
          <w:szCs w:val="24"/>
        </w:rPr>
        <w:t>附图1：项目地理位置图</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_Toc149605125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118</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"_Toc149605126" </w:instrText>
      </w:r>
      <w:r>
        <w:fldChar w:fldCharType="separate"/>
      </w:r>
      <w:r>
        <w:rPr>
          <w:rStyle w:val="32"/>
          <w:rFonts w:ascii="Times New Roman" w:hAnsi="Times New Roman" w:eastAsia="宋体" w:cs="Times New Roman"/>
          <w:sz w:val="24"/>
          <w:szCs w:val="24"/>
        </w:rPr>
        <w:t>附图2：工程总体布置图</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_Toc149605126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119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"_Toc149605127" </w:instrText>
      </w:r>
      <w:r>
        <w:fldChar w:fldCharType="separate"/>
      </w:r>
      <w:r>
        <w:rPr>
          <w:rStyle w:val="32"/>
          <w:rFonts w:ascii="Times New Roman" w:hAnsi="Times New Roman" w:eastAsia="宋体" w:cs="Times New Roman"/>
          <w:sz w:val="24"/>
          <w:szCs w:val="24"/>
        </w:rPr>
        <w:t>附图3：环境保护目标分布图</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_Toc149605127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120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"_Toc149605128" </w:instrText>
      </w:r>
      <w:r>
        <w:fldChar w:fldCharType="separate"/>
      </w:r>
      <w:r>
        <w:rPr>
          <w:rStyle w:val="32"/>
          <w:rFonts w:ascii="Times New Roman" w:hAnsi="Times New Roman" w:eastAsia="宋体" w:cs="Times New Roman"/>
          <w:sz w:val="24"/>
          <w:szCs w:val="24"/>
        </w:rPr>
        <w:t>附图4：监测布点图</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_Toc149605128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121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"_Toc149605129" </w:instrText>
      </w:r>
      <w:r>
        <w:fldChar w:fldCharType="separate"/>
      </w:r>
      <w:r>
        <w:rPr>
          <w:rStyle w:val="32"/>
          <w:rFonts w:ascii="Times New Roman" w:hAnsi="Times New Roman" w:eastAsia="宋体" w:cs="Times New Roman"/>
          <w:sz w:val="24"/>
          <w:szCs w:val="24"/>
        </w:rPr>
        <w:t>附图5：施工总布置图</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_Toc149605129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122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"_Toc149605130" </w:instrText>
      </w:r>
      <w:r>
        <w:fldChar w:fldCharType="separate"/>
      </w:r>
      <w:r>
        <w:rPr>
          <w:rStyle w:val="32"/>
          <w:rFonts w:ascii="Times New Roman" w:hAnsi="Times New Roman" w:eastAsia="宋体" w:cs="Times New Roman"/>
          <w:sz w:val="24"/>
          <w:szCs w:val="24"/>
        </w:rPr>
        <w:t>附图6：区域水系图</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_Toc149605130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123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"_Toc149605131" </w:instrText>
      </w:r>
      <w:r>
        <w:fldChar w:fldCharType="separate"/>
      </w:r>
      <w:r>
        <w:rPr>
          <w:rStyle w:val="32"/>
          <w:rFonts w:ascii="Times New Roman" w:hAnsi="Times New Roman" w:eastAsia="宋体" w:cs="Times New Roman"/>
          <w:sz w:val="24"/>
          <w:szCs w:val="24"/>
        </w:rPr>
        <w:t>附图7：主要生态保护措施设计图</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_Toc149605131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124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23"/>
        <w:tabs>
          <w:tab w:val="right" w:leader="dot" w:pos="8296"/>
        </w:tabs>
        <w:spacing w:line="360" w:lineRule="auto"/>
        <w:rPr>
          <w:rFonts w:ascii="Times New Roman" w:hAnsi="Times New Roman" w:eastAsia="宋体" w:cs="Times New Roman"/>
          <w:sz w:val="24"/>
          <w:szCs w:val="24"/>
          <w14:ligatures w14:val="standardContextual"/>
        </w:rPr>
      </w:pPr>
      <w:r>
        <w:fldChar w:fldCharType="begin"/>
      </w:r>
      <w:r>
        <w:instrText xml:space="preserve"> HYPERLINK \l "_Toc149605132" </w:instrText>
      </w:r>
      <w:r>
        <w:fldChar w:fldCharType="separate"/>
      </w:r>
      <w:r>
        <w:rPr>
          <w:rStyle w:val="32"/>
          <w:rFonts w:ascii="Times New Roman" w:hAnsi="Times New Roman" w:eastAsia="宋体" w:cs="Times New Roman"/>
          <w:sz w:val="24"/>
          <w:szCs w:val="24"/>
        </w:rPr>
        <w:t>附图8：现状照片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_Toc149605132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125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39"/>
        <w:spacing w:before="156" w:line="360" w:lineRule="auto"/>
        <w:rPr>
          <w:rFonts w:ascii="楷体" w:hAnsi="楷体" w:eastAsia="楷体"/>
          <w:sz w:val="32"/>
          <w:szCs w:val="32"/>
        </w:rPr>
        <w:sectPr>
          <w:pgSz w:w="11906" w:h="16838"/>
          <w:pgMar w:top="1440" w:right="1800" w:bottom="1440" w:left="1800" w:header="851" w:footer="992" w:gutter="0"/>
          <w:cols w:space="425" w:num="1"/>
          <w:docGrid w:type="lines" w:linePitch="312" w:charSpace="0"/>
        </w:sectPr>
      </w:pPr>
      <w:r>
        <w:fldChar w:fldCharType="end"/>
      </w:r>
    </w:p>
    <w:p>
      <w:pPr>
        <w:pStyle w:val="36"/>
      </w:pPr>
      <w:bookmarkStart w:id="0" w:name="_Toc149605109"/>
      <w:r>
        <w:rPr>
          <w:rFonts w:hint="eastAsia"/>
        </w:rPr>
        <w:t>一、建设项目基本情况</w:t>
      </w:r>
      <w:bookmarkEnd w:id="0"/>
    </w:p>
    <w:tbl>
      <w:tblPr>
        <w:tblStyle w:val="27"/>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26"/>
        <w:gridCol w:w="2043"/>
        <w:gridCol w:w="2218"/>
        <w:gridCol w:w="10"/>
        <w:gridCol w:w="25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pStyle w:val="41"/>
            </w:pPr>
            <w:r>
              <w:rPr>
                <w:rFonts w:hint="eastAsia"/>
              </w:rPr>
              <w:t>建设项目名称</w:t>
            </w:r>
          </w:p>
        </w:tc>
        <w:tc>
          <w:tcPr>
            <w:tcW w:w="6813" w:type="dxa"/>
            <w:gridSpan w:val="4"/>
            <w:vAlign w:val="center"/>
          </w:tcPr>
          <w:p>
            <w:pPr>
              <w:pStyle w:val="41"/>
            </w:pPr>
            <w:r>
              <w:rPr>
                <w:rFonts w:hint="eastAsia"/>
              </w:rPr>
              <w:t>湘阴县鼻湖清淤疏浚及生态修复项目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226" w:type="dxa"/>
            <w:tcMar>
              <w:top w:w="16" w:type="dxa"/>
              <w:left w:w="16" w:type="dxa"/>
              <w:right w:w="16" w:type="dxa"/>
            </w:tcMar>
            <w:vAlign w:val="center"/>
          </w:tcPr>
          <w:p>
            <w:pPr>
              <w:pStyle w:val="41"/>
            </w:pPr>
            <w:r>
              <w:rPr>
                <w:rFonts w:hint="eastAsia"/>
              </w:rPr>
              <w:t>项目代码</w:t>
            </w:r>
          </w:p>
        </w:tc>
        <w:tc>
          <w:tcPr>
            <w:tcW w:w="6813" w:type="dxa"/>
            <w:gridSpan w:val="4"/>
            <w:vAlign w:val="center"/>
          </w:tcPr>
          <w:p>
            <w:pPr>
              <w:pStyle w:val="41"/>
            </w:pPr>
            <w:r>
              <w:t>2307-430624-04-05-610649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pStyle w:val="41"/>
            </w:pPr>
            <w:r>
              <w:rPr>
                <w:rFonts w:hint="eastAsia"/>
              </w:rPr>
              <w:t>建设单位联系人</w:t>
            </w:r>
          </w:p>
        </w:tc>
        <w:tc>
          <w:tcPr>
            <w:tcW w:w="2043" w:type="dxa"/>
            <w:vAlign w:val="center"/>
          </w:tcPr>
          <w:p>
            <w:pPr>
              <w:pStyle w:val="41"/>
            </w:pPr>
          </w:p>
        </w:tc>
        <w:tc>
          <w:tcPr>
            <w:tcW w:w="2228" w:type="dxa"/>
            <w:gridSpan w:val="2"/>
            <w:vAlign w:val="center"/>
          </w:tcPr>
          <w:p>
            <w:pPr>
              <w:pStyle w:val="41"/>
            </w:pPr>
            <w:r>
              <w:rPr>
                <w:rFonts w:hint="eastAsia"/>
              </w:rPr>
              <w:t>联系方式</w:t>
            </w:r>
          </w:p>
        </w:tc>
        <w:tc>
          <w:tcPr>
            <w:tcW w:w="2542" w:type="dxa"/>
            <w:vAlign w:val="center"/>
          </w:tcPr>
          <w:p>
            <w:pPr>
              <w:pStyle w:val="41"/>
            </w:pPr>
            <w:bookmarkStart w:id="13" w:name="_GoBack"/>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pStyle w:val="41"/>
            </w:pPr>
            <w:r>
              <w:rPr>
                <w:rFonts w:hint="eastAsia"/>
              </w:rPr>
              <w:t>建设地点</w:t>
            </w:r>
          </w:p>
        </w:tc>
        <w:tc>
          <w:tcPr>
            <w:tcW w:w="6813" w:type="dxa"/>
            <w:gridSpan w:val="4"/>
            <w:vAlign w:val="center"/>
          </w:tcPr>
          <w:p>
            <w:pPr>
              <w:pStyle w:val="41"/>
            </w:pPr>
            <w:r>
              <w:rPr>
                <w:rFonts w:hint="eastAsia"/>
                <w:u w:val="single"/>
              </w:rPr>
              <w:t>湖南省</w:t>
            </w:r>
            <w:r>
              <w:rPr>
                <w:rFonts w:hint="eastAsia"/>
              </w:rPr>
              <w:t>（自治区）</w:t>
            </w:r>
            <w:r>
              <w:rPr>
                <w:rFonts w:hint="eastAsia"/>
                <w:u w:val="single"/>
              </w:rPr>
              <w:t>岳阳</w:t>
            </w:r>
            <w:r>
              <w:rPr>
                <w:rFonts w:hint="eastAsia"/>
              </w:rPr>
              <w:t>市</w:t>
            </w:r>
            <w:r>
              <w:rPr>
                <w:rFonts w:hint="eastAsia"/>
                <w:u w:val="single"/>
              </w:rPr>
              <w:t>湘阴</w:t>
            </w:r>
            <w:r>
              <w:rPr>
                <w:rFonts w:hint="eastAsia"/>
              </w:rPr>
              <w:t>县（区）乡</w:t>
            </w:r>
            <w:r>
              <w:rPr>
                <w:rFonts w:hint="eastAsia"/>
                <w:u w:val="single"/>
              </w:rPr>
              <w:t>岭北</w:t>
            </w:r>
            <w:r>
              <w:rPr>
                <w:rFonts w:hint="eastAsia"/>
              </w:rPr>
              <w:t>（街道）</w:t>
            </w:r>
            <w:r>
              <w:rPr>
                <w:rFonts w:hint="eastAsia"/>
                <w:u w:val="single"/>
              </w:rPr>
              <w:t>鼻湖渔场</w:t>
            </w:r>
            <w:r>
              <w:rPr>
                <w:rFonts w:hint="eastAsia"/>
              </w:rPr>
              <w:t>（具体地址）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226" w:type="dxa"/>
            <w:tcMar>
              <w:top w:w="16" w:type="dxa"/>
              <w:left w:w="16" w:type="dxa"/>
              <w:right w:w="16" w:type="dxa"/>
            </w:tcMar>
            <w:vAlign w:val="center"/>
          </w:tcPr>
          <w:p>
            <w:pPr>
              <w:pStyle w:val="41"/>
            </w:pPr>
            <w:r>
              <w:rPr>
                <w:rFonts w:hint="eastAsia"/>
              </w:rPr>
              <w:t>地理坐标</w:t>
            </w:r>
          </w:p>
        </w:tc>
        <w:tc>
          <w:tcPr>
            <w:tcW w:w="6813" w:type="dxa"/>
            <w:gridSpan w:val="4"/>
            <w:vAlign w:val="center"/>
          </w:tcPr>
          <w:p>
            <w:pPr>
              <w:pStyle w:val="41"/>
            </w:pPr>
            <w:r>
              <w:rPr>
                <w:rFonts w:hint="eastAsia"/>
              </w:rPr>
              <w:t>（1</w:t>
            </w:r>
            <w:r>
              <w:t>12</w:t>
            </w:r>
            <w:r>
              <w:rPr>
                <w:rFonts w:hint="eastAsia"/>
              </w:rPr>
              <w:t>度4</w:t>
            </w:r>
            <w:r>
              <w:t>6</w:t>
            </w:r>
            <w:r>
              <w:rPr>
                <w:rFonts w:hint="eastAsia"/>
              </w:rPr>
              <w:t>分3</w:t>
            </w:r>
            <w:r>
              <w:t>3.174</w:t>
            </w:r>
            <w:r>
              <w:rPr>
                <w:rFonts w:hint="eastAsia"/>
              </w:rPr>
              <w:t>秒，2</w:t>
            </w:r>
            <w:r>
              <w:t>8</w:t>
            </w:r>
            <w:r>
              <w:rPr>
                <w:rFonts w:hint="eastAsia"/>
              </w:rPr>
              <w:t>度3</w:t>
            </w:r>
            <w:r>
              <w:t>5</w:t>
            </w:r>
            <w:r>
              <w:rPr>
                <w:rFonts w:hint="eastAsia"/>
              </w:rPr>
              <w:t>分0</w:t>
            </w:r>
            <w:r>
              <w:t>.781</w:t>
            </w:r>
            <w:r>
              <w:rPr>
                <w:rFonts w:hint="eastAsia"/>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2226" w:type="dxa"/>
            <w:tcMar>
              <w:top w:w="16" w:type="dxa"/>
              <w:left w:w="16" w:type="dxa"/>
              <w:right w:w="16" w:type="dxa"/>
            </w:tcMar>
            <w:vAlign w:val="center"/>
          </w:tcPr>
          <w:p>
            <w:pPr>
              <w:pStyle w:val="41"/>
            </w:pPr>
            <w:r>
              <w:rPr>
                <w:rFonts w:hint="eastAsia"/>
              </w:rPr>
              <w:t>建设项目</w:t>
            </w:r>
          </w:p>
          <w:p>
            <w:pPr>
              <w:pStyle w:val="41"/>
            </w:pPr>
            <w:r>
              <w:rPr>
                <w:rFonts w:hint="eastAsia"/>
              </w:rPr>
              <w:t>行业类别</w:t>
            </w:r>
          </w:p>
        </w:tc>
        <w:tc>
          <w:tcPr>
            <w:tcW w:w="2043" w:type="dxa"/>
            <w:vAlign w:val="center"/>
          </w:tcPr>
          <w:p>
            <w:pPr>
              <w:pStyle w:val="41"/>
            </w:pPr>
            <w:r>
              <w:rPr>
                <w:rFonts w:hint="eastAsia"/>
              </w:rPr>
              <w:t>N</w:t>
            </w:r>
            <w:r>
              <w:t>7721</w:t>
            </w:r>
            <w:r>
              <w:rPr>
                <w:rFonts w:hint="eastAsia"/>
              </w:rPr>
              <w:t>水污染治理</w:t>
            </w:r>
          </w:p>
        </w:tc>
        <w:tc>
          <w:tcPr>
            <w:tcW w:w="2218" w:type="dxa"/>
            <w:vAlign w:val="center"/>
          </w:tcPr>
          <w:p>
            <w:pPr>
              <w:pStyle w:val="41"/>
            </w:pPr>
            <w:r>
              <w:rPr>
                <w:rFonts w:hint="eastAsia"/>
              </w:rPr>
              <w:t>用地（用海）面积（</w:t>
            </w:r>
            <w:r>
              <w:t>m</w:t>
            </w:r>
            <w:r>
              <w:rPr>
                <w:vertAlign w:val="superscript"/>
              </w:rPr>
              <w:t>2</w:t>
            </w:r>
            <w:r>
              <w:rPr>
                <w:rFonts w:hint="eastAsia"/>
              </w:rPr>
              <w:t>）</w:t>
            </w:r>
            <w:r>
              <w:t>/</w:t>
            </w:r>
            <w:r>
              <w:rPr>
                <w:rFonts w:hint="eastAsia"/>
              </w:rPr>
              <w:t>长度（</w:t>
            </w:r>
            <w:r>
              <w:t>km</w:t>
            </w:r>
            <w:r>
              <w:rPr>
                <w:rFonts w:hint="eastAsia"/>
              </w:rPr>
              <w:t>）</w:t>
            </w:r>
          </w:p>
        </w:tc>
        <w:tc>
          <w:tcPr>
            <w:tcW w:w="2552" w:type="dxa"/>
            <w:gridSpan w:val="2"/>
            <w:vAlign w:val="center"/>
          </w:tcPr>
          <w:p>
            <w:pPr>
              <w:pStyle w:val="4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2226" w:type="dxa"/>
            <w:tcMar>
              <w:top w:w="16" w:type="dxa"/>
              <w:left w:w="16" w:type="dxa"/>
              <w:right w:w="16" w:type="dxa"/>
            </w:tcMar>
            <w:vAlign w:val="center"/>
          </w:tcPr>
          <w:p>
            <w:pPr>
              <w:pStyle w:val="41"/>
            </w:pPr>
            <w:r>
              <w:rPr>
                <w:rFonts w:hint="eastAsia"/>
              </w:rPr>
              <w:t>建设性质</w:t>
            </w:r>
          </w:p>
        </w:tc>
        <w:tc>
          <w:tcPr>
            <w:tcW w:w="2043" w:type="dxa"/>
            <w:vAlign w:val="center"/>
          </w:tcPr>
          <w:p>
            <w:pPr>
              <w:pStyle w:val="41"/>
              <w:jc w:val="left"/>
            </w:pPr>
            <w:r>
              <w:rPr>
                <w:rFonts w:ascii="Segoe UI Symbol" w:hAnsi="Segoe UI Symbol" w:cs="Segoe UI Symbol"/>
              </w:rPr>
              <w:t>☑</w:t>
            </w:r>
            <w:r>
              <w:rPr>
                <w:rFonts w:hint="eastAsia"/>
              </w:rPr>
              <w:t>新建（迁建）</w:t>
            </w:r>
          </w:p>
          <w:p>
            <w:pPr>
              <w:pStyle w:val="41"/>
              <w:jc w:val="left"/>
            </w:pPr>
            <w:r>
              <w:rPr>
                <w:rFonts w:hint="eastAsia"/>
              </w:rPr>
              <w:t>□改建</w:t>
            </w:r>
          </w:p>
          <w:p>
            <w:pPr>
              <w:pStyle w:val="41"/>
              <w:jc w:val="left"/>
            </w:pPr>
            <w:r>
              <w:rPr>
                <w:rFonts w:hint="eastAsia"/>
              </w:rPr>
              <w:t>□扩建</w:t>
            </w:r>
          </w:p>
          <w:p>
            <w:pPr>
              <w:pStyle w:val="41"/>
              <w:jc w:val="left"/>
            </w:pPr>
            <w:r>
              <w:rPr>
                <w:rFonts w:hint="eastAsia"/>
              </w:rPr>
              <w:t>□技术改造</w:t>
            </w:r>
          </w:p>
        </w:tc>
        <w:tc>
          <w:tcPr>
            <w:tcW w:w="2218" w:type="dxa"/>
            <w:vAlign w:val="center"/>
          </w:tcPr>
          <w:p>
            <w:pPr>
              <w:pStyle w:val="41"/>
            </w:pPr>
            <w:r>
              <w:rPr>
                <w:rFonts w:hint="eastAsia"/>
              </w:rPr>
              <w:t>建设项目</w:t>
            </w:r>
          </w:p>
          <w:p>
            <w:pPr>
              <w:pStyle w:val="41"/>
            </w:pPr>
            <w:r>
              <w:rPr>
                <w:rFonts w:hint="eastAsia"/>
              </w:rPr>
              <w:t>申报情形</w:t>
            </w:r>
          </w:p>
        </w:tc>
        <w:tc>
          <w:tcPr>
            <w:tcW w:w="2552" w:type="dxa"/>
            <w:gridSpan w:val="2"/>
            <w:vAlign w:val="center"/>
          </w:tcPr>
          <w:p>
            <w:pPr>
              <w:pStyle w:val="41"/>
              <w:jc w:val="left"/>
            </w:pPr>
            <w:r>
              <w:rPr>
                <w:rFonts w:ascii="Segoe UI Symbol" w:hAnsi="Segoe UI Symbol" w:cs="Segoe UI Symbol"/>
              </w:rPr>
              <w:t>☑</w:t>
            </w:r>
            <w:r>
              <w:rPr>
                <w:rFonts w:hint="eastAsia"/>
              </w:rPr>
              <w:t>首次申报项目</w:t>
            </w:r>
          </w:p>
          <w:p>
            <w:pPr>
              <w:pStyle w:val="41"/>
              <w:jc w:val="left"/>
            </w:pPr>
            <w:r>
              <w:rPr>
                <w:rFonts w:hint="eastAsia"/>
              </w:rPr>
              <w:t>□不予批准后再次申报项目</w:t>
            </w:r>
          </w:p>
          <w:p>
            <w:pPr>
              <w:pStyle w:val="41"/>
              <w:jc w:val="left"/>
            </w:pPr>
            <w:r>
              <w:rPr>
                <w:rFonts w:hint="eastAsia"/>
              </w:rPr>
              <w:t>□超五年重新审核项目</w:t>
            </w:r>
          </w:p>
          <w:p>
            <w:pPr>
              <w:pStyle w:val="41"/>
              <w:jc w:val="left"/>
            </w:pPr>
            <w:r>
              <w:rPr>
                <w:rFonts w:hint="eastAsia"/>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2226" w:type="dxa"/>
            <w:tcMar>
              <w:top w:w="16" w:type="dxa"/>
              <w:left w:w="16" w:type="dxa"/>
              <w:right w:w="16" w:type="dxa"/>
            </w:tcMar>
            <w:vAlign w:val="center"/>
          </w:tcPr>
          <w:p>
            <w:pPr>
              <w:pStyle w:val="41"/>
            </w:pPr>
            <w:r>
              <w:rPr>
                <w:rFonts w:hint="eastAsia"/>
              </w:rPr>
              <w:t>项目审批（核准</w:t>
            </w:r>
            <w:r>
              <w:t>/</w:t>
            </w:r>
          </w:p>
          <w:p>
            <w:pPr>
              <w:pStyle w:val="41"/>
            </w:pPr>
            <w:r>
              <w:rPr>
                <w:rFonts w:hint="eastAsia"/>
              </w:rPr>
              <w:t>备案）部门（选填）</w:t>
            </w:r>
          </w:p>
        </w:tc>
        <w:tc>
          <w:tcPr>
            <w:tcW w:w="2043" w:type="dxa"/>
            <w:vAlign w:val="center"/>
          </w:tcPr>
          <w:p>
            <w:pPr>
              <w:pStyle w:val="41"/>
            </w:pPr>
            <w:r>
              <w:rPr>
                <w:rFonts w:hint="eastAsia"/>
              </w:rPr>
              <w:t>湘阴县发展和改革局</w:t>
            </w:r>
          </w:p>
        </w:tc>
        <w:tc>
          <w:tcPr>
            <w:tcW w:w="2218" w:type="dxa"/>
            <w:vAlign w:val="center"/>
          </w:tcPr>
          <w:p>
            <w:pPr>
              <w:pStyle w:val="41"/>
            </w:pPr>
            <w:r>
              <w:rPr>
                <w:rFonts w:hint="eastAsia"/>
              </w:rPr>
              <w:t>项目审批（核准</w:t>
            </w:r>
            <w:r>
              <w:t>/</w:t>
            </w:r>
          </w:p>
          <w:p>
            <w:pPr>
              <w:pStyle w:val="41"/>
            </w:pPr>
            <w:r>
              <w:rPr>
                <w:rFonts w:hint="eastAsia"/>
              </w:rPr>
              <w:t>备案）文号（选填）</w:t>
            </w:r>
          </w:p>
        </w:tc>
        <w:tc>
          <w:tcPr>
            <w:tcW w:w="2552" w:type="dxa"/>
            <w:gridSpan w:val="2"/>
            <w:vAlign w:val="center"/>
          </w:tcPr>
          <w:p>
            <w:pPr>
              <w:pStyle w:val="41"/>
            </w:pPr>
            <w:r>
              <w:rPr>
                <w:rFonts w:hint="eastAsia"/>
              </w:rPr>
              <w:t>湘阴发改审[</w:t>
            </w:r>
            <w:r>
              <w:t>2023]119</w:t>
            </w:r>
            <w:r>
              <w:rPr>
                <w:rFonts w:hint="eastAsia"/>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226" w:type="dxa"/>
            <w:tcMar>
              <w:top w:w="16" w:type="dxa"/>
              <w:left w:w="16" w:type="dxa"/>
              <w:right w:w="16" w:type="dxa"/>
            </w:tcMar>
            <w:vAlign w:val="center"/>
          </w:tcPr>
          <w:p>
            <w:pPr>
              <w:pStyle w:val="41"/>
            </w:pPr>
            <w:r>
              <w:rPr>
                <w:rFonts w:hint="eastAsia"/>
              </w:rPr>
              <w:t>总投资（万元）</w:t>
            </w:r>
          </w:p>
        </w:tc>
        <w:tc>
          <w:tcPr>
            <w:tcW w:w="2043" w:type="dxa"/>
            <w:vAlign w:val="center"/>
          </w:tcPr>
          <w:p>
            <w:pPr>
              <w:pStyle w:val="41"/>
            </w:pPr>
            <w:r>
              <w:rPr>
                <w:rFonts w:hint="eastAsia"/>
              </w:rPr>
              <w:t>2</w:t>
            </w:r>
            <w:r>
              <w:t>1859.43</w:t>
            </w:r>
            <w:r>
              <w:rPr>
                <w:rFonts w:hint="eastAsia"/>
              </w:rPr>
              <w:t>万元</w:t>
            </w:r>
          </w:p>
        </w:tc>
        <w:tc>
          <w:tcPr>
            <w:tcW w:w="2218" w:type="dxa"/>
            <w:tcMar>
              <w:top w:w="16" w:type="dxa"/>
              <w:left w:w="16" w:type="dxa"/>
              <w:right w:w="16" w:type="dxa"/>
            </w:tcMar>
            <w:vAlign w:val="center"/>
          </w:tcPr>
          <w:p>
            <w:pPr>
              <w:pStyle w:val="41"/>
            </w:pPr>
            <w:r>
              <w:rPr>
                <w:rFonts w:hint="eastAsia"/>
              </w:rPr>
              <w:t>环保投资（万元）</w:t>
            </w:r>
          </w:p>
        </w:tc>
        <w:tc>
          <w:tcPr>
            <w:tcW w:w="2552" w:type="dxa"/>
            <w:gridSpan w:val="2"/>
            <w:vAlign w:val="center"/>
          </w:tcPr>
          <w:p>
            <w:pPr>
              <w:pStyle w:val="41"/>
            </w:pPr>
            <w:r>
              <w:rPr>
                <w:rFonts w:hint="eastAsia"/>
              </w:rPr>
              <w:t>4</w:t>
            </w:r>
            <w:r>
              <w:t>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2226" w:type="dxa"/>
            <w:tcMar>
              <w:top w:w="16" w:type="dxa"/>
              <w:left w:w="16" w:type="dxa"/>
              <w:right w:w="16" w:type="dxa"/>
            </w:tcMar>
            <w:vAlign w:val="center"/>
          </w:tcPr>
          <w:p>
            <w:pPr>
              <w:pStyle w:val="41"/>
            </w:pPr>
            <w:r>
              <w:rPr>
                <w:rFonts w:hint="eastAsia"/>
              </w:rPr>
              <w:t>环保投资占比（</w:t>
            </w:r>
            <w:r>
              <w:t>%</w:t>
            </w:r>
            <w:r>
              <w:rPr>
                <w:rFonts w:hint="eastAsia"/>
              </w:rPr>
              <w:t>）</w:t>
            </w:r>
          </w:p>
        </w:tc>
        <w:tc>
          <w:tcPr>
            <w:tcW w:w="2043" w:type="dxa"/>
            <w:vAlign w:val="center"/>
          </w:tcPr>
          <w:p>
            <w:pPr>
              <w:pStyle w:val="41"/>
            </w:pPr>
            <w:r>
              <w:rPr>
                <w:rFonts w:hint="eastAsia"/>
              </w:rPr>
              <w:t>2</w:t>
            </w:r>
            <w:r>
              <w:t>.11</w:t>
            </w:r>
          </w:p>
        </w:tc>
        <w:tc>
          <w:tcPr>
            <w:tcW w:w="2218" w:type="dxa"/>
            <w:tcMar>
              <w:top w:w="16" w:type="dxa"/>
              <w:left w:w="16" w:type="dxa"/>
              <w:right w:w="16" w:type="dxa"/>
            </w:tcMar>
            <w:vAlign w:val="center"/>
          </w:tcPr>
          <w:p>
            <w:pPr>
              <w:pStyle w:val="41"/>
            </w:pPr>
            <w:r>
              <w:rPr>
                <w:rFonts w:hint="eastAsia"/>
              </w:rPr>
              <w:t>施工工期</w:t>
            </w:r>
          </w:p>
        </w:tc>
        <w:tc>
          <w:tcPr>
            <w:tcW w:w="2552" w:type="dxa"/>
            <w:gridSpan w:val="2"/>
            <w:vAlign w:val="center"/>
          </w:tcPr>
          <w:p>
            <w:pPr>
              <w:pStyle w:val="41"/>
            </w:pPr>
            <w:r>
              <w:rPr>
                <w:rFonts w:hint="eastAsia"/>
              </w:rPr>
              <w:t>2</w:t>
            </w:r>
            <w:r>
              <w:t>4</w:t>
            </w:r>
            <w:r>
              <w:rPr>
                <w:rFonts w:hint="eastAsia"/>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pStyle w:val="41"/>
            </w:pPr>
            <w:r>
              <w:rPr>
                <w:rFonts w:hint="eastAsia"/>
              </w:rPr>
              <w:t>是否开工建设</w:t>
            </w:r>
          </w:p>
        </w:tc>
        <w:tc>
          <w:tcPr>
            <w:tcW w:w="6813" w:type="dxa"/>
            <w:gridSpan w:val="4"/>
            <w:vAlign w:val="center"/>
          </w:tcPr>
          <w:p>
            <w:pPr>
              <w:pStyle w:val="41"/>
              <w:jc w:val="left"/>
            </w:pPr>
            <w:r>
              <w:rPr>
                <w:rFonts w:ascii="Segoe UI Symbol" w:hAnsi="Segoe UI Symbol" w:cs="Segoe UI Symbol"/>
              </w:rPr>
              <w:t>☑</w:t>
            </w:r>
            <w:r>
              <w:rPr>
                <w:rFonts w:hint="eastAsia"/>
              </w:rPr>
              <w:t>否</w:t>
            </w:r>
          </w:p>
          <w:p>
            <w:pPr>
              <w:pStyle w:val="41"/>
              <w:jc w:val="left"/>
            </w:pPr>
            <w:r>
              <w:rPr>
                <w:rFonts w:hint="eastAsia"/>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pStyle w:val="41"/>
              <w:rPr>
                <w:kern w:val="0"/>
              </w:rPr>
            </w:pPr>
            <w:r>
              <w:rPr>
                <w:rFonts w:hint="eastAsia"/>
                <w:kern w:val="0"/>
              </w:rPr>
              <w:t>专项评价设置情况</w:t>
            </w:r>
          </w:p>
        </w:tc>
        <w:tc>
          <w:tcPr>
            <w:tcW w:w="6813" w:type="dxa"/>
            <w:gridSpan w:val="4"/>
            <w:tcMar>
              <w:top w:w="16" w:type="dxa"/>
              <w:left w:w="16" w:type="dxa"/>
              <w:right w:w="16" w:type="dxa"/>
            </w:tcMar>
            <w:vAlign w:val="center"/>
          </w:tcPr>
          <w:p>
            <w:pPr>
              <w:pStyle w:val="34"/>
              <w:ind w:firstLine="480"/>
            </w:pPr>
            <w:r>
              <w:rPr>
                <w:rFonts w:hint="eastAsia"/>
              </w:rPr>
              <w:t>根据《建设项目环境影响报告表编制技术指南（生态影响类）（试行）》，本项目无须设置专项评价，具体如下：</w:t>
            </w:r>
          </w:p>
          <w:p>
            <w:pPr>
              <w:pStyle w:val="39"/>
              <w:spacing w:before="156"/>
            </w:pPr>
            <w:r>
              <w:rPr>
                <w:rFonts w:hint="eastAsia"/>
              </w:rPr>
              <w:t>表1</w:t>
            </w:r>
            <w:r>
              <w:t>-1</w:t>
            </w:r>
            <w:r>
              <w:rPr>
                <w:rFonts w:hint="eastAsia"/>
              </w:rPr>
              <w:t>专项评价设置原则表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3260"/>
              <w:gridCol w:w="1276"/>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9" w:type="dxa"/>
                  <w:vAlign w:val="center"/>
                </w:tcPr>
                <w:p>
                  <w:pPr>
                    <w:pStyle w:val="41"/>
                  </w:pPr>
                  <w:r>
                    <w:rPr>
                      <w:rFonts w:hint="eastAsia"/>
                    </w:rPr>
                    <w:t>专项评价的类别</w:t>
                  </w:r>
                </w:p>
              </w:tc>
              <w:tc>
                <w:tcPr>
                  <w:tcW w:w="3260" w:type="dxa"/>
                  <w:vAlign w:val="center"/>
                </w:tcPr>
                <w:p>
                  <w:pPr>
                    <w:pStyle w:val="41"/>
                  </w:pPr>
                  <w:r>
                    <w:rPr>
                      <w:rFonts w:hint="eastAsia"/>
                    </w:rPr>
                    <w:t>涉及项目类别</w:t>
                  </w:r>
                </w:p>
              </w:tc>
              <w:tc>
                <w:tcPr>
                  <w:tcW w:w="1276" w:type="dxa"/>
                  <w:vAlign w:val="center"/>
                </w:tcPr>
                <w:p>
                  <w:pPr>
                    <w:pStyle w:val="41"/>
                  </w:pPr>
                  <w:r>
                    <w:rPr>
                      <w:rFonts w:hint="eastAsia"/>
                    </w:rPr>
                    <w:t>本项目情况</w:t>
                  </w:r>
                </w:p>
              </w:tc>
              <w:tc>
                <w:tcPr>
                  <w:tcW w:w="931" w:type="dxa"/>
                  <w:vAlign w:val="center"/>
                </w:tcPr>
                <w:p>
                  <w:pPr>
                    <w:pStyle w:val="41"/>
                  </w:pPr>
                  <w:r>
                    <w:rPr>
                      <w:rFonts w:hint="eastAsia"/>
                    </w:rPr>
                    <w:t>是否设置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pStyle w:val="41"/>
                  </w:pPr>
                  <w:r>
                    <w:rPr>
                      <w:rFonts w:hint="eastAsia"/>
                    </w:rPr>
                    <w:t>地表水</w:t>
                  </w:r>
                </w:p>
              </w:tc>
              <w:tc>
                <w:tcPr>
                  <w:tcW w:w="3260" w:type="dxa"/>
                  <w:vAlign w:val="center"/>
                </w:tcPr>
                <w:p>
                  <w:pPr>
                    <w:pStyle w:val="41"/>
                    <w:jc w:val="left"/>
                  </w:pPr>
                  <w:r>
                    <w:rPr>
                      <w:rFonts w:hint="eastAsia"/>
                    </w:rPr>
                    <w:t>水力发电：引水式发电、涉及调峰发电的项目；</w:t>
                  </w:r>
                </w:p>
                <w:p>
                  <w:pPr>
                    <w:pStyle w:val="41"/>
                    <w:jc w:val="left"/>
                  </w:pPr>
                  <w:r>
                    <w:rPr>
                      <w:rFonts w:hint="eastAsia"/>
                    </w:rPr>
                    <w:t>人工湖、人工湿地：全部；</w:t>
                  </w:r>
                </w:p>
                <w:p>
                  <w:pPr>
                    <w:pStyle w:val="41"/>
                    <w:jc w:val="left"/>
                  </w:pPr>
                  <w:r>
                    <w:rPr>
                      <w:rFonts w:hint="eastAsia"/>
                    </w:rPr>
                    <w:t>水库：全部；</w:t>
                  </w:r>
                </w:p>
                <w:p>
                  <w:pPr>
                    <w:pStyle w:val="41"/>
                    <w:jc w:val="left"/>
                  </w:pPr>
                  <w:r>
                    <w:rPr>
                      <w:rFonts w:hint="eastAsia"/>
                    </w:rPr>
                    <w:t>引水工程：全部（配套的管线工程等除外）；</w:t>
                  </w:r>
                </w:p>
                <w:p>
                  <w:pPr>
                    <w:pStyle w:val="41"/>
                    <w:jc w:val="left"/>
                  </w:pPr>
                  <w:r>
                    <w:rPr>
                      <w:rFonts w:hint="eastAsia"/>
                    </w:rPr>
                    <w:t>防洪除涝工程：包含水库的项目；</w:t>
                  </w:r>
                </w:p>
                <w:p>
                  <w:pPr>
                    <w:pStyle w:val="41"/>
                    <w:jc w:val="left"/>
                  </w:pPr>
                  <w:r>
                    <w:rPr>
                      <w:rFonts w:hint="eastAsia"/>
                    </w:rPr>
                    <w:t>河湖整治：涉及清淤且底泥存在重金属污染的项目</w:t>
                  </w:r>
                </w:p>
              </w:tc>
              <w:tc>
                <w:tcPr>
                  <w:tcW w:w="1276" w:type="dxa"/>
                  <w:vAlign w:val="center"/>
                </w:tcPr>
                <w:p>
                  <w:pPr>
                    <w:pStyle w:val="41"/>
                    <w:rPr>
                      <w:u w:val="single"/>
                    </w:rPr>
                  </w:pPr>
                  <w:r>
                    <w:rPr>
                      <w:rFonts w:hint="eastAsia"/>
                      <w:u w:val="single"/>
                    </w:rPr>
                    <w:t>本项目属于河湖整治项目，涉及清淤，虽然底泥重金属浓度偏高，但属于区域本底值高，不属于重金属污染</w:t>
                  </w:r>
                </w:p>
              </w:tc>
              <w:tc>
                <w:tcPr>
                  <w:tcW w:w="931" w:type="dxa"/>
                  <w:vAlign w:val="center"/>
                </w:tcPr>
                <w:p>
                  <w:pPr>
                    <w:pStyle w:val="41"/>
                    <w:rPr>
                      <w:u w:val="single"/>
                    </w:rPr>
                  </w:pPr>
                  <w:r>
                    <w:rPr>
                      <w:rFonts w:hint="eastAsia"/>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pStyle w:val="41"/>
                  </w:pPr>
                  <w:r>
                    <w:rPr>
                      <w:rFonts w:hint="eastAsia"/>
                    </w:rPr>
                    <w:t>地下水</w:t>
                  </w:r>
                </w:p>
              </w:tc>
              <w:tc>
                <w:tcPr>
                  <w:tcW w:w="3260" w:type="dxa"/>
                  <w:vAlign w:val="center"/>
                </w:tcPr>
                <w:p>
                  <w:pPr>
                    <w:pStyle w:val="41"/>
                    <w:jc w:val="left"/>
                  </w:pPr>
                  <w:r>
                    <w:rPr>
                      <w:rFonts w:hint="eastAsia"/>
                    </w:rPr>
                    <w:t>陆地石油和天然气开采：全部；</w:t>
                  </w:r>
                </w:p>
                <w:p>
                  <w:pPr>
                    <w:pStyle w:val="41"/>
                    <w:jc w:val="left"/>
                  </w:pPr>
                  <w:r>
                    <w:rPr>
                      <w:rFonts w:hint="eastAsia"/>
                    </w:rPr>
                    <w:t>地下水（含矿泉水）开采：全部；</w:t>
                  </w:r>
                </w:p>
                <w:p>
                  <w:pPr>
                    <w:pStyle w:val="41"/>
                    <w:jc w:val="left"/>
                  </w:pPr>
                  <w:r>
                    <w:rPr>
                      <w:rFonts w:hint="eastAsia"/>
                    </w:rPr>
                    <w:t>水利、水电、交通等：含穿越可溶岩地层隧道的项目</w:t>
                  </w:r>
                </w:p>
              </w:tc>
              <w:tc>
                <w:tcPr>
                  <w:tcW w:w="1276" w:type="dxa"/>
                  <w:vAlign w:val="center"/>
                </w:tcPr>
                <w:p>
                  <w:pPr>
                    <w:pStyle w:val="41"/>
                  </w:pPr>
                  <w:r>
                    <w:rPr>
                      <w:rFonts w:hint="eastAsia"/>
                    </w:rPr>
                    <w:t>本项目属于河湖整治项目，不属于所列类别</w:t>
                  </w:r>
                </w:p>
              </w:tc>
              <w:tc>
                <w:tcPr>
                  <w:tcW w:w="931" w:type="dxa"/>
                  <w:vAlign w:val="center"/>
                </w:tcPr>
                <w:p>
                  <w:pPr>
                    <w:pStyle w:val="41"/>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pStyle w:val="41"/>
                  </w:pPr>
                  <w:r>
                    <w:rPr>
                      <w:rFonts w:hint="eastAsia"/>
                    </w:rPr>
                    <w:t>生态</w:t>
                  </w:r>
                </w:p>
              </w:tc>
              <w:tc>
                <w:tcPr>
                  <w:tcW w:w="3260" w:type="dxa"/>
                  <w:vAlign w:val="center"/>
                </w:tcPr>
                <w:p>
                  <w:pPr>
                    <w:pStyle w:val="41"/>
                    <w:jc w:val="left"/>
                  </w:pPr>
                  <w:r>
                    <w:rPr>
                      <w:rFonts w:hint="eastAsia"/>
                    </w:rPr>
                    <w:t>涉及环境敏感区（不包括饮用水水源保护区，以居住、医疗卫生、文化教育、科研、行政办公为主要功能的区域，以及文物保护单位）的项目</w:t>
                  </w:r>
                </w:p>
              </w:tc>
              <w:tc>
                <w:tcPr>
                  <w:tcW w:w="1276" w:type="dxa"/>
                  <w:vAlign w:val="center"/>
                </w:tcPr>
                <w:p>
                  <w:pPr>
                    <w:pStyle w:val="41"/>
                  </w:pPr>
                  <w:r>
                    <w:rPr>
                      <w:rFonts w:hint="eastAsia"/>
                    </w:rPr>
                    <w:t>本项目不涉及环境敏感区</w:t>
                  </w:r>
                </w:p>
              </w:tc>
              <w:tc>
                <w:tcPr>
                  <w:tcW w:w="931" w:type="dxa"/>
                  <w:vAlign w:val="center"/>
                </w:tcPr>
                <w:p>
                  <w:pPr>
                    <w:pStyle w:val="41"/>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pStyle w:val="41"/>
                  </w:pPr>
                  <w:r>
                    <w:rPr>
                      <w:rFonts w:hint="eastAsia"/>
                    </w:rPr>
                    <w:t>大气</w:t>
                  </w:r>
                </w:p>
              </w:tc>
              <w:tc>
                <w:tcPr>
                  <w:tcW w:w="3260" w:type="dxa"/>
                  <w:vAlign w:val="center"/>
                </w:tcPr>
                <w:p>
                  <w:pPr>
                    <w:pStyle w:val="41"/>
                    <w:jc w:val="left"/>
                  </w:pPr>
                  <w:r>
                    <w:rPr>
                      <w:rFonts w:hint="eastAsia"/>
                    </w:rPr>
                    <w:t>油气、液体化工码头：全部；</w:t>
                  </w:r>
                </w:p>
                <w:p>
                  <w:pPr>
                    <w:pStyle w:val="41"/>
                    <w:jc w:val="left"/>
                  </w:pPr>
                  <w:r>
                    <w:rPr>
                      <w:rFonts w:hint="eastAsia"/>
                    </w:rPr>
                    <w:t>干散货（含煤炭、矿石）、件杂、多用途、通用码头：涉及粉尘、挥发性有</w:t>
                  </w:r>
                </w:p>
                <w:p>
                  <w:pPr>
                    <w:pStyle w:val="41"/>
                    <w:jc w:val="left"/>
                  </w:pPr>
                  <w:r>
                    <w:rPr>
                      <w:rFonts w:hint="eastAsia"/>
                    </w:rPr>
                    <w:t>机物排放的项目</w:t>
                  </w:r>
                </w:p>
              </w:tc>
              <w:tc>
                <w:tcPr>
                  <w:tcW w:w="1276" w:type="dxa"/>
                  <w:vAlign w:val="center"/>
                </w:tcPr>
                <w:p>
                  <w:pPr>
                    <w:pStyle w:val="41"/>
                  </w:pPr>
                  <w:r>
                    <w:rPr>
                      <w:rFonts w:hint="eastAsia"/>
                    </w:rPr>
                    <w:t>本项目为河湖整治项目，不属于所列项目类别</w:t>
                  </w:r>
                </w:p>
              </w:tc>
              <w:tc>
                <w:tcPr>
                  <w:tcW w:w="931" w:type="dxa"/>
                  <w:vAlign w:val="center"/>
                </w:tcPr>
                <w:p>
                  <w:pPr>
                    <w:pStyle w:val="41"/>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pStyle w:val="41"/>
                  </w:pPr>
                  <w:r>
                    <w:rPr>
                      <w:rFonts w:hint="eastAsia"/>
                    </w:rPr>
                    <w:t>噪声</w:t>
                  </w:r>
                </w:p>
              </w:tc>
              <w:tc>
                <w:tcPr>
                  <w:tcW w:w="3260" w:type="dxa"/>
                  <w:vAlign w:val="center"/>
                </w:tcPr>
                <w:p>
                  <w:pPr>
                    <w:pStyle w:val="41"/>
                    <w:jc w:val="left"/>
                  </w:pPr>
                  <w:r>
                    <w:rPr>
                      <w:rFonts w:hint="eastAsia"/>
                    </w:rPr>
                    <w:t>公路、铁路、机场等交通运输业涉及环境敏感区（以居住、医疗卫生、文化</w:t>
                  </w:r>
                </w:p>
                <w:p>
                  <w:pPr>
                    <w:pStyle w:val="41"/>
                    <w:jc w:val="left"/>
                  </w:pPr>
                  <w:r>
                    <w:rPr>
                      <w:rFonts w:hint="eastAsia"/>
                    </w:rPr>
                    <w:t>教育、科研、行政办公为主要功能的区域）的项目；</w:t>
                  </w:r>
                </w:p>
                <w:p>
                  <w:pPr>
                    <w:pStyle w:val="41"/>
                    <w:jc w:val="left"/>
                  </w:pPr>
                  <w:r>
                    <w:rPr>
                      <w:rFonts w:hint="eastAsia"/>
                    </w:rPr>
                    <w:t>城市道路（不含维护，不含支路、人行天桥、人行地道）：全部</w:t>
                  </w:r>
                </w:p>
              </w:tc>
              <w:tc>
                <w:tcPr>
                  <w:tcW w:w="1276" w:type="dxa"/>
                  <w:vAlign w:val="center"/>
                </w:tcPr>
                <w:p>
                  <w:pPr>
                    <w:pStyle w:val="41"/>
                  </w:pPr>
                  <w:r>
                    <w:rPr>
                      <w:rFonts w:hint="eastAsia"/>
                    </w:rPr>
                    <w:t>本项目为河湖整治项目，不属于所列项目类别</w:t>
                  </w:r>
                </w:p>
              </w:tc>
              <w:tc>
                <w:tcPr>
                  <w:tcW w:w="931" w:type="dxa"/>
                  <w:vAlign w:val="center"/>
                </w:tcPr>
                <w:p>
                  <w:pPr>
                    <w:pStyle w:val="41"/>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pStyle w:val="41"/>
                  </w:pPr>
                  <w:r>
                    <w:rPr>
                      <w:rFonts w:hint="eastAsia"/>
                    </w:rPr>
                    <w:t>环境风险</w:t>
                  </w:r>
                </w:p>
              </w:tc>
              <w:tc>
                <w:tcPr>
                  <w:tcW w:w="3260" w:type="dxa"/>
                  <w:vAlign w:val="center"/>
                </w:tcPr>
                <w:p>
                  <w:pPr>
                    <w:pStyle w:val="41"/>
                  </w:pPr>
                  <w:r>
                    <w:rPr>
                      <w:rFonts w:hint="eastAsia"/>
                    </w:rPr>
                    <w:t>石油和天然气开采：全部；</w:t>
                  </w:r>
                </w:p>
                <w:p>
                  <w:pPr>
                    <w:pStyle w:val="41"/>
                  </w:pPr>
                  <w:r>
                    <w:rPr>
                      <w:rFonts w:hint="eastAsia"/>
                    </w:rPr>
                    <w:t>油气、液体化工码头：全部；</w:t>
                  </w:r>
                </w:p>
                <w:p>
                  <w:pPr>
                    <w:pStyle w:val="41"/>
                  </w:pPr>
                  <w:r>
                    <w:rPr>
                      <w:rFonts w:hint="eastAsia"/>
                    </w:rPr>
                    <w:t>原油、成品油、天然气管线（不含城镇天然气管线、企业厂区内管线），危险化学品输送管线（不含企业厂区内管线）：全部</w:t>
                  </w:r>
                </w:p>
              </w:tc>
              <w:tc>
                <w:tcPr>
                  <w:tcW w:w="1276" w:type="dxa"/>
                  <w:vAlign w:val="center"/>
                </w:tcPr>
                <w:p>
                  <w:pPr>
                    <w:pStyle w:val="41"/>
                  </w:pPr>
                  <w:r>
                    <w:rPr>
                      <w:rFonts w:hint="eastAsia"/>
                    </w:rPr>
                    <w:t>本项目为河湖整治项目，不属于所列项目类别</w:t>
                  </w:r>
                </w:p>
              </w:tc>
              <w:tc>
                <w:tcPr>
                  <w:tcW w:w="931" w:type="dxa"/>
                  <w:vAlign w:val="center"/>
                </w:tcPr>
                <w:p>
                  <w:pPr>
                    <w:pStyle w:val="41"/>
                  </w:pPr>
                  <w:r>
                    <w:rPr>
                      <w:rFonts w:hint="eastAsia"/>
                    </w:rPr>
                    <w:t>否</w:t>
                  </w:r>
                </w:p>
              </w:tc>
            </w:tr>
          </w:tbl>
          <w:p>
            <w:pPr>
              <w:pStyle w:val="34"/>
              <w:ind w:firstLine="4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pStyle w:val="41"/>
              <w:rPr>
                <w:kern w:val="0"/>
              </w:rPr>
            </w:pPr>
            <w:r>
              <w:rPr>
                <w:rFonts w:hint="eastAsia"/>
              </w:rPr>
              <w:t>规划情况</w:t>
            </w:r>
          </w:p>
        </w:tc>
        <w:tc>
          <w:tcPr>
            <w:tcW w:w="6813" w:type="dxa"/>
            <w:gridSpan w:val="4"/>
            <w:tcMar>
              <w:top w:w="16" w:type="dxa"/>
              <w:left w:w="16" w:type="dxa"/>
              <w:right w:w="16" w:type="dxa"/>
            </w:tcMar>
            <w:vAlign w:val="center"/>
          </w:tcPr>
          <w:p>
            <w:pPr>
              <w:pStyle w:val="34"/>
              <w:ind w:firstLine="480"/>
            </w:pPr>
            <w:r>
              <w:rPr>
                <w:rFonts w:hint="eastAsi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pStyle w:val="41"/>
            </w:pPr>
            <w:r>
              <w:rPr>
                <w:rFonts w:hint="eastAsia"/>
              </w:rPr>
              <w:t>规划环境影响</w:t>
            </w:r>
          </w:p>
          <w:p>
            <w:pPr>
              <w:pStyle w:val="41"/>
              <w:rPr>
                <w:kern w:val="0"/>
              </w:rPr>
            </w:pPr>
            <w:r>
              <w:rPr>
                <w:rFonts w:hint="eastAsia"/>
              </w:rPr>
              <w:t>评价情况</w:t>
            </w:r>
          </w:p>
        </w:tc>
        <w:tc>
          <w:tcPr>
            <w:tcW w:w="6813" w:type="dxa"/>
            <w:gridSpan w:val="4"/>
            <w:tcMar>
              <w:top w:w="16" w:type="dxa"/>
              <w:left w:w="16" w:type="dxa"/>
              <w:right w:w="16" w:type="dxa"/>
            </w:tcMar>
            <w:vAlign w:val="center"/>
          </w:tcPr>
          <w:p>
            <w:pPr>
              <w:pStyle w:val="34"/>
              <w:ind w:firstLine="480"/>
            </w:pPr>
            <w:r>
              <w:rPr>
                <w:rFonts w:hint="eastAsi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7" w:hRule="atLeast"/>
        </w:trPr>
        <w:tc>
          <w:tcPr>
            <w:tcW w:w="2226" w:type="dxa"/>
            <w:tcMar>
              <w:top w:w="16" w:type="dxa"/>
              <w:left w:w="16" w:type="dxa"/>
              <w:right w:w="16" w:type="dxa"/>
            </w:tcMar>
            <w:vAlign w:val="center"/>
          </w:tcPr>
          <w:p>
            <w:pPr>
              <w:pStyle w:val="41"/>
              <w:rPr>
                <w:kern w:val="0"/>
              </w:rPr>
            </w:pPr>
            <w:r>
              <w:rPr>
                <w:rFonts w:hint="eastAsia"/>
                <w:kern w:val="0"/>
              </w:rPr>
              <w:t>规划及</w:t>
            </w:r>
            <w:r>
              <w:rPr>
                <w:rFonts w:hint="eastAsia"/>
              </w:rPr>
              <w:t>规划环境影响评价</w:t>
            </w:r>
            <w:r>
              <w:rPr>
                <w:rFonts w:hint="eastAsia"/>
                <w:kern w:val="0"/>
              </w:rPr>
              <w:t>符合性分析</w:t>
            </w:r>
          </w:p>
        </w:tc>
        <w:tc>
          <w:tcPr>
            <w:tcW w:w="6813" w:type="dxa"/>
            <w:gridSpan w:val="4"/>
            <w:tcMar>
              <w:top w:w="16" w:type="dxa"/>
              <w:left w:w="16" w:type="dxa"/>
              <w:right w:w="16" w:type="dxa"/>
            </w:tcMar>
            <w:vAlign w:val="center"/>
          </w:tcPr>
          <w:p>
            <w:pPr>
              <w:pStyle w:val="34"/>
              <w:ind w:firstLine="480"/>
            </w:pPr>
            <w:r>
              <w:rPr>
                <w:rFonts w:hint="eastAsi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2226" w:type="dxa"/>
            <w:tcMar>
              <w:top w:w="16" w:type="dxa"/>
              <w:left w:w="16" w:type="dxa"/>
              <w:right w:w="16" w:type="dxa"/>
            </w:tcMar>
            <w:vAlign w:val="center"/>
          </w:tcPr>
          <w:p>
            <w:pPr>
              <w:pStyle w:val="41"/>
              <w:rPr>
                <w:kern w:val="0"/>
              </w:rPr>
            </w:pPr>
            <w:bookmarkStart w:id="1" w:name="_Hlk56690880"/>
            <w:r>
              <w:rPr>
                <w:rFonts w:hint="eastAsia"/>
                <w:kern w:val="0"/>
              </w:rPr>
              <w:t>其他符合性分析</w:t>
            </w:r>
            <w:bookmarkEnd w:id="1"/>
          </w:p>
        </w:tc>
        <w:tc>
          <w:tcPr>
            <w:tcW w:w="6813" w:type="dxa"/>
            <w:gridSpan w:val="4"/>
            <w:tcMar>
              <w:top w:w="16" w:type="dxa"/>
              <w:left w:w="16" w:type="dxa"/>
              <w:right w:w="16" w:type="dxa"/>
            </w:tcMar>
            <w:vAlign w:val="center"/>
          </w:tcPr>
          <w:p>
            <w:pPr>
              <w:pStyle w:val="34"/>
              <w:ind w:firstLine="480"/>
            </w:pPr>
            <w:r>
              <w:rPr>
                <w:rFonts w:hint="eastAsia"/>
              </w:rPr>
              <w:t>1、产业政策符合性分析</w:t>
            </w:r>
          </w:p>
          <w:p>
            <w:pPr>
              <w:pStyle w:val="34"/>
              <w:ind w:firstLine="480"/>
            </w:pPr>
            <w:r>
              <w:rPr>
                <w:rFonts w:hint="eastAsia"/>
              </w:rPr>
              <w:t>本项目为河湖治理项目，根据《产业结构调整目录（2</w:t>
            </w:r>
            <w:r>
              <w:t>019</w:t>
            </w:r>
            <w:r>
              <w:rPr>
                <w:rFonts w:hint="eastAsia"/>
              </w:rPr>
              <w:t>年本）》，本项目属于“鼓励类”中“二、水利-</w:t>
            </w:r>
            <w:r>
              <w:t>6</w:t>
            </w:r>
            <w:r>
              <w:rPr>
                <w:rFonts w:hint="eastAsia"/>
              </w:rPr>
              <w:t>、江河湖库清淤疏浚工程”，项目属于“鼓励类”项目，符合国家产业政策。</w:t>
            </w:r>
          </w:p>
          <w:p>
            <w:pPr>
              <w:pStyle w:val="34"/>
              <w:ind w:firstLine="480"/>
              <w:rPr>
                <w:u w:val="single"/>
              </w:rPr>
            </w:pPr>
            <w:r>
              <w:rPr>
                <w:rFonts w:hint="eastAsia"/>
                <w:u w:val="single"/>
              </w:rPr>
              <w:t>2、“三线一单”符合性分析</w:t>
            </w:r>
          </w:p>
          <w:p>
            <w:pPr>
              <w:pStyle w:val="34"/>
              <w:ind w:firstLine="480"/>
              <w:rPr>
                <w:u w:val="single"/>
              </w:rPr>
            </w:pPr>
            <w:r>
              <w:rPr>
                <w:rFonts w:hint="eastAsia"/>
                <w:u w:val="single"/>
              </w:rPr>
              <w:t>（1）生态保护红线</w:t>
            </w:r>
          </w:p>
          <w:p>
            <w:pPr>
              <w:pStyle w:val="34"/>
              <w:ind w:firstLine="480"/>
              <w:rPr>
                <w:u w:val="single"/>
              </w:rPr>
            </w:pPr>
            <w:r>
              <w:rPr>
                <w:rFonts w:hint="eastAsia"/>
                <w:u w:val="single"/>
              </w:rPr>
              <w:t>本项目治理范围为鼻湖及周边沟渠，不涉及岳阳市生态保护红线，且本项目非永久性工程建设项目，属于环境治理工程，因此项目建设符合岳阳市生态保护红线要求。</w:t>
            </w:r>
          </w:p>
          <w:p>
            <w:pPr>
              <w:pStyle w:val="34"/>
              <w:ind w:firstLine="480"/>
              <w:rPr>
                <w:u w:val="single"/>
              </w:rPr>
            </w:pPr>
            <w:r>
              <w:rPr>
                <w:rFonts w:hint="eastAsia"/>
                <w:u w:val="single"/>
              </w:rPr>
              <w:t>（2）环境质量底线</w:t>
            </w:r>
          </w:p>
          <w:p>
            <w:pPr>
              <w:pStyle w:val="34"/>
              <w:ind w:firstLine="480"/>
              <w:rPr>
                <w:u w:val="single"/>
              </w:rPr>
            </w:pPr>
            <w:r>
              <w:rPr>
                <w:rFonts w:hint="eastAsia"/>
                <w:u w:val="single"/>
              </w:rPr>
              <w:t>本项目属于河湖治理工程项目，项目的建设能够改善鼻湖水质及周边沟渠水质，改善区域环境质量，符合环境质量底线要求。</w:t>
            </w:r>
          </w:p>
          <w:p>
            <w:pPr>
              <w:pStyle w:val="34"/>
              <w:ind w:firstLine="480"/>
              <w:rPr>
                <w:u w:val="single"/>
              </w:rPr>
            </w:pPr>
            <w:r>
              <w:rPr>
                <w:rFonts w:hint="eastAsia"/>
                <w:u w:val="single"/>
              </w:rPr>
              <w:t>（3）资源利用上线</w:t>
            </w:r>
          </w:p>
          <w:p>
            <w:pPr>
              <w:pStyle w:val="34"/>
              <w:ind w:firstLine="480"/>
              <w:rPr>
                <w:u w:val="single"/>
              </w:rPr>
            </w:pPr>
            <w:r>
              <w:rPr>
                <w:rFonts w:hint="eastAsia"/>
                <w:u w:val="single"/>
              </w:rPr>
              <w:t>本项目属于河湖治理工程项目，项目无运营期内容，施工期主要消耗资源为电能及机械设备燃用柴油，资源利用量较少，符合区域资源利用上线要求。</w:t>
            </w:r>
          </w:p>
          <w:p>
            <w:pPr>
              <w:pStyle w:val="34"/>
              <w:ind w:firstLine="480"/>
              <w:rPr>
                <w:u w:val="single"/>
              </w:rPr>
            </w:pPr>
            <w:r>
              <w:rPr>
                <w:rFonts w:hint="eastAsia"/>
                <w:u w:val="single"/>
              </w:rPr>
              <w:t>（4）环境准入清单</w:t>
            </w:r>
          </w:p>
          <w:p>
            <w:pPr>
              <w:pStyle w:val="34"/>
              <w:ind w:firstLine="480"/>
              <w:rPr>
                <w:u w:val="single"/>
              </w:rPr>
            </w:pPr>
            <w:r>
              <w:rPr>
                <w:rFonts w:hint="eastAsia"/>
                <w:u w:val="single"/>
              </w:rPr>
              <w:t>本项目位于岳阳市湘阴县岭北镇，根据《岳阳市“三线一单”生态环境分区管控》，本项目建设符合岭北镇生态环境分区管控要求，具体符合性分析详见表1</w:t>
            </w:r>
            <w:r>
              <w:rPr>
                <w:u w:val="single"/>
              </w:rPr>
              <w:t>-2</w:t>
            </w:r>
            <w:r>
              <w:rPr>
                <w:rFonts w:hint="eastAsia"/>
                <w:u w:val="single"/>
              </w:rPr>
              <w:t>。</w:t>
            </w:r>
          </w:p>
          <w:p>
            <w:pPr>
              <w:pStyle w:val="39"/>
              <w:spacing w:before="156"/>
              <w:rPr>
                <w:u w:val="single"/>
              </w:rPr>
            </w:pPr>
            <w:r>
              <w:rPr>
                <w:rFonts w:hint="eastAsia"/>
                <w:u w:val="single"/>
              </w:rPr>
              <w:t>表</w:t>
            </w:r>
            <w:r>
              <w:rPr>
                <w:u w:val="single"/>
              </w:rPr>
              <w:t xml:space="preserve">1-2  </w:t>
            </w:r>
            <w:r>
              <w:rPr>
                <w:rFonts w:hint="eastAsia"/>
                <w:u w:val="single"/>
              </w:rPr>
              <w:t>项目与《岳阳市“三线一单”生态环境分区管控》符合性分析表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55"/>
              <w:gridCol w:w="1036"/>
              <w:gridCol w:w="1694"/>
              <w:gridCol w:w="753"/>
              <w:gridCol w:w="940"/>
              <w:gridCol w:w="810"/>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49" w:type="pct"/>
                  <w:gridSpan w:val="2"/>
                  <w:vAlign w:val="center"/>
                </w:tcPr>
                <w:p>
                  <w:pPr>
                    <w:pStyle w:val="41"/>
                    <w:rPr>
                      <w:u w:val="single"/>
                    </w:rPr>
                  </w:pPr>
                  <w:r>
                    <w:rPr>
                      <w:rFonts w:hint="eastAsia"/>
                      <w:u w:val="single"/>
                    </w:rPr>
                    <w:t>环境管控</w:t>
                  </w:r>
                </w:p>
                <w:p>
                  <w:pPr>
                    <w:pStyle w:val="41"/>
                    <w:rPr>
                      <w:u w:val="single"/>
                    </w:rPr>
                  </w:pPr>
                  <w:r>
                    <w:rPr>
                      <w:rFonts w:hint="eastAsia"/>
                      <w:u w:val="single"/>
                    </w:rPr>
                    <w:t>单元编码</w:t>
                  </w:r>
                </w:p>
              </w:tc>
              <w:tc>
                <w:tcPr>
                  <w:tcW w:w="1251" w:type="pct"/>
                  <w:vAlign w:val="center"/>
                </w:tcPr>
                <w:p>
                  <w:pPr>
                    <w:pStyle w:val="41"/>
                    <w:rPr>
                      <w:u w:val="single"/>
                    </w:rPr>
                  </w:pPr>
                  <w:r>
                    <w:rPr>
                      <w:rFonts w:hint="eastAsia"/>
                      <w:u w:val="single"/>
                    </w:rPr>
                    <w:t>单元名称</w:t>
                  </w:r>
                </w:p>
              </w:tc>
              <w:tc>
                <w:tcPr>
                  <w:tcW w:w="1250" w:type="pct"/>
                  <w:gridSpan w:val="2"/>
                  <w:vAlign w:val="center"/>
                </w:tcPr>
                <w:p>
                  <w:pPr>
                    <w:pStyle w:val="41"/>
                    <w:rPr>
                      <w:u w:val="single"/>
                    </w:rPr>
                  </w:pPr>
                  <w:r>
                    <w:rPr>
                      <w:rFonts w:hint="eastAsia"/>
                      <w:u w:val="single"/>
                    </w:rPr>
                    <w:t>单元分类</w:t>
                  </w:r>
                </w:p>
              </w:tc>
              <w:tc>
                <w:tcPr>
                  <w:tcW w:w="1250" w:type="pct"/>
                  <w:gridSpan w:val="2"/>
                  <w:vAlign w:val="center"/>
                </w:tcPr>
                <w:p>
                  <w:pPr>
                    <w:pStyle w:val="41"/>
                    <w:rPr>
                      <w:u w:val="single"/>
                    </w:rPr>
                  </w:pPr>
                  <w:r>
                    <w:rPr>
                      <w:rFonts w:hint="eastAsia"/>
                      <w:u w:val="single"/>
                    </w:rPr>
                    <w:t>主体功能定位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49" w:type="pct"/>
                  <w:gridSpan w:val="2"/>
                  <w:vAlign w:val="center"/>
                </w:tcPr>
                <w:p>
                  <w:pPr>
                    <w:pStyle w:val="41"/>
                    <w:rPr>
                      <w:u w:val="single"/>
                    </w:rPr>
                  </w:pPr>
                  <w:r>
                    <w:rPr>
                      <w:rFonts w:hint="eastAsia"/>
                      <w:u w:val="single"/>
                    </w:rPr>
                    <w:t>ZH</w:t>
                  </w:r>
                  <w:r>
                    <w:rPr>
                      <w:u w:val="single"/>
                    </w:rPr>
                    <w:t>43062430001</w:t>
                  </w:r>
                </w:p>
              </w:tc>
              <w:tc>
                <w:tcPr>
                  <w:tcW w:w="1251" w:type="pct"/>
                  <w:vAlign w:val="center"/>
                </w:tcPr>
                <w:p>
                  <w:pPr>
                    <w:pStyle w:val="41"/>
                    <w:rPr>
                      <w:u w:val="single"/>
                    </w:rPr>
                  </w:pPr>
                  <w:r>
                    <w:rPr>
                      <w:rFonts w:hint="eastAsia"/>
                      <w:u w:val="single"/>
                    </w:rPr>
                    <w:t>岭北镇</w:t>
                  </w:r>
                </w:p>
              </w:tc>
              <w:tc>
                <w:tcPr>
                  <w:tcW w:w="1250" w:type="pct"/>
                  <w:gridSpan w:val="2"/>
                  <w:vAlign w:val="center"/>
                </w:tcPr>
                <w:p>
                  <w:pPr>
                    <w:pStyle w:val="41"/>
                    <w:rPr>
                      <w:u w:val="single"/>
                    </w:rPr>
                  </w:pPr>
                  <w:r>
                    <w:rPr>
                      <w:rFonts w:hint="eastAsia"/>
                      <w:u w:val="single"/>
                    </w:rPr>
                    <w:t>重点管控单元</w:t>
                  </w:r>
                </w:p>
              </w:tc>
              <w:tc>
                <w:tcPr>
                  <w:tcW w:w="1250" w:type="pct"/>
                  <w:gridSpan w:val="2"/>
                  <w:vAlign w:val="center"/>
                </w:tcPr>
                <w:p>
                  <w:pPr>
                    <w:pStyle w:val="41"/>
                    <w:rPr>
                      <w:u w:val="single"/>
                    </w:rPr>
                  </w:pPr>
                  <w:r>
                    <w:rPr>
                      <w:rFonts w:hint="eastAsia"/>
                      <w:u w:val="single"/>
                    </w:rPr>
                    <w:t>省级层面重点生态功能区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00" w:type="pct"/>
                  <w:gridSpan w:val="3"/>
                  <w:vAlign w:val="center"/>
                </w:tcPr>
                <w:p>
                  <w:pPr>
                    <w:pStyle w:val="41"/>
                    <w:rPr>
                      <w:u w:val="single"/>
                    </w:rPr>
                  </w:pPr>
                  <w:r>
                    <w:rPr>
                      <w:rFonts w:hint="eastAsia"/>
                      <w:u w:val="single"/>
                    </w:rPr>
                    <w:t>经济产业布局</w:t>
                  </w:r>
                </w:p>
              </w:tc>
              <w:tc>
                <w:tcPr>
                  <w:tcW w:w="2500" w:type="pct"/>
                  <w:gridSpan w:val="4"/>
                  <w:vAlign w:val="center"/>
                </w:tcPr>
                <w:p>
                  <w:pPr>
                    <w:pStyle w:val="41"/>
                    <w:rPr>
                      <w:u w:val="single"/>
                    </w:rPr>
                  </w:pPr>
                  <w:r>
                    <w:rPr>
                      <w:rFonts w:hint="eastAsia"/>
                      <w:u w:val="single"/>
                    </w:rPr>
                    <w:t>主要环境问题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00" w:type="pct"/>
                  <w:gridSpan w:val="3"/>
                  <w:vAlign w:val="center"/>
                </w:tcPr>
                <w:p>
                  <w:pPr>
                    <w:pStyle w:val="41"/>
                    <w:rPr>
                      <w:u w:val="single"/>
                    </w:rPr>
                  </w:pPr>
                  <w:r>
                    <w:rPr>
                      <w:rFonts w:hint="eastAsia"/>
                      <w:u w:val="single"/>
                    </w:rPr>
                    <w:t>西乡融长桥头堡，湘江流域重要的生态、农业共建共保城镇</w:t>
                  </w:r>
                </w:p>
              </w:tc>
              <w:tc>
                <w:tcPr>
                  <w:tcW w:w="2500" w:type="pct"/>
                  <w:gridSpan w:val="4"/>
                  <w:vAlign w:val="center"/>
                </w:tcPr>
                <w:p>
                  <w:pPr>
                    <w:pStyle w:val="41"/>
                    <w:rPr>
                      <w:u w:val="single"/>
                    </w:rPr>
                  </w:pPr>
                  <w:r>
                    <w:rPr>
                      <w:rFonts w:hint="eastAsia"/>
                      <w:u w:val="single"/>
                    </w:rPr>
                    <w:t>垃圾中转站渗滤液未规范处置；工业企业施工运营过程产生扬尘污染；畜禽养殖等农业面源污染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Align w:val="center"/>
                </w:tcPr>
                <w:p>
                  <w:pPr>
                    <w:pStyle w:val="41"/>
                    <w:rPr>
                      <w:u w:val="single"/>
                    </w:rPr>
                  </w:pPr>
                  <w:r>
                    <w:rPr>
                      <w:rFonts w:hint="eastAsia"/>
                      <w:u w:val="single"/>
                    </w:rPr>
                    <w:t>管控纬度</w:t>
                  </w:r>
                </w:p>
              </w:tc>
              <w:tc>
                <w:tcPr>
                  <w:tcW w:w="2572" w:type="pct"/>
                  <w:gridSpan w:val="3"/>
                  <w:vAlign w:val="center"/>
                </w:tcPr>
                <w:p>
                  <w:pPr>
                    <w:pStyle w:val="41"/>
                    <w:rPr>
                      <w:u w:val="single"/>
                    </w:rPr>
                  </w:pPr>
                  <w:r>
                    <w:rPr>
                      <w:rFonts w:hint="eastAsia"/>
                      <w:u w:val="single"/>
                    </w:rPr>
                    <w:t>管控要求</w:t>
                  </w:r>
                </w:p>
              </w:tc>
              <w:tc>
                <w:tcPr>
                  <w:tcW w:w="1292" w:type="pct"/>
                  <w:gridSpan w:val="2"/>
                  <w:vAlign w:val="center"/>
                </w:tcPr>
                <w:p>
                  <w:pPr>
                    <w:pStyle w:val="41"/>
                    <w:rPr>
                      <w:u w:val="single"/>
                    </w:rPr>
                  </w:pPr>
                  <w:r>
                    <w:rPr>
                      <w:rFonts w:hint="eastAsia"/>
                      <w:u w:val="single"/>
                    </w:rPr>
                    <w:t>项目情况</w:t>
                  </w:r>
                </w:p>
              </w:tc>
              <w:tc>
                <w:tcPr>
                  <w:tcW w:w="652" w:type="pct"/>
                  <w:vAlign w:val="center"/>
                </w:tcPr>
                <w:p>
                  <w:pPr>
                    <w:pStyle w:val="41"/>
                    <w:rPr>
                      <w:u w:val="single"/>
                    </w:rPr>
                  </w:pPr>
                  <w:r>
                    <w:rPr>
                      <w:rFonts w:hint="eastAsia"/>
                      <w:u w:val="single"/>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Merge w:val="restart"/>
                  <w:vAlign w:val="center"/>
                </w:tcPr>
                <w:p>
                  <w:pPr>
                    <w:pStyle w:val="41"/>
                    <w:rPr>
                      <w:u w:val="single"/>
                    </w:rPr>
                  </w:pPr>
                  <w:r>
                    <w:rPr>
                      <w:rFonts w:hint="eastAsia"/>
                      <w:u w:val="single"/>
                    </w:rPr>
                    <w:t>空间布局约束</w:t>
                  </w:r>
                </w:p>
              </w:tc>
              <w:tc>
                <w:tcPr>
                  <w:tcW w:w="2572" w:type="pct"/>
                  <w:gridSpan w:val="3"/>
                  <w:vAlign w:val="center"/>
                </w:tcPr>
                <w:p>
                  <w:pPr>
                    <w:pStyle w:val="41"/>
                    <w:rPr>
                      <w:u w:val="single"/>
                    </w:rPr>
                  </w:pPr>
                  <w:r>
                    <w:rPr>
                      <w:rFonts w:hint="eastAsia" w:ascii="宋体" w:cs="宋体"/>
                      <w:kern w:val="0"/>
                      <w:szCs w:val="21"/>
                      <w:u w:val="single"/>
                    </w:rPr>
                    <w:t>针对岭北镇集中式饮用水水水源保护区管控要求执行《岭北镇集中式饮用水水水源保护区划分技术报告》中的相关要求</w:t>
                  </w:r>
                </w:p>
              </w:tc>
              <w:tc>
                <w:tcPr>
                  <w:tcW w:w="1292" w:type="pct"/>
                  <w:gridSpan w:val="2"/>
                  <w:vAlign w:val="center"/>
                </w:tcPr>
                <w:p>
                  <w:pPr>
                    <w:pStyle w:val="41"/>
                    <w:rPr>
                      <w:u w:val="single"/>
                    </w:rPr>
                  </w:pPr>
                  <w:r>
                    <w:rPr>
                      <w:rFonts w:hint="eastAsia"/>
                      <w:u w:val="single"/>
                    </w:rPr>
                    <w:t>本项目不涉及饮用水水源保护区</w:t>
                  </w:r>
                </w:p>
              </w:tc>
              <w:tc>
                <w:tcPr>
                  <w:tcW w:w="652" w:type="pct"/>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Merge w:val="continue"/>
                  <w:vAlign w:val="center"/>
                </w:tcPr>
                <w:p>
                  <w:pPr>
                    <w:pStyle w:val="41"/>
                    <w:rPr>
                      <w:u w:val="single"/>
                    </w:rPr>
                  </w:pPr>
                </w:p>
              </w:tc>
              <w:tc>
                <w:tcPr>
                  <w:tcW w:w="2572" w:type="pct"/>
                  <w:gridSpan w:val="3"/>
                  <w:vAlign w:val="center"/>
                </w:tcPr>
                <w:p>
                  <w:pPr>
                    <w:pStyle w:val="41"/>
                    <w:rPr>
                      <w:u w:val="single"/>
                    </w:rPr>
                  </w:pPr>
                  <w:r>
                    <w:rPr>
                      <w:rFonts w:hint="eastAsia" w:ascii="宋体" w:cs="宋体"/>
                      <w:kern w:val="0"/>
                      <w:szCs w:val="21"/>
                      <w:u w:val="single"/>
                    </w:rPr>
                    <w:t>严格执行养殖业禁养区、限养区、适养区的划分规定，严格把关养殖项目审批，不得在禁养区、限养区新批任何畜禽养殖项目</w:t>
                  </w:r>
                </w:p>
              </w:tc>
              <w:tc>
                <w:tcPr>
                  <w:tcW w:w="1292" w:type="pct"/>
                  <w:gridSpan w:val="2"/>
                  <w:vAlign w:val="center"/>
                </w:tcPr>
                <w:p>
                  <w:pPr>
                    <w:pStyle w:val="41"/>
                    <w:rPr>
                      <w:u w:val="single"/>
                    </w:rPr>
                  </w:pPr>
                  <w:r>
                    <w:rPr>
                      <w:rFonts w:hint="eastAsia"/>
                      <w:u w:val="single"/>
                    </w:rPr>
                    <w:t>本项目为河湖治理项目，不涉及畜禽养殖</w:t>
                  </w:r>
                </w:p>
              </w:tc>
              <w:tc>
                <w:tcPr>
                  <w:tcW w:w="652" w:type="pct"/>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Merge w:val="restart"/>
                  <w:vAlign w:val="center"/>
                </w:tcPr>
                <w:p>
                  <w:pPr>
                    <w:pStyle w:val="41"/>
                    <w:rPr>
                      <w:u w:val="single"/>
                    </w:rPr>
                  </w:pPr>
                  <w:r>
                    <w:rPr>
                      <w:rFonts w:hint="eastAsia"/>
                      <w:u w:val="single"/>
                    </w:rPr>
                    <w:t>污染物排放管控</w:t>
                  </w:r>
                </w:p>
              </w:tc>
              <w:tc>
                <w:tcPr>
                  <w:tcW w:w="2572" w:type="pct"/>
                  <w:gridSpan w:val="3"/>
                  <w:vAlign w:val="center"/>
                </w:tcPr>
                <w:p>
                  <w:pPr>
                    <w:pStyle w:val="41"/>
                    <w:rPr>
                      <w:u w:val="single"/>
                    </w:rPr>
                  </w:pPr>
                  <w:r>
                    <w:rPr>
                      <w:rFonts w:hint="eastAsia"/>
                      <w:u w:val="single"/>
                    </w:rPr>
                    <w:t>加强化肥、农药、农膜污染防治，引导农民减少化肥、农药使用量，积极推广有机肥使用、生物农药、振频杀虫、诱蛾灯杀虫等生态农业技术，控制农业面源污染</w:t>
                  </w:r>
                </w:p>
              </w:tc>
              <w:tc>
                <w:tcPr>
                  <w:tcW w:w="1292" w:type="pct"/>
                  <w:gridSpan w:val="2"/>
                  <w:vAlign w:val="center"/>
                </w:tcPr>
                <w:p>
                  <w:pPr>
                    <w:pStyle w:val="41"/>
                    <w:rPr>
                      <w:u w:val="single"/>
                    </w:rPr>
                  </w:pPr>
                  <w:r>
                    <w:rPr>
                      <w:rFonts w:hint="eastAsia"/>
                      <w:u w:val="single"/>
                    </w:rPr>
                    <w:t>本项目不涉及农业面源</w:t>
                  </w:r>
                </w:p>
              </w:tc>
              <w:tc>
                <w:tcPr>
                  <w:tcW w:w="652" w:type="pct"/>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Merge w:val="continue"/>
                  <w:vAlign w:val="center"/>
                </w:tcPr>
                <w:p>
                  <w:pPr>
                    <w:pStyle w:val="41"/>
                    <w:rPr>
                      <w:u w:val="single"/>
                    </w:rPr>
                  </w:pPr>
                </w:p>
              </w:tc>
              <w:tc>
                <w:tcPr>
                  <w:tcW w:w="2572" w:type="pct"/>
                  <w:gridSpan w:val="3"/>
                  <w:vAlign w:val="center"/>
                </w:tcPr>
                <w:p>
                  <w:pPr>
                    <w:autoSpaceDE w:val="0"/>
                    <w:autoSpaceDN w:val="0"/>
                    <w:adjustRightInd w:val="0"/>
                    <w:jc w:val="left"/>
                    <w:rPr>
                      <w:u w:val="single"/>
                    </w:rPr>
                  </w:pPr>
                  <w:r>
                    <w:rPr>
                      <w:rFonts w:hint="eastAsia" w:ascii="宋体" w:eastAsia="宋体" w:cs="宋体"/>
                      <w:kern w:val="0"/>
                      <w:szCs w:val="21"/>
                      <w:u w:val="single"/>
                    </w:rPr>
                    <w:t>严格规范兽药、饲料及饲料添加剂的生产和使用，从源头防止兽药、饲料添加剂中的有害成分通过畜禽养殖废弃物还田对土壤造成的污染</w:t>
                  </w:r>
                </w:p>
              </w:tc>
              <w:tc>
                <w:tcPr>
                  <w:tcW w:w="1292" w:type="pct"/>
                  <w:gridSpan w:val="2"/>
                  <w:vAlign w:val="center"/>
                </w:tcPr>
                <w:p>
                  <w:pPr>
                    <w:pStyle w:val="41"/>
                    <w:rPr>
                      <w:u w:val="single"/>
                    </w:rPr>
                  </w:pPr>
                  <w:r>
                    <w:rPr>
                      <w:rFonts w:hint="eastAsia"/>
                      <w:u w:val="single"/>
                    </w:rPr>
                    <w:t>本项目不涉及兽药、饲料及饲料添加剂的生产和使用</w:t>
                  </w:r>
                </w:p>
              </w:tc>
              <w:tc>
                <w:tcPr>
                  <w:tcW w:w="652" w:type="pct"/>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Merge w:val="continue"/>
                  <w:vAlign w:val="center"/>
                </w:tcPr>
                <w:p>
                  <w:pPr>
                    <w:pStyle w:val="41"/>
                    <w:rPr>
                      <w:u w:val="single"/>
                    </w:rPr>
                  </w:pPr>
                </w:p>
              </w:tc>
              <w:tc>
                <w:tcPr>
                  <w:tcW w:w="2572" w:type="pct"/>
                  <w:gridSpan w:val="3"/>
                  <w:vAlign w:val="center"/>
                </w:tcPr>
                <w:p>
                  <w:pPr>
                    <w:autoSpaceDE w:val="0"/>
                    <w:autoSpaceDN w:val="0"/>
                    <w:adjustRightInd w:val="0"/>
                    <w:jc w:val="left"/>
                    <w:rPr>
                      <w:u w:val="single"/>
                    </w:rPr>
                  </w:pPr>
                  <w:r>
                    <w:rPr>
                      <w:rFonts w:hint="eastAsia" w:ascii="宋体" w:eastAsia="宋体" w:cs="宋体"/>
                      <w:kern w:val="0"/>
                      <w:szCs w:val="21"/>
                      <w:u w:val="single"/>
                    </w:rPr>
                    <w:t>畜禽粪污污染整治应按照</w:t>
                  </w:r>
                  <w:r>
                    <w:rPr>
                      <w:rFonts w:hint="eastAsia" w:ascii="仿宋_GB2312" w:eastAsia="仿宋_GB2312" w:cs="仿宋_GB2312"/>
                      <w:kern w:val="0"/>
                      <w:szCs w:val="21"/>
                      <w:u w:val="single"/>
                    </w:rPr>
                    <w:t>“</w:t>
                  </w:r>
                  <w:r>
                    <w:rPr>
                      <w:rFonts w:hint="eastAsia" w:ascii="宋体" w:eastAsia="宋体" w:cs="宋体"/>
                      <w:kern w:val="0"/>
                      <w:szCs w:val="21"/>
                      <w:u w:val="single"/>
                    </w:rPr>
                    <w:t>干湿分离</w:t>
                  </w:r>
                  <w:r>
                    <w:rPr>
                      <w:rFonts w:ascii="仿宋_GB2312" w:eastAsia="仿宋_GB2312" w:cs="仿宋_GB2312"/>
                      <w:kern w:val="0"/>
                      <w:szCs w:val="21"/>
                      <w:u w:val="single"/>
                    </w:rPr>
                    <w:t>+</w:t>
                  </w:r>
                  <w:r>
                    <w:rPr>
                      <w:rFonts w:hint="eastAsia" w:ascii="宋体" w:eastAsia="宋体" w:cs="宋体"/>
                      <w:kern w:val="0"/>
                      <w:szCs w:val="21"/>
                      <w:u w:val="single"/>
                    </w:rPr>
                    <w:t>雨污分流</w:t>
                  </w:r>
                  <w:r>
                    <w:rPr>
                      <w:rFonts w:hint="eastAsia" w:ascii="仿宋_GB2312" w:eastAsia="仿宋_GB2312" w:cs="仿宋_GB2312"/>
                      <w:kern w:val="0"/>
                      <w:szCs w:val="21"/>
                      <w:u w:val="single"/>
                    </w:rPr>
                    <w:t>”</w:t>
                  </w:r>
                  <w:r>
                    <w:rPr>
                      <w:rFonts w:hint="eastAsia" w:ascii="宋体" w:eastAsia="宋体" w:cs="宋体"/>
                      <w:kern w:val="0"/>
                      <w:szCs w:val="21"/>
                      <w:u w:val="single"/>
                    </w:rPr>
                    <w:t>的要求，采用干清粪工艺和粪污生物发酵处理利用模式处理粪污，须配套建设堆粪场、粪污水贮存池和铺设排污管道。干粪运至堆粪场好氧发酵，粪渣、尿、污水通过排污管道排入粪污水贮存池（或沼气池）厌氧发酵，贮存池内的粪污水不得向外排放，应就地或转运至其他农用地消纳，并签订粪污消纳协议</w:t>
                  </w:r>
                </w:p>
              </w:tc>
              <w:tc>
                <w:tcPr>
                  <w:tcW w:w="1292" w:type="pct"/>
                  <w:gridSpan w:val="2"/>
                  <w:vAlign w:val="center"/>
                </w:tcPr>
                <w:p>
                  <w:pPr>
                    <w:pStyle w:val="41"/>
                    <w:rPr>
                      <w:u w:val="single"/>
                    </w:rPr>
                  </w:pPr>
                  <w:r>
                    <w:rPr>
                      <w:rFonts w:hint="eastAsia"/>
                      <w:u w:val="single"/>
                    </w:rPr>
                    <w:t>本项目不涉及畜禽养殖</w:t>
                  </w:r>
                </w:p>
              </w:tc>
              <w:tc>
                <w:tcPr>
                  <w:tcW w:w="652" w:type="pct"/>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Merge w:val="continue"/>
                  <w:vAlign w:val="center"/>
                </w:tcPr>
                <w:p>
                  <w:pPr>
                    <w:pStyle w:val="41"/>
                    <w:rPr>
                      <w:u w:val="single"/>
                    </w:rPr>
                  </w:pPr>
                </w:p>
              </w:tc>
              <w:tc>
                <w:tcPr>
                  <w:tcW w:w="2572" w:type="pct"/>
                  <w:gridSpan w:val="3"/>
                  <w:vAlign w:val="center"/>
                </w:tcPr>
                <w:p>
                  <w:pPr>
                    <w:autoSpaceDE w:val="0"/>
                    <w:autoSpaceDN w:val="0"/>
                    <w:adjustRightInd w:val="0"/>
                    <w:jc w:val="left"/>
                    <w:rPr>
                      <w:u w:val="single"/>
                    </w:rPr>
                  </w:pPr>
                  <w:r>
                    <w:rPr>
                      <w:rFonts w:hint="eastAsia" w:ascii="宋体" w:eastAsia="宋体" w:cs="宋体"/>
                      <w:kern w:val="0"/>
                      <w:szCs w:val="21"/>
                      <w:u w:val="single"/>
                    </w:rPr>
                    <w:t>城市建成区内的施工工地（重点是市政工程、建筑工地和园林绿化工程等工地）按照绿色建筑施工要求，做到</w:t>
                  </w:r>
                  <w:r>
                    <w:rPr>
                      <w:rFonts w:hint="eastAsia" w:ascii="仿宋_GB2312" w:eastAsia="仿宋_GB2312" w:cs="仿宋_GB2312"/>
                      <w:kern w:val="0"/>
                      <w:szCs w:val="21"/>
                      <w:u w:val="single"/>
                    </w:rPr>
                    <w:t>“</w:t>
                  </w:r>
                  <w:r>
                    <w:rPr>
                      <w:rFonts w:hint="eastAsia" w:ascii="宋体" w:eastAsia="宋体" w:cs="宋体"/>
                      <w:kern w:val="0"/>
                      <w:szCs w:val="21"/>
                      <w:u w:val="single"/>
                    </w:rPr>
                    <w:t>六个</w:t>
                  </w:r>
                  <w:r>
                    <w:rPr>
                      <w:rFonts w:ascii="仿宋_GB2312" w:eastAsia="仿宋_GB2312" w:cs="仿宋_GB2312"/>
                      <w:kern w:val="0"/>
                      <w:szCs w:val="21"/>
                      <w:u w:val="single"/>
                    </w:rPr>
                    <w:t>100%</w:t>
                  </w:r>
                  <w:r>
                    <w:rPr>
                      <w:rFonts w:hint="eastAsia" w:ascii="仿宋_GB2312" w:eastAsia="仿宋_GB2312" w:cs="仿宋_GB2312"/>
                      <w:kern w:val="0"/>
                      <w:szCs w:val="21"/>
                      <w:u w:val="single"/>
                    </w:rPr>
                    <w:t>”</w:t>
                  </w:r>
                  <w:r>
                    <w:rPr>
                      <w:rFonts w:hint="eastAsia" w:ascii="宋体" w:eastAsia="宋体" w:cs="宋体"/>
                      <w:kern w:val="0"/>
                      <w:szCs w:val="21"/>
                      <w:u w:val="single"/>
                    </w:rPr>
                    <w:t>。加大执法力度，对工地扬尘污染和渣土运输撒漏污染等行为</w:t>
                  </w:r>
                  <w:r>
                    <w:rPr>
                      <w:rFonts w:hint="eastAsia" w:ascii="仿宋_GB2312" w:eastAsia="仿宋_GB2312" w:cs="仿宋_GB2312"/>
                      <w:kern w:val="0"/>
                      <w:szCs w:val="21"/>
                      <w:u w:val="single"/>
                    </w:rPr>
                    <w:t>“</w:t>
                  </w:r>
                  <w:r>
                    <w:rPr>
                      <w:rFonts w:hint="eastAsia" w:ascii="宋体" w:eastAsia="宋体" w:cs="宋体"/>
                      <w:kern w:val="0"/>
                      <w:szCs w:val="21"/>
                      <w:u w:val="single"/>
                    </w:rPr>
                    <w:t>零容忍</w:t>
                  </w:r>
                  <w:r>
                    <w:rPr>
                      <w:rFonts w:hint="eastAsia" w:ascii="仿宋_GB2312" w:eastAsia="仿宋_GB2312" w:cs="仿宋_GB2312"/>
                      <w:kern w:val="0"/>
                      <w:szCs w:val="21"/>
                      <w:u w:val="single"/>
                    </w:rPr>
                    <w:t>”</w:t>
                  </w:r>
                  <w:r>
                    <w:rPr>
                      <w:rFonts w:hint="eastAsia" w:ascii="宋体" w:eastAsia="宋体" w:cs="宋体"/>
                      <w:kern w:val="0"/>
                      <w:szCs w:val="21"/>
                      <w:u w:val="single"/>
                    </w:rPr>
                    <w:t>，严查严管建筑工地、建筑垃圾处置工地、建筑垃圾消纳场扬尘污染问题，对车轮带泥、车身不洁、沿途撒漏、乱倾乱倒等造成路面及扬尘污染的违规行为依法严肃查处</w:t>
                  </w:r>
                </w:p>
              </w:tc>
              <w:tc>
                <w:tcPr>
                  <w:tcW w:w="1292" w:type="pct"/>
                  <w:gridSpan w:val="2"/>
                  <w:vAlign w:val="center"/>
                </w:tcPr>
                <w:p>
                  <w:pPr>
                    <w:pStyle w:val="41"/>
                    <w:rPr>
                      <w:u w:val="single"/>
                    </w:rPr>
                  </w:pPr>
                  <w:r>
                    <w:rPr>
                      <w:rFonts w:hint="eastAsia"/>
                      <w:u w:val="single"/>
                    </w:rPr>
                    <w:t>本项目不属于建成区内的施工工地，但环评提出要求，建设单位施工期需落实扬尘、施工废水、施工噪声、施工固废的污染防治措施</w:t>
                  </w:r>
                </w:p>
              </w:tc>
              <w:tc>
                <w:tcPr>
                  <w:tcW w:w="652" w:type="pct"/>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Merge w:val="continue"/>
                  <w:vAlign w:val="center"/>
                </w:tcPr>
                <w:p>
                  <w:pPr>
                    <w:pStyle w:val="41"/>
                    <w:rPr>
                      <w:u w:val="single"/>
                    </w:rPr>
                  </w:pPr>
                </w:p>
              </w:tc>
              <w:tc>
                <w:tcPr>
                  <w:tcW w:w="2572" w:type="pct"/>
                  <w:gridSpan w:val="3"/>
                  <w:vAlign w:val="center"/>
                </w:tcPr>
                <w:p>
                  <w:pPr>
                    <w:autoSpaceDE w:val="0"/>
                    <w:autoSpaceDN w:val="0"/>
                    <w:adjustRightInd w:val="0"/>
                    <w:jc w:val="left"/>
                    <w:rPr>
                      <w:u w:val="single"/>
                    </w:rPr>
                  </w:pPr>
                  <w:r>
                    <w:rPr>
                      <w:rFonts w:hint="eastAsia" w:ascii="宋体" w:eastAsia="宋体" w:cs="宋体"/>
                      <w:kern w:val="0"/>
                      <w:szCs w:val="21"/>
                      <w:u w:val="single"/>
                    </w:rPr>
                    <w:t>加强房屋建筑与市政工程施工现场扬尘环境监管，积极推进绿色施工，建设工程施工现场必须全封闭设置围挡墙，严禁敞开式作业，施工现场道路、作业区、生活区必须进行地面硬化。将施工扬尘污染控制情况纳入建筑企业信用管理系统，作为招投标的重要依据。渣土运输车辆全部采取密闭措施，对重点建筑施工现场安装视频，实施在线监管。推行道路机械化清扫等低尘作业方式。各种煤堆、料堆应实现封闭储存或建设防风抑尘设施</w:t>
                  </w:r>
                </w:p>
              </w:tc>
              <w:tc>
                <w:tcPr>
                  <w:tcW w:w="1292" w:type="pct"/>
                  <w:gridSpan w:val="2"/>
                  <w:vAlign w:val="center"/>
                </w:tcPr>
                <w:p>
                  <w:pPr>
                    <w:pStyle w:val="41"/>
                    <w:rPr>
                      <w:u w:val="single"/>
                    </w:rPr>
                  </w:pPr>
                  <w:r>
                    <w:rPr>
                      <w:rFonts w:hint="eastAsia"/>
                      <w:u w:val="single"/>
                    </w:rPr>
                    <w:t>本项目环评已提出绿色施工要求，要求建设单位设置全封闭挡墙，并对施工扬尘、施工废水、施工噪声、施工固废均提出了措施</w:t>
                  </w:r>
                </w:p>
              </w:tc>
              <w:tc>
                <w:tcPr>
                  <w:tcW w:w="652" w:type="pct"/>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Align w:val="center"/>
                </w:tcPr>
                <w:p>
                  <w:pPr>
                    <w:pStyle w:val="41"/>
                    <w:rPr>
                      <w:u w:val="single"/>
                    </w:rPr>
                  </w:pPr>
                  <w:r>
                    <w:rPr>
                      <w:rFonts w:hint="eastAsia"/>
                      <w:u w:val="single"/>
                    </w:rPr>
                    <w:t>环境风险防控</w:t>
                  </w:r>
                </w:p>
              </w:tc>
              <w:tc>
                <w:tcPr>
                  <w:tcW w:w="2572" w:type="pct"/>
                  <w:gridSpan w:val="3"/>
                  <w:vAlign w:val="center"/>
                </w:tcPr>
                <w:p>
                  <w:pPr>
                    <w:autoSpaceDE w:val="0"/>
                    <w:autoSpaceDN w:val="0"/>
                    <w:adjustRightInd w:val="0"/>
                    <w:jc w:val="left"/>
                    <w:rPr>
                      <w:rFonts w:ascii="宋体" w:eastAsia="宋体" w:cs="宋体"/>
                      <w:kern w:val="0"/>
                      <w:szCs w:val="21"/>
                      <w:u w:val="single"/>
                    </w:rPr>
                  </w:pPr>
                  <w:r>
                    <w:rPr>
                      <w:rFonts w:hint="eastAsia" w:ascii="宋体" w:eastAsia="宋体" w:cs="宋体"/>
                      <w:kern w:val="0"/>
                      <w:szCs w:val="21"/>
                      <w:u w:val="single"/>
                    </w:rPr>
                    <w:t>开展饮用水源地周边土壤环境质量调查，掌握饮用水源地周边土壤环境质量状况及其潜在环境风险情况</w:t>
                  </w:r>
                </w:p>
                <w:p>
                  <w:pPr>
                    <w:pStyle w:val="41"/>
                    <w:rPr>
                      <w:u w:val="single"/>
                    </w:rPr>
                  </w:pPr>
                  <w:r>
                    <w:rPr>
                      <w:rFonts w:hint="eastAsia" w:ascii="宋体" w:cs="宋体"/>
                      <w:kern w:val="0"/>
                      <w:szCs w:val="21"/>
                      <w:u w:val="single"/>
                    </w:rPr>
                    <w:t>资</w:t>
                  </w:r>
                </w:p>
              </w:tc>
              <w:tc>
                <w:tcPr>
                  <w:tcW w:w="1292" w:type="pct"/>
                  <w:gridSpan w:val="2"/>
                  <w:vAlign w:val="center"/>
                </w:tcPr>
                <w:p>
                  <w:pPr>
                    <w:pStyle w:val="41"/>
                    <w:rPr>
                      <w:u w:val="single"/>
                    </w:rPr>
                  </w:pPr>
                  <w:r>
                    <w:rPr>
                      <w:rFonts w:hint="eastAsia"/>
                      <w:u w:val="single"/>
                    </w:rPr>
                    <w:t>不涉及</w:t>
                  </w:r>
                </w:p>
              </w:tc>
              <w:tc>
                <w:tcPr>
                  <w:tcW w:w="652" w:type="pct"/>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Merge w:val="restart"/>
                  <w:vAlign w:val="center"/>
                </w:tcPr>
                <w:p>
                  <w:pPr>
                    <w:pStyle w:val="41"/>
                    <w:rPr>
                      <w:u w:val="single"/>
                    </w:rPr>
                  </w:pPr>
                  <w:r>
                    <w:rPr>
                      <w:rFonts w:hint="eastAsia"/>
                      <w:u w:val="single"/>
                    </w:rPr>
                    <w:t>资源开发利用效率要求</w:t>
                  </w:r>
                </w:p>
              </w:tc>
              <w:tc>
                <w:tcPr>
                  <w:tcW w:w="2572" w:type="pct"/>
                  <w:gridSpan w:val="3"/>
                  <w:vAlign w:val="center"/>
                </w:tcPr>
                <w:p>
                  <w:pPr>
                    <w:pStyle w:val="41"/>
                    <w:rPr>
                      <w:u w:val="single"/>
                    </w:rPr>
                  </w:pPr>
                  <w:r>
                    <w:rPr>
                      <w:u w:val="single"/>
                    </w:rPr>
                    <w:t>2020</w:t>
                  </w:r>
                  <w:r>
                    <w:rPr>
                      <w:rFonts w:hint="eastAsia"/>
                      <w:u w:val="single"/>
                    </w:rPr>
                    <w:t>年，湘阴县万元国内生产总值用水量</w:t>
                  </w:r>
                  <w:r>
                    <w:rPr>
                      <w:u w:val="single"/>
                    </w:rPr>
                    <w:t>75m</w:t>
                  </w:r>
                  <w:r>
                    <w:rPr>
                      <w:u w:val="single"/>
                      <w:vertAlign w:val="superscript"/>
                    </w:rPr>
                    <w:t>3</w:t>
                  </w:r>
                  <w:r>
                    <w:rPr>
                      <w:u w:val="single"/>
                    </w:rPr>
                    <w:t>/</w:t>
                  </w:r>
                  <w:r>
                    <w:rPr>
                      <w:rFonts w:hint="eastAsia"/>
                      <w:u w:val="single"/>
                    </w:rPr>
                    <w:t>万元，万元工业增加值用水量</w:t>
                  </w:r>
                  <w:r>
                    <w:rPr>
                      <w:u w:val="single"/>
                    </w:rPr>
                    <w:t>28m</w:t>
                  </w:r>
                  <w:r>
                    <w:rPr>
                      <w:u w:val="single"/>
                      <w:vertAlign w:val="superscript"/>
                    </w:rPr>
                    <w:t>3</w:t>
                  </w:r>
                  <w:r>
                    <w:rPr>
                      <w:u w:val="single"/>
                    </w:rPr>
                    <w:t>/</w:t>
                  </w:r>
                  <w:r>
                    <w:rPr>
                      <w:rFonts w:hint="eastAsia"/>
                      <w:u w:val="single"/>
                    </w:rPr>
                    <w:t>万元，农田灌溉水有效利用系数</w:t>
                  </w:r>
                  <w:r>
                    <w:rPr>
                      <w:u w:val="single"/>
                    </w:rPr>
                    <w:t>0.53</w:t>
                  </w:r>
                </w:p>
              </w:tc>
              <w:tc>
                <w:tcPr>
                  <w:tcW w:w="1292" w:type="pct"/>
                  <w:gridSpan w:val="2"/>
                  <w:vAlign w:val="center"/>
                </w:tcPr>
                <w:p>
                  <w:pPr>
                    <w:pStyle w:val="41"/>
                    <w:rPr>
                      <w:u w:val="single"/>
                    </w:rPr>
                  </w:pPr>
                  <w:r>
                    <w:rPr>
                      <w:rFonts w:hint="eastAsia"/>
                      <w:u w:val="single"/>
                    </w:rPr>
                    <w:t>本项目为河湖治理项目，仅施工期少量用水</w:t>
                  </w:r>
                </w:p>
              </w:tc>
              <w:tc>
                <w:tcPr>
                  <w:tcW w:w="652" w:type="pct"/>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Merge w:val="continue"/>
                  <w:vAlign w:val="center"/>
                </w:tcPr>
                <w:p>
                  <w:pPr>
                    <w:pStyle w:val="41"/>
                    <w:rPr>
                      <w:u w:val="single"/>
                    </w:rPr>
                  </w:pPr>
                </w:p>
              </w:tc>
              <w:tc>
                <w:tcPr>
                  <w:tcW w:w="2572" w:type="pct"/>
                  <w:gridSpan w:val="3"/>
                  <w:vAlign w:val="center"/>
                </w:tcPr>
                <w:p>
                  <w:pPr>
                    <w:pStyle w:val="41"/>
                    <w:rPr>
                      <w:u w:val="single"/>
                    </w:rPr>
                  </w:pPr>
                  <w:r>
                    <w:rPr>
                      <w:rFonts w:hint="eastAsia"/>
                      <w:u w:val="single"/>
                    </w:rPr>
                    <w:t>积极引导生活用燃煤的居民改用天然气、液化石油气等清洁能源，鼓励秸秆资源化、能源化利用。湘阴县“十三五”能耗强度降低目标</w:t>
                  </w:r>
                  <w:r>
                    <w:rPr>
                      <w:u w:val="single"/>
                    </w:rPr>
                    <w:t>18.5%，“十三五”能耗控制目标20 万吨标准煤</w:t>
                  </w:r>
                </w:p>
              </w:tc>
              <w:tc>
                <w:tcPr>
                  <w:tcW w:w="1292" w:type="pct"/>
                  <w:gridSpan w:val="2"/>
                  <w:vAlign w:val="center"/>
                </w:tcPr>
                <w:p>
                  <w:pPr>
                    <w:pStyle w:val="41"/>
                    <w:rPr>
                      <w:u w:val="single"/>
                    </w:rPr>
                  </w:pPr>
                  <w:r>
                    <w:rPr>
                      <w:rFonts w:hint="eastAsia"/>
                      <w:u w:val="single"/>
                    </w:rPr>
                    <w:t>本项目为河湖治理项目，仅施工期消耗少量电能</w:t>
                  </w:r>
                </w:p>
              </w:tc>
              <w:tc>
                <w:tcPr>
                  <w:tcW w:w="652" w:type="pct"/>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84" w:type="pct"/>
                  <w:vMerge w:val="continue"/>
                  <w:vAlign w:val="center"/>
                </w:tcPr>
                <w:p>
                  <w:pPr>
                    <w:pStyle w:val="41"/>
                    <w:rPr>
                      <w:u w:val="single"/>
                    </w:rPr>
                  </w:pPr>
                </w:p>
              </w:tc>
              <w:tc>
                <w:tcPr>
                  <w:tcW w:w="2572" w:type="pct"/>
                  <w:gridSpan w:val="3"/>
                  <w:vAlign w:val="center"/>
                </w:tcPr>
                <w:p>
                  <w:pPr>
                    <w:pStyle w:val="41"/>
                    <w:rPr>
                      <w:u w:val="single"/>
                    </w:rPr>
                  </w:pPr>
                  <w:r>
                    <w:rPr>
                      <w:rFonts w:hint="eastAsia" w:ascii="宋体" w:cs="宋体"/>
                      <w:kern w:val="0"/>
                      <w:szCs w:val="21"/>
                      <w:u w:val="single"/>
                    </w:rPr>
                    <w:t>到</w:t>
                  </w:r>
                  <w:r>
                    <w:rPr>
                      <w:rFonts w:ascii="宋体" w:cs="宋体"/>
                      <w:kern w:val="0"/>
                      <w:szCs w:val="21"/>
                      <w:u w:val="single"/>
                    </w:rPr>
                    <w:t>2020 年耕地保有量不低于4135 公顷，基本农田保护面积不低于3951 公顷；城乡建设用地规模控制在845.91 公顷以内，</w:t>
                  </w:r>
                  <w:r>
                    <w:rPr>
                      <w:rFonts w:hint="eastAsia" w:ascii="宋体" w:cs="宋体"/>
                      <w:kern w:val="0"/>
                      <w:szCs w:val="21"/>
                      <w:u w:val="single"/>
                    </w:rPr>
                    <w:t>城镇工矿用地规模控制在</w:t>
                  </w:r>
                  <w:r>
                    <w:rPr>
                      <w:rFonts w:ascii="宋体" w:cs="宋体"/>
                      <w:kern w:val="0"/>
                      <w:szCs w:val="21"/>
                      <w:u w:val="single"/>
                    </w:rPr>
                    <w:t>54.37 以内</w:t>
                  </w:r>
                </w:p>
              </w:tc>
              <w:tc>
                <w:tcPr>
                  <w:tcW w:w="1292" w:type="pct"/>
                  <w:gridSpan w:val="2"/>
                  <w:vAlign w:val="center"/>
                </w:tcPr>
                <w:p>
                  <w:pPr>
                    <w:pStyle w:val="41"/>
                    <w:rPr>
                      <w:u w:val="single"/>
                    </w:rPr>
                  </w:pPr>
                  <w:r>
                    <w:rPr>
                      <w:rFonts w:hint="eastAsia"/>
                      <w:u w:val="single"/>
                    </w:rPr>
                    <w:t>本项目建设不涉及永久用地</w:t>
                  </w:r>
                </w:p>
              </w:tc>
              <w:tc>
                <w:tcPr>
                  <w:tcW w:w="652" w:type="pct"/>
                  <w:vAlign w:val="center"/>
                </w:tcPr>
                <w:p>
                  <w:pPr>
                    <w:pStyle w:val="41"/>
                    <w:rPr>
                      <w:u w:val="single"/>
                    </w:rPr>
                  </w:pPr>
                  <w:r>
                    <w:rPr>
                      <w:rFonts w:hint="eastAsia"/>
                      <w:u w:val="single"/>
                    </w:rPr>
                    <w:t>符合</w:t>
                  </w:r>
                </w:p>
              </w:tc>
            </w:tr>
          </w:tbl>
          <w:p>
            <w:pPr>
              <w:pStyle w:val="34"/>
              <w:ind w:firstLine="480"/>
              <w:rPr>
                <w:u w:val="single"/>
              </w:rPr>
            </w:pPr>
            <w:r>
              <w:rPr>
                <w:rFonts w:hint="eastAsia"/>
                <w:u w:val="single"/>
              </w:rPr>
              <w:t>3、对周边取水口和饮用水水源保护区的影响分析</w:t>
            </w:r>
          </w:p>
          <w:p>
            <w:pPr>
              <w:pStyle w:val="34"/>
              <w:ind w:firstLine="480"/>
              <w:rPr>
                <w:u w:val="single"/>
              </w:rPr>
            </w:pPr>
            <w:r>
              <w:rPr>
                <w:rFonts w:hint="eastAsia"/>
                <w:u w:val="single"/>
              </w:rPr>
              <w:t>根据调查，本项目施工期临时占地范围不涉及饮用水水源保护区，本项目距离湘阴县湘江洪道东支湘阴饮用水源区2</w:t>
            </w:r>
            <w:r>
              <w:rPr>
                <w:u w:val="single"/>
              </w:rPr>
              <w:t>.2</w:t>
            </w:r>
            <w:r>
              <w:rPr>
                <w:rFonts w:hint="eastAsia"/>
                <w:u w:val="single"/>
              </w:rPr>
              <w:t>km，项目施工对其影响很小。</w:t>
            </w:r>
          </w:p>
          <w:p>
            <w:pPr>
              <w:pStyle w:val="34"/>
              <w:ind w:firstLine="480"/>
              <w:rPr>
                <w:u w:val="single"/>
              </w:rPr>
            </w:pPr>
            <w:r>
              <w:rPr>
                <w:rFonts w:hint="eastAsia"/>
                <w:u w:val="single"/>
              </w:rPr>
              <w:t>此外岭北镇总计存在两个“千人以上”饮用水水源保护区：湘阴县岭北镇茶湖潭水厂地下水饮用水水源保护区、湘阴县岭北镇躲风亭饮用水水源保护区，分别距离鼻湖4</w:t>
            </w:r>
            <w:r>
              <w:rPr>
                <w:u w:val="single"/>
              </w:rPr>
              <w:t>.2</w:t>
            </w:r>
            <w:r>
              <w:rPr>
                <w:rFonts w:hint="eastAsia"/>
                <w:u w:val="single"/>
              </w:rPr>
              <w:t>km、1</w:t>
            </w:r>
            <w:r>
              <w:rPr>
                <w:u w:val="single"/>
              </w:rPr>
              <w:t>.5</w:t>
            </w:r>
            <w:r>
              <w:rPr>
                <w:rFonts w:hint="eastAsia"/>
                <w:u w:val="single"/>
              </w:rPr>
              <w:t>km，且本项目实施对区域地下水影响很低。</w:t>
            </w:r>
          </w:p>
          <w:p>
            <w:pPr>
              <w:pStyle w:val="34"/>
              <w:ind w:firstLine="480"/>
              <w:rPr>
                <w:u w:val="single"/>
              </w:rPr>
            </w:pPr>
            <w:r>
              <w:rPr>
                <w:rFonts w:hint="eastAsia"/>
                <w:u w:val="single"/>
              </w:rPr>
              <w:t>4、项目与《水利建设项目（河湖整治与防洪除涝工程）环境影响评价文件审批原则（试行）》符合性分析</w:t>
            </w:r>
          </w:p>
          <w:p>
            <w:pPr>
              <w:pStyle w:val="39"/>
              <w:spacing w:before="156"/>
              <w:rPr>
                <w:u w:val="single"/>
              </w:rPr>
            </w:pPr>
            <w:r>
              <w:rPr>
                <w:rFonts w:hint="eastAsia"/>
                <w:u w:val="single"/>
              </w:rPr>
              <w:t>表1</w:t>
            </w:r>
            <w:r>
              <w:rPr>
                <w:u w:val="single"/>
              </w:rPr>
              <w:t xml:space="preserve">-3  </w:t>
            </w:r>
            <w:r>
              <w:rPr>
                <w:rFonts w:hint="eastAsia"/>
                <w:u w:val="single"/>
              </w:rPr>
              <w:t>项目与《水利建设项目（河湖整治与防洪除涝工程）环境影响评价文件审批原则（试行）》符合性分析表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27"/>
              <w:gridCol w:w="3570"/>
              <w:gridCol w:w="1843"/>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序号</w:t>
                  </w:r>
                </w:p>
              </w:tc>
              <w:tc>
                <w:tcPr>
                  <w:tcW w:w="3570" w:type="dxa"/>
                  <w:vAlign w:val="center"/>
                </w:tcPr>
                <w:p>
                  <w:pPr>
                    <w:pStyle w:val="41"/>
                    <w:rPr>
                      <w:u w:val="single"/>
                    </w:rPr>
                  </w:pPr>
                  <w:r>
                    <w:rPr>
                      <w:rFonts w:hint="eastAsia"/>
                      <w:u w:val="single"/>
                    </w:rPr>
                    <w:t>文件要求</w:t>
                  </w:r>
                </w:p>
              </w:tc>
              <w:tc>
                <w:tcPr>
                  <w:tcW w:w="1843" w:type="dxa"/>
                  <w:vAlign w:val="center"/>
                </w:tcPr>
                <w:p>
                  <w:pPr>
                    <w:pStyle w:val="41"/>
                    <w:rPr>
                      <w:u w:val="single"/>
                    </w:rPr>
                  </w:pPr>
                  <w:r>
                    <w:rPr>
                      <w:rFonts w:hint="eastAsia"/>
                      <w:u w:val="single"/>
                    </w:rPr>
                    <w:t>本项目情况</w:t>
                  </w:r>
                </w:p>
              </w:tc>
              <w:tc>
                <w:tcPr>
                  <w:tcW w:w="931" w:type="dxa"/>
                  <w:vAlign w:val="center"/>
                </w:tcPr>
                <w:p>
                  <w:pPr>
                    <w:pStyle w:val="41"/>
                    <w:rPr>
                      <w:u w:val="single"/>
                    </w:rPr>
                  </w:pPr>
                  <w:r>
                    <w:rPr>
                      <w:rFonts w:hint="eastAsia"/>
                      <w:u w:val="single"/>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1</w:t>
                  </w:r>
                </w:p>
              </w:tc>
              <w:tc>
                <w:tcPr>
                  <w:tcW w:w="3570" w:type="dxa"/>
                  <w:vAlign w:val="center"/>
                </w:tcPr>
                <w:p>
                  <w:pPr>
                    <w:pStyle w:val="41"/>
                    <w:rPr>
                      <w:u w:val="single"/>
                    </w:rPr>
                  </w:pPr>
                  <w:r>
                    <w:rPr>
                      <w:rFonts w:hint="eastAsia"/>
                      <w:u w:val="single"/>
                    </w:rPr>
                    <w:t>本原则适用于河湖整治与防洪除涝工程环境影响评价文件的审批，工程建设内容包括疏浚、堤防建设、闸坝闸站建设、岸线治理、水系连通、蓄（滞）洪区建设、排涝治理等（引调水、防洪水库等水利枢纽工程除外）。其他类似工程可参照执行。</w:t>
                  </w:r>
                </w:p>
              </w:tc>
              <w:tc>
                <w:tcPr>
                  <w:tcW w:w="1843" w:type="dxa"/>
                  <w:vAlign w:val="center"/>
                </w:tcPr>
                <w:p>
                  <w:pPr>
                    <w:pStyle w:val="41"/>
                    <w:rPr>
                      <w:u w:val="single"/>
                    </w:rPr>
                  </w:pPr>
                  <w:r>
                    <w:rPr>
                      <w:rFonts w:hint="eastAsia"/>
                      <w:u w:val="single"/>
                    </w:rPr>
                    <w:t>本项目属于河湖治理项目，属于原则适用范围</w:t>
                  </w:r>
                </w:p>
              </w:tc>
              <w:tc>
                <w:tcPr>
                  <w:tcW w:w="931" w:type="dxa"/>
                  <w:vAlign w:val="center"/>
                </w:tcPr>
                <w:p>
                  <w:pPr>
                    <w:pStyle w:val="41"/>
                    <w:rPr>
                      <w:u w:val="single"/>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2</w:t>
                  </w:r>
                </w:p>
              </w:tc>
              <w:tc>
                <w:tcPr>
                  <w:tcW w:w="3570" w:type="dxa"/>
                  <w:vAlign w:val="center"/>
                </w:tcPr>
                <w:p>
                  <w:pPr>
                    <w:pStyle w:val="41"/>
                    <w:rPr>
                      <w:u w:val="single"/>
                    </w:rPr>
                  </w:pPr>
                  <w:r>
                    <w:rPr>
                      <w:rFonts w:hint="eastAsia"/>
                      <w:u w:val="single"/>
                    </w:rPr>
                    <w:t>项目符合环境保护相关法律法规和政策要求，与主体功能区规划、生态功能区划、水环境功能区划、水功能区划、生态环境保护规划、流域综合规划、防洪规划等相协调，满足相关规划环评要求。工程涉及岸线调整（治导线变化）、裁弯取直、围垦水面和占用河湖滩地等建设内容的，充分论证了方案环境可行性，最大程度保持了河湖自然形态，最大限度维护了河湖健康、生态系统功能和生物多样性。</w:t>
                  </w:r>
                </w:p>
              </w:tc>
              <w:tc>
                <w:tcPr>
                  <w:tcW w:w="1843" w:type="dxa"/>
                  <w:vAlign w:val="center"/>
                </w:tcPr>
                <w:p>
                  <w:pPr>
                    <w:pStyle w:val="41"/>
                    <w:rPr>
                      <w:u w:val="single"/>
                    </w:rPr>
                  </w:pPr>
                  <w:r>
                    <w:rPr>
                      <w:rFonts w:hint="eastAsia"/>
                      <w:u w:val="single"/>
                    </w:rPr>
                    <w:t>本项目建设符合相关主体功能区划、环境保护规划、水功能区划，项目建设仅进行清淤疏浚及垃圾清理、生态恢复等，不会改变水域面积，不改变河湖自然形态，本报告论证了方案的环境可行性</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3</w:t>
                  </w:r>
                </w:p>
              </w:tc>
              <w:tc>
                <w:tcPr>
                  <w:tcW w:w="3570" w:type="dxa"/>
                  <w:vAlign w:val="center"/>
                </w:tcPr>
                <w:p>
                  <w:pPr>
                    <w:pStyle w:val="41"/>
                    <w:rPr>
                      <w:u w:val="single"/>
                    </w:rPr>
                  </w:pPr>
                  <w:r>
                    <w:rPr>
                      <w:u w:val="single"/>
                    </w:rPr>
                    <w:t>工程选址选线、施工布置原则上不占用自然保护区、 风景名胜区、世界文化和自然遗产地以及其他生态保护红线等环境 敏感区中法律法规禁止占用的区域，并与饮用水水源保护区的保护 要求相协调。法律法规、政策另有规定的从其规定。</w:t>
                  </w:r>
                </w:p>
              </w:tc>
              <w:tc>
                <w:tcPr>
                  <w:tcW w:w="1843" w:type="dxa"/>
                  <w:vAlign w:val="center"/>
                </w:tcPr>
                <w:p>
                  <w:pPr>
                    <w:pStyle w:val="41"/>
                    <w:rPr>
                      <w:u w:val="single"/>
                    </w:rPr>
                  </w:pPr>
                  <w:r>
                    <w:rPr>
                      <w:rFonts w:hint="eastAsia"/>
                      <w:u w:val="single"/>
                    </w:rPr>
                    <w:t>本项目不占用自然保护区、风景名胜区等法律禁止的区域，且距离周边饮用水水源保护区均有一定距离</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4</w:t>
                  </w:r>
                </w:p>
              </w:tc>
              <w:tc>
                <w:tcPr>
                  <w:tcW w:w="3570" w:type="dxa"/>
                  <w:vAlign w:val="center"/>
                </w:tcPr>
                <w:p>
                  <w:pPr>
                    <w:pStyle w:val="41"/>
                    <w:rPr>
                      <w:u w:val="single"/>
                    </w:rPr>
                  </w:pPr>
                  <w:r>
                    <w:rPr>
                      <w:u w:val="single"/>
                    </w:rPr>
                    <w:t>项目实施改变水动力条件或水文过程且对水质产生不 利影响的，提出了工程优化调整、科学调度、实施区域流域水污染 防治等措施。对地下水环境产生不利影响或次生环境影响的，提出 了优化工程设计、导排、防护等针对性的防治措施。在采取上述措施后，对水环境的不利影响能够得到缓解和控制， 居民用水安全能够得到保障，相关区域不会出现显著的土壤潜育化、 沼泽化、盐碱化等次生环境问题</w:t>
                  </w:r>
                </w:p>
              </w:tc>
              <w:tc>
                <w:tcPr>
                  <w:tcW w:w="1843" w:type="dxa"/>
                  <w:vAlign w:val="center"/>
                </w:tcPr>
                <w:p>
                  <w:pPr>
                    <w:pStyle w:val="41"/>
                    <w:rPr>
                      <w:u w:val="single"/>
                    </w:rPr>
                  </w:pPr>
                  <w:r>
                    <w:rPr>
                      <w:rFonts w:hint="eastAsia"/>
                      <w:u w:val="single"/>
                    </w:rPr>
                    <w:t>本项目为鼻湖清淤疏浚及生态修复项目，项目实施不会对地下水产生不利影响，不会对区域土壤产生潜育化、沼泽化、盐碱化等次生环境问题</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5</w:t>
                  </w:r>
                </w:p>
              </w:tc>
              <w:tc>
                <w:tcPr>
                  <w:tcW w:w="3570" w:type="dxa"/>
                  <w:vAlign w:val="center"/>
                </w:tcPr>
                <w:p>
                  <w:pPr>
                    <w:pStyle w:val="41"/>
                    <w:rPr>
                      <w:u w:val="single"/>
                    </w:rPr>
                  </w:pPr>
                  <w:r>
                    <w:rPr>
                      <w:u w:val="single"/>
                    </w:rPr>
                    <w:t>项目对鱼类等水生生物的洄游通道及“三场”等重要生 境、物种多样性及资源量等产生不利影响的，提出了下泄生态流量、 恢复鱼类洄游通道、采用生态友好型护岸（坡、底）、生态修复、增 殖放流等措施。在采取上述措施后，对水生生物的不利影响能够得到缓解和控 制，不会造成原有珍稀濒危保护、区域特有或重要经济水生生物在 相关河段消失，不会对相关河段水生生态系统造成重大不利影响。</w:t>
                  </w:r>
                </w:p>
              </w:tc>
              <w:tc>
                <w:tcPr>
                  <w:tcW w:w="1843" w:type="dxa"/>
                  <w:vAlign w:val="center"/>
                </w:tcPr>
                <w:p>
                  <w:pPr>
                    <w:pStyle w:val="41"/>
                    <w:rPr>
                      <w:u w:val="single"/>
                    </w:rPr>
                  </w:pPr>
                  <w:r>
                    <w:rPr>
                      <w:rFonts w:hint="eastAsia"/>
                      <w:u w:val="single"/>
                    </w:rPr>
                    <w:t>鼻湖为人工渔场，项目施工采用分区施工的原则，所施工区域施工前与渔业养殖户提前沟通，施工结束后恢复养殖，对鼻湖水生生物及渔业养殖影响较小</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6</w:t>
                  </w:r>
                </w:p>
              </w:tc>
              <w:tc>
                <w:tcPr>
                  <w:tcW w:w="3570" w:type="dxa"/>
                  <w:vAlign w:val="center"/>
                </w:tcPr>
                <w:p>
                  <w:pPr>
                    <w:pStyle w:val="41"/>
                    <w:rPr>
                      <w:u w:val="single"/>
                    </w:rPr>
                  </w:pPr>
                  <w:r>
                    <w:rPr>
                      <w:u w:val="single"/>
                    </w:rPr>
                    <w:t>项目对湿地生态系统结构和功能、河湖生态缓冲带造 成不利影响的，提出了优化工程设计及调度运行方案、生态修复等 措施。对珍稀濒危保护植物造成不利影响的，提出了避让、原位防 护、移栽等措施。对陆生珍稀濒危保护动物及其生境造成不利影响 的，提出了避让、救护、迁徙廊道构建、生境再造等措施。对景观 产生不利影响的，提出了避让、优化设计、景观塑造等措施。在采取上述措施后，对湿地以及陆生动植物的不利影响能够得 到缓解和控制，与区域景观相协调，不会造成原有珍稀濒危保护动植物在相关区域消失，不会对陆生生态系统造成重大不利影响</w:t>
                  </w:r>
                </w:p>
              </w:tc>
              <w:tc>
                <w:tcPr>
                  <w:tcW w:w="1843" w:type="dxa"/>
                  <w:vAlign w:val="center"/>
                </w:tcPr>
                <w:p>
                  <w:pPr>
                    <w:pStyle w:val="41"/>
                    <w:rPr>
                      <w:u w:val="single"/>
                    </w:rPr>
                  </w:pPr>
                  <w:r>
                    <w:rPr>
                      <w:rFonts w:hint="eastAsia"/>
                      <w:u w:val="single"/>
                    </w:rPr>
                    <w:t>本项目清淤疏浚后会对鼻湖岸线及水生植被进行恢复及重构，且区域不涉及珍稀濒危物种，项目建设不会对区域陆生生态系统造成重大不利影响</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7</w:t>
                  </w:r>
                </w:p>
              </w:tc>
              <w:tc>
                <w:tcPr>
                  <w:tcW w:w="3570" w:type="dxa"/>
                  <w:vAlign w:val="center"/>
                </w:tcPr>
                <w:p>
                  <w:pPr>
                    <w:pStyle w:val="41"/>
                    <w:rPr>
                      <w:u w:val="single"/>
                    </w:rPr>
                  </w:pPr>
                  <w:r>
                    <w:rPr>
                      <w:u w:val="single"/>
                    </w:rPr>
                    <w:t>项目施工组织方案具有环境合理性，对料场、弃土（渣） 场等施工场地提出了水土流失防治和生态修复等措施。根据环境保 护相关标准和要求，对施工期各类废（污）水、扬尘、废气、噪声、 固体废物等提出了防治或处置措施。其中，涉水施工涉及饮用水水 源保护区或取水口并可能对水质造成不利影响的，提出了避让、施 工方案优化、污染物控制等措施；涉水施工对鱼类等水生生物及其 重要生境造成不利影响的，提出了避让、施工方案优化、控制施工 噪声等措施；针对清淤、疏浚等产生的淤泥，提出了符合相关规定 的处置或综合利用方案。在采取上述措施后，施工期的不利环境影响能够得到缓解和控 制，不会对周围环境和敏感保护目标造成重大不利影响</w:t>
                  </w:r>
                </w:p>
              </w:tc>
              <w:tc>
                <w:tcPr>
                  <w:tcW w:w="1843" w:type="dxa"/>
                  <w:vAlign w:val="center"/>
                </w:tcPr>
                <w:p>
                  <w:pPr>
                    <w:pStyle w:val="41"/>
                    <w:rPr>
                      <w:u w:val="single"/>
                    </w:rPr>
                  </w:pPr>
                  <w:r>
                    <w:rPr>
                      <w:rFonts w:hint="eastAsia"/>
                      <w:u w:val="single"/>
                    </w:rPr>
                    <w:t>本项目清淤疏浚后会对鼻湖岸线及水生植被进行恢复及重构，且区域不涉及珍稀濒危物种，不涉及饮用水水源保护区，报告对陆域临时工程区域的施工提出了水污染防治措施、大气污染防治措施、固废污染防治措施等环保措施，项目施工期对周边环境和环境敏感目标影响不大</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8</w:t>
                  </w:r>
                </w:p>
              </w:tc>
              <w:tc>
                <w:tcPr>
                  <w:tcW w:w="3570" w:type="dxa"/>
                  <w:vAlign w:val="center"/>
                </w:tcPr>
                <w:p>
                  <w:pPr>
                    <w:pStyle w:val="41"/>
                    <w:rPr>
                      <w:u w:val="single"/>
                    </w:rPr>
                  </w:pPr>
                  <w:r>
                    <w:rPr>
                      <w:u w:val="single"/>
                    </w:rPr>
                    <w:t>项目移民安置的选址和建设方式具有环境合理性，提 出了生态保护、污水处理、固体废物处置等措施</w:t>
                  </w:r>
                  <w:r>
                    <w:rPr>
                      <w:rFonts w:hint="eastAsia"/>
                      <w:u w:val="single"/>
                    </w:rPr>
                    <w:t>。</w:t>
                  </w:r>
                  <w:r>
                    <w:rPr>
                      <w:u w:val="single"/>
                    </w:rPr>
                    <w:t>针对蓄滞洪区的环境污染、新增占地涉及污染场地等，提出了 环境管理对策建议。</w:t>
                  </w:r>
                </w:p>
              </w:tc>
              <w:tc>
                <w:tcPr>
                  <w:tcW w:w="1843" w:type="dxa"/>
                  <w:vAlign w:val="center"/>
                </w:tcPr>
                <w:p>
                  <w:pPr>
                    <w:pStyle w:val="41"/>
                    <w:rPr>
                      <w:u w:val="single"/>
                    </w:rPr>
                  </w:pPr>
                  <w:r>
                    <w:rPr>
                      <w:rFonts w:hint="eastAsia"/>
                      <w:u w:val="single"/>
                    </w:rPr>
                    <w:t>本项目不涉及拆迁安置，不涉及新增占地</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9</w:t>
                  </w:r>
                </w:p>
              </w:tc>
              <w:tc>
                <w:tcPr>
                  <w:tcW w:w="3570" w:type="dxa"/>
                  <w:vAlign w:val="center"/>
                </w:tcPr>
                <w:p>
                  <w:pPr>
                    <w:pStyle w:val="41"/>
                    <w:rPr>
                      <w:u w:val="single"/>
                    </w:rPr>
                  </w:pPr>
                  <w:r>
                    <w:rPr>
                      <w:u w:val="single"/>
                    </w:rPr>
                    <w:t>项目存在河湖水质污染、富营养化或外来物种入侵等 环境风险的，提出了针对性的风险防范措施以及环境应急预案编制、 建立必要的应急联动机制等要求。</w:t>
                  </w:r>
                </w:p>
              </w:tc>
              <w:tc>
                <w:tcPr>
                  <w:tcW w:w="1843" w:type="dxa"/>
                  <w:vAlign w:val="center"/>
                </w:tcPr>
                <w:p>
                  <w:pPr>
                    <w:pStyle w:val="41"/>
                    <w:rPr>
                      <w:u w:val="single"/>
                    </w:rPr>
                  </w:pPr>
                  <w:r>
                    <w:rPr>
                      <w:rFonts w:hint="eastAsia"/>
                      <w:u w:val="single"/>
                    </w:rPr>
                    <w:t>本项目运营期不存在环境风险</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1</w:t>
                  </w:r>
                  <w:r>
                    <w:rPr>
                      <w:u w:val="single"/>
                    </w:rPr>
                    <w:t>0</w:t>
                  </w:r>
                </w:p>
              </w:tc>
              <w:tc>
                <w:tcPr>
                  <w:tcW w:w="3570" w:type="dxa"/>
                  <w:vAlign w:val="center"/>
                </w:tcPr>
                <w:p>
                  <w:pPr>
                    <w:pStyle w:val="41"/>
                    <w:rPr>
                      <w:u w:val="single"/>
                    </w:rPr>
                  </w:pPr>
                  <w:r>
                    <w:rPr>
                      <w:u w:val="single"/>
                    </w:rPr>
                    <w:t>改、扩建项目在全面梳理了与项目有关的现有工程环 境问题基础上，提出了与项目相适应的“以新带老”措施。</w:t>
                  </w:r>
                </w:p>
              </w:tc>
              <w:tc>
                <w:tcPr>
                  <w:tcW w:w="1843" w:type="dxa"/>
                  <w:vAlign w:val="center"/>
                </w:tcPr>
                <w:p>
                  <w:pPr>
                    <w:pStyle w:val="41"/>
                    <w:rPr>
                      <w:u w:val="single"/>
                    </w:rPr>
                  </w:pPr>
                  <w:r>
                    <w:rPr>
                      <w:rFonts w:hint="eastAsia"/>
                      <w:u w:val="single"/>
                    </w:rPr>
                    <w:t>本项目属于新建项目</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1</w:t>
                  </w:r>
                  <w:r>
                    <w:rPr>
                      <w:u w:val="single"/>
                    </w:rPr>
                    <w:t>1</w:t>
                  </w:r>
                </w:p>
              </w:tc>
              <w:tc>
                <w:tcPr>
                  <w:tcW w:w="3570" w:type="dxa"/>
                  <w:vAlign w:val="center"/>
                </w:tcPr>
                <w:p>
                  <w:pPr>
                    <w:pStyle w:val="41"/>
                    <w:rPr>
                      <w:u w:val="single"/>
                    </w:rPr>
                  </w:pPr>
                  <w:r>
                    <w:rPr>
                      <w:u w:val="single"/>
                    </w:rPr>
                    <w:t>按相关导则及规定要求，制定了水环境、生态等环境监测计划，明确了监测网点、因子、频次等有关要求，提出了开 展环境影响后评价及根据监测评估结果优化环境保护措施的要求。 根据需要和相关规定，提出了环境保护设计、开展相关科学研究、 环境管理等要求。</w:t>
                  </w:r>
                </w:p>
              </w:tc>
              <w:tc>
                <w:tcPr>
                  <w:tcW w:w="1843" w:type="dxa"/>
                  <w:vAlign w:val="center"/>
                </w:tcPr>
                <w:p>
                  <w:pPr>
                    <w:pStyle w:val="41"/>
                    <w:rPr>
                      <w:u w:val="single"/>
                    </w:rPr>
                  </w:pPr>
                  <w:r>
                    <w:rPr>
                      <w:rFonts w:hint="eastAsia"/>
                      <w:u w:val="single"/>
                    </w:rPr>
                    <w:t>本环评报告提出了水环境、生态环境监测计划，明确了施工期环境管理要求</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1</w:t>
                  </w:r>
                  <w:r>
                    <w:rPr>
                      <w:u w:val="single"/>
                    </w:rPr>
                    <w:t>2</w:t>
                  </w:r>
                </w:p>
              </w:tc>
              <w:tc>
                <w:tcPr>
                  <w:tcW w:w="3570" w:type="dxa"/>
                  <w:vAlign w:val="center"/>
                </w:tcPr>
                <w:p>
                  <w:pPr>
                    <w:pStyle w:val="41"/>
                    <w:rPr>
                      <w:u w:val="single"/>
                    </w:rPr>
                  </w:pPr>
                  <w:r>
                    <w:rPr>
                      <w:u w:val="single"/>
                    </w:rPr>
                    <w:t>对环境保护措施进行了深入论证，建设单位主体责 任、投资估算、时间节点、预期效果明确，确保科学有效、安全可 行、绿色协调。</w:t>
                  </w:r>
                </w:p>
              </w:tc>
              <w:tc>
                <w:tcPr>
                  <w:tcW w:w="1843" w:type="dxa"/>
                  <w:vAlign w:val="center"/>
                </w:tcPr>
                <w:p>
                  <w:pPr>
                    <w:pStyle w:val="41"/>
                    <w:rPr>
                      <w:u w:val="single"/>
                    </w:rPr>
                  </w:pPr>
                  <w:r>
                    <w:rPr>
                      <w:rFonts w:hint="eastAsia"/>
                      <w:u w:val="single"/>
                    </w:rPr>
                    <w:t>本报告提出了环保措施投资估算，明确了主体责任及时间节点</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1</w:t>
                  </w:r>
                  <w:r>
                    <w:rPr>
                      <w:u w:val="single"/>
                    </w:rPr>
                    <w:t>3</w:t>
                  </w:r>
                </w:p>
              </w:tc>
              <w:tc>
                <w:tcPr>
                  <w:tcW w:w="3570" w:type="dxa"/>
                  <w:vAlign w:val="center"/>
                </w:tcPr>
                <w:p>
                  <w:pPr>
                    <w:pStyle w:val="41"/>
                    <w:rPr>
                      <w:u w:val="single"/>
                    </w:rPr>
                  </w:pPr>
                  <w:r>
                    <w:rPr>
                      <w:u w:val="single"/>
                    </w:rPr>
                    <w:t>按相关规定开展了信息公开和公众参与。</w:t>
                  </w:r>
                </w:p>
              </w:tc>
              <w:tc>
                <w:tcPr>
                  <w:tcW w:w="1843" w:type="dxa"/>
                  <w:vAlign w:val="center"/>
                </w:tcPr>
                <w:p>
                  <w:pPr>
                    <w:pStyle w:val="41"/>
                    <w:rPr>
                      <w:u w:val="single"/>
                    </w:rPr>
                  </w:pPr>
                  <w:r>
                    <w:rPr>
                      <w:rFonts w:hint="eastAsia"/>
                      <w:u w:val="single"/>
                    </w:rPr>
                    <w:t>本环评属于报告表，根据相关规定无需进行公众参与调查</w:t>
                  </w:r>
                </w:p>
              </w:tc>
              <w:tc>
                <w:tcPr>
                  <w:tcW w:w="931" w:type="dxa"/>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7" w:type="dxa"/>
                  <w:vAlign w:val="center"/>
                </w:tcPr>
                <w:p>
                  <w:pPr>
                    <w:pStyle w:val="41"/>
                    <w:rPr>
                      <w:u w:val="single"/>
                    </w:rPr>
                  </w:pPr>
                  <w:r>
                    <w:rPr>
                      <w:rFonts w:hint="eastAsia"/>
                      <w:u w:val="single"/>
                    </w:rPr>
                    <w:t>1</w:t>
                  </w:r>
                  <w:r>
                    <w:rPr>
                      <w:u w:val="single"/>
                    </w:rPr>
                    <w:t>4</w:t>
                  </w:r>
                </w:p>
              </w:tc>
              <w:tc>
                <w:tcPr>
                  <w:tcW w:w="3570" w:type="dxa"/>
                  <w:vAlign w:val="center"/>
                </w:tcPr>
                <w:p>
                  <w:pPr>
                    <w:pStyle w:val="41"/>
                    <w:rPr>
                      <w:u w:val="single"/>
                    </w:rPr>
                  </w:pPr>
                  <w:r>
                    <w:rPr>
                      <w:u w:val="single"/>
                    </w:rPr>
                    <w:t>环境影响评价文件编制规范，符合相关管理规定和 环评技术标准要求</w:t>
                  </w:r>
                </w:p>
              </w:tc>
              <w:tc>
                <w:tcPr>
                  <w:tcW w:w="1843" w:type="dxa"/>
                  <w:vAlign w:val="center"/>
                </w:tcPr>
                <w:p>
                  <w:pPr>
                    <w:pStyle w:val="41"/>
                    <w:rPr>
                      <w:u w:val="single"/>
                    </w:rPr>
                  </w:pPr>
                  <w:r>
                    <w:rPr>
                      <w:rFonts w:hint="eastAsia"/>
                      <w:u w:val="single"/>
                    </w:rPr>
                    <w:t>本报告严格按照导则规范及报告表编制指南编制</w:t>
                  </w:r>
                </w:p>
              </w:tc>
              <w:tc>
                <w:tcPr>
                  <w:tcW w:w="931" w:type="dxa"/>
                  <w:vAlign w:val="center"/>
                </w:tcPr>
                <w:p>
                  <w:pPr>
                    <w:pStyle w:val="41"/>
                    <w:rPr>
                      <w:u w:val="single"/>
                    </w:rPr>
                  </w:pPr>
                  <w:r>
                    <w:rPr>
                      <w:rFonts w:hint="eastAsia"/>
                      <w:u w:val="single"/>
                    </w:rPr>
                    <w:t>符合</w:t>
                  </w:r>
                </w:p>
              </w:tc>
            </w:tr>
          </w:tbl>
          <w:p>
            <w:pPr>
              <w:pStyle w:val="34"/>
              <w:ind w:firstLine="480"/>
              <w:rPr>
                <w:u w:val="single"/>
              </w:rPr>
            </w:pPr>
            <w:r>
              <w:rPr>
                <w:rFonts w:hint="eastAsia"/>
                <w:u w:val="single"/>
              </w:rPr>
              <w:t>5、与《湖南省长江经济带发展负面清单实施细则（试行，</w:t>
            </w:r>
            <w:r>
              <w:rPr>
                <w:u w:val="single"/>
              </w:rPr>
              <w:t>2022年版）》</w:t>
            </w:r>
            <w:r>
              <w:rPr>
                <w:rFonts w:hint="eastAsia"/>
                <w:u w:val="single"/>
              </w:rPr>
              <w:t>符合性分析</w:t>
            </w:r>
          </w:p>
          <w:p>
            <w:pPr>
              <w:pStyle w:val="39"/>
              <w:spacing w:before="156"/>
            </w:pPr>
            <w:r>
              <w:rPr>
                <w:rFonts w:hint="eastAsia"/>
              </w:rPr>
              <w:t>表1</w:t>
            </w:r>
            <w:r>
              <w:t xml:space="preserve">-4  </w:t>
            </w:r>
            <w:r>
              <w:rPr>
                <w:rFonts w:hint="eastAsia"/>
              </w:rPr>
              <w:t>与《湖南省长江经济带发展负面清单实施细则（试行，</w:t>
            </w:r>
            <w:r>
              <w:t>2022年版）》</w:t>
            </w:r>
            <w:r>
              <w:rPr>
                <w:rFonts w:hint="eastAsia"/>
              </w:rPr>
              <w:t>符合性分析表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658"/>
              <w:gridCol w:w="1901"/>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6" w:type="dxa"/>
                  <w:shd w:val="clear" w:color="auto" w:fill="auto"/>
                  <w:vAlign w:val="center"/>
                </w:tcPr>
                <w:p>
                  <w:pPr>
                    <w:pStyle w:val="41"/>
                    <w:rPr>
                      <w:u w:val="single"/>
                    </w:rPr>
                  </w:pPr>
                  <w:r>
                    <w:rPr>
                      <w:rFonts w:hint="eastAsia"/>
                      <w:u w:val="single"/>
                    </w:rPr>
                    <w:t>序号</w:t>
                  </w:r>
                </w:p>
              </w:tc>
              <w:tc>
                <w:tcPr>
                  <w:tcW w:w="4532" w:type="dxa"/>
                  <w:shd w:val="clear" w:color="auto" w:fill="auto"/>
                  <w:vAlign w:val="center"/>
                </w:tcPr>
                <w:p>
                  <w:pPr>
                    <w:pStyle w:val="41"/>
                    <w:rPr>
                      <w:u w:val="single"/>
                    </w:rPr>
                  </w:pPr>
                  <w:r>
                    <w:rPr>
                      <w:rFonts w:hint="eastAsia"/>
                      <w:u w:val="single"/>
                    </w:rPr>
                    <w:t>文件要求</w:t>
                  </w:r>
                </w:p>
              </w:tc>
              <w:tc>
                <w:tcPr>
                  <w:tcW w:w="2408" w:type="dxa"/>
                  <w:shd w:val="clear" w:color="auto" w:fill="auto"/>
                  <w:vAlign w:val="center"/>
                </w:tcPr>
                <w:p>
                  <w:pPr>
                    <w:pStyle w:val="41"/>
                    <w:rPr>
                      <w:u w:val="single"/>
                    </w:rPr>
                  </w:pPr>
                  <w:r>
                    <w:rPr>
                      <w:rFonts w:hint="eastAsia"/>
                      <w:u w:val="single"/>
                    </w:rPr>
                    <w:t>本项目情况</w:t>
                  </w:r>
                </w:p>
              </w:tc>
              <w:tc>
                <w:tcPr>
                  <w:tcW w:w="930" w:type="dxa"/>
                  <w:shd w:val="clear" w:color="auto" w:fill="auto"/>
                  <w:vAlign w:val="center"/>
                </w:tcPr>
                <w:p>
                  <w:pPr>
                    <w:pStyle w:val="41"/>
                    <w:rPr>
                      <w:u w:val="single"/>
                    </w:rPr>
                  </w:pPr>
                  <w:r>
                    <w:rPr>
                      <w:rFonts w:hint="eastAsia"/>
                      <w:u w:val="single"/>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1</w:t>
                  </w:r>
                </w:p>
              </w:tc>
              <w:tc>
                <w:tcPr>
                  <w:tcW w:w="4532" w:type="dxa"/>
                  <w:shd w:val="clear" w:color="auto" w:fill="auto"/>
                  <w:vAlign w:val="center"/>
                </w:tcPr>
                <w:p>
                  <w:pPr>
                    <w:pStyle w:val="41"/>
                    <w:rPr>
                      <w:u w:val="single"/>
                    </w:rPr>
                  </w:pPr>
                  <w:r>
                    <w:rPr>
                      <w:rFonts w:hint="eastAsia"/>
                      <w:u w:val="single"/>
                    </w:rPr>
                    <w:t>第三条：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2</w:t>
                  </w:r>
                  <w:r>
                    <w:rPr>
                      <w:u w:val="single"/>
                    </w:rPr>
                    <w:t>020</w:t>
                  </w:r>
                  <w:r>
                    <w:rPr>
                      <w:rFonts w:hint="eastAsia"/>
                      <w:u w:val="single"/>
                    </w:rPr>
                    <w:t>—</w:t>
                  </w:r>
                  <w:r>
                    <w:rPr>
                      <w:u w:val="single"/>
                    </w:rPr>
                    <w:t>2035</w:t>
                  </w:r>
                  <w:r>
                    <w:rPr>
                      <w:rFonts w:hint="eastAsia"/>
                      <w:u w:val="single"/>
                    </w:rPr>
                    <w:t>年）》的过长江通道项目。</w:t>
                  </w:r>
                </w:p>
              </w:tc>
              <w:tc>
                <w:tcPr>
                  <w:tcW w:w="2408" w:type="dxa"/>
                  <w:shd w:val="clear" w:color="auto" w:fill="auto"/>
                  <w:vAlign w:val="center"/>
                </w:tcPr>
                <w:p>
                  <w:pPr>
                    <w:pStyle w:val="41"/>
                    <w:rPr>
                      <w:u w:val="single"/>
                    </w:rPr>
                  </w:pPr>
                  <w:r>
                    <w:rPr>
                      <w:rFonts w:hint="eastAsia"/>
                      <w:u w:val="single"/>
                    </w:rPr>
                    <w:t>本项目不属于港口码头项目</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2</w:t>
                  </w:r>
                </w:p>
              </w:tc>
              <w:tc>
                <w:tcPr>
                  <w:tcW w:w="4532" w:type="dxa"/>
                  <w:shd w:val="clear" w:color="auto" w:fill="auto"/>
                  <w:vAlign w:val="center"/>
                </w:tcPr>
                <w:p>
                  <w:pPr>
                    <w:pStyle w:val="41"/>
                    <w:rPr>
                      <w:u w:val="single"/>
                    </w:rPr>
                  </w:pPr>
                  <w:r>
                    <w:rPr>
                      <w:rFonts w:hint="eastAsia"/>
                      <w:u w:val="single"/>
                    </w:rPr>
                    <w:t>第四条：禁止在自然保护区核心区、缓冲区的岸线和河段范围内投资建设以下项目：</w:t>
                  </w:r>
                  <w:r>
                    <w:rPr>
                      <w:u w:val="single"/>
                    </w:rPr>
                    <w:t>……</w:t>
                  </w:r>
                </w:p>
              </w:tc>
              <w:tc>
                <w:tcPr>
                  <w:tcW w:w="2408" w:type="dxa"/>
                  <w:shd w:val="clear" w:color="auto" w:fill="auto"/>
                  <w:vAlign w:val="center"/>
                </w:tcPr>
                <w:p>
                  <w:pPr>
                    <w:pStyle w:val="41"/>
                    <w:rPr>
                      <w:u w:val="single"/>
                    </w:rPr>
                  </w:pPr>
                  <w:r>
                    <w:rPr>
                      <w:rFonts w:hint="eastAsia"/>
                      <w:u w:val="single"/>
                    </w:rPr>
                    <w:t>本项目建设不涉及自然保护区</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3</w:t>
                  </w:r>
                </w:p>
              </w:tc>
              <w:tc>
                <w:tcPr>
                  <w:tcW w:w="4532" w:type="dxa"/>
                  <w:shd w:val="clear" w:color="auto" w:fill="auto"/>
                  <w:vAlign w:val="center"/>
                </w:tcPr>
                <w:p>
                  <w:pPr>
                    <w:pStyle w:val="41"/>
                    <w:rPr>
                      <w:u w:val="single"/>
                    </w:rPr>
                  </w:pPr>
                  <w:r>
                    <w:rPr>
                      <w:rFonts w:hint="eastAsia"/>
                      <w:u w:val="single"/>
                    </w:rPr>
                    <w:t>第五条：机场、铁路、公路、水利、航运、围堰等公益性设施的选址选线应多方案优化比选</w:t>
                  </w:r>
                  <w:r>
                    <w:rPr>
                      <w:u w:val="single"/>
                    </w:rPr>
                    <w:t>……</w:t>
                  </w:r>
                </w:p>
              </w:tc>
              <w:tc>
                <w:tcPr>
                  <w:tcW w:w="2408" w:type="dxa"/>
                  <w:shd w:val="clear" w:color="auto" w:fill="auto"/>
                  <w:vAlign w:val="center"/>
                </w:tcPr>
                <w:p>
                  <w:pPr>
                    <w:pStyle w:val="41"/>
                    <w:rPr>
                      <w:u w:val="single"/>
                    </w:rPr>
                  </w:pPr>
                  <w:r>
                    <w:rPr>
                      <w:rFonts w:hint="eastAsia"/>
                      <w:u w:val="single"/>
                    </w:rPr>
                    <w:t>本项目不属于所列公益性设施</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4</w:t>
                  </w:r>
                </w:p>
              </w:tc>
              <w:tc>
                <w:tcPr>
                  <w:tcW w:w="4532" w:type="dxa"/>
                  <w:shd w:val="clear" w:color="auto" w:fill="auto"/>
                  <w:vAlign w:val="center"/>
                </w:tcPr>
                <w:p>
                  <w:pPr>
                    <w:pStyle w:val="41"/>
                    <w:rPr>
                      <w:u w:val="single"/>
                    </w:rPr>
                  </w:pPr>
                  <w:r>
                    <w:rPr>
                      <w:rFonts w:hint="eastAsia"/>
                      <w:u w:val="single"/>
                    </w:rPr>
                    <w:t>第六条：禁止违反风景名胜区规划</w:t>
                  </w:r>
                  <w:r>
                    <w:rPr>
                      <w:u w:val="single"/>
                    </w:rPr>
                    <w:t>……</w:t>
                  </w:r>
                </w:p>
              </w:tc>
              <w:tc>
                <w:tcPr>
                  <w:tcW w:w="2408" w:type="dxa"/>
                  <w:shd w:val="clear" w:color="auto" w:fill="auto"/>
                  <w:vAlign w:val="center"/>
                </w:tcPr>
                <w:p>
                  <w:pPr>
                    <w:pStyle w:val="41"/>
                    <w:rPr>
                      <w:u w:val="single"/>
                    </w:rPr>
                  </w:pPr>
                  <w:r>
                    <w:rPr>
                      <w:rFonts w:hint="eastAsia"/>
                      <w:u w:val="single"/>
                    </w:rPr>
                    <w:t>本项目不涉及风景名胜区</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5</w:t>
                  </w:r>
                </w:p>
              </w:tc>
              <w:tc>
                <w:tcPr>
                  <w:tcW w:w="4532" w:type="dxa"/>
                  <w:shd w:val="clear" w:color="auto" w:fill="auto"/>
                  <w:vAlign w:val="center"/>
                </w:tcPr>
                <w:p>
                  <w:pPr>
                    <w:pStyle w:val="41"/>
                    <w:rPr>
                      <w:u w:val="single"/>
                    </w:rPr>
                  </w:pPr>
                  <w:r>
                    <w:rPr>
                      <w:rFonts w:hint="eastAsia"/>
                      <w:u w:val="single"/>
                    </w:rPr>
                    <w:t>第七条：饮用水源一级保护区内禁止新建、改建扩建与供水设施和保护水源无关的建设项目</w:t>
                  </w:r>
                  <w:r>
                    <w:rPr>
                      <w:u w:val="single"/>
                    </w:rPr>
                    <w:t>……</w:t>
                  </w:r>
                </w:p>
              </w:tc>
              <w:tc>
                <w:tcPr>
                  <w:tcW w:w="2408" w:type="dxa"/>
                  <w:vMerge w:val="restart"/>
                  <w:shd w:val="clear" w:color="auto" w:fill="auto"/>
                  <w:vAlign w:val="center"/>
                </w:tcPr>
                <w:p>
                  <w:pPr>
                    <w:pStyle w:val="41"/>
                    <w:rPr>
                      <w:u w:val="single"/>
                    </w:rPr>
                  </w:pPr>
                  <w:r>
                    <w:rPr>
                      <w:rFonts w:hint="eastAsia"/>
                      <w:u w:val="single"/>
                    </w:rPr>
                    <w:t>本项目建设不涉及饮用水源保护区</w:t>
                  </w:r>
                </w:p>
              </w:tc>
              <w:tc>
                <w:tcPr>
                  <w:tcW w:w="930" w:type="dxa"/>
                  <w:vMerge w:val="restart"/>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6</w:t>
                  </w:r>
                </w:p>
              </w:tc>
              <w:tc>
                <w:tcPr>
                  <w:tcW w:w="4532" w:type="dxa"/>
                  <w:shd w:val="clear" w:color="auto" w:fill="auto"/>
                  <w:vAlign w:val="center"/>
                </w:tcPr>
                <w:p>
                  <w:pPr>
                    <w:pStyle w:val="41"/>
                    <w:rPr>
                      <w:u w:val="single"/>
                    </w:rPr>
                  </w:pPr>
                  <w:r>
                    <w:rPr>
                      <w:rFonts w:hint="eastAsia"/>
                      <w:u w:val="single"/>
                    </w:rPr>
                    <w:t>第八条：饮用水水源二级保护区内禁止</w:t>
                  </w:r>
                  <w:r>
                    <w:rPr>
                      <w:u w:val="single"/>
                    </w:rPr>
                    <w:t>……</w:t>
                  </w:r>
                </w:p>
              </w:tc>
              <w:tc>
                <w:tcPr>
                  <w:tcW w:w="2408" w:type="dxa"/>
                  <w:vMerge w:val="continue"/>
                  <w:shd w:val="clear" w:color="auto" w:fill="auto"/>
                  <w:vAlign w:val="center"/>
                </w:tcPr>
                <w:p>
                  <w:pPr>
                    <w:pStyle w:val="41"/>
                    <w:rPr>
                      <w:u w:val="single"/>
                    </w:rPr>
                  </w:pPr>
                </w:p>
              </w:tc>
              <w:tc>
                <w:tcPr>
                  <w:tcW w:w="930" w:type="dxa"/>
                  <w:vMerge w:val="continue"/>
                  <w:shd w:val="clear" w:color="auto" w:fill="auto"/>
                  <w:vAlign w:val="center"/>
                </w:tcPr>
                <w:p>
                  <w:pPr>
                    <w:pStyle w:val="41"/>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7</w:t>
                  </w:r>
                </w:p>
              </w:tc>
              <w:tc>
                <w:tcPr>
                  <w:tcW w:w="4532" w:type="dxa"/>
                  <w:shd w:val="clear" w:color="auto" w:fill="auto"/>
                  <w:vAlign w:val="center"/>
                </w:tcPr>
                <w:p>
                  <w:pPr>
                    <w:pStyle w:val="41"/>
                    <w:rPr>
                      <w:u w:val="single"/>
                    </w:rPr>
                  </w:pPr>
                  <w:r>
                    <w:rPr>
                      <w:rFonts w:hint="eastAsia"/>
                      <w:u w:val="single"/>
                    </w:rPr>
                    <w:t>第九条：禁止在水产种质资源保护区内新建排污口、从事围湖造田等投资建设项目</w:t>
                  </w:r>
                </w:p>
              </w:tc>
              <w:tc>
                <w:tcPr>
                  <w:tcW w:w="2408" w:type="dxa"/>
                  <w:shd w:val="clear" w:color="auto" w:fill="auto"/>
                  <w:vAlign w:val="center"/>
                </w:tcPr>
                <w:p>
                  <w:pPr>
                    <w:pStyle w:val="41"/>
                    <w:rPr>
                      <w:u w:val="single"/>
                    </w:rPr>
                  </w:pPr>
                  <w:r>
                    <w:rPr>
                      <w:rFonts w:hint="eastAsia"/>
                      <w:u w:val="single"/>
                    </w:rPr>
                    <w:t>本项目不设置排污口，不涉及围湖造田等</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8</w:t>
                  </w:r>
                </w:p>
              </w:tc>
              <w:tc>
                <w:tcPr>
                  <w:tcW w:w="4532" w:type="dxa"/>
                  <w:shd w:val="clear" w:color="auto" w:fill="auto"/>
                  <w:vAlign w:val="center"/>
                </w:tcPr>
                <w:p>
                  <w:pPr>
                    <w:pStyle w:val="41"/>
                    <w:rPr>
                      <w:u w:val="single"/>
                    </w:rPr>
                  </w:pPr>
                  <w:r>
                    <w:rPr>
                      <w:rFonts w:hint="eastAsia"/>
                      <w:u w:val="single"/>
                    </w:rPr>
                    <w:t>第十条：除《中华人民共和国防洪法》规定的紧急防汛期采取的紧急措施外，禁止在国家湿地公园的岸线和河段范围内挖沙、采矿，以及以下不符合主体功能定位的行为和活动：</w:t>
                  </w:r>
                  <w:r>
                    <w:rPr>
                      <w:u w:val="single"/>
                    </w:rPr>
                    <w:t>……</w:t>
                  </w:r>
                </w:p>
              </w:tc>
              <w:tc>
                <w:tcPr>
                  <w:tcW w:w="2408" w:type="dxa"/>
                  <w:shd w:val="clear" w:color="auto" w:fill="auto"/>
                  <w:vAlign w:val="center"/>
                </w:tcPr>
                <w:p>
                  <w:pPr>
                    <w:pStyle w:val="41"/>
                    <w:rPr>
                      <w:u w:val="single"/>
                    </w:rPr>
                  </w:pPr>
                  <w:r>
                    <w:rPr>
                      <w:rFonts w:hint="eastAsia"/>
                      <w:u w:val="single"/>
                    </w:rPr>
                    <w:t>本项目不涉及国家湿地公园</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u w:val="single"/>
                    </w:rPr>
                    <w:t>9</w:t>
                  </w:r>
                </w:p>
              </w:tc>
              <w:tc>
                <w:tcPr>
                  <w:tcW w:w="4532" w:type="dxa"/>
                  <w:shd w:val="clear" w:color="auto" w:fill="auto"/>
                  <w:vAlign w:val="center"/>
                </w:tcPr>
                <w:p>
                  <w:pPr>
                    <w:pStyle w:val="41"/>
                    <w:rPr>
                      <w:u w:val="single"/>
                    </w:rPr>
                  </w:pPr>
                  <w:r>
                    <w:rPr>
                      <w:rFonts w:hint="eastAsia"/>
                      <w:u w:val="single"/>
                    </w:rPr>
                    <w:t>第十一条：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w:t>
                  </w:r>
                </w:p>
                <w:p>
                  <w:pPr>
                    <w:pStyle w:val="41"/>
                    <w:rPr>
                      <w:u w:val="single"/>
                    </w:rPr>
                  </w:pPr>
                  <w:r>
                    <w:rPr>
                      <w:rFonts w:hint="eastAsia"/>
                      <w:u w:val="single"/>
                    </w:rPr>
                    <w:t>禁止填湖造地、围湖造田及非法围垦河道，禁止非法建设矮围网围、填埋湿地等侵占河湖水域或者违法利用、占用河湖岸线的行为。</w:t>
                  </w:r>
                </w:p>
              </w:tc>
              <w:tc>
                <w:tcPr>
                  <w:tcW w:w="2408" w:type="dxa"/>
                  <w:shd w:val="clear" w:color="auto" w:fill="auto"/>
                  <w:vAlign w:val="center"/>
                </w:tcPr>
                <w:p>
                  <w:pPr>
                    <w:pStyle w:val="41"/>
                    <w:rPr>
                      <w:u w:val="single"/>
                    </w:rPr>
                  </w:pPr>
                  <w:r>
                    <w:rPr>
                      <w:rFonts w:hint="eastAsia"/>
                      <w:u w:val="single"/>
                    </w:rPr>
                    <w:t>本项目不占用河岸线</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1</w:t>
                  </w:r>
                  <w:r>
                    <w:rPr>
                      <w:u w:val="single"/>
                    </w:rPr>
                    <w:t>0</w:t>
                  </w:r>
                </w:p>
              </w:tc>
              <w:tc>
                <w:tcPr>
                  <w:tcW w:w="4532" w:type="dxa"/>
                  <w:shd w:val="clear" w:color="auto" w:fill="auto"/>
                  <w:vAlign w:val="center"/>
                </w:tcPr>
                <w:p>
                  <w:pPr>
                    <w:pStyle w:val="41"/>
                    <w:rPr>
                      <w:u w:val="single"/>
                    </w:rPr>
                  </w:pPr>
                  <w:r>
                    <w:rPr>
                      <w:rFonts w:hint="eastAsia"/>
                      <w:u w:val="single"/>
                    </w:rPr>
                    <w:t>第十二条：禁止在《全国重要江河湖泊水功能区划》划定的河段保护区、保留区内投资建设不利于水资源及自然生态保护的项目。</w:t>
                  </w:r>
                </w:p>
              </w:tc>
              <w:tc>
                <w:tcPr>
                  <w:tcW w:w="2408" w:type="dxa"/>
                  <w:shd w:val="clear" w:color="auto" w:fill="auto"/>
                  <w:vAlign w:val="center"/>
                </w:tcPr>
                <w:p>
                  <w:pPr>
                    <w:pStyle w:val="41"/>
                    <w:rPr>
                      <w:u w:val="single"/>
                    </w:rPr>
                  </w:pPr>
                  <w:r>
                    <w:rPr>
                      <w:rFonts w:hint="eastAsia"/>
                      <w:u w:val="single"/>
                    </w:rPr>
                    <w:t>本项目不涉及河段保护区、保留区</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1</w:t>
                  </w:r>
                  <w:r>
                    <w:rPr>
                      <w:u w:val="single"/>
                    </w:rPr>
                    <w:t>1</w:t>
                  </w:r>
                </w:p>
              </w:tc>
              <w:tc>
                <w:tcPr>
                  <w:tcW w:w="4532" w:type="dxa"/>
                  <w:shd w:val="clear" w:color="auto" w:fill="auto"/>
                  <w:vAlign w:val="center"/>
                </w:tcPr>
                <w:p>
                  <w:pPr>
                    <w:pStyle w:val="41"/>
                    <w:rPr>
                      <w:u w:val="single"/>
                    </w:rPr>
                  </w:pPr>
                  <w:r>
                    <w:rPr>
                      <w:rFonts w:hint="eastAsia"/>
                      <w:u w:val="single"/>
                    </w:rPr>
                    <w:t>第十三条：禁止未经许可在长江干支流及湖泊新设、改设或扩大排污口</w:t>
                  </w:r>
                </w:p>
              </w:tc>
              <w:tc>
                <w:tcPr>
                  <w:tcW w:w="2408" w:type="dxa"/>
                  <w:shd w:val="clear" w:color="auto" w:fill="auto"/>
                  <w:vAlign w:val="center"/>
                </w:tcPr>
                <w:p>
                  <w:pPr>
                    <w:pStyle w:val="41"/>
                    <w:rPr>
                      <w:u w:val="single"/>
                    </w:rPr>
                  </w:pPr>
                  <w:r>
                    <w:rPr>
                      <w:rFonts w:hint="eastAsia"/>
                      <w:u w:val="single"/>
                    </w:rPr>
                    <w:t>本项目不设置入河排污口</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1</w:t>
                  </w:r>
                  <w:r>
                    <w:rPr>
                      <w:u w:val="single"/>
                    </w:rPr>
                    <w:t>2</w:t>
                  </w:r>
                </w:p>
              </w:tc>
              <w:tc>
                <w:tcPr>
                  <w:tcW w:w="4532" w:type="dxa"/>
                  <w:shd w:val="clear" w:color="auto" w:fill="auto"/>
                  <w:vAlign w:val="center"/>
                </w:tcPr>
                <w:p>
                  <w:pPr>
                    <w:pStyle w:val="41"/>
                    <w:rPr>
                      <w:u w:val="single"/>
                    </w:rPr>
                  </w:pPr>
                  <w:r>
                    <w:rPr>
                      <w:rFonts w:hint="eastAsia"/>
                      <w:u w:val="single"/>
                    </w:rPr>
                    <w:t>第十四条：禁止在洞庭湖、湘江、资江、沅江、漫水干流和 45个水生生物保护区开展生产性捕捞。在相关自然保护区域和禁猎 （渔）区、禁猎 （渔）期内，禁止猎捕以及其他妨碍野生动物生息繁衍的活动，但法律法规另有规定的除外。</w:t>
                  </w:r>
                </w:p>
              </w:tc>
              <w:tc>
                <w:tcPr>
                  <w:tcW w:w="2408" w:type="dxa"/>
                  <w:shd w:val="clear" w:color="auto" w:fill="auto"/>
                  <w:vAlign w:val="center"/>
                </w:tcPr>
                <w:p>
                  <w:pPr>
                    <w:pStyle w:val="41"/>
                    <w:rPr>
                      <w:u w:val="single"/>
                    </w:rPr>
                  </w:pPr>
                  <w:r>
                    <w:rPr>
                      <w:rFonts w:hint="eastAsia"/>
                      <w:u w:val="single"/>
                    </w:rPr>
                    <w:t>本项目不从事生产线捕捞</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1</w:t>
                  </w:r>
                  <w:r>
                    <w:rPr>
                      <w:u w:val="single"/>
                    </w:rPr>
                    <w:t>3</w:t>
                  </w:r>
                </w:p>
              </w:tc>
              <w:tc>
                <w:tcPr>
                  <w:tcW w:w="4532" w:type="dxa"/>
                  <w:shd w:val="clear" w:color="auto" w:fill="auto"/>
                  <w:vAlign w:val="center"/>
                </w:tcPr>
                <w:p>
                  <w:pPr>
                    <w:pStyle w:val="41"/>
                    <w:rPr>
                      <w:u w:val="single"/>
                    </w:rPr>
                  </w:pPr>
                  <w:r>
                    <w:rPr>
                      <w:rFonts w:hint="eastAsia"/>
                      <w:u w:val="single"/>
                    </w:rPr>
                    <w:t>第十五条：禁止在长江湖南段和洞庭湖、湘江、资江、沅江、遭水干流岸线一公里范围内新建、扩建化工园区和化工项目。禁止在长江湖南段岸线三公里范围内和湘江、资江、沅江遭水岸线一公里范围内新建、改建、扩建尾矿库、冶炼渣库和磷石膏库，以提升安全、生态环境保护水平为目的的改建除外。</w:t>
                  </w:r>
                </w:p>
              </w:tc>
              <w:tc>
                <w:tcPr>
                  <w:tcW w:w="2408" w:type="dxa"/>
                  <w:shd w:val="clear" w:color="auto" w:fill="auto"/>
                  <w:vAlign w:val="center"/>
                </w:tcPr>
                <w:p>
                  <w:pPr>
                    <w:pStyle w:val="41"/>
                    <w:rPr>
                      <w:u w:val="single"/>
                    </w:rPr>
                  </w:pPr>
                  <w:r>
                    <w:rPr>
                      <w:rFonts w:hint="eastAsia"/>
                      <w:u w:val="single"/>
                    </w:rPr>
                    <w:t>本项目不属于化工项目</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1</w:t>
                  </w:r>
                  <w:r>
                    <w:rPr>
                      <w:u w:val="single"/>
                    </w:rPr>
                    <w:t>4</w:t>
                  </w:r>
                </w:p>
              </w:tc>
              <w:tc>
                <w:tcPr>
                  <w:tcW w:w="4532" w:type="dxa"/>
                  <w:shd w:val="clear" w:color="auto" w:fill="auto"/>
                  <w:vAlign w:val="center"/>
                </w:tcPr>
                <w:p>
                  <w:pPr>
                    <w:pStyle w:val="41"/>
                    <w:rPr>
                      <w:u w:val="single"/>
                    </w:rPr>
                  </w:pPr>
                  <w:r>
                    <w:rPr>
                      <w:rFonts w:hint="eastAsia"/>
                      <w:u w:val="single"/>
                    </w:rPr>
                    <w:t>第十六条：禁止在合规园区外新建、扩建钢铁、石化、化工、焦化、建材、有色、制浆造纸等高污染项目。高污染项目严格按照生态环境部《环境保护综合名录（2021 年版）》有关要求执行。</w:t>
                  </w:r>
                </w:p>
              </w:tc>
              <w:tc>
                <w:tcPr>
                  <w:tcW w:w="2408" w:type="dxa"/>
                  <w:shd w:val="clear" w:color="auto" w:fill="auto"/>
                  <w:vAlign w:val="center"/>
                </w:tcPr>
                <w:p>
                  <w:pPr>
                    <w:pStyle w:val="41"/>
                    <w:rPr>
                      <w:u w:val="single"/>
                    </w:rPr>
                  </w:pPr>
                  <w:r>
                    <w:rPr>
                      <w:rFonts w:hint="eastAsia"/>
                      <w:u w:val="single"/>
                    </w:rPr>
                    <w:t>本项目不属于所列禁止类项目</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1</w:t>
                  </w:r>
                  <w:r>
                    <w:rPr>
                      <w:u w:val="single"/>
                    </w:rPr>
                    <w:t>5</w:t>
                  </w:r>
                </w:p>
              </w:tc>
              <w:tc>
                <w:tcPr>
                  <w:tcW w:w="4532" w:type="dxa"/>
                  <w:shd w:val="clear" w:color="auto" w:fill="auto"/>
                  <w:vAlign w:val="center"/>
                </w:tcPr>
                <w:p>
                  <w:pPr>
                    <w:pStyle w:val="41"/>
                    <w:rPr>
                      <w:u w:val="single"/>
                    </w:rPr>
                  </w:pPr>
                  <w:r>
                    <w:rPr>
                      <w:rFonts w:hint="eastAsia"/>
                      <w:u w:val="single"/>
                    </w:rPr>
                    <w:t>第十七条：禁止新建、扩建不符合国家石化、现代煤化工等产业布局规划的项目。未通过认定的化工园区，不得新建、改扩建化工项目 （安全、环保、节能和智能化改造项目除外）。</w:t>
                  </w:r>
                </w:p>
              </w:tc>
              <w:tc>
                <w:tcPr>
                  <w:tcW w:w="2408" w:type="dxa"/>
                  <w:shd w:val="clear" w:color="auto" w:fill="auto"/>
                  <w:vAlign w:val="center"/>
                </w:tcPr>
                <w:p>
                  <w:pPr>
                    <w:pStyle w:val="41"/>
                    <w:rPr>
                      <w:u w:val="single"/>
                    </w:rPr>
                  </w:pPr>
                  <w:r>
                    <w:rPr>
                      <w:rFonts w:hint="eastAsia"/>
                      <w:u w:val="single"/>
                    </w:rPr>
                    <w:t>本项目不属于化工、石化、现代煤化工等类型项目</w:t>
                  </w:r>
                </w:p>
              </w:tc>
              <w:tc>
                <w:tcPr>
                  <w:tcW w:w="930" w:type="dxa"/>
                  <w:shd w:val="clear" w:color="auto" w:fill="auto"/>
                  <w:vAlign w:val="center"/>
                </w:tcPr>
                <w:p>
                  <w:pPr>
                    <w:pStyle w:val="41"/>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pStyle w:val="41"/>
                    <w:rPr>
                      <w:u w:val="single"/>
                    </w:rPr>
                  </w:pPr>
                  <w:r>
                    <w:rPr>
                      <w:rFonts w:hint="eastAsia"/>
                      <w:u w:val="single"/>
                    </w:rPr>
                    <w:t>1</w:t>
                  </w:r>
                  <w:r>
                    <w:rPr>
                      <w:u w:val="single"/>
                    </w:rPr>
                    <w:t>6</w:t>
                  </w:r>
                </w:p>
              </w:tc>
              <w:tc>
                <w:tcPr>
                  <w:tcW w:w="4532" w:type="dxa"/>
                  <w:shd w:val="clear" w:color="auto" w:fill="auto"/>
                  <w:vAlign w:val="center"/>
                </w:tcPr>
                <w:p>
                  <w:pPr>
                    <w:pStyle w:val="41"/>
                    <w:rPr>
                      <w:u w:val="single"/>
                    </w:rPr>
                  </w:pPr>
                  <w:r>
                    <w:rPr>
                      <w:rFonts w:hint="eastAsia"/>
                      <w:u w:val="single"/>
                    </w:rPr>
                    <w:t>第十八条：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2408" w:type="dxa"/>
                  <w:shd w:val="clear" w:color="auto" w:fill="auto"/>
                  <w:vAlign w:val="center"/>
                </w:tcPr>
                <w:p>
                  <w:pPr>
                    <w:pStyle w:val="41"/>
                    <w:rPr>
                      <w:u w:val="single"/>
                    </w:rPr>
                  </w:pPr>
                  <w:r>
                    <w:rPr>
                      <w:rFonts w:hint="eastAsia"/>
                      <w:u w:val="single"/>
                    </w:rPr>
                    <w:t>本项目不属于生产型项目，不属于淘汰类项目；不属于产能过剩行业。</w:t>
                  </w:r>
                </w:p>
              </w:tc>
              <w:tc>
                <w:tcPr>
                  <w:tcW w:w="930" w:type="dxa"/>
                  <w:shd w:val="clear" w:color="auto" w:fill="auto"/>
                  <w:vAlign w:val="center"/>
                </w:tcPr>
                <w:p>
                  <w:pPr>
                    <w:pStyle w:val="41"/>
                    <w:rPr>
                      <w:u w:val="single"/>
                    </w:rPr>
                  </w:pPr>
                  <w:r>
                    <w:rPr>
                      <w:rFonts w:hint="eastAsia"/>
                      <w:u w:val="single"/>
                    </w:rPr>
                    <w:t>符合</w:t>
                  </w:r>
                </w:p>
              </w:tc>
            </w:tr>
          </w:tbl>
          <w:p>
            <w:pPr>
              <w:pStyle w:val="34"/>
              <w:ind w:firstLine="480"/>
              <w:rPr>
                <w:u w:val="single"/>
              </w:rPr>
            </w:pPr>
            <w:r>
              <w:rPr>
                <w:rFonts w:hint="eastAsia"/>
                <w:u w:val="single"/>
              </w:rPr>
              <w:t>6、与《湖南省湘江保护条例》符合性分析</w:t>
            </w:r>
          </w:p>
          <w:p>
            <w:pPr>
              <w:pStyle w:val="34"/>
              <w:ind w:firstLine="480"/>
              <w:rPr>
                <w:u w:val="single"/>
              </w:rPr>
            </w:pPr>
            <w:r>
              <w:rPr>
                <w:rFonts w:hint="eastAsia"/>
                <w:u w:val="single"/>
              </w:rPr>
              <w:t>本项目属于河湖整治项目，项目建设对环境有正效益，根据《湖南省湘江保护条例》，明确了湘江流域建设项目污染物排放管控措施及生态管控措施，本项目不属于污染项目，施工期污染物经落实环评所提措施后能够达标排放，项目整体建设能够保护湘江流域水环境质量，符合《湖南省湘江保护条例》要求。</w:t>
            </w:r>
          </w:p>
          <w:p>
            <w:pPr>
              <w:pStyle w:val="34"/>
              <w:ind w:firstLine="480"/>
            </w:pPr>
          </w:p>
          <w:p>
            <w:pPr>
              <w:pStyle w:val="34"/>
              <w:ind w:firstLine="480"/>
            </w:pPr>
          </w:p>
          <w:p/>
          <w:p/>
        </w:tc>
      </w:tr>
    </w:tbl>
    <w:p>
      <w:pPr>
        <w:pStyle w:val="34"/>
        <w:ind w:firstLine="0" w:firstLineChars="0"/>
        <w:sectPr>
          <w:footerReference r:id="rId3" w:type="default"/>
          <w:pgSz w:w="11906" w:h="16838"/>
          <w:pgMar w:top="1440" w:right="1800" w:bottom="1440" w:left="1800" w:header="851" w:footer="992" w:gutter="0"/>
          <w:pgNumType w:start="1"/>
          <w:cols w:space="425" w:num="1"/>
          <w:docGrid w:type="lines" w:linePitch="312" w:charSpace="0"/>
        </w:sectPr>
      </w:pPr>
    </w:p>
    <w:p>
      <w:pPr>
        <w:pStyle w:val="36"/>
      </w:pPr>
      <w:bookmarkStart w:id="2" w:name="_Toc149605110"/>
      <w:r>
        <w:rPr>
          <w:rFonts w:hint="eastAsia"/>
        </w:rPr>
        <w:t>二、建设内容</w:t>
      </w:r>
      <w:bookmarkEnd w:id="2"/>
    </w:p>
    <w:tbl>
      <w:tblPr>
        <w:tblStyle w:val="27"/>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710" w:type="dxa"/>
            <w:vAlign w:val="center"/>
          </w:tcPr>
          <w:p>
            <w:pPr>
              <w:pStyle w:val="41"/>
            </w:pPr>
            <w:r>
              <w:rPr>
                <w:rFonts w:hint="eastAsia"/>
              </w:rPr>
              <w:t>地理位置</w:t>
            </w:r>
          </w:p>
        </w:tc>
        <w:tc>
          <w:tcPr>
            <w:tcW w:w="8380" w:type="dxa"/>
          </w:tcPr>
          <w:p>
            <w:pPr>
              <w:pStyle w:val="34"/>
              <w:ind w:firstLine="480"/>
            </w:pPr>
            <w:r>
              <w:rPr>
                <w:rFonts w:hint="eastAsia"/>
              </w:rPr>
              <w:t>湘阴县为湖南省岳阳市辖县，位于湖南省东北部，居湘、资两水尾间，濒南洞庭湖。东邻汨罗市、西接益阳市，南界长沙市望城区，北抵沅江市、屈原行政区，介于东经</w:t>
            </w:r>
            <w:r>
              <w:t>112°30′～113°02′</w:t>
            </w:r>
            <w:r>
              <w:rPr>
                <w:rFonts w:hint="eastAsia"/>
              </w:rPr>
              <w:t>，北纬</w:t>
            </w:r>
            <w:r>
              <w:t>28°30′～29°03′</w:t>
            </w:r>
            <w:r>
              <w:rPr>
                <w:rFonts w:hint="eastAsia"/>
              </w:rPr>
              <w:t>之间。南北长</w:t>
            </w:r>
            <w:r>
              <w:t>61</w:t>
            </w:r>
            <w:r>
              <w:rPr>
                <w:rFonts w:hint="eastAsia"/>
              </w:rPr>
              <w:t>公里，东西宽</w:t>
            </w:r>
            <w:r>
              <w:t>51.3</w:t>
            </w:r>
            <w:r>
              <w:rPr>
                <w:rFonts w:hint="eastAsia"/>
              </w:rPr>
              <w:t>公里，面积</w:t>
            </w:r>
            <w:r>
              <w:t>1581.5</w:t>
            </w:r>
            <w:r>
              <w:rPr>
                <w:rFonts w:hint="eastAsia"/>
              </w:rPr>
              <w:t>平方公里，约占岳阳市总面积的</w:t>
            </w:r>
            <w:r>
              <w:t>10.5%</w:t>
            </w:r>
            <w:r>
              <w:rPr>
                <w:rFonts w:hint="eastAsia"/>
              </w:rPr>
              <w:t>，全省总面积的</w:t>
            </w:r>
            <w:r>
              <w:t>0.75%</w:t>
            </w:r>
            <w:r>
              <w:rPr>
                <w:rFonts w:hint="eastAsia"/>
              </w:rPr>
              <w:t>。湘阴县下辖</w:t>
            </w:r>
            <w:r>
              <w:t>2</w:t>
            </w:r>
            <w:r>
              <w:rPr>
                <w:rFonts w:hint="eastAsia"/>
              </w:rPr>
              <w:t>乡</w:t>
            </w:r>
            <w:r>
              <w:t>12</w:t>
            </w:r>
            <w:r>
              <w:rPr>
                <w:rFonts w:hint="eastAsia"/>
              </w:rPr>
              <w:t>镇</w:t>
            </w:r>
            <w:r>
              <w:t>1</w:t>
            </w:r>
            <w:r>
              <w:rPr>
                <w:rFonts w:hint="eastAsia"/>
              </w:rPr>
              <w:t>街道，总面积</w:t>
            </w:r>
            <w:r>
              <w:t>1581.5</w:t>
            </w:r>
            <w:r>
              <w:rPr>
                <w:rFonts w:hint="eastAsia"/>
              </w:rPr>
              <w:t>平方公里。</w:t>
            </w:r>
          </w:p>
          <w:p>
            <w:pPr>
              <w:pStyle w:val="34"/>
              <w:ind w:firstLine="480"/>
            </w:pPr>
            <w:r>
              <w:rPr>
                <w:rFonts w:hint="eastAsia"/>
              </w:rPr>
              <w:t>本项目选址于岳阳市湘阴县岭北镇，主要治理区域为鼻湖及鼻湖周边沟渠，鼻湖中心地理坐标为东经</w:t>
            </w:r>
            <w:r>
              <w:t>112°46′17.02″</w:t>
            </w:r>
            <w:r>
              <w:rPr>
                <w:rFonts w:hint="eastAsia"/>
              </w:rPr>
              <w:t>，北纬</w:t>
            </w:r>
            <w:r>
              <w:t>28°35′40.79″</w:t>
            </w:r>
            <w:r>
              <w:rPr>
                <w:rFonts w:hint="eastAsia"/>
              </w:rPr>
              <w:t>。项目具体地理位置详见附图1。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10" w:type="dxa"/>
            <w:vAlign w:val="center"/>
          </w:tcPr>
          <w:p>
            <w:pPr>
              <w:pStyle w:val="41"/>
            </w:pPr>
            <w:r>
              <w:rPr>
                <w:rFonts w:hint="eastAsia"/>
              </w:rPr>
              <w:t>项目组成及规模</w:t>
            </w:r>
          </w:p>
        </w:tc>
        <w:tc>
          <w:tcPr>
            <w:tcW w:w="8380" w:type="dxa"/>
          </w:tcPr>
          <w:p>
            <w:pPr>
              <w:pStyle w:val="34"/>
              <w:ind w:firstLine="480"/>
            </w:pPr>
            <w:r>
              <w:rPr>
                <w:rFonts w:hint="eastAsia"/>
              </w:rPr>
              <w:t>1、项目由来</w:t>
            </w:r>
          </w:p>
          <w:p>
            <w:pPr>
              <w:pStyle w:val="34"/>
              <w:ind w:firstLine="480"/>
            </w:pPr>
            <w:r>
              <w:rPr>
                <w:rFonts w:hint="eastAsia"/>
              </w:rPr>
              <w:t>鼻湖属洞庭湖水系，是湘阴县生态发展和人民生产生活的主要湖泊。由于湖泊常年的缺乏管理和历史混乱开采原因，部分地段是无堤无坝的自然状态，湖泊防洪能力低，洪水期，湖泊两岸垮塌严重，造成了巨大的损失。加上鼻湖的养殖业，农业面源污染等已严重影响了湖泊的水质。</w:t>
            </w:r>
          </w:p>
          <w:p>
            <w:pPr>
              <w:pStyle w:val="34"/>
              <w:ind w:firstLine="480"/>
            </w:pPr>
            <w:r>
              <w:rPr>
                <w:rFonts w:hint="eastAsia"/>
              </w:rPr>
              <w:t>近年来湘阴县开展了大量水生态环境治理工作，取得了较好的成效，但由于治理难度大，鼻湖依然存在水质有超标风险、生态系统结构不完善等问题。为系统保护湘阴县鼻湖水域水生态环境，保障湘阴县鼻湖水域社会经济的持续稳定发展，推动湘阴县生态文明建设，十四五期间亟需开展湘阴县鼻湖水域水生态修复工作。</w:t>
            </w:r>
          </w:p>
          <w:p>
            <w:pPr>
              <w:pStyle w:val="34"/>
              <w:ind w:firstLine="480"/>
            </w:pPr>
            <w:r>
              <w:rPr>
                <w:rFonts w:hint="eastAsia"/>
              </w:rPr>
              <w:t>在上述背景下，湘阴恒澜水务有限公司拟启动“湘阴县鼻湖清淤疏浚及生态修复项目”的建设，2</w:t>
            </w:r>
            <w:r>
              <w:t>023</w:t>
            </w:r>
            <w:r>
              <w:rPr>
                <w:rFonts w:hint="eastAsia"/>
              </w:rPr>
              <w:t>年5月1</w:t>
            </w:r>
            <w:r>
              <w:t>5</w:t>
            </w:r>
            <w:r>
              <w:rPr>
                <w:rFonts w:hint="eastAsia"/>
              </w:rPr>
              <w:t>日湘阴县人民政府第2</w:t>
            </w:r>
            <w:r>
              <w:t>1</w:t>
            </w:r>
            <w:r>
              <w:rPr>
                <w:rFonts w:hint="eastAsia"/>
              </w:rPr>
              <w:t>次常务会议同意了项目的建设（详见附件2）。2</w:t>
            </w:r>
            <w:r>
              <w:t>023</w:t>
            </w:r>
            <w:r>
              <w:rPr>
                <w:rFonts w:hint="eastAsia"/>
              </w:rPr>
              <w:t>年6月2</w:t>
            </w:r>
            <w:r>
              <w:t>8</w:t>
            </w:r>
            <w:r>
              <w:rPr>
                <w:rFonts w:hint="eastAsia"/>
              </w:rPr>
              <w:t>日建设单位对该项目入库（湘阴县政府性投资重点项目入库）进行了申请，湘阴县自然资源局、湘阴县财政局、湘阴县重点建设项目领导小组办公室等均同意项目入库。</w:t>
            </w:r>
          </w:p>
          <w:p>
            <w:pPr>
              <w:pStyle w:val="34"/>
              <w:ind w:firstLine="480"/>
            </w:pPr>
            <w:r>
              <w:rPr>
                <w:rFonts w:hint="eastAsia"/>
              </w:rPr>
              <w:t>根据《中华人民共和国环境保护法》《中华人民共和国环境影响评价法》《建设项目环境影响评价管理名录（2</w:t>
            </w:r>
            <w:r>
              <w:t>021</w:t>
            </w:r>
            <w:r>
              <w:rPr>
                <w:rFonts w:hint="eastAsia"/>
              </w:rPr>
              <w:t>年版）》等，项目需要进行环境影响评价手续，项目属于《建设项目环境影响评价管理名录（2</w:t>
            </w:r>
            <w:r>
              <w:t>021</w:t>
            </w:r>
            <w:r>
              <w:rPr>
                <w:rFonts w:hint="eastAsia"/>
              </w:rPr>
              <w:t>年版）》中“五十一、水利-</w:t>
            </w:r>
            <w:r>
              <w:t>128</w:t>
            </w:r>
            <w:r>
              <w:rPr>
                <w:rFonts w:hint="eastAsia"/>
              </w:rPr>
              <w:t>、河湖整治（不含农村塘堰、水渠）－其他（不涉及环境敏感区的）”，需要编制环境影响报告表。因此，建设单位委托湖南徐工助成环保技术有限公司（以下简称“我公司”）承担《湘阴县鼻湖清淤疏浚及生态修复项目环境影响报告表》的编制工作。</w:t>
            </w:r>
          </w:p>
          <w:p>
            <w:pPr>
              <w:pStyle w:val="34"/>
              <w:ind w:firstLine="480"/>
              <w:rPr>
                <w:u w:val="single"/>
              </w:rPr>
            </w:pPr>
            <w:r>
              <w:rPr>
                <w:rFonts w:hint="eastAsia"/>
                <w:u w:val="single"/>
              </w:rPr>
              <w:t>2、流域概况</w:t>
            </w:r>
          </w:p>
          <w:p>
            <w:pPr>
              <w:pStyle w:val="34"/>
              <w:ind w:firstLine="480"/>
              <w:rPr>
                <w:u w:val="single"/>
              </w:rPr>
            </w:pPr>
            <w:r>
              <w:rPr>
                <w:rFonts w:hint="eastAsia"/>
                <w:u w:val="single"/>
              </w:rPr>
              <w:t>鼻湖建于1</w:t>
            </w:r>
            <w:r>
              <w:rPr>
                <w:u w:val="single"/>
              </w:rPr>
              <w:t>963</w:t>
            </w:r>
            <w:r>
              <w:rPr>
                <w:rFonts w:hint="eastAsia"/>
                <w:u w:val="single"/>
              </w:rPr>
              <w:t>年，现有水面5</w:t>
            </w:r>
            <w:r>
              <w:rPr>
                <w:u w:val="single"/>
              </w:rPr>
              <w:t>540</w:t>
            </w:r>
            <w:r>
              <w:rPr>
                <w:rFonts w:hint="eastAsia"/>
                <w:u w:val="single"/>
              </w:rPr>
              <w:t>亩，其中精养面积3</w:t>
            </w:r>
            <w:r>
              <w:rPr>
                <w:u w:val="single"/>
              </w:rPr>
              <w:t>740</w:t>
            </w:r>
            <w:r>
              <w:rPr>
                <w:rFonts w:hint="eastAsia"/>
                <w:u w:val="single"/>
              </w:rPr>
              <w:t>亩，湖泊水域面积1</w:t>
            </w:r>
            <w:r>
              <w:rPr>
                <w:u w:val="single"/>
              </w:rPr>
              <w:t>800</w:t>
            </w:r>
            <w:r>
              <w:rPr>
                <w:rFonts w:hint="eastAsia"/>
                <w:u w:val="single"/>
              </w:rPr>
              <w:t>亩，集雨面积1</w:t>
            </w:r>
            <w:r>
              <w:rPr>
                <w:u w:val="single"/>
              </w:rPr>
              <w:t>7.94</w:t>
            </w:r>
            <w:r>
              <w:rPr>
                <w:rFonts w:hint="eastAsia"/>
                <w:u w:val="single"/>
              </w:rPr>
              <w:t>km</w:t>
            </w:r>
            <w:r>
              <w:rPr>
                <w:u w:val="single"/>
                <w:vertAlign w:val="superscript"/>
              </w:rPr>
              <w:t>2</w:t>
            </w:r>
            <w:r>
              <w:rPr>
                <w:rFonts w:hint="eastAsia"/>
                <w:u w:val="single"/>
              </w:rPr>
              <w:t>（约2</w:t>
            </w:r>
            <w:r>
              <w:rPr>
                <w:u w:val="single"/>
              </w:rPr>
              <w:t>7000</w:t>
            </w:r>
            <w:r>
              <w:rPr>
                <w:rFonts w:hint="eastAsia"/>
                <w:u w:val="single"/>
              </w:rPr>
              <w:t>亩），常水位水生1</w:t>
            </w:r>
            <w:r>
              <w:rPr>
                <w:u w:val="single"/>
              </w:rPr>
              <w:t>.8</w:t>
            </w:r>
            <w:r>
              <w:rPr>
                <w:rFonts w:hint="eastAsia"/>
                <w:u w:val="single"/>
              </w:rPr>
              <w:t>m（原设计湖底高程2</w:t>
            </w:r>
            <w:r>
              <w:rPr>
                <w:u w:val="single"/>
              </w:rPr>
              <w:t>5.7</w:t>
            </w:r>
            <w:r>
              <w:rPr>
                <w:rFonts w:hint="eastAsia"/>
                <w:u w:val="single"/>
              </w:rPr>
              <w:t>m，蓄水区间下限2</w:t>
            </w:r>
            <w:r>
              <w:rPr>
                <w:u w:val="single"/>
              </w:rPr>
              <w:t>7.5</w:t>
            </w:r>
            <w:r>
              <w:rPr>
                <w:rFonts w:hint="eastAsia"/>
                <w:u w:val="single"/>
              </w:rPr>
              <w:t>m，对应蓄水深1</w:t>
            </w:r>
            <w:r>
              <w:rPr>
                <w:u w:val="single"/>
              </w:rPr>
              <w:t>.9</w:t>
            </w:r>
            <w:r>
              <w:rPr>
                <w:rFonts w:hint="eastAsia"/>
                <w:u w:val="single"/>
              </w:rPr>
              <w:t>m；蓄水上限2</w:t>
            </w:r>
            <w:r>
              <w:rPr>
                <w:u w:val="single"/>
              </w:rPr>
              <w:t>8.2</w:t>
            </w:r>
            <w:r>
              <w:rPr>
                <w:rFonts w:hint="eastAsia"/>
                <w:u w:val="single"/>
              </w:rPr>
              <w:t>m，对应蓄水深2</w:t>
            </w:r>
            <w:r>
              <w:rPr>
                <w:u w:val="single"/>
              </w:rPr>
              <w:t>.5</w:t>
            </w:r>
            <w:r>
              <w:rPr>
                <w:rFonts w:hint="eastAsia"/>
                <w:u w:val="single"/>
              </w:rPr>
              <w:t>m），平均水面面积3</w:t>
            </w:r>
            <w:r>
              <w:rPr>
                <w:u w:val="single"/>
              </w:rPr>
              <w:t>.693</w:t>
            </w:r>
            <w:r>
              <w:rPr>
                <w:rFonts w:hint="eastAsia"/>
                <w:u w:val="single"/>
              </w:rPr>
              <w:t>km</w:t>
            </w:r>
            <w:r>
              <w:rPr>
                <w:u w:val="single"/>
                <w:vertAlign w:val="superscript"/>
              </w:rPr>
              <w:t>2</w:t>
            </w:r>
            <w:r>
              <w:rPr>
                <w:rFonts w:hint="eastAsia"/>
                <w:u w:val="single"/>
              </w:rPr>
              <w:t>，上限常水位2</w:t>
            </w:r>
            <w:r>
              <w:rPr>
                <w:u w:val="single"/>
              </w:rPr>
              <w:t>8.2</w:t>
            </w:r>
            <w:r>
              <w:rPr>
                <w:rFonts w:hint="eastAsia"/>
                <w:u w:val="single"/>
              </w:rPr>
              <w:t>m湖泊容积3</w:t>
            </w:r>
            <w:r>
              <w:rPr>
                <w:u w:val="single"/>
              </w:rPr>
              <w:t>02</w:t>
            </w:r>
            <w:r>
              <w:rPr>
                <w:rFonts w:hint="eastAsia"/>
                <w:u w:val="single"/>
              </w:rPr>
              <w:t>万m</w:t>
            </w:r>
            <w:r>
              <w:rPr>
                <w:u w:val="single"/>
                <w:vertAlign w:val="superscript"/>
              </w:rPr>
              <w:t>3</w:t>
            </w:r>
            <w:r>
              <w:rPr>
                <w:rFonts w:hint="eastAsia"/>
                <w:u w:val="single"/>
              </w:rPr>
              <w:t>。</w:t>
            </w:r>
            <w:r>
              <w:rPr>
                <w:u w:val="single"/>
              </w:rPr>
              <w:t>2017</w:t>
            </w:r>
            <w:r>
              <w:rPr>
                <w:rFonts w:hint="eastAsia"/>
                <w:u w:val="single"/>
              </w:rPr>
              <w:t>年湘阴县晶和新能源有限公司在鼻湖建设了“岳阳市湘阴县岭北镇鼻湖1</w:t>
            </w:r>
            <w:r>
              <w:rPr>
                <w:u w:val="single"/>
              </w:rPr>
              <w:t>00</w:t>
            </w:r>
            <w:r>
              <w:rPr>
                <w:rFonts w:hint="eastAsia"/>
                <w:u w:val="single"/>
              </w:rPr>
              <w:t>MW鱼光互补项目”，该项目占用水域面积1</w:t>
            </w:r>
            <w:r>
              <w:rPr>
                <w:u w:val="single"/>
              </w:rPr>
              <w:t>800</w:t>
            </w:r>
            <w:r>
              <w:rPr>
                <w:rFonts w:hint="eastAsia"/>
                <w:u w:val="single"/>
              </w:rPr>
              <w:t>亩，该项目于2</w:t>
            </w:r>
            <w:r>
              <w:rPr>
                <w:u w:val="single"/>
              </w:rPr>
              <w:t>020</w:t>
            </w:r>
            <w:r>
              <w:rPr>
                <w:rFonts w:hint="eastAsia"/>
                <w:u w:val="single"/>
              </w:rPr>
              <w:t>年初建设完成，该项目建设后，鼻湖总计水面5</w:t>
            </w:r>
            <w:r>
              <w:rPr>
                <w:u w:val="single"/>
              </w:rPr>
              <w:t>540</w:t>
            </w:r>
            <w:r>
              <w:rPr>
                <w:rFonts w:hint="eastAsia"/>
                <w:u w:val="single"/>
              </w:rPr>
              <w:t>亩，其中精养面积3</w:t>
            </w:r>
            <w:r>
              <w:rPr>
                <w:u w:val="single"/>
              </w:rPr>
              <w:t>740</w:t>
            </w:r>
            <w:r>
              <w:rPr>
                <w:rFonts w:hint="eastAsia"/>
                <w:u w:val="single"/>
              </w:rPr>
              <w:t>亩，鱼光互补面积1</w:t>
            </w:r>
            <w:r>
              <w:rPr>
                <w:u w:val="single"/>
              </w:rPr>
              <w:t>800</w:t>
            </w:r>
            <w:r>
              <w:rPr>
                <w:rFonts w:hint="eastAsia"/>
                <w:u w:val="single"/>
              </w:rPr>
              <w:t>亩。</w:t>
            </w:r>
          </w:p>
          <w:p>
            <w:pPr>
              <w:pStyle w:val="34"/>
              <w:ind w:firstLine="480"/>
              <w:rPr>
                <w:u w:val="single"/>
              </w:rPr>
            </w:pPr>
            <w:r>
              <w:rPr>
                <w:rFonts w:hint="eastAsia"/>
                <w:u w:val="single"/>
              </w:rPr>
              <w:t>鼻湖属于湘江流域，鼻湖主要功能为渔业养殖，兼顾湘江调蓄洪及周边农田灌溉，周边灌溉渠广布，采用水泵进行调度，灌溉期通过水泵将湖内水排入灌溉渠，之后用于周边农田灌溉；汛期需要进行调蓄洪时，通过电排站将湘江水通过渠道排入鼻湖。</w:t>
            </w:r>
          </w:p>
          <w:p>
            <w:pPr>
              <w:pStyle w:val="34"/>
              <w:ind w:firstLine="480"/>
              <w:rPr>
                <w:u w:val="single"/>
              </w:rPr>
            </w:pPr>
            <w:r>
              <w:rPr>
                <w:u w:val="single"/>
              </w:rPr>
              <w:t>3</w:t>
            </w:r>
            <w:r>
              <w:rPr>
                <w:rFonts w:hint="eastAsia"/>
                <w:u w:val="single"/>
              </w:rPr>
              <w:t>、鼻湖主要存在的环境问题</w:t>
            </w:r>
          </w:p>
          <w:p>
            <w:pPr>
              <w:pStyle w:val="34"/>
              <w:ind w:firstLine="480"/>
              <w:rPr>
                <w:u w:val="single"/>
              </w:rPr>
            </w:pPr>
            <w:r>
              <w:rPr>
                <w:rFonts w:hint="eastAsia"/>
                <w:u w:val="single"/>
              </w:rPr>
              <w:t>目前湘阴县鼻湖主要存在如下问题：</w:t>
            </w:r>
          </w:p>
          <w:p>
            <w:pPr>
              <w:pStyle w:val="34"/>
              <w:ind w:firstLine="480"/>
              <w:rPr>
                <w:u w:val="single"/>
              </w:rPr>
            </w:pPr>
            <w:r>
              <w:rPr>
                <w:rFonts w:hint="eastAsia"/>
                <w:u w:val="single"/>
              </w:rPr>
              <w:t>（1）鼻湖周边现有灌溉渠道由于年久失修，功能退化，调配水能力差，无法承担正常的灌溉任务；渠道淤积严重，干渠引水能力降低，灌溉周期长，渠系水利用系数不高，进而导致湖泊淤积严重，排水系统不顺畅，遇大水不能及时排出，造成土地盐碱化，降低周边农作地作物产量。</w:t>
            </w:r>
          </w:p>
          <w:p>
            <w:pPr>
              <w:pStyle w:val="34"/>
              <w:ind w:firstLine="480"/>
              <w:rPr>
                <w:u w:val="single"/>
              </w:rPr>
            </w:pPr>
            <w:r>
              <w:rPr>
                <w:rFonts w:hint="eastAsia"/>
                <w:u w:val="single"/>
              </w:rPr>
              <w:t>（2）湖泊内部分区域由于长期缺失打理，导致藻类及杂草丛生，淤积严重，湖岸带部分区域乱堆生活垃圾、建筑垃圾及杂草等，严重影响湖泊行洪排涝，加速了湖泊淤积，加剧了水环境的恶化。</w:t>
            </w:r>
          </w:p>
          <w:p>
            <w:pPr>
              <w:pStyle w:val="34"/>
              <w:ind w:firstLine="480"/>
              <w:rPr>
                <w:u w:val="single"/>
              </w:rPr>
            </w:pPr>
            <w:r>
              <w:rPr>
                <w:rFonts w:hint="eastAsia"/>
                <w:u w:val="single"/>
              </w:rPr>
              <w:t>（3）由于渔业养殖等人为活动，部分湖岸带遭到破坏，导致水土流失，加速湖泊淤积，加剧水质恶化。</w:t>
            </w:r>
          </w:p>
          <w:p>
            <w:pPr>
              <w:pStyle w:val="34"/>
              <w:ind w:firstLine="480"/>
              <w:rPr>
                <w:u w:val="single"/>
              </w:rPr>
            </w:pPr>
            <w:r>
              <w:rPr>
                <w:rFonts w:hint="eastAsia"/>
                <w:u w:val="single"/>
              </w:rPr>
              <w:t>（4）湖泊目前淤积严重，严重影响了湖泊行洪排涝及水质环境。</w:t>
            </w:r>
          </w:p>
          <w:p>
            <w:pPr>
              <w:pStyle w:val="34"/>
              <w:ind w:firstLine="480"/>
              <w:rPr>
                <w:u w:val="single"/>
              </w:rPr>
            </w:pPr>
            <w:r>
              <w:rPr>
                <w:rFonts w:hint="eastAsia"/>
                <w:u w:val="single"/>
              </w:rPr>
              <w:t>（5）湖泊配套灌溉泵站年久失修，机电、金属结构老化严重，带病运行，影响灌溉功能。</w:t>
            </w:r>
          </w:p>
          <w:p>
            <w:pPr>
              <w:pStyle w:val="34"/>
              <w:ind w:firstLine="480"/>
              <w:rPr>
                <w:u w:val="single"/>
              </w:rPr>
            </w:pPr>
            <w:r>
              <w:rPr>
                <w:u w:val="single"/>
              </w:rPr>
              <w:t>4</w:t>
            </w:r>
            <w:r>
              <w:rPr>
                <w:rFonts w:hint="eastAsia"/>
                <w:u w:val="single"/>
              </w:rPr>
              <w:t>、项目实施的必要性</w:t>
            </w:r>
          </w:p>
          <w:p>
            <w:pPr>
              <w:pStyle w:val="34"/>
              <w:ind w:firstLine="480"/>
              <w:rPr>
                <w:u w:val="single"/>
              </w:rPr>
            </w:pPr>
            <w:r>
              <w:rPr>
                <w:rFonts w:hint="eastAsia"/>
                <w:u w:val="single"/>
              </w:rPr>
              <w:t>（1）项目建设是提高湖泊防洪能力的需要</w:t>
            </w:r>
          </w:p>
          <w:p>
            <w:pPr>
              <w:pStyle w:val="34"/>
              <w:ind w:firstLine="480"/>
              <w:rPr>
                <w:u w:val="single"/>
              </w:rPr>
            </w:pPr>
            <w:r>
              <w:rPr>
                <w:rFonts w:hint="eastAsia"/>
                <w:u w:val="single"/>
              </w:rPr>
              <w:t>由于多种原因，鼻湖出现水位下降，淤塞严重，雨季滞洪削峰作用不明显，湖泊蓄水防洪能力低，增加了长江上游防汛压力。通过湖泊的清淤疏浚，以及对湖堤的加固处理，可以使防洪能力加强，避免和防止不必要的灾害。</w:t>
            </w:r>
          </w:p>
          <w:p>
            <w:pPr>
              <w:pStyle w:val="34"/>
              <w:ind w:firstLine="480"/>
              <w:rPr>
                <w:u w:val="single"/>
              </w:rPr>
            </w:pPr>
            <w:r>
              <w:rPr>
                <w:rFonts w:hint="eastAsia"/>
                <w:u w:val="single"/>
              </w:rPr>
              <w:t>（2）项目建设能有效缓解基础设施建设对砂石资源的需求</w:t>
            </w:r>
          </w:p>
          <w:p>
            <w:pPr>
              <w:pStyle w:val="34"/>
              <w:ind w:firstLine="480"/>
              <w:rPr>
                <w:u w:val="single"/>
              </w:rPr>
            </w:pPr>
            <w:r>
              <w:rPr>
                <w:rFonts w:hint="eastAsia"/>
                <w:u w:val="single"/>
              </w:rPr>
              <w:t>砂石是湖床的重要组成部分，也是国家进行基础设施建设的重要物质资源。随着国民经济的快速发展、城市改造和新农村建设的稳步推进，各类沙料的需求量大增。为维护湖泊堤岸稳定，保障防洪安全、通航安全和基础设施安全，实现砂石资源在保护中开发利用、在利用中更好地保护的目的，就迫切需要对湘阴县重要湖泊进行系统、全面的采砂管理规划，以更好地指导采砂活动，科学、有序地开展湖泊清淤。本项目是保证湖泊堤岸线稳定和防洪、通航、涉湖工程安全及生态与环境保护的需求。本项目清淤总量</w:t>
            </w:r>
            <w:r>
              <w:rPr>
                <w:u w:val="single"/>
              </w:rPr>
              <w:t>314.10 万方，项目清淤砂石能起到</w:t>
            </w:r>
            <w:r>
              <w:rPr>
                <w:rFonts w:hint="eastAsia"/>
                <w:u w:val="single"/>
              </w:rPr>
              <w:t>平抑市场砂石价格，有利于区域经济发展。</w:t>
            </w:r>
          </w:p>
          <w:p>
            <w:pPr>
              <w:pStyle w:val="34"/>
              <w:ind w:firstLine="480"/>
              <w:rPr>
                <w:u w:val="single"/>
              </w:rPr>
            </w:pPr>
            <w:r>
              <w:rPr>
                <w:rFonts w:hint="eastAsia"/>
                <w:u w:val="single"/>
              </w:rPr>
              <w:t>（3）项目建设是生态环境保护需要</w:t>
            </w:r>
          </w:p>
          <w:p>
            <w:pPr>
              <w:pStyle w:val="34"/>
              <w:ind w:firstLine="480"/>
              <w:rPr>
                <w:u w:val="single"/>
              </w:rPr>
            </w:pPr>
            <w:r>
              <w:rPr>
                <w:rFonts w:hint="eastAsia"/>
                <w:u w:val="single"/>
              </w:rPr>
              <w:t>近年来，随着生活水平的提高，人们对生态环境质量的要求越来越高。湘阴县鼻湖清淤疏浚及生态修复项目，通过对原湖泊内洲滩以及淤泥的疏挖，改善了湖泊的水文条件，有利于水体污染物的扩散，漂移和自净，对湖泊的水质改善有利，间接地改善了周边的生态环境。改善水系的水环境质量，将大大改善周边的生态环境，为一方人民生活环境起到了积极的作用。</w:t>
            </w:r>
          </w:p>
          <w:p>
            <w:pPr>
              <w:pStyle w:val="34"/>
              <w:ind w:firstLine="480"/>
              <w:rPr>
                <w:u w:val="single"/>
              </w:rPr>
            </w:pPr>
            <w:r>
              <w:rPr>
                <w:rFonts w:hint="eastAsia"/>
                <w:u w:val="single"/>
              </w:rPr>
              <w:t>（4）项目建设是促进湘阴县经济发展的需要</w:t>
            </w:r>
          </w:p>
          <w:p>
            <w:pPr>
              <w:pStyle w:val="34"/>
              <w:ind w:firstLine="480"/>
              <w:rPr>
                <w:u w:val="single"/>
              </w:rPr>
            </w:pPr>
            <w:r>
              <w:rPr>
                <w:rFonts w:hint="eastAsia"/>
                <w:u w:val="single"/>
              </w:rPr>
              <w:t>湘阴县域内工农业发达，交通便利，文化资源丰富，区域经济在湖南省占有重要地位。近年来，随着县域经济的发展，砂石需求量逐年递增，砂石资源供需矛盾更加突出。为了更合理的利用有限的砂石资源，促进沿线经济的发展，本项目的建设是十分必要的。</w:t>
            </w:r>
          </w:p>
          <w:p>
            <w:pPr>
              <w:pStyle w:val="34"/>
              <w:ind w:firstLine="480"/>
            </w:pPr>
            <w:r>
              <w:t>5</w:t>
            </w:r>
            <w:r>
              <w:rPr>
                <w:rFonts w:hint="eastAsia"/>
              </w:rPr>
              <w:t>、项目建设内容及规模</w:t>
            </w:r>
          </w:p>
          <w:p>
            <w:pPr>
              <w:pStyle w:val="34"/>
              <w:ind w:firstLine="480"/>
            </w:pPr>
            <w:r>
              <w:rPr>
                <w:rFonts w:hint="eastAsia"/>
              </w:rPr>
              <w:t>本项目针对湘阴县鼻湖流域水系存在的问题和实际情况，按照“因势利导、全面规划、远近结合”以及“综合治理、标本兼治”的原则进行整治。采取清障、清淤疏浚、护岸整治，通过治理使湖泊水域条件有所改善。项目工程组成如下：</w:t>
            </w:r>
          </w:p>
          <w:p>
            <w:pPr>
              <w:pStyle w:val="39"/>
              <w:spacing w:before="156"/>
            </w:pPr>
            <w:r>
              <w:rPr>
                <w:rFonts w:hint="eastAsia"/>
              </w:rPr>
              <w:t>表2</w:t>
            </w:r>
            <w:r>
              <w:t>-1</w:t>
            </w:r>
            <w:r>
              <w:rPr>
                <w:rFonts w:hint="eastAsia"/>
              </w:rPr>
              <w:t>项目工程组成表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9"/>
              <w:gridCol w:w="6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pStyle w:val="41"/>
                  </w:pPr>
                  <w:r>
                    <w:rPr>
                      <w:rFonts w:hint="eastAsia"/>
                    </w:rPr>
                    <w:t>类型</w:t>
                  </w:r>
                </w:p>
              </w:tc>
              <w:tc>
                <w:tcPr>
                  <w:tcW w:w="1044" w:type="pct"/>
                  <w:vAlign w:val="center"/>
                </w:tcPr>
                <w:p>
                  <w:pPr>
                    <w:pStyle w:val="41"/>
                  </w:pPr>
                  <w:r>
                    <w:rPr>
                      <w:rFonts w:hint="eastAsia"/>
                    </w:rPr>
                    <w:t>项目</w:t>
                  </w:r>
                </w:p>
              </w:tc>
              <w:tc>
                <w:tcPr>
                  <w:tcW w:w="3526" w:type="pct"/>
                  <w:vAlign w:val="center"/>
                </w:tcPr>
                <w:p>
                  <w:pPr>
                    <w:pStyle w:val="41"/>
                  </w:pPr>
                  <w:r>
                    <w:rPr>
                      <w:rFonts w:hint="eastAsia"/>
                    </w:rPr>
                    <w:t>建设内容及规模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restart"/>
                  <w:vAlign w:val="center"/>
                </w:tcPr>
                <w:p>
                  <w:pPr>
                    <w:pStyle w:val="41"/>
                  </w:pPr>
                  <w:r>
                    <w:rPr>
                      <w:rFonts w:hint="eastAsia"/>
                    </w:rPr>
                    <w:t>主体工程</w:t>
                  </w:r>
                </w:p>
              </w:tc>
              <w:tc>
                <w:tcPr>
                  <w:tcW w:w="1044" w:type="pct"/>
                  <w:vAlign w:val="center"/>
                </w:tcPr>
                <w:p>
                  <w:pPr>
                    <w:pStyle w:val="41"/>
                  </w:pPr>
                  <w:r>
                    <w:rPr>
                      <w:rFonts w:hint="eastAsia"/>
                    </w:rPr>
                    <w:t>渠道整治</w:t>
                  </w:r>
                </w:p>
              </w:tc>
              <w:tc>
                <w:tcPr>
                  <w:tcW w:w="3526" w:type="pct"/>
                  <w:vAlign w:val="center"/>
                </w:tcPr>
                <w:p>
                  <w:pPr>
                    <w:pStyle w:val="41"/>
                  </w:pPr>
                  <w:r>
                    <w:t>修复鼻湖周边灌溉排水渠道13.07km</w:t>
                  </w:r>
                  <w:r>
                    <w:rPr>
                      <w:rFonts w:hint="eastAsia"/>
                    </w:rPr>
                    <w:t>，改造泵站6座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vAlign w:val="center"/>
                </w:tcPr>
                <w:p>
                  <w:pPr>
                    <w:pStyle w:val="41"/>
                  </w:pPr>
                </w:p>
              </w:tc>
              <w:tc>
                <w:tcPr>
                  <w:tcW w:w="1044" w:type="pct"/>
                  <w:vAlign w:val="center"/>
                </w:tcPr>
                <w:p>
                  <w:pPr>
                    <w:pStyle w:val="41"/>
                  </w:pPr>
                  <w:r>
                    <w:rPr>
                      <w:rFonts w:hint="eastAsia"/>
                    </w:rPr>
                    <w:t>湖泊清障</w:t>
                  </w:r>
                </w:p>
              </w:tc>
              <w:tc>
                <w:tcPr>
                  <w:tcW w:w="3526" w:type="pct"/>
                  <w:vAlign w:val="center"/>
                </w:tcPr>
                <w:p>
                  <w:pPr>
                    <w:pStyle w:val="41"/>
                  </w:pPr>
                  <w:r>
                    <w:t>挖除运出湖泊内阻水树木、垃圾弃土、卵石</w:t>
                  </w:r>
                  <w:r>
                    <w:rPr>
                      <w:rFonts w:hint="eastAsia"/>
                    </w:rPr>
                    <w:t>乱堆，清障总量</w:t>
                  </w:r>
                  <w:r>
                    <w:t>53.38万m</w:t>
                  </w:r>
                  <w:r>
                    <w:rPr>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vAlign w:val="center"/>
                </w:tcPr>
                <w:p>
                  <w:pPr>
                    <w:pStyle w:val="41"/>
                  </w:pPr>
                </w:p>
              </w:tc>
              <w:tc>
                <w:tcPr>
                  <w:tcW w:w="1044" w:type="pct"/>
                  <w:vAlign w:val="center"/>
                </w:tcPr>
                <w:p>
                  <w:pPr>
                    <w:pStyle w:val="41"/>
                  </w:pPr>
                  <w:r>
                    <w:t>湖泊清淤疏浚</w:t>
                  </w:r>
                </w:p>
              </w:tc>
              <w:tc>
                <w:tcPr>
                  <w:tcW w:w="3526" w:type="pct"/>
                  <w:vAlign w:val="center"/>
                </w:tcPr>
                <w:p>
                  <w:pPr>
                    <w:pStyle w:val="41"/>
                  </w:pPr>
                  <w:r>
                    <w:t>整治内湖水域总面积205.29万</w:t>
                  </w:r>
                  <w:r>
                    <w:rPr>
                      <w:rFonts w:hint="eastAsia"/>
                    </w:rPr>
                    <w:t>m</w:t>
                  </w:r>
                  <w:r>
                    <w:rPr>
                      <w:rFonts w:hint="eastAsia"/>
                      <w:vertAlign w:val="superscript"/>
                    </w:rPr>
                    <w:t>2</w:t>
                  </w:r>
                  <w:r>
                    <w:t>，清</w:t>
                  </w:r>
                  <w:r>
                    <w:rPr>
                      <w:rFonts w:hint="eastAsia"/>
                    </w:rPr>
                    <w:t>淤总量</w:t>
                  </w:r>
                  <w:r>
                    <w:t>314.10万m</w:t>
                  </w:r>
                  <w:r>
                    <w:rPr>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vAlign w:val="center"/>
                </w:tcPr>
                <w:p>
                  <w:pPr>
                    <w:pStyle w:val="41"/>
                  </w:pPr>
                </w:p>
              </w:tc>
              <w:tc>
                <w:tcPr>
                  <w:tcW w:w="1044" w:type="pct"/>
                  <w:vAlign w:val="center"/>
                </w:tcPr>
                <w:p>
                  <w:pPr>
                    <w:pStyle w:val="41"/>
                  </w:pPr>
                  <w:r>
                    <w:t>滨岸带整治</w:t>
                  </w:r>
                </w:p>
              </w:tc>
              <w:tc>
                <w:tcPr>
                  <w:tcW w:w="3526" w:type="pct"/>
                  <w:vAlign w:val="center"/>
                </w:tcPr>
                <w:p>
                  <w:pPr>
                    <w:pStyle w:val="41"/>
                  </w:pPr>
                  <w:r>
                    <w:t>整治沿线驳岸及雷诺护坡，驳岸总长15.85km，雷诺护坡面积4.76</w:t>
                  </w:r>
                  <w:r>
                    <w:rPr>
                      <w:rFonts w:hint="eastAsia"/>
                    </w:rPr>
                    <w:t>万m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vAlign w:val="center"/>
                </w:tcPr>
                <w:p>
                  <w:pPr>
                    <w:pStyle w:val="41"/>
                  </w:pPr>
                </w:p>
              </w:tc>
              <w:tc>
                <w:tcPr>
                  <w:tcW w:w="1044" w:type="pct"/>
                  <w:vAlign w:val="center"/>
                </w:tcPr>
                <w:p>
                  <w:pPr>
                    <w:pStyle w:val="41"/>
                  </w:pPr>
                  <w:r>
                    <w:t>水生植被构建</w:t>
                  </w:r>
                </w:p>
              </w:tc>
              <w:tc>
                <w:tcPr>
                  <w:tcW w:w="3526" w:type="pct"/>
                  <w:vAlign w:val="center"/>
                </w:tcPr>
                <w:p>
                  <w:pPr>
                    <w:pStyle w:val="41"/>
                  </w:pPr>
                  <w:r>
                    <w:t>构建挺水、浮叶、沉水植物3.74万m</w:t>
                  </w:r>
                  <w:r>
                    <w:rPr>
                      <w:vertAlign w:val="superscript"/>
                    </w:rPr>
                    <w:t>2</w:t>
                  </w:r>
                  <w:r>
                    <w:t>、</w:t>
                  </w:r>
                  <w:r>
                    <w:rPr>
                      <w:rFonts w:hint="eastAsia"/>
                    </w:rPr>
                    <w:t>鱼类产卵场</w:t>
                  </w:r>
                  <w:r>
                    <w:t>3处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restart"/>
                  <w:vAlign w:val="center"/>
                </w:tcPr>
                <w:p>
                  <w:pPr>
                    <w:pStyle w:val="41"/>
                  </w:pPr>
                  <w:r>
                    <w:rPr>
                      <w:rFonts w:hint="eastAsia"/>
                    </w:rPr>
                    <w:t>临时工程</w:t>
                  </w:r>
                </w:p>
              </w:tc>
              <w:tc>
                <w:tcPr>
                  <w:tcW w:w="1044" w:type="pct"/>
                  <w:vAlign w:val="center"/>
                </w:tcPr>
                <w:p>
                  <w:pPr>
                    <w:pStyle w:val="41"/>
                  </w:pPr>
                  <w:r>
                    <w:rPr>
                      <w:rFonts w:hint="eastAsia"/>
                    </w:rPr>
                    <w:t>污泥干化池</w:t>
                  </w:r>
                </w:p>
              </w:tc>
              <w:tc>
                <w:tcPr>
                  <w:tcW w:w="3526" w:type="pct"/>
                  <w:vAlign w:val="center"/>
                </w:tcPr>
                <w:p>
                  <w:pPr>
                    <w:pStyle w:val="41"/>
                  </w:pPr>
                  <w:r>
                    <w:rPr>
                      <w:rFonts w:hint="eastAsia"/>
                    </w:rPr>
                    <w:t>设置临时污泥干化场1处，用于鼻湖清淤疏浚工程清理的淤泥脱水处理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vAlign w:val="center"/>
                </w:tcPr>
                <w:p>
                  <w:pPr>
                    <w:pStyle w:val="41"/>
                  </w:pPr>
                </w:p>
              </w:tc>
              <w:tc>
                <w:tcPr>
                  <w:tcW w:w="1044" w:type="pct"/>
                  <w:vAlign w:val="center"/>
                </w:tcPr>
                <w:p>
                  <w:pPr>
                    <w:pStyle w:val="41"/>
                  </w:pPr>
                  <w:r>
                    <w:rPr>
                      <w:rFonts w:hint="eastAsia"/>
                    </w:rPr>
                    <w:t>临时污水处理设施</w:t>
                  </w:r>
                </w:p>
              </w:tc>
              <w:tc>
                <w:tcPr>
                  <w:tcW w:w="3526" w:type="pct"/>
                  <w:vAlign w:val="center"/>
                </w:tcPr>
                <w:p>
                  <w:pPr>
                    <w:pStyle w:val="41"/>
                  </w:pPr>
                  <w:r>
                    <w:rPr>
                      <w:rFonts w:hint="eastAsia"/>
                    </w:rPr>
                    <w:t>设置临时污水处理设施1套，用于淤泥处理尾水、施工废水等处理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restart"/>
                  <w:vAlign w:val="center"/>
                </w:tcPr>
                <w:p>
                  <w:pPr>
                    <w:pStyle w:val="41"/>
                  </w:pPr>
                  <w:r>
                    <w:rPr>
                      <w:rFonts w:hint="eastAsia"/>
                    </w:rPr>
                    <w:t>公用工程</w:t>
                  </w:r>
                </w:p>
              </w:tc>
              <w:tc>
                <w:tcPr>
                  <w:tcW w:w="1044" w:type="pct"/>
                  <w:vAlign w:val="center"/>
                </w:tcPr>
                <w:p>
                  <w:pPr>
                    <w:pStyle w:val="41"/>
                  </w:pPr>
                  <w:r>
                    <w:rPr>
                      <w:rFonts w:hint="eastAsia"/>
                    </w:rPr>
                    <w:t>供电系统</w:t>
                  </w:r>
                </w:p>
              </w:tc>
              <w:tc>
                <w:tcPr>
                  <w:tcW w:w="3526" w:type="pct"/>
                  <w:vAlign w:val="center"/>
                </w:tcPr>
                <w:p>
                  <w:pPr>
                    <w:pStyle w:val="41"/>
                  </w:pPr>
                  <w:r>
                    <w:rPr>
                      <w:rFonts w:hint="eastAsia"/>
                    </w:rPr>
                    <w:t>市政电网供电，从周边乡镇变电箱接电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vAlign w:val="center"/>
                </w:tcPr>
                <w:p>
                  <w:pPr>
                    <w:pStyle w:val="41"/>
                  </w:pPr>
                </w:p>
              </w:tc>
              <w:tc>
                <w:tcPr>
                  <w:tcW w:w="1044" w:type="pct"/>
                  <w:vAlign w:val="center"/>
                </w:tcPr>
                <w:p>
                  <w:pPr>
                    <w:pStyle w:val="41"/>
                  </w:pPr>
                  <w:r>
                    <w:rPr>
                      <w:rFonts w:hint="eastAsia"/>
                    </w:rPr>
                    <w:t>供水系统</w:t>
                  </w:r>
                </w:p>
              </w:tc>
              <w:tc>
                <w:tcPr>
                  <w:tcW w:w="3526" w:type="pct"/>
                  <w:vAlign w:val="center"/>
                </w:tcPr>
                <w:p>
                  <w:pPr>
                    <w:pStyle w:val="41"/>
                  </w:pPr>
                  <w:r>
                    <w:rPr>
                      <w:rFonts w:hint="eastAsia"/>
                    </w:rPr>
                    <w:t>施工期租赁周边民房作为施工营地，依托租赁民房现有供水系统供水，水源为当地自来水公司供水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vAlign w:val="center"/>
                </w:tcPr>
                <w:p>
                  <w:pPr>
                    <w:pStyle w:val="41"/>
                  </w:pPr>
                </w:p>
              </w:tc>
              <w:tc>
                <w:tcPr>
                  <w:tcW w:w="1044" w:type="pct"/>
                  <w:vAlign w:val="center"/>
                </w:tcPr>
                <w:p>
                  <w:pPr>
                    <w:pStyle w:val="41"/>
                  </w:pPr>
                  <w:r>
                    <w:rPr>
                      <w:rFonts w:hint="eastAsia"/>
                    </w:rPr>
                    <w:t>排水系统</w:t>
                  </w:r>
                </w:p>
              </w:tc>
              <w:tc>
                <w:tcPr>
                  <w:tcW w:w="3526" w:type="pct"/>
                  <w:vAlign w:val="center"/>
                </w:tcPr>
                <w:p>
                  <w:pPr>
                    <w:pStyle w:val="41"/>
                  </w:pPr>
                  <w:r>
                    <w:rPr>
                      <w:rFonts w:hint="eastAsia"/>
                    </w:rPr>
                    <w:t>施工期生活污水依托租赁民房生活污水处理设施处理后排放；施工期淤泥干化尾水采用一体化处理设施处理达标后排入鼻湖；项目运营期无废水产生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restart"/>
                  <w:vAlign w:val="center"/>
                </w:tcPr>
                <w:p>
                  <w:pPr>
                    <w:pStyle w:val="41"/>
                  </w:pPr>
                  <w:r>
                    <w:rPr>
                      <w:rFonts w:hint="eastAsia"/>
                    </w:rPr>
                    <w:t>环保工程</w:t>
                  </w:r>
                </w:p>
              </w:tc>
              <w:tc>
                <w:tcPr>
                  <w:tcW w:w="1044" w:type="pct"/>
                  <w:vAlign w:val="center"/>
                </w:tcPr>
                <w:p>
                  <w:pPr>
                    <w:pStyle w:val="41"/>
                  </w:pPr>
                  <w:r>
                    <w:rPr>
                      <w:rFonts w:hint="eastAsia"/>
                    </w:rPr>
                    <w:t>废气处理</w:t>
                  </w:r>
                </w:p>
              </w:tc>
              <w:tc>
                <w:tcPr>
                  <w:tcW w:w="3526" w:type="pct"/>
                  <w:vAlign w:val="center"/>
                </w:tcPr>
                <w:p>
                  <w:pPr>
                    <w:pStyle w:val="41"/>
                    <w:jc w:val="both"/>
                  </w:pPr>
                  <w:r>
                    <w:rPr>
                      <w:rFonts w:hint="eastAsia"/>
                    </w:rPr>
                    <w:t>施工期：洒水降尘、设置围挡、运输粉状物料的车辆加盖防尘布等；加强管理、保持道路畅通；及时清理转运淤泥</w:t>
                  </w:r>
                </w:p>
                <w:p>
                  <w:pPr>
                    <w:pStyle w:val="41"/>
                    <w:jc w:val="both"/>
                  </w:pPr>
                  <w:r>
                    <w:rPr>
                      <w:rFonts w:hint="eastAsia"/>
                    </w:rPr>
                    <w:t>运营期：运营期无废气产生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vAlign w:val="center"/>
                </w:tcPr>
                <w:p>
                  <w:pPr>
                    <w:pStyle w:val="41"/>
                  </w:pPr>
                </w:p>
              </w:tc>
              <w:tc>
                <w:tcPr>
                  <w:tcW w:w="1044" w:type="pct"/>
                  <w:vAlign w:val="center"/>
                </w:tcPr>
                <w:p>
                  <w:pPr>
                    <w:pStyle w:val="41"/>
                  </w:pPr>
                  <w:r>
                    <w:rPr>
                      <w:rFonts w:hint="eastAsia"/>
                    </w:rPr>
                    <w:t>废水处理</w:t>
                  </w:r>
                </w:p>
              </w:tc>
              <w:tc>
                <w:tcPr>
                  <w:tcW w:w="3526" w:type="pct"/>
                  <w:vAlign w:val="center"/>
                </w:tcPr>
                <w:p>
                  <w:pPr>
                    <w:pStyle w:val="41"/>
                    <w:jc w:val="both"/>
                  </w:pPr>
                  <w:r>
                    <w:rPr>
                      <w:rFonts w:hint="eastAsia"/>
                    </w:rPr>
                    <w:t>施工期：生活污水依托租赁民房生活污水处理设施处理后排放；施工期淤泥干化尾水采用一体化处理设施处理达标后排入鼻湖；</w:t>
                  </w:r>
                </w:p>
                <w:p>
                  <w:pPr>
                    <w:pStyle w:val="41"/>
                    <w:jc w:val="both"/>
                  </w:pPr>
                  <w:r>
                    <w:rPr>
                      <w:rFonts w:hint="eastAsia"/>
                    </w:rPr>
                    <w:t>运营期：无废水产生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vAlign w:val="center"/>
                </w:tcPr>
                <w:p>
                  <w:pPr>
                    <w:pStyle w:val="41"/>
                  </w:pPr>
                </w:p>
              </w:tc>
              <w:tc>
                <w:tcPr>
                  <w:tcW w:w="1044" w:type="pct"/>
                  <w:vAlign w:val="center"/>
                </w:tcPr>
                <w:p>
                  <w:pPr>
                    <w:pStyle w:val="41"/>
                  </w:pPr>
                  <w:r>
                    <w:rPr>
                      <w:rFonts w:hint="eastAsia"/>
                    </w:rPr>
                    <w:t>噪声处理</w:t>
                  </w:r>
                </w:p>
              </w:tc>
              <w:tc>
                <w:tcPr>
                  <w:tcW w:w="3526" w:type="pct"/>
                  <w:vAlign w:val="center"/>
                </w:tcPr>
                <w:p>
                  <w:pPr>
                    <w:pStyle w:val="41"/>
                    <w:jc w:val="both"/>
                    <w:rPr>
                      <w:szCs w:val="21"/>
                    </w:rPr>
                  </w:pPr>
                  <w:r>
                    <w:rPr>
                      <w:rFonts w:hint="eastAsia"/>
                    </w:rPr>
                    <w:t>施工期：</w:t>
                  </w:r>
                  <w:r>
                    <w:rPr>
                      <w:szCs w:val="21"/>
                    </w:rPr>
                    <w:t>合理布局、选择低噪声施工设备、控制施工时间、对设备及时进行维护；控制行车速度及禁鸣喇叭</w:t>
                  </w:r>
                </w:p>
                <w:p>
                  <w:pPr>
                    <w:pStyle w:val="41"/>
                    <w:jc w:val="both"/>
                  </w:pPr>
                  <w:r>
                    <w:rPr>
                      <w:rFonts w:hint="eastAsia"/>
                      <w:szCs w:val="21"/>
                    </w:rPr>
                    <w:t>运营期：无噪声产生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Merge w:val="continue"/>
                  <w:vAlign w:val="center"/>
                </w:tcPr>
                <w:p>
                  <w:pPr>
                    <w:pStyle w:val="41"/>
                  </w:pPr>
                </w:p>
              </w:tc>
              <w:tc>
                <w:tcPr>
                  <w:tcW w:w="1044" w:type="pct"/>
                  <w:vAlign w:val="center"/>
                </w:tcPr>
                <w:p>
                  <w:pPr>
                    <w:pStyle w:val="41"/>
                  </w:pPr>
                  <w:r>
                    <w:rPr>
                      <w:rFonts w:hint="eastAsia"/>
                    </w:rPr>
                    <w:t>固废处理</w:t>
                  </w:r>
                </w:p>
              </w:tc>
              <w:tc>
                <w:tcPr>
                  <w:tcW w:w="3526" w:type="pct"/>
                  <w:vAlign w:val="center"/>
                </w:tcPr>
                <w:p>
                  <w:pPr>
                    <w:pStyle w:val="41"/>
                    <w:jc w:val="both"/>
                  </w:pPr>
                  <w:r>
                    <w:rPr>
                      <w:rFonts w:hint="eastAsia"/>
                    </w:rPr>
                    <w:t>施工期：建筑垃圾运至指定地点处理，产生后立即清运，不设置堆存场所；淤泥清理出后立即运至干化场，脱水后用作农肥或外售制砖，不再设置堆存场所；生活垃圾环卫部门清运，可运至发电厂焚烧发电。</w:t>
                  </w:r>
                </w:p>
                <w:p>
                  <w:pPr>
                    <w:pStyle w:val="41"/>
                    <w:jc w:val="both"/>
                  </w:pPr>
                  <w:r>
                    <w:rPr>
                      <w:rFonts w:hint="eastAsia"/>
                    </w:rPr>
                    <w:t>运营期：无固废产生</w:t>
                  </w:r>
                </w:p>
              </w:tc>
            </w:tr>
          </w:tbl>
          <w:p>
            <w:pPr>
              <w:pStyle w:val="34"/>
              <w:ind w:firstLine="480"/>
            </w:pPr>
            <w:r>
              <w:t>6</w:t>
            </w:r>
            <w:r>
              <w:rPr>
                <w:rFonts w:hint="eastAsia"/>
              </w:rPr>
              <w:t>、主要经济技术指标</w:t>
            </w:r>
          </w:p>
          <w:p>
            <w:pPr>
              <w:pStyle w:val="39"/>
              <w:spacing w:before="156"/>
            </w:pPr>
            <w:r>
              <w:rPr>
                <w:rFonts w:hint="eastAsia"/>
              </w:rPr>
              <w:t>表2</w:t>
            </w:r>
            <w:r>
              <w:t>-2</w:t>
            </w:r>
            <w:r>
              <w:rPr>
                <w:rFonts w:hint="eastAsia"/>
              </w:rPr>
              <w:t>主要经济技术指标汇总表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3850"/>
              <w:gridCol w:w="1204"/>
              <w:gridCol w:w="1816"/>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3" w:type="pct"/>
                  <w:shd w:val="clear" w:color="auto" w:fill="auto"/>
                </w:tcPr>
                <w:p>
                  <w:pPr>
                    <w:pStyle w:val="41"/>
                    <w:rPr>
                      <w:szCs w:val="21"/>
                    </w:rPr>
                  </w:pPr>
                  <w:r>
                    <w:rPr>
                      <w:szCs w:val="21"/>
                    </w:rPr>
                    <w:t>序号</w:t>
                  </w:r>
                </w:p>
              </w:tc>
              <w:tc>
                <w:tcPr>
                  <w:tcW w:w="2063" w:type="pct"/>
                  <w:shd w:val="clear" w:color="auto" w:fill="auto"/>
                </w:tcPr>
                <w:p>
                  <w:pPr>
                    <w:pStyle w:val="41"/>
                    <w:rPr>
                      <w:szCs w:val="21"/>
                    </w:rPr>
                  </w:pPr>
                  <w:r>
                    <w:rPr>
                      <w:szCs w:val="21"/>
                    </w:rPr>
                    <w:t>内容</w:t>
                  </w:r>
                </w:p>
              </w:tc>
              <w:tc>
                <w:tcPr>
                  <w:tcW w:w="645" w:type="pct"/>
                  <w:shd w:val="clear" w:color="auto" w:fill="auto"/>
                </w:tcPr>
                <w:p>
                  <w:pPr>
                    <w:pStyle w:val="41"/>
                    <w:rPr>
                      <w:szCs w:val="21"/>
                    </w:rPr>
                  </w:pPr>
                  <w:r>
                    <w:rPr>
                      <w:szCs w:val="21"/>
                    </w:rPr>
                    <w:t>单位</w:t>
                  </w:r>
                </w:p>
              </w:tc>
              <w:tc>
                <w:tcPr>
                  <w:tcW w:w="973" w:type="pct"/>
                  <w:shd w:val="clear" w:color="auto" w:fill="auto"/>
                </w:tcPr>
                <w:p>
                  <w:pPr>
                    <w:pStyle w:val="41"/>
                    <w:rPr>
                      <w:szCs w:val="21"/>
                    </w:rPr>
                  </w:pPr>
                  <w:r>
                    <w:rPr>
                      <w:szCs w:val="21"/>
                    </w:rPr>
                    <w:t>数量</w:t>
                  </w:r>
                </w:p>
              </w:tc>
              <w:tc>
                <w:tcPr>
                  <w:tcW w:w="566" w:type="pct"/>
                  <w:shd w:val="clear" w:color="auto" w:fill="auto"/>
                </w:tcPr>
                <w:p>
                  <w:pPr>
                    <w:pStyle w:val="41"/>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3" w:type="pct"/>
                  <w:shd w:val="clear" w:color="auto" w:fill="auto"/>
                </w:tcPr>
                <w:p>
                  <w:pPr>
                    <w:pStyle w:val="41"/>
                    <w:rPr>
                      <w:szCs w:val="21"/>
                    </w:rPr>
                  </w:pPr>
                  <w:r>
                    <w:rPr>
                      <w:szCs w:val="21"/>
                    </w:rPr>
                    <w:t>一</w:t>
                  </w:r>
                </w:p>
              </w:tc>
              <w:tc>
                <w:tcPr>
                  <w:tcW w:w="2063" w:type="pct"/>
                  <w:shd w:val="clear" w:color="auto" w:fill="auto"/>
                </w:tcPr>
                <w:p>
                  <w:pPr>
                    <w:pStyle w:val="41"/>
                    <w:rPr>
                      <w:szCs w:val="21"/>
                    </w:rPr>
                  </w:pPr>
                  <w:r>
                    <w:rPr>
                      <w:szCs w:val="21"/>
                    </w:rPr>
                    <w:t>主要技术指标</w:t>
                  </w:r>
                </w:p>
              </w:tc>
              <w:tc>
                <w:tcPr>
                  <w:tcW w:w="645" w:type="pct"/>
                  <w:shd w:val="clear" w:color="auto" w:fill="auto"/>
                </w:tcPr>
                <w:p>
                  <w:pPr>
                    <w:pStyle w:val="41"/>
                    <w:rPr>
                      <w:rFonts w:eastAsia="等线"/>
                      <w:szCs w:val="21"/>
                    </w:rPr>
                  </w:pPr>
                  <w:r>
                    <w:rPr>
                      <w:rFonts w:eastAsia="等线"/>
                      <w:szCs w:val="21"/>
                    </w:rPr>
                    <w:t>　</w:t>
                  </w:r>
                </w:p>
              </w:tc>
              <w:tc>
                <w:tcPr>
                  <w:tcW w:w="973" w:type="pct"/>
                  <w:shd w:val="clear" w:color="auto" w:fill="auto"/>
                </w:tcPr>
                <w:p>
                  <w:pPr>
                    <w:pStyle w:val="41"/>
                    <w:rPr>
                      <w:rFonts w:eastAsia="等线"/>
                      <w:szCs w:val="21"/>
                    </w:rPr>
                  </w:pPr>
                  <w:r>
                    <w:rPr>
                      <w:rFonts w:eastAsia="等线"/>
                      <w:szCs w:val="21"/>
                    </w:rPr>
                    <w:t>　</w:t>
                  </w:r>
                </w:p>
              </w:tc>
              <w:tc>
                <w:tcPr>
                  <w:tcW w:w="566" w:type="pct"/>
                  <w:shd w:val="clear" w:color="auto" w:fill="auto"/>
                </w:tcPr>
                <w:p>
                  <w:pPr>
                    <w:pStyle w:val="41"/>
                    <w:rPr>
                      <w:rFonts w:eastAsia="等线"/>
                      <w:szCs w:val="21"/>
                    </w:rPr>
                  </w:pPr>
                  <w:r>
                    <w:rPr>
                      <w:rFonts w:eastAsia="等线"/>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3" w:type="pct"/>
                  <w:shd w:val="clear" w:color="auto" w:fill="auto"/>
                </w:tcPr>
                <w:p>
                  <w:pPr>
                    <w:pStyle w:val="41"/>
                    <w:rPr>
                      <w:rFonts w:eastAsia="等线"/>
                      <w:szCs w:val="21"/>
                    </w:rPr>
                  </w:pPr>
                  <w:r>
                    <w:rPr>
                      <w:rFonts w:eastAsia="等线"/>
                      <w:szCs w:val="21"/>
                    </w:rPr>
                    <w:t>1</w:t>
                  </w:r>
                </w:p>
              </w:tc>
              <w:tc>
                <w:tcPr>
                  <w:tcW w:w="2063" w:type="pct"/>
                  <w:shd w:val="clear" w:color="auto" w:fill="auto"/>
                </w:tcPr>
                <w:p>
                  <w:pPr>
                    <w:pStyle w:val="41"/>
                    <w:rPr>
                      <w:szCs w:val="21"/>
                    </w:rPr>
                  </w:pPr>
                  <w:r>
                    <w:rPr>
                      <w:szCs w:val="21"/>
                    </w:rPr>
                    <w:t>渠道整治工程</w:t>
                  </w:r>
                </w:p>
              </w:tc>
              <w:tc>
                <w:tcPr>
                  <w:tcW w:w="645" w:type="pct"/>
                  <w:shd w:val="clear" w:color="auto" w:fill="auto"/>
                </w:tcPr>
                <w:p>
                  <w:pPr>
                    <w:pStyle w:val="41"/>
                    <w:rPr>
                      <w:rFonts w:eastAsia="等线"/>
                      <w:szCs w:val="21"/>
                    </w:rPr>
                  </w:pPr>
                  <w:r>
                    <w:rPr>
                      <w:rFonts w:eastAsia="等线"/>
                      <w:szCs w:val="21"/>
                    </w:rPr>
                    <w:t>km</w:t>
                  </w:r>
                </w:p>
              </w:tc>
              <w:tc>
                <w:tcPr>
                  <w:tcW w:w="973" w:type="pct"/>
                  <w:shd w:val="clear" w:color="auto" w:fill="auto"/>
                </w:tcPr>
                <w:p>
                  <w:pPr>
                    <w:pStyle w:val="41"/>
                    <w:rPr>
                      <w:rFonts w:eastAsia="等线"/>
                      <w:szCs w:val="21"/>
                    </w:rPr>
                  </w:pPr>
                  <w:r>
                    <w:rPr>
                      <w:rFonts w:eastAsia="等线"/>
                      <w:szCs w:val="21"/>
                    </w:rPr>
                    <w:t>13.07</w:t>
                  </w:r>
                </w:p>
              </w:tc>
              <w:tc>
                <w:tcPr>
                  <w:tcW w:w="566" w:type="pct"/>
                  <w:shd w:val="clear" w:color="auto" w:fill="auto"/>
                </w:tcPr>
                <w:p>
                  <w:pPr>
                    <w:pStyle w:val="41"/>
                    <w:rPr>
                      <w:rFonts w:eastAsia="等线"/>
                      <w:szCs w:val="21"/>
                    </w:rPr>
                  </w:pPr>
                  <w:r>
                    <w:rPr>
                      <w:rFonts w:eastAsia="等线"/>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3" w:type="pct"/>
                  <w:shd w:val="clear" w:color="auto" w:fill="auto"/>
                </w:tcPr>
                <w:p>
                  <w:pPr>
                    <w:pStyle w:val="41"/>
                    <w:rPr>
                      <w:rFonts w:eastAsia="等线"/>
                      <w:szCs w:val="21"/>
                    </w:rPr>
                  </w:pPr>
                  <w:r>
                    <w:rPr>
                      <w:rFonts w:eastAsia="等线"/>
                      <w:szCs w:val="21"/>
                    </w:rPr>
                    <w:t>2</w:t>
                  </w:r>
                </w:p>
              </w:tc>
              <w:tc>
                <w:tcPr>
                  <w:tcW w:w="2063" w:type="pct"/>
                  <w:shd w:val="clear" w:color="auto" w:fill="auto"/>
                </w:tcPr>
                <w:p>
                  <w:pPr>
                    <w:pStyle w:val="41"/>
                    <w:rPr>
                      <w:szCs w:val="21"/>
                    </w:rPr>
                  </w:pPr>
                  <w:r>
                    <w:rPr>
                      <w:szCs w:val="21"/>
                    </w:rPr>
                    <w:t>湖泊清障工程</w:t>
                  </w:r>
                </w:p>
              </w:tc>
              <w:tc>
                <w:tcPr>
                  <w:tcW w:w="645" w:type="pct"/>
                  <w:shd w:val="clear" w:color="auto" w:fill="auto"/>
                </w:tcPr>
                <w:p>
                  <w:pPr>
                    <w:pStyle w:val="41"/>
                    <w:rPr>
                      <w:szCs w:val="21"/>
                    </w:rPr>
                  </w:pPr>
                  <w:r>
                    <w:rPr>
                      <w:szCs w:val="21"/>
                    </w:rPr>
                    <w:t>万</w:t>
                  </w:r>
                  <w:r>
                    <w:rPr>
                      <w:rFonts w:hint="eastAsia"/>
                      <w:szCs w:val="21"/>
                    </w:rPr>
                    <w:t>m</w:t>
                  </w:r>
                  <w:r>
                    <w:rPr>
                      <w:szCs w:val="21"/>
                      <w:vertAlign w:val="superscript"/>
                    </w:rPr>
                    <w:t>3</w:t>
                  </w:r>
                </w:p>
              </w:tc>
              <w:tc>
                <w:tcPr>
                  <w:tcW w:w="973" w:type="pct"/>
                  <w:shd w:val="clear" w:color="auto" w:fill="auto"/>
                </w:tcPr>
                <w:p>
                  <w:pPr>
                    <w:pStyle w:val="41"/>
                    <w:rPr>
                      <w:rFonts w:eastAsia="等线"/>
                      <w:szCs w:val="21"/>
                    </w:rPr>
                  </w:pPr>
                  <w:r>
                    <w:rPr>
                      <w:rFonts w:eastAsia="等线"/>
                      <w:szCs w:val="21"/>
                    </w:rPr>
                    <w:t>53.38</w:t>
                  </w:r>
                </w:p>
              </w:tc>
              <w:tc>
                <w:tcPr>
                  <w:tcW w:w="566" w:type="pct"/>
                  <w:shd w:val="clear" w:color="auto" w:fill="auto"/>
                </w:tcPr>
                <w:p>
                  <w:pPr>
                    <w:pStyle w:val="41"/>
                    <w:rPr>
                      <w:rFonts w:eastAsia="等线"/>
                      <w:szCs w:val="21"/>
                    </w:rPr>
                  </w:pPr>
                  <w:r>
                    <w:rPr>
                      <w:rFonts w:eastAsia="等线"/>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3" w:type="pct"/>
                  <w:shd w:val="clear" w:color="auto" w:fill="auto"/>
                </w:tcPr>
                <w:p>
                  <w:pPr>
                    <w:pStyle w:val="41"/>
                    <w:rPr>
                      <w:rFonts w:eastAsia="等线"/>
                      <w:szCs w:val="21"/>
                    </w:rPr>
                  </w:pPr>
                  <w:r>
                    <w:rPr>
                      <w:rFonts w:eastAsia="等线"/>
                      <w:szCs w:val="21"/>
                    </w:rPr>
                    <w:t>3</w:t>
                  </w:r>
                </w:p>
              </w:tc>
              <w:tc>
                <w:tcPr>
                  <w:tcW w:w="2063" w:type="pct"/>
                  <w:shd w:val="clear" w:color="auto" w:fill="auto"/>
                </w:tcPr>
                <w:p>
                  <w:pPr>
                    <w:pStyle w:val="41"/>
                    <w:rPr>
                      <w:szCs w:val="21"/>
                    </w:rPr>
                  </w:pPr>
                  <w:r>
                    <w:rPr>
                      <w:szCs w:val="21"/>
                    </w:rPr>
                    <w:t>湖泊清淤疏浚工程</w:t>
                  </w:r>
                </w:p>
              </w:tc>
              <w:tc>
                <w:tcPr>
                  <w:tcW w:w="645" w:type="pct"/>
                  <w:shd w:val="clear" w:color="auto" w:fill="auto"/>
                </w:tcPr>
                <w:p>
                  <w:pPr>
                    <w:pStyle w:val="41"/>
                    <w:rPr>
                      <w:szCs w:val="21"/>
                    </w:rPr>
                  </w:pPr>
                  <w:r>
                    <w:rPr>
                      <w:szCs w:val="21"/>
                    </w:rPr>
                    <w:t>万</w:t>
                  </w:r>
                  <w:r>
                    <w:rPr>
                      <w:rFonts w:hint="eastAsia"/>
                      <w:szCs w:val="21"/>
                    </w:rPr>
                    <w:t>m</w:t>
                  </w:r>
                  <w:r>
                    <w:rPr>
                      <w:szCs w:val="21"/>
                      <w:vertAlign w:val="superscript"/>
                    </w:rPr>
                    <w:t>3</w:t>
                  </w:r>
                </w:p>
              </w:tc>
              <w:tc>
                <w:tcPr>
                  <w:tcW w:w="973" w:type="pct"/>
                  <w:shd w:val="clear" w:color="auto" w:fill="auto"/>
                </w:tcPr>
                <w:p>
                  <w:pPr>
                    <w:pStyle w:val="41"/>
                    <w:rPr>
                      <w:rFonts w:eastAsia="等线"/>
                      <w:szCs w:val="21"/>
                    </w:rPr>
                  </w:pPr>
                  <w:r>
                    <w:rPr>
                      <w:rFonts w:eastAsia="等线"/>
                      <w:szCs w:val="21"/>
                    </w:rPr>
                    <w:t>314.10</w:t>
                  </w:r>
                </w:p>
              </w:tc>
              <w:tc>
                <w:tcPr>
                  <w:tcW w:w="566" w:type="pct"/>
                  <w:shd w:val="clear" w:color="auto" w:fill="auto"/>
                </w:tcPr>
                <w:p>
                  <w:pPr>
                    <w:pStyle w:val="41"/>
                    <w:rPr>
                      <w:rFonts w:eastAsia="等线"/>
                      <w:szCs w:val="21"/>
                    </w:rPr>
                  </w:pPr>
                  <w:r>
                    <w:rPr>
                      <w:rFonts w:eastAsia="等线"/>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3" w:type="pct"/>
                  <w:shd w:val="clear" w:color="auto" w:fill="auto"/>
                </w:tcPr>
                <w:p>
                  <w:pPr>
                    <w:pStyle w:val="41"/>
                    <w:rPr>
                      <w:rFonts w:eastAsia="等线"/>
                      <w:szCs w:val="21"/>
                    </w:rPr>
                  </w:pPr>
                  <w:r>
                    <w:rPr>
                      <w:rFonts w:eastAsia="等线"/>
                      <w:szCs w:val="21"/>
                    </w:rPr>
                    <w:t>4</w:t>
                  </w:r>
                </w:p>
              </w:tc>
              <w:tc>
                <w:tcPr>
                  <w:tcW w:w="2063" w:type="pct"/>
                  <w:shd w:val="clear" w:color="auto" w:fill="auto"/>
                </w:tcPr>
                <w:p>
                  <w:pPr>
                    <w:pStyle w:val="41"/>
                    <w:rPr>
                      <w:szCs w:val="21"/>
                    </w:rPr>
                  </w:pPr>
                  <w:r>
                    <w:rPr>
                      <w:szCs w:val="21"/>
                    </w:rPr>
                    <w:t>滨岸带整治工程</w:t>
                  </w:r>
                </w:p>
              </w:tc>
              <w:tc>
                <w:tcPr>
                  <w:tcW w:w="645" w:type="pct"/>
                  <w:shd w:val="clear" w:color="auto" w:fill="auto"/>
                </w:tcPr>
                <w:p>
                  <w:pPr>
                    <w:pStyle w:val="41"/>
                    <w:rPr>
                      <w:szCs w:val="21"/>
                    </w:rPr>
                  </w:pPr>
                  <w:r>
                    <w:rPr>
                      <w:szCs w:val="21"/>
                    </w:rPr>
                    <w:t>万</w:t>
                  </w:r>
                  <w:r>
                    <w:rPr>
                      <w:rFonts w:hint="eastAsia"/>
                      <w:szCs w:val="21"/>
                    </w:rPr>
                    <w:t>m</w:t>
                  </w:r>
                  <w:r>
                    <w:rPr>
                      <w:szCs w:val="21"/>
                      <w:vertAlign w:val="superscript"/>
                    </w:rPr>
                    <w:t>2</w:t>
                  </w:r>
                </w:p>
              </w:tc>
              <w:tc>
                <w:tcPr>
                  <w:tcW w:w="973" w:type="pct"/>
                  <w:shd w:val="clear" w:color="auto" w:fill="auto"/>
                </w:tcPr>
                <w:p>
                  <w:pPr>
                    <w:pStyle w:val="41"/>
                    <w:rPr>
                      <w:rFonts w:eastAsia="等线"/>
                      <w:szCs w:val="21"/>
                    </w:rPr>
                  </w:pPr>
                  <w:r>
                    <w:rPr>
                      <w:rFonts w:eastAsia="等线"/>
                      <w:szCs w:val="21"/>
                    </w:rPr>
                    <w:t>4.76</w:t>
                  </w:r>
                </w:p>
              </w:tc>
              <w:tc>
                <w:tcPr>
                  <w:tcW w:w="566" w:type="pct"/>
                  <w:shd w:val="clear" w:color="auto" w:fill="auto"/>
                </w:tcPr>
                <w:p>
                  <w:pPr>
                    <w:pStyle w:val="41"/>
                    <w:rPr>
                      <w:rFonts w:eastAsia="等线"/>
                      <w:szCs w:val="21"/>
                    </w:rPr>
                  </w:pPr>
                  <w:r>
                    <w:rPr>
                      <w:rFonts w:eastAsia="等线"/>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3" w:type="pct"/>
                  <w:shd w:val="clear" w:color="auto" w:fill="auto"/>
                </w:tcPr>
                <w:p>
                  <w:pPr>
                    <w:pStyle w:val="41"/>
                    <w:rPr>
                      <w:rFonts w:eastAsia="等线"/>
                      <w:szCs w:val="21"/>
                    </w:rPr>
                  </w:pPr>
                  <w:r>
                    <w:rPr>
                      <w:rFonts w:eastAsia="等线"/>
                      <w:szCs w:val="21"/>
                    </w:rPr>
                    <w:t>5</w:t>
                  </w:r>
                </w:p>
              </w:tc>
              <w:tc>
                <w:tcPr>
                  <w:tcW w:w="2063" w:type="pct"/>
                  <w:shd w:val="clear" w:color="auto" w:fill="auto"/>
                </w:tcPr>
                <w:p>
                  <w:pPr>
                    <w:pStyle w:val="41"/>
                    <w:rPr>
                      <w:szCs w:val="21"/>
                    </w:rPr>
                  </w:pPr>
                  <w:r>
                    <w:rPr>
                      <w:szCs w:val="21"/>
                    </w:rPr>
                    <w:t>水生植被群落构建工程</w:t>
                  </w:r>
                </w:p>
              </w:tc>
              <w:tc>
                <w:tcPr>
                  <w:tcW w:w="645" w:type="pct"/>
                  <w:shd w:val="clear" w:color="auto" w:fill="auto"/>
                </w:tcPr>
                <w:p>
                  <w:pPr>
                    <w:pStyle w:val="41"/>
                    <w:rPr>
                      <w:szCs w:val="21"/>
                    </w:rPr>
                  </w:pPr>
                  <w:r>
                    <w:rPr>
                      <w:szCs w:val="21"/>
                    </w:rPr>
                    <w:t>万</w:t>
                  </w:r>
                  <w:r>
                    <w:rPr>
                      <w:rFonts w:hint="eastAsia"/>
                      <w:szCs w:val="21"/>
                    </w:rPr>
                    <w:t>m</w:t>
                  </w:r>
                  <w:r>
                    <w:rPr>
                      <w:szCs w:val="21"/>
                      <w:vertAlign w:val="superscript"/>
                    </w:rPr>
                    <w:t>2</w:t>
                  </w:r>
                </w:p>
              </w:tc>
              <w:tc>
                <w:tcPr>
                  <w:tcW w:w="973" w:type="pct"/>
                  <w:shd w:val="clear" w:color="auto" w:fill="auto"/>
                </w:tcPr>
                <w:p>
                  <w:pPr>
                    <w:pStyle w:val="41"/>
                    <w:rPr>
                      <w:rFonts w:eastAsia="等线"/>
                      <w:szCs w:val="21"/>
                    </w:rPr>
                  </w:pPr>
                  <w:r>
                    <w:rPr>
                      <w:rFonts w:eastAsia="等线"/>
                      <w:szCs w:val="21"/>
                    </w:rPr>
                    <w:t>3.74</w:t>
                  </w:r>
                </w:p>
              </w:tc>
              <w:tc>
                <w:tcPr>
                  <w:tcW w:w="566" w:type="pct"/>
                  <w:shd w:val="clear" w:color="auto" w:fill="auto"/>
                </w:tcPr>
                <w:p>
                  <w:pPr>
                    <w:pStyle w:val="41"/>
                    <w:rPr>
                      <w:rFonts w:eastAsia="等线"/>
                      <w:szCs w:val="21"/>
                    </w:rPr>
                  </w:pPr>
                  <w:r>
                    <w:rPr>
                      <w:rFonts w:eastAsia="等线"/>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3" w:type="pct"/>
                  <w:shd w:val="clear" w:color="auto" w:fill="auto"/>
                </w:tcPr>
                <w:p>
                  <w:pPr>
                    <w:pStyle w:val="41"/>
                    <w:rPr>
                      <w:szCs w:val="21"/>
                    </w:rPr>
                  </w:pPr>
                  <w:r>
                    <w:rPr>
                      <w:szCs w:val="21"/>
                    </w:rPr>
                    <w:t>二</w:t>
                  </w:r>
                </w:p>
              </w:tc>
              <w:tc>
                <w:tcPr>
                  <w:tcW w:w="2063" w:type="pct"/>
                  <w:shd w:val="clear" w:color="auto" w:fill="auto"/>
                </w:tcPr>
                <w:p>
                  <w:pPr>
                    <w:pStyle w:val="41"/>
                    <w:rPr>
                      <w:szCs w:val="21"/>
                    </w:rPr>
                  </w:pPr>
                  <w:r>
                    <w:rPr>
                      <w:szCs w:val="21"/>
                    </w:rPr>
                    <w:t>主要经济指标</w:t>
                  </w:r>
                </w:p>
              </w:tc>
              <w:tc>
                <w:tcPr>
                  <w:tcW w:w="645" w:type="pct"/>
                  <w:shd w:val="clear" w:color="auto" w:fill="auto"/>
                </w:tcPr>
                <w:p>
                  <w:pPr>
                    <w:pStyle w:val="41"/>
                    <w:rPr>
                      <w:rFonts w:eastAsia="等线"/>
                      <w:szCs w:val="21"/>
                    </w:rPr>
                  </w:pPr>
                  <w:r>
                    <w:rPr>
                      <w:rFonts w:eastAsia="等线"/>
                      <w:szCs w:val="21"/>
                    </w:rPr>
                    <w:t>　</w:t>
                  </w:r>
                </w:p>
              </w:tc>
              <w:tc>
                <w:tcPr>
                  <w:tcW w:w="973" w:type="pct"/>
                  <w:shd w:val="clear" w:color="auto" w:fill="auto"/>
                </w:tcPr>
                <w:p>
                  <w:pPr>
                    <w:pStyle w:val="41"/>
                    <w:rPr>
                      <w:rFonts w:eastAsia="等线"/>
                      <w:szCs w:val="21"/>
                    </w:rPr>
                  </w:pPr>
                  <w:r>
                    <w:rPr>
                      <w:rFonts w:eastAsia="等线"/>
                      <w:szCs w:val="21"/>
                    </w:rPr>
                    <w:t>　</w:t>
                  </w:r>
                </w:p>
              </w:tc>
              <w:tc>
                <w:tcPr>
                  <w:tcW w:w="566" w:type="pct"/>
                  <w:shd w:val="clear" w:color="auto" w:fill="auto"/>
                </w:tcPr>
                <w:p>
                  <w:pPr>
                    <w:pStyle w:val="41"/>
                    <w:rPr>
                      <w:rFonts w:eastAsia="等线"/>
                      <w:szCs w:val="21"/>
                    </w:rPr>
                  </w:pPr>
                  <w:r>
                    <w:rPr>
                      <w:rFonts w:eastAsia="等线"/>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3" w:type="pct"/>
                  <w:shd w:val="clear" w:color="auto" w:fill="auto"/>
                </w:tcPr>
                <w:p>
                  <w:pPr>
                    <w:pStyle w:val="41"/>
                    <w:rPr>
                      <w:szCs w:val="21"/>
                    </w:rPr>
                  </w:pPr>
                  <w:r>
                    <w:rPr>
                      <w:rFonts w:hint="eastAsia"/>
                      <w:szCs w:val="21"/>
                    </w:rPr>
                    <w:t>1</w:t>
                  </w:r>
                </w:p>
              </w:tc>
              <w:tc>
                <w:tcPr>
                  <w:tcW w:w="2063" w:type="pct"/>
                  <w:shd w:val="clear" w:color="auto" w:fill="auto"/>
                </w:tcPr>
                <w:p>
                  <w:pPr>
                    <w:pStyle w:val="41"/>
                    <w:rPr>
                      <w:szCs w:val="21"/>
                    </w:rPr>
                  </w:pPr>
                  <w:r>
                    <w:rPr>
                      <w:szCs w:val="21"/>
                    </w:rPr>
                    <w:t>项目总投资</w:t>
                  </w:r>
                </w:p>
              </w:tc>
              <w:tc>
                <w:tcPr>
                  <w:tcW w:w="645" w:type="pct"/>
                  <w:shd w:val="clear" w:color="auto" w:fill="auto"/>
                </w:tcPr>
                <w:p>
                  <w:pPr>
                    <w:pStyle w:val="41"/>
                    <w:rPr>
                      <w:szCs w:val="21"/>
                    </w:rPr>
                  </w:pPr>
                  <w:r>
                    <w:rPr>
                      <w:szCs w:val="21"/>
                    </w:rPr>
                    <w:t>万元</w:t>
                  </w:r>
                </w:p>
              </w:tc>
              <w:tc>
                <w:tcPr>
                  <w:tcW w:w="973" w:type="pct"/>
                  <w:shd w:val="clear" w:color="auto" w:fill="auto"/>
                </w:tcPr>
                <w:p>
                  <w:pPr>
                    <w:pStyle w:val="41"/>
                    <w:rPr>
                      <w:rFonts w:eastAsia="等线"/>
                      <w:szCs w:val="21"/>
                    </w:rPr>
                  </w:pPr>
                  <w:r>
                    <w:rPr>
                      <w:rFonts w:eastAsia="等线"/>
                      <w:szCs w:val="21"/>
                    </w:rPr>
                    <w:t>21859.43</w:t>
                  </w:r>
                </w:p>
              </w:tc>
              <w:tc>
                <w:tcPr>
                  <w:tcW w:w="566" w:type="pct"/>
                  <w:shd w:val="clear" w:color="auto" w:fill="auto"/>
                </w:tcPr>
                <w:p>
                  <w:pPr>
                    <w:pStyle w:val="41"/>
                    <w:rPr>
                      <w:rFonts w:eastAsia="等线"/>
                      <w:szCs w:val="21"/>
                    </w:rPr>
                  </w:pPr>
                  <w:r>
                    <w:rPr>
                      <w:rFonts w:eastAsia="等线"/>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3" w:type="pct"/>
                  <w:shd w:val="clear" w:color="auto" w:fill="auto"/>
                </w:tcPr>
                <w:p>
                  <w:pPr>
                    <w:pStyle w:val="41"/>
                    <w:rPr>
                      <w:szCs w:val="21"/>
                    </w:rPr>
                  </w:pPr>
                  <w:r>
                    <w:rPr>
                      <w:rFonts w:hint="eastAsia"/>
                      <w:szCs w:val="21"/>
                    </w:rPr>
                    <w:t>三</w:t>
                  </w:r>
                </w:p>
              </w:tc>
              <w:tc>
                <w:tcPr>
                  <w:tcW w:w="2063" w:type="pct"/>
                  <w:shd w:val="clear" w:color="auto" w:fill="auto"/>
                </w:tcPr>
                <w:p>
                  <w:pPr>
                    <w:pStyle w:val="41"/>
                    <w:rPr>
                      <w:szCs w:val="21"/>
                    </w:rPr>
                  </w:pPr>
                  <w:r>
                    <w:rPr>
                      <w:rFonts w:hint="eastAsia"/>
                      <w:szCs w:val="21"/>
                    </w:rPr>
                    <w:t>建设期</w:t>
                  </w:r>
                </w:p>
              </w:tc>
              <w:tc>
                <w:tcPr>
                  <w:tcW w:w="645" w:type="pct"/>
                  <w:shd w:val="clear" w:color="auto" w:fill="auto"/>
                </w:tcPr>
                <w:p>
                  <w:pPr>
                    <w:pStyle w:val="41"/>
                    <w:rPr>
                      <w:szCs w:val="21"/>
                    </w:rPr>
                  </w:pPr>
                  <w:r>
                    <w:rPr>
                      <w:rFonts w:hint="eastAsia"/>
                      <w:szCs w:val="21"/>
                    </w:rPr>
                    <w:t>年</w:t>
                  </w:r>
                </w:p>
              </w:tc>
              <w:tc>
                <w:tcPr>
                  <w:tcW w:w="973" w:type="pct"/>
                  <w:shd w:val="clear" w:color="auto" w:fill="auto"/>
                </w:tcPr>
                <w:p>
                  <w:pPr>
                    <w:pStyle w:val="41"/>
                    <w:rPr>
                      <w:rFonts w:eastAsia="等线"/>
                      <w:szCs w:val="21"/>
                    </w:rPr>
                  </w:pPr>
                  <w:r>
                    <w:rPr>
                      <w:rFonts w:hint="eastAsia" w:eastAsia="等线"/>
                      <w:szCs w:val="21"/>
                    </w:rPr>
                    <w:t>2</w:t>
                  </w:r>
                </w:p>
              </w:tc>
              <w:tc>
                <w:tcPr>
                  <w:tcW w:w="566" w:type="pct"/>
                  <w:shd w:val="clear" w:color="auto" w:fill="auto"/>
                </w:tcPr>
                <w:p>
                  <w:pPr>
                    <w:pStyle w:val="41"/>
                    <w:rPr>
                      <w:rFonts w:eastAsia="等线"/>
                      <w:szCs w:val="21"/>
                    </w:rPr>
                  </w:pPr>
                </w:p>
              </w:tc>
            </w:tr>
          </w:tbl>
          <w:p>
            <w:pPr>
              <w:pStyle w:val="34"/>
              <w:ind w:firstLine="480"/>
            </w:pPr>
            <w:r>
              <w:t>7</w:t>
            </w:r>
            <w:r>
              <w:rPr>
                <w:rFonts w:hint="eastAsia"/>
              </w:rPr>
              <w:t>、主要工程设计</w:t>
            </w:r>
          </w:p>
          <w:p>
            <w:pPr>
              <w:pStyle w:val="34"/>
              <w:ind w:firstLine="480"/>
            </w:pPr>
            <w:r>
              <w:rPr>
                <w:rFonts w:hint="eastAsia"/>
              </w:rPr>
              <w:t>（1）渠道整治工程</w:t>
            </w:r>
          </w:p>
          <w:p>
            <w:pPr>
              <w:pStyle w:val="34"/>
              <w:ind w:firstLine="480"/>
            </w:pPr>
            <w:r>
              <w:rPr>
                <w:rFonts w:hint="eastAsia"/>
              </w:rPr>
              <w:t>1）整治渠道基本情况</w:t>
            </w:r>
          </w:p>
          <w:p>
            <w:pPr>
              <w:pStyle w:val="34"/>
              <w:ind w:firstLine="480"/>
            </w:pPr>
            <w:r>
              <w:rPr>
                <w:rFonts w:hint="eastAsia"/>
              </w:rPr>
              <w:t>总计整治鼻湖周边渠道1</w:t>
            </w:r>
            <w:r>
              <w:t>3.07</w:t>
            </w:r>
            <w:r>
              <w:rPr>
                <w:rFonts w:hint="eastAsia"/>
              </w:rPr>
              <w:t>km，分布于鼻湖四周，总计7条渠道，整治渠道具体情况如下：</w:t>
            </w:r>
          </w:p>
          <w:p>
            <w:pPr>
              <w:pStyle w:val="39"/>
              <w:spacing w:before="156"/>
            </w:pPr>
            <w:r>
              <w:rPr>
                <w:rFonts w:hint="eastAsia"/>
              </w:rPr>
              <w:t>表2</w:t>
            </w:r>
            <w:r>
              <w:t>-3</w:t>
            </w:r>
            <w:r>
              <w:rPr>
                <w:rFonts w:hint="eastAsia"/>
              </w:rPr>
              <w:t>渠道整治工程基本情况表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788"/>
              <w:gridCol w:w="1443"/>
              <w:gridCol w:w="1443"/>
              <w:gridCol w:w="1443"/>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tcPr>
                <w:p>
                  <w:pPr>
                    <w:pStyle w:val="41"/>
                  </w:pPr>
                  <w:r>
                    <w:rPr>
                      <w:rFonts w:hint="eastAsia"/>
                    </w:rPr>
                    <w:t>渠道</w:t>
                  </w:r>
                </w:p>
              </w:tc>
              <w:tc>
                <w:tcPr>
                  <w:tcW w:w="958" w:type="pct"/>
                </w:tcPr>
                <w:p>
                  <w:pPr>
                    <w:pStyle w:val="41"/>
                  </w:pPr>
                  <w:r>
                    <w:rPr>
                      <w:rFonts w:hint="eastAsia"/>
                    </w:rPr>
                    <w:t>位置</w:t>
                  </w:r>
                </w:p>
              </w:tc>
              <w:tc>
                <w:tcPr>
                  <w:tcW w:w="773" w:type="pct"/>
                </w:tcPr>
                <w:p>
                  <w:pPr>
                    <w:pStyle w:val="41"/>
                  </w:pPr>
                  <w:r>
                    <w:rPr>
                      <w:rFonts w:hint="eastAsia"/>
                    </w:rPr>
                    <w:t>长度m</w:t>
                  </w:r>
                </w:p>
              </w:tc>
              <w:tc>
                <w:tcPr>
                  <w:tcW w:w="773" w:type="pct"/>
                </w:tcPr>
                <w:p>
                  <w:pPr>
                    <w:pStyle w:val="41"/>
                  </w:pPr>
                  <w:r>
                    <w:rPr>
                      <w:rFonts w:hint="eastAsia"/>
                    </w:rPr>
                    <w:t>宽度m</w:t>
                  </w:r>
                </w:p>
              </w:tc>
              <w:tc>
                <w:tcPr>
                  <w:tcW w:w="773" w:type="pct"/>
                </w:tcPr>
                <w:p>
                  <w:pPr>
                    <w:pStyle w:val="41"/>
                  </w:pPr>
                  <w:r>
                    <w:rPr>
                      <w:rFonts w:hint="eastAsia"/>
                    </w:rPr>
                    <w:t>深度m</w:t>
                  </w:r>
                </w:p>
              </w:tc>
              <w:tc>
                <w:tcPr>
                  <w:tcW w:w="958" w:type="pct"/>
                </w:tcPr>
                <w:p>
                  <w:pPr>
                    <w:pStyle w:val="41"/>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tcPr>
                <w:p>
                  <w:pPr>
                    <w:pStyle w:val="41"/>
                  </w:pPr>
                  <w:r>
                    <w:rPr>
                      <w:rFonts w:hint="eastAsia"/>
                    </w:rPr>
                    <w:t>1</w:t>
                  </w:r>
                  <w:r>
                    <w:t>#</w:t>
                  </w:r>
                  <w:r>
                    <w:rPr>
                      <w:rFonts w:hint="eastAsia"/>
                    </w:rPr>
                    <w:t>渠道</w:t>
                  </w:r>
                </w:p>
              </w:tc>
              <w:tc>
                <w:tcPr>
                  <w:tcW w:w="958" w:type="pct"/>
                </w:tcPr>
                <w:p>
                  <w:pPr>
                    <w:pStyle w:val="41"/>
                  </w:pPr>
                  <w:r>
                    <w:rPr>
                      <w:rFonts w:hint="eastAsia"/>
                    </w:rPr>
                    <w:t>鼻湖东侧</w:t>
                  </w:r>
                </w:p>
              </w:tc>
              <w:tc>
                <w:tcPr>
                  <w:tcW w:w="773" w:type="pct"/>
                </w:tcPr>
                <w:p>
                  <w:pPr>
                    <w:pStyle w:val="41"/>
                  </w:pPr>
                  <w:r>
                    <w:rPr>
                      <w:rFonts w:hint="eastAsia"/>
                    </w:rPr>
                    <w:t>1</w:t>
                  </w:r>
                  <w:r>
                    <w:t>600</w:t>
                  </w:r>
                </w:p>
              </w:tc>
              <w:tc>
                <w:tcPr>
                  <w:tcW w:w="773" w:type="pct"/>
                </w:tcPr>
                <w:p>
                  <w:pPr>
                    <w:pStyle w:val="41"/>
                  </w:pPr>
                  <w:r>
                    <w:rPr>
                      <w:rFonts w:hint="eastAsia"/>
                    </w:rPr>
                    <w:t>1</w:t>
                  </w:r>
                  <w:r>
                    <w:t>2</w:t>
                  </w:r>
                </w:p>
              </w:tc>
              <w:tc>
                <w:tcPr>
                  <w:tcW w:w="773" w:type="pct"/>
                </w:tcPr>
                <w:p>
                  <w:pPr>
                    <w:pStyle w:val="41"/>
                  </w:pPr>
                  <w:r>
                    <w:rPr>
                      <w:rFonts w:hint="eastAsia"/>
                    </w:rPr>
                    <w:t>3</w:t>
                  </w:r>
                </w:p>
              </w:tc>
              <w:tc>
                <w:tcPr>
                  <w:tcW w:w="958" w:type="pct"/>
                </w:tcPr>
                <w:p>
                  <w:pPr>
                    <w:pStyle w:val="41"/>
                  </w:pPr>
                  <w:r>
                    <w:rPr>
                      <w:rFonts w:hint="eastAsia"/>
                    </w:rPr>
                    <w:t>人工渠道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tcPr>
                <w:p>
                  <w:pPr>
                    <w:pStyle w:val="41"/>
                  </w:pPr>
                  <w:r>
                    <w:rPr>
                      <w:rFonts w:hint="eastAsia"/>
                    </w:rPr>
                    <w:t>2</w:t>
                  </w:r>
                  <w:r>
                    <w:t>#</w:t>
                  </w:r>
                  <w:r>
                    <w:rPr>
                      <w:rFonts w:hint="eastAsia"/>
                    </w:rPr>
                    <w:t>渠道</w:t>
                  </w:r>
                </w:p>
              </w:tc>
              <w:tc>
                <w:tcPr>
                  <w:tcW w:w="958" w:type="pct"/>
                </w:tcPr>
                <w:p>
                  <w:pPr>
                    <w:pStyle w:val="41"/>
                  </w:pPr>
                  <w:r>
                    <w:rPr>
                      <w:rFonts w:hint="eastAsia"/>
                    </w:rPr>
                    <w:t>鼻湖东侧</w:t>
                  </w:r>
                </w:p>
              </w:tc>
              <w:tc>
                <w:tcPr>
                  <w:tcW w:w="773" w:type="pct"/>
                </w:tcPr>
                <w:p>
                  <w:pPr>
                    <w:pStyle w:val="41"/>
                  </w:pPr>
                  <w:r>
                    <w:rPr>
                      <w:rFonts w:hint="eastAsia"/>
                    </w:rPr>
                    <w:t>1</w:t>
                  </w:r>
                  <w:r>
                    <w:t>120</w:t>
                  </w:r>
                </w:p>
              </w:tc>
              <w:tc>
                <w:tcPr>
                  <w:tcW w:w="773" w:type="pct"/>
                </w:tcPr>
                <w:p>
                  <w:pPr>
                    <w:pStyle w:val="41"/>
                  </w:pPr>
                  <w:r>
                    <w:rPr>
                      <w:rFonts w:hint="eastAsia"/>
                    </w:rPr>
                    <w:t>1</w:t>
                  </w:r>
                  <w:r>
                    <w:t>0</w:t>
                  </w:r>
                </w:p>
              </w:tc>
              <w:tc>
                <w:tcPr>
                  <w:tcW w:w="773" w:type="pct"/>
                </w:tcPr>
                <w:p>
                  <w:pPr>
                    <w:pStyle w:val="41"/>
                  </w:pPr>
                  <w:r>
                    <w:rPr>
                      <w:rFonts w:hint="eastAsia"/>
                    </w:rPr>
                    <w:t>2</w:t>
                  </w:r>
                  <w:r>
                    <w:t>.5</w:t>
                  </w:r>
                </w:p>
              </w:tc>
              <w:tc>
                <w:tcPr>
                  <w:tcW w:w="958" w:type="pct"/>
                </w:tcPr>
                <w:p>
                  <w:pPr>
                    <w:pStyle w:val="41"/>
                  </w:pPr>
                  <w:r>
                    <w:rPr>
                      <w:rFonts w:hint="eastAsia"/>
                    </w:rPr>
                    <w:t>人工渠道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tcPr>
                <w:p>
                  <w:pPr>
                    <w:pStyle w:val="41"/>
                  </w:pPr>
                  <w:r>
                    <w:rPr>
                      <w:rFonts w:hint="eastAsia"/>
                    </w:rPr>
                    <w:t>3</w:t>
                  </w:r>
                  <w:r>
                    <w:t>#</w:t>
                  </w:r>
                  <w:r>
                    <w:rPr>
                      <w:rFonts w:hint="eastAsia"/>
                    </w:rPr>
                    <w:t>渠道</w:t>
                  </w:r>
                </w:p>
              </w:tc>
              <w:tc>
                <w:tcPr>
                  <w:tcW w:w="958" w:type="pct"/>
                </w:tcPr>
                <w:p>
                  <w:pPr>
                    <w:pStyle w:val="41"/>
                  </w:pPr>
                  <w:r>
                    <w:rPr>
                      <w:rFonts w:hint="eastAsia"/>
                    </w:rPr>
                    <w:t>鼻湖东侧</w:t>
                  </w:r>
                </w:p>
              </w:tc>
              <w:tc>
                <w:tcPr>
                  <w:tcW w:w="773" w:type="pct"/>
                </w:tcPr>
                <w:p>
                  <w:pPr>
                    <w:pStyle w:val="41"/>
                  </w:pPr>
                  <w:r>
                    <w:rPr>
                      <w:rFonts w:hint="eastAsia"/>
                    </w:rPr>
                    <w:t>1</w:t>
                  </w:r>
                  <w:r>
                    <w:t>600</w:t>
                  </w:r>
                </w:p>
              </w:tc>
              <w:tc>
                <w:tcPr>
                  <w:tcW w:w="773" w:type="pct"/>
                </w:tcPr>
                <w:p>
                  <w:pPr>
                    <w:pStyle w:val="41"/>
                  </w:pPr>
                  <w:r>
                    <w:rPr>
                      <w:rFonts w:hint="eastAsia"/>
                    </w:rPr>
                    <w:t>1</w:t>
                  </w:r>
                  <w:r>
                    <w:t>0</w:t>
                  </w:r>
                </w:p>
              </w:tc>
              <w:tc>
                <w:tcPr>
                  <w:tcW w:w="773" w:type="pct"/>
                </w:tcPr>
                <w:p>
                  <w:pPr>
                    <w:pStyle w:val="41"/>
                  </w:pPr>
                  <w:r>
                    <w:rPr>
                      <w:rFonts w:hint="eastAsia"/>
                    </w:rPr>
                    <w:t>2</w:t>
                  </w:r>
                  <w:r>
                    <w:t>.5</w:t>
                  </w:r>
                </w:p>
              </w:tc>
              <w:tc>
                <w:tcPr>
                  <w:tcW w:w="958" w:type="pct"/>
                </w:tcPr>
                <w:p>
                  <w:pPr>
                    <w:pStyle w:val="41"/>
                  </w:pPr>
                  <w:r>
                    <w:rPr>
                      <w:rFonts w:hint="eastAsia"/>
                    </w:rPr>
                    <w:t>人工渠道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tcPr>
                <w:p>
                  <w:pPr>
                    <w:pStyle w:val="41"/>
                  </w:pPr>
                  <w:r>
                    <w:rPr>
                      <w:rFonts w:hint="eastAsia"/>
                    </w:rPr>
                    <w:t>4</w:t>
                  </w:r>
                  <w:r>
                    <w:t>#</w:t>
                  </w:r>
                  <w:r>
                    <w:rPr>
                      <w:rFonts w:hint="eastAsia"/>
                    </w:rPr>
                    <w:t>渠道</w:t>
                  </w:r>
                </w:p>
              </w:tc>
              <w:tc>
                <w:tcPr>
                  <w:tcW w:w="958" w:type="pct"/>
                </w:tcPr>
                <w:p>
                  <w:pPr>
                    <w:pStyle w:val="41"/>
                  </w:pPr>
                  <w:r>
                    <w:rPr>
                      <w:rFonts w:hint="eastAsia"/>
                    </w:rPr>
                    <w:t>鼻湖南侧</w:t>
                  </w:r>
                </w:p>
              </w:tc>
              <w:tc>
                <w:tcPr>
                  <w:tcW w:w="773" w:type="pct"/>
                </w:tcPr>
                <w:p>
                  <w:pPr>
                    <w:pStyle w:val="41"/>
                  </w:pPr>
                  <w:r>
                    <w:rPr>
                      <w:rFonts w:hint="eastAsia"/>
                    </w:rPr>
                    <w:t>1</w:t>
                  </w:r>
                  <w:r>
                    <w:t>400</w:t>
                  </w:r>
                </w:p>
              </w:tc>
              <w:tc>
                <w:tcPr>
                  <w:tcW w:w="773" w:type="pct"/>
                </w:tcPr>
                <w:p>
                  <w:pPr>
                    <w:pStyle w:val="41"/>
                  </w:pPr>
                  <w:r>
                    <w:rPr>
                      <w:rFonts w:hint="eastAsia"/>
                    </w:rPr>
                    <w:t>1</w:t>
                  </w:r>
                  <w:r>
                    <w:t>0</w:t>
                  </w:r>
                </w:p>
              </w:tc>
              <w:tc>
                <w:tcPr>
                  <w:tcW w:w="773" w:type="pct"/>
                </w:tcPr>
                <w:p>
                  <w:pPr>
                    <w:pStyle w:val="41"/>
                  </w:pPr>
                  <w:r>
                    <w:rPr>
                      <w:rFonts w:hint="eastAsia"/>
                    </w:rPr>
                    <w:t>2</w:t>
                  </w:r>
                  <w:r>
                    <w:t>.5</w:t>
                  </w:r>
                </w:p>
              </w:tc>
              <w:tc>
                <w:tcPr>
                  <w:tcW w:w="958" w:type="pct"/>
                </w:tcPr>
                <w:p>
                  <w:pPr>
                    <w:pStyle w:val="41"/>
                  </w:pPr>
                  <w:r>
                    <w:rPr>
                      <w:rFonts w:hint="eastAsia"/>
                    </w:rPr>
                    <w:t>人工渠道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tcPr>
                <w:p>
                  <w:pPr>
                    <w:pStyle w:val="41"/>
                  </w:pPr>
                  <w:r>
                    <w:rPr>
                      <w:rFonts w:hint="eastAsia"/>
                    </w:rPr>
                    <w:t>5</w:t>
                  </w:r>
                  <w:r>
                    <w:t>#</w:t>
                  </w:r>
                  <w:r>
                    <w:rPr>
                      <w:rFonts w:hint="eastAsia"/>
                    </w:rPr>
                    <w:t>渠道</w:t>
                  </w:r>
                </w:p>
              </w:tc>
              <w:tc>
                <w:tcPr>
                  <w:tcW w:w="958" w:type="pct"/>
                </w:tcPr>
                <w:p>
                  <w:pPr>
                    <w:pStyle w:val="41"/>
                  </w:pPr>
                  <w:r>
                    <w:rPr>
                      <w:rFonts w:hint="eastAsia"/>
                    </w:rPr>
                    <w:t>鼻湖西侧</w:t>
                  </w:r>
                </w:p>
              </w:tc>
              <w:tc>
                <w:tcPr>
                  <w:tcW w:w="773" w:type="pct"/>
                </w:tcPr>
                <w:p>
                  <w:pPr>
                    <w:pStyle w:val="41"/>
                  </w:pPr>
                  <w:r>
                    <w:rPr>
                      <w:rFonts w:hint="eastAsia"/>
                    </w:rPr>
                    <w:t>1</w:t>
                  </w:r>
                  <w:r>
                    <w:t>070</w:t>
                  </w:r>
                </w:p>
              </w:tc>
              <w:tc>
                <w:tcPr>
                  <w:tcW w:w="773" w:type="pct"/>
                </w:tcPr>
                <w:p>
                  <w:pPr>
                    <w:pStyle w:val="41"/>
                  </w:pPr>
                  <w:r>
                    <w:rPr>
                      <w:rFonts w:hint="eastAsia"/>
                    </w:rPr>
                    <w:t>1</w:t>
                  </w:r>
                  <w:r>
                    <w:t>2</w:t>
                  </w:r>
                </w:p>
              </w:tc>
              <w:tc>
                <w:tcPr>
                  <w:tcW w:w="773" w:type="pct"/>
                </w:tcPr>
                <w:p>
                  <w:pPr>
                    <w:pStyle w:val="41"/>
                  </w:pPr>
                  <w:r>
                    <w:rPr>
                      <w:rFonts w:hint="eastAsia"/>
                    </w:rPr>
                    <w:t>3</w:t>
                  </w:r>
                </w:p>
              </w:tc>
              <w:tc>
                <w:tcPr>
                  <w:tcW w:w="958" w:type="pct"/>
                </w:tcPr>
                <w:p>
                  <w:pPr>
                    <w:pStyle w:val="41"/>
                  </w:pPr>
                  <w:r>
                    <w:rPr>
                      <w:rFonts w:hint="eastAsia"/>
                    </w:rPr>
                    <w:t>人工渠道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tcPr>
                <w:p>
                  <w:pPr>
                    <w:pStyle w:val="41"/>
                  </w:pPr>
                  <w:r>
                    <w:rPr>
                      <w:rFonts w:hint="eastAsia"/>
                    </w:rPr>
                    <w:t>6</w:t>
                  </w:r>
                  <w:r>
                    <w:t>#</w:t>
                  </w:r>
                  <w:r>
                    <w:rPr>
                      <w:rFonts w:hint="eastAsia"/>
                    </w:rPr>
                    <w:t>渠道</w:t>
                  </w:r>
                </w:p>
              </w:tc>
              <w:tc>
                <w:tcPr>
                  <w:tcW w:w="958" w:type="pct"/>
                </w:tcPr>
                <w:p>
                  <w:pPr>
                    <w:pStyle w:val="41"/>
                  </w:pPr>
                  <w:r>
                    <w:rPr>
                      <w:rFonts w:hint="eastAsia"/>
                    </w:rPr>
                    <w:t>鼻湖北侧</w:t>
                  </w:r>
                </w:p>
              </w:tc>
              <w:tc>
                <w:tcPr>
                  <w:tcW w:w="773" w:type="pct"/>
                </w:tcPr>
                <w:p>
                  <w:pPr>
                    <w:pStyle w:val="41"/>
                  </w:pPr>
                  <w:r>
                    <w:rPr>
                      <w:rFonts w:hint="eastAsia"/>
                    </w:rPr>
                    <w:t>3</w:t>
                  </w:r>
                  <w:r>
                    <w:t>000</w:t>
                  </w:r>
                </w:p>
              </w:tc>
              <w:tc>
                <w:tcPr>
                  <w:tcW w:w="773" w:type="pct"/>
                </w:tcPr>
                <w:p>
                  <w:pPr>
                    <w:pStyle w:val="41"/>
                  </w:pPr>
                  <w:r>
                    <w:rPr>
                      <w:rFonts w:hint="eastAsia"/>
                    </w:rPr>
                    <w:t>3</w:t>
                  </w:r>
                  <w:r>
                    <w:t>0</w:t>
                  </w:r>
                </w:p>
              </w:tc>
              <w:tc>
                <w:tcPr>
                  <w:tcW w:w="773" w:type="pct"/>
                </w:tcPr>
                <w:p>
                  <w:pPr>
                    <w:pStyle w:val="41"/>
                  </w:pPr>
                  <w:r>
                    <w:rPr>
                      <w:rFonts w:hint="eastAsia"/>
                    </w:rPr>
                    <w:t>5</w:t>
                  </w:r>
                </w:p>
              </w:tc>
              <w:tc>
                <w:tcPr>
                  <w:tcW w:w="958" w:type="pct"/>
                </w:tcPr>
                <w:p>
                  <w:pPr>
                    <w:pStyle w:val="41"/>
                  </w:pPr>
                  <w:r>
                    <w:rPr>
                      <w:rFonts w:hint="eastAsia"/>
                    </w:rPr>
                    <w:t>人工渠道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tcPr>
                <w:p>
                  <w:pPr>
                    <w:pStyle w:val="41"/>
                  </w:pPr>
                  <w:r>
                    <w:rPr>
                      <w:rFonts w:hint="eastAsia"/>
                    </w:rPr>
                    <w:t>7</w:t>
                  </w:r>
                  <w:r>
                    <w:t>#</w:t>
                  </w:r>
                  <w:r>
                    <w:rPr>
                      <w:rFonts w:hint="eastAsia"/>
                    </w:rPr>
                    <w:t>渠道</w:t>
                  </w:r>
                </w:p>
              </w:tc>
              <w:tc>
                <w:tcPr>
                  <w:tcW w:w="958" w:type="pct"/>
                </w:tcPr>
                <w:p>
                  <w:pPr>
                    <w:pStyle w:val="41"/>
                  </w:pPr>
                  <w:r>
                    <w:rPr>
                      <w:rFonts w:hint="eastAsia"/>
                    </w:rPr>
                    <w:t>鼻湖北侧</w:t>
                  </w:r>
                </w:p>
              </w:tc>
              <w:tc>
                <w:tcPr>
                  <w:tcW w:w="773" w:type="pct"/>
                </w:tcPr>
                <w:p>
                  <w:pPr>
                    <w:pStyle w:val="41"/>
                  </w:pPr>
                  <w:r>
                    <w:rPr>
                      <w:rFonts w:hint="eastAsia"/>
                    </w:rPr>
                    <w:t>3</w:t>
                  </w:r>
                  <w:r>
                    <w:t>280</w:t>
                  </w:r>
                </w:p>
              </w:tc>
              <w:tc>
                <w:tcPr>
                  <w:tcW w:w="773" w:type="pct"/>
                </w:tcPr>
                <w:p>
                  <w:pPr>
                    <w:pStyle w:val="41"/>
                  </w:pPr>
                  <w:r>
                    <w:rPr>
                      <w:rFonts w:hint="eastAsia"/>
                    </w:rPr>
                    <w:t>1</w:t>
                  </w:r>
                  <w:r>
                    <w:t>0</w:t>
                  </w:r>
                </w:p>
              </w:tc>
              <w:tc>
                <w:tcPr>
                  <w:tcW w:w="773" w:type="pct"/>
                </w:tcPr>
                <w:p>
                  <w:pPr>
                    <w:pStyle w:val="41"/>
                  </w:pPr>
                  <w:r>
                    <w:rPr>
                      <w:rFonts w:hint="eastAsia"/>
                    </w:rPr>
                    <w:t>2</w:t>
                  </w:r>
                  <w:r>
                    <w:t>.5</w:t>
                  </w:r>
                </w:p>
              </w:tc>
              <w:tc>
                <w:tcPr>
                  <w:tcW w:w="958" w:type="pct"/>
                </w:tcPr>
                <w:p>
                  <w:pPr>
                    <w:pStyle w:val="41"/>
                  </w:pPr>
                  <w:r>
                    <w:rPr>
                      <w:rFonts w:hint="eastAsia"/>
                    </w:rPr>
                    <w:t>人工渠道</w:t>
                  </w:r>
                </w:p>
              </w:tc>
            </w:tr>
          </w:tbl>
          <w:p>
            <w:pPr>
              <w:pStyle w:val="34"/>
              <w:ind w:firstLine="480"/>
            </w:pPr>
            <w:r>
              <w:rPr>
                <w:rFonts w:hint="eastAsia"/>
              </w:rPr>
              <w:t>2）渠道现状问题</w:t>
            </w:r>
          </w:p>
          <w:p>
            <w:pPr>
              <w:pStyle w:val="34"/>
              <w:ind w:firstLine="480"/>
            </w:pPr>
            <w:r>
              <w:rPr>
                <w:rFonts w:hint="eastAsia"/>
              </w:rPr>
              <w:t>鼻湖周边现有灌溉渠道由于年久失修，功能退化，调配水能力差，无法承担正常的灌溉任务；渠道淤积严重，干渠引水能力降低，灌溉周期长，渠系水利用系数不高，进而导致湖泊淤积严重，排水系统不顺畅，遇大水不能及时排出，造成土地盐碱化，降低周边农作地作物产量。</w:t>
            </w:r>
          </w:p>
          <w:p>
            <w:pPr>
              <w:pStyle w:val="34"/>
              <w:ind w:firstLine="480"/>
            </w:pPr>
            <w:r>
              <w:rPr>
                <w:rFonts w:hint="eastAsia"/>
              </w:rPr>
              <w:t>3）治理方案</w:t>
            </w:r>
          </w:p>
          <w:p>
            <w:pPr>
              <w:pStyle w:val="34"/>
              <w:ind w:firstLine="480"/>
            </w:pPr>
            <w:r>
              <w:rPr>
                <w:rFonts w:hint="eastAsia"/>
              </w:rPr>
              <w:t>①渠道清障：采用人工打捞方法，清理渠道水面及两侧堆积的水草、藻类、垃圾等；</w:t>
            </w:r>
          </w:p>
          <w:p>
            <w:pPr>
              <w:pStyle w:val="34"/>
              <w:ind w:firstLine="480"/>
            </w:pPr>
            <w:r>
              <w:rPr>
                <w:rFonts w:hint="eastAsia"/>
              </w:rPr>
              <w:t>②清淤疏浚：以机械清挖为主的方式进行渠道清淤，通过清淤疏浚渠道，改善渠道水流；</w:t>
            </w:r>
          </w:p>
          <w:p>
            <w:pPr>
              <w:pStyle w:val="34"/>
              <w:ind w:firstLine="480"/>
            </w:pPr>
            <w:r>
              <w:rPr>
                <w:rFonts w:hint="eastAsia"/>
              </w:rPr>
              <w:t>③岸线修复：对渠道两岸进行生态修复，部分坡岸损坏处建设生态护坡；</w:t>
            </w:r>
          </w:p>
          <w:p>
            <w:pPr>
              <w:pStyle w:val="34"/>
              <w:ind w:firstLine="480"/>
              <w:rPr>
                <w:u w:val="single"/>
              </w:rPr>
            </w:pPr>
            <w:r>
              <w:rPr>
                <w:rFonts w:hint="eastAsia"/>
                <w:u w:val="single"/>
              </w:rPr>
              <w:t>④泵站改造：灌溉泵站更新改造共</w:t>
            </w:r>
            <w:r>
              <w:rPr>
                <w:u w:val="single"/>
              </w:rPr>
              <w:t>6处，</w:t>
            </w:r>
            <w:r>
              <w:rPr>
                <w:rFonts w:hint="eastAsia"/>
                <w:u w:val="single"/>
              </w:rPr>
              <w:t>向阳村泵站、上仓村泵站、高湖村泵站、白沙村泵站、老港村泵站、双湖村</w:t>
            </w:r>
            <w:r>
              <w:rPr>
                <w:u w:val="single"/>
              </w:rPr>
              <w:t>泵站等6处泵站更换金结及机电设备。</w:t>
            </w:r>
          </w:p>
          <w:p>
            <w:pPr>
              <w:pStyle w:val="34"/>
              <w:ind w:firstLine="480"/>
            </w:pPr>
            <w:r>
              <w:rPr>
                <w:rFonts w:hint="eastAsia"/>
              </w:rPr>
              <w:t>4）设计工程量</w:t>
            </w:r>
          </w:p>
          <w:p>
            <w:pPr>
              <w:pStyle w:val="39"/>
              <w:spacing w:before="156"/>
            </w:pPr>
            <w:r>
              <w:rPr>
                <w:rFonts w:hint="eastAsia"/>
              </w:rPr>
              <w:t>表2</w:t>
            </w:r>
            <w:r>
              <w:t>-4</w:t>
            </w:r>
            <w:r>
              <w:rPr>
                <w:rFonts w:hint="eastAsia"/>
              </w:rPr>
              <w:t>渠道整治工程量一览表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2350"/>
              <w:gridCol w:w="2352"/>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pStyle w:val="41"/>
                  </w:pPr>
                  <w:r>
                    <w:rPr>
                      <w:rFonts w:hint="eastAsia"/>
                    </w:rPr>
                    <w:t>序号</w:t>
                  </w:r>
                </w:p>
              </w:tc>
              <w:tc>
                <w:tcPr>
                  <w:tcW w:w="1259" w:type="pct"/>
                </w:tcPr>
                <w:p>
                  <w:pPr>
                    <w:pStyle w:val="41"/>
                  </w:pPr>
                  <w:r>
                    <w:rPr>
                      <w:rFonts w:hint="eastAsia"/>
                    </w:rPr>
                    <w:t>工程内容</w:t>
                  </w:r>
                </w:p>
              </w:tc>
              <w:tc>
                <w:tcPr>
                  <w:tcW w:w="1260" w:type="pct"/>
                </w:tcPr>
                <w:p>
                  <w:pPr>
                    <w:pStyle w:val="41"/>
                  </w:pPr>
                  <w:r>
                    <w:rPr>
                      <w:rFonts w:hint="eastAsia"/>
                    </w:rPr>
                    <w:t>单位</w:t>
                  </w:r>
                </w:p>
              </w:tc>
              <w:tc>
                <w:tcPr>
                  <w:tcW w:w="1223" w:type="pct"/>
                </w:tcPr>
                <w:p>
                  <w:pPr>
                    <w:pStyle w:val="41"/>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pStyle w:val="41"/>
                  </w:pPr>
                  <w:r>
                    <w:rPr>
                      <w:rFonts w:hint="eastAsia"/>
                    </w:rPr>
                    <w:t>1</w:t>
                  </w:r>
                </w:p>
              </w:tc>
              <w:tc>
                <w:tcPr>
                  <w:tcW w:w="1259" w:type="pct"/>
                </w:tcPr>
                <w:p>
                  <w:pPr>
                    <w:pStyle w:val="41"/>
                  </w:pPr>
                  <w:r>
                    <w:rPr>
                      <w:rFonts w:hint="eastAsia"/>
                    </w:rPr>
                    <w:t>渠道清障</w:t>
                  </w:r>
                </w:p>
              </w:tc>
              <w:tc>
                <w:tcPr>
                  <w:tcW w:w="1260" w:type="pct"/>
                </w:tcPr>
                <w:p>
                  <w:pPr>
                    <w:pStyle w:val="41"/>
                  </w:pPr>
                  <w:r>
                    <w:rPr>
                      <w:rFonts w:hint="eastAsia"/>
                    </w:rPr>
                    <w:t>万m</w:t>
                  </w:r>
                  <w:r>
                    <w:rPr>
                      <w:vertAlign w:val="superscript"/>
                    </w:rPr>
                    <w:t>3</w:t>
                  </w:r>
                </w:p>
              </w:tc>
              <w:tc>
                <w:tcPr>
                  <w:tcW w:w="1223" w:type="pct"/>
                </w:tcPr>
                <w:p>
                  <w:pPr>
                    <w:pStyle w:val="41"/>
                  </w:pPr>
                  <w:r>
                    <w:rPr>
                      <w:rFonts w:hint="eastAsia"/>
                    </w:rPr>
                    <w:t>1</w:t>
                  </w:r>
                  <w: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pStyle w:val="41"/>
                  </w:pPr>
                  <w:r>
                    <w:rPr>
                      <w:rFonts w:hint="eastAsia"/>
                    </w:rPr>
                    <w:t>2</w:t>
                  </w:r>
                </w:p>
              </w:tc>
              <w:tc>
                <w:tcPr>
                  <w:tcW w:w="1259" w:type="pct"/>
                </w:tcPr>
                <w:p>
                  <w:pPr>
                    <w:pStyle w:val="41"/>
                  </w:pPr>
                  <w:r>
                    <w:rPr>
                      <w:rFonts w:hint="eastAsia"/>
                    </w:rPr>
                    <w:t>清淤疏浚</w:t>
                  </w:r>
                </w:p>
              </w:tc>
              <w:tc>
                <w:tcPr>
                  <w:tcW w:w="1260" w:type="pct"/>
                </w:tcPr>
                <w:p>
                  <w:pPr>
                    <w:pStyle w:val="41"/>
                  </w:pPr>
                  <w:r>
                    <w:rPr>
                      <w:rFonts w:hint="eastAsia"/>
                    </w:rPr>
                    <w:t>万m</w:t>
                  </w:r>
                  <w:r>
                    <w:rPr>
                      <w:vertAlign w:val="superscript"/>
                    </w:rPr>
                    <w:t>3</w:t>
                  </w:r>
                </w:p>
              </w:tc>
              <w:tc>
                <w:tcPr>
                  <w:tcW w:w="1223" w:type="pct"/>
                </w:tcPr>
                <w:p>
                  <w:pPr>
                    <w:pStyle w:val="41"/>
                  </w:pPr>
                  <w:r>
                    <w:rPr>
                      <w:rFonts w:hint="eastAsia"/>
                    </w:rPr>
                    <w:t>9</w:t>
                  </w:r>
                  <w: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pStyle w:val="41"/>
                  </w:pPr>
                  <w:r>
                    <w:rPr>
                      <w:rFonts w:hint="eastAsia"/>
                    </w:rPr>
                    <w:t>3</w:t>
                  </w:r>
                </w:p>
              </w:tc>
              <w:tc>
                <w:tcPr>
                  <w:tcW w:w="1259" w:type="pct"/>
                </w:tcPr>
                <w:p>
                  <w:pPr>
                    <w:pStyle w:val="41"/>
                  </w:pPr>
                  <w:r>
                    <w:rPr>
                      <w:rFonts w:hint="eastAsia"/>
                    </w:rPr>
                    <w:t>岸线修复</w:t>
                  </w:r>
                </w:p>
              </w:tc>
              <w:tc>
                <w:tcPr>
                  <w:tcW w:w="1260" w:type="pct"/>
                </w:tcPr>
                <w:p>
                  <w:pPr>
                    <w:pStyle w:val="41"/>
                  </w:pPr>
                  <w:r>
                    <w:rPr>
                      <w:rFonts w:hint="eastAsia"/>
                    </w:rPr>
                    <w:t>万m</w:t>
                  </w:r>
                  <w:r>
                    <w:rPr>
                      <w:vertAlign w:val="superscript"/>
                    </w:rPr>
                    <w:t>2</w:t>
                  </w:r>
                </w:p>
              </w:tc>
              <w:tc>
                <w:tcPr>
                  <w:tcW w:w="1223" w:type="pct"/>
                </w:tcPr>
                <w:p>
                  <w:pPr>
                    <w:pStyle w:val="41"/>
                  </w:pPr>
                  <w:r>
                    <w:rPr>
                      <w:rFonts w:hint="eastAsia"/>
                    </w:rPr>
                    <w:t>0</w:t>
                  </w:r>
                  <w: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tcPr>
                <w:p>
                  <w:pPr>
                    <w:pStyle w:val="41"/>
                    <w:rPr>
                      <w:u w:val="single"/>
                    </w:rPr>
                  </w:pPr>
                  <w:r>
                    <w:rPr>
                      <w:u w:val="single"/>
                    </w:rPr>
                    <w:t>4</w:t>
                  </w:r>
                </w:p>
              </w:tc>
              <w:tc>
                <w:tcPr>
                  <w:tcW w:w="1259" w:type="pct"/>
                </w:tcPr>
                <w:p>
                  <w:pPr>
                    <w:pStyle w:val="41"/>
                    <w:rPr>
                      <w:u w:val="single"/>
                    </w:rPr>
                  </w:pPr>
                  <w:r>
                    <w:rPr>
                      <w:rFonts w:hint="eastAsia"/>
                      <w:u w:val="single"/>
                    </w:rPr>
                    <w:t>泵站改造</w:t>
                  </w:r>
                </w:p>
              </w:tc>
              <w:tc>
                <w:tcPr>
                  <w:tcW w:w="1260" w:type="pct"/>
                </w:tcPr>
                <w:p>
                  <w:pPr>
                    <w:pStyle w:val="41"/>
                    <w:rPr>
                      <w:u w:val="single"/>
                    </w:rPr>
                  </w:pPr>
                  <w:r>
                    <w:rPr>
                      <w:rFonts w:hint="eastAsia"/>
                      <w:u w:val="single"/>
                    </w:rPr>
                    <w:t>座</w:t>
                  </w:r>
                </w:p>
              </w:tc>
              <w:tc>
                <w:tcPr>
                  <w:tcW w:w="1223" w:type="pct"/>
                </w:tcPr>
                <w:p>
                  <w:pPr>
                    <w:pStyle w:val="41"/>
                    <w:rPr>
                      <w:u w:val="single"/>
                    </w:rPr>
                  </w:pPr>
                  <w:r>
                    <w:rPr>
                      <w:rFonts w:hint="eastAsia"/>
                      <w:u w:val="single"/>
                    </w:rPr>
                    <w:t>6</w:t>
                  </w:r>
                </w:p>
              </w:tc>
            </w:tr>
          </w:tbl>
          <w:p>
            <w:pPr>
              <w:pStyle w:val="34"/>
              <w:ind w:firstLine="480"/>
            </w:pPr>
            <w:r>
              <w:rPr>
                <w:rFonts w:hint="eastAsia"/>
              </w:rPr>
              <w:t>（2）湖泊清障工程</w:t>
            </w:r>
          </w:p>
          <w:p>
            <w:pPr>
              <w:pStyle w:val="34"/>
              <w:ind w:firstLine="480"/>
            </w:pPr>
            <w:r>
              <w:t>1</w:t>
            </w:r>
            <w:r>
              <w:rPr>
                <w:rFonts w:hint="eastAsia"/>
              </w:rPr>
              <w:t>）湖泊现状问题</w:t>
            </w:r>
          </w:p>
          <w:p>
            <w:pPr>
              <w:pStyle w:val="34"/>
              <w:ind w:firstLine="480"/>
            </w:pPr>
            <w:r>
              <w:rPr>
                <w:rFonts w:hint="eastAsia"/>
              </w:rPr>
              <w:t>鼻湖内部分区域由于长期缺失打理，导致藻类及杂草丛生，淤积严重，湖岸带部分区域乱堆生活垃圾、建筑垃圾及杂草等，严重影响湖泊行洪排涝，加速了湖泊淤积，加剧了水环境的恶化。</w:t>
            </w:r>
          </w:p>
          <w:p>
            <w:pPr>
              <w:pStyle w:val="34"/>
              <w:ind w:firstLine="480"/>
            </w:pPr>
            <w:r>
              <w:rPr>
                <w:rFonts w:hint="eastAsia"/>
              </w:rPr>
              <w:t>2）湖泊清障方案</w:t>
            </w:r>
          </w:p>
          <w:p>
            <w:pPr>
              <w:pStyle w:val="34"/>
              <w:ind w:firstLine="480"/>
            </w:pPr>
            <w:r>
              <w:rPr>
                <w:rFonts w:hint="eastAsia"/>
              </w:rPr>
              <w:t>此次对整治湖泊内碍洪严重的阻水废弃物及阻水杂草进行清理。对湖泊中的枯枝、垃圾使用小型船只进行人工打捞清除；对河湖内违建阻水障碍物进行拆除。</w:t>
            </w:r>
          </w:p>
          <w:p>
            <w:pPr>
              <w:pStyle w:val="34"/>
              <w:ind w:firstLine="480"/>
            </w:pPr>
            <w:r>
              <w:t>3</w:t>
            </w:r>
            <w:r>
              <w:rPr>
                <w:rFonts w:hint="eastAsia"/>
              </w:rPr>
              <w:t>）湖泊清障工程量</w:t>
            </w:r>
          </w:p>
          <w:p>
            <w:pPr>
              <w:pStyle w:val="34"/>
              <w:ind w:firstLine="480"/>
            </w:pPr>
            <w:r>
              <w:rPr>
                <w:rFonts w:hint="eastAsia"/>
              </w:rPr>
              <w:t>纳入本次范围的项目区共计清理侵占湖泊或岸坡的废弃物</w:t>
            </w:r>
            <w:r>
              <w:t>53.38万m</w:t>
            </w:r>
            <w:r>
              <w:rPr>
                <w:vertAlign w:val="superscript"/>
              </w:rPr>
              <w:t>3</w:t>
            </w:r>
            <w:r>
              <w:t>。</w:t>
            </w:r>
          </w:p>
          <w:p>
            <w:pPr>
              <w:pStyle w:val="34"/>
              <w:ind w:firstLine="480"/>
            </w:pPr>
            <w:r>
              <w:rPr>
                <w:rFonts w:hint="eastAsia"/>
              </w:rPr>
              <w:t>（3）滨岸带整治工程</w:t>
            </w:r>
          </w:p>
          <w:p>
            <w:pPr>
              <w:pStyle w:val="34"/>
              <w:ind w:firstLine="480"/>
            </w:pPr>
            <w:r>
              <w:rPr>
                <w:rFonts w:hint="eastAsia"/>
              </w:rPr>
              <w:t>1）湖岸带现状问题</w:t>
            </w:r>
          </w:p>
          <w:p>
            <w:pPr>
              <w:pStyle w:val="34"/>
              <w:ind w:firstLine="480"/>
            </w:pPr>
            <w:r>
              <w:rPr>
                <w:rFonts w:hint="eastAsia"/>
              </w:rPr>
              <w:t>由于渔业养殖等人为活动，部分湖岸带遭到破坏，导致水土流失，加速湖泊淤积，加剧水质恶化。</w:t>
            </w:r>
          </w:p>
          <w:p>
            <w:pPr>
              <w:pStyle w:val="34"/>
              <w:ind w:firstLine="480"/>
            </w:pPr>
            <w:r>
              <w:rPr>
                <w:rFonts w:hint="eastAsia"/>
              </w:rPr>
              <w:t>2）滨岸带整治方案</w:t>
            </w:r>
          </w:p>
          <w:p>
            <w:pPr>
              <w:pStyle w:val="34"/>
              <w:ind w:firstLine="480"/>
            </w:pPr>
            <w:r>
              <w:rPr>
                <w:rFonts w:hint="eastAsia"/>
              </w:rPr>
              <w:t>本次设计护岸格宾基座</w:t>
            </w:r>
            <w:r>
              <w:t>+雷诺护坡为主，其他护坡形式为辅。</w:t>
            </w:r>
          </w:p>
          <w:p>
            <w:pPr>
              <w:pStyle w:val="34"/>
              <w:ind w:firstLine="480"/>
            </w:pPr>
            <w:r>
              <w:rPr>
                <w:rFonts w:hint="eastAsia"/>
              </w:rPr>
              <w:t>3）设计工程量</w:t>
            </w:r>
          </w:p>
          <w:p>
            <w:pPr>
              <w:pStyle w:val="34"/>
              <w:ind w:firstLine="480"/>
            </w:pPr>
            <w:r>
              <w:rPr>
                <w:rFonts w:hint="eastAsia"/>
              </w:rPr>
              <w:t>项目区进行滨岸带治理，整治沿线驳岸及雷诺护坡，驳岸总长</w:t>
            </w:r>
            <w:r>
              <w:t>15.85km，雷诺护坡面积3.74万</w:t>
            </w:r>
            <w:r>
              <w:rPr>
                <w:rFonts w:hint="eastAsia"/>
              </w:rPr>
              <w:t>m</w:t>
            </w:r>
            <w:r>
              <w:rPr>
                <w:vertAlign w:val="superscript"/>
              </w:rPr>
              <w:t>2</w:t>
            </w:r>
            <w:r>
              <w:t>。</w:t>
            </w:r>
          </w:p>
          <w:p>
            <w:pPr>
              <w:pStyle w:val="34"/>
              <w:ind w:firstLine="480"/>
            </w:pPr>
            <w:r>
              <w:rPr>
                <w:rFonts w:hint="eastAsia"/>
              </w:rPr>
              <w:t>（4）湖泊清淤疏浚工程</w:t>
            </w:r>
          </w:p>
          <w:p>
            <w:pPr>
              <w:pStyle w:val="34"/>
              <w:ind w:firstLine="480"/>
            </w:pPr>
            <w:r>
              <w:rPr>
                <w:rFonts w:hint="eastAsia"/>
              </w:rPr>
              <w:t>1）湖泊现状问题</w:t>
            </w:r>
          </w:p>
          <w:p>
            <w:pPr>
              <w:pStyle w:val="34"/>
              <w:ind w:firstLine="480"/>
            </w:pPr>
            <w:r>
              <w:rPr>
                <w:rFonts w:hint="eastAsia"/>
              </w:rPr>
              <w:t>前文已进行叙述，由于渔业养殖等影响，湖泊目前淤积严重，严重影响了湖泊行洪排涝及水质环境。</w:t>
            </w:r>
          </w:p>
          <w:p>
            <w:pPr>
              <w:pStyle w:val="34"/>
              <w:ind w:firstLine="480"/>
            </w:pPr>
            <w:r>
              <w:rPr>
                <w:rFonts w:hint="eastAsia"/>
              </w:rPr>
              <w:t>2）清淤疏浚方案</w:t>
            </w:r>
          </w:p>
          <w:p>
            <w:pPr>
              <w:pStyle w:val="34"/>
              <w:ind w:firstLine="480"/>
            </w:pPr>
            <w:r>
              <w:rPr>
                <w:rFonts w:hint="eastAsia"/>
              </w:rPr>
              <w:t>本次施工作业工具主要选择绞吸挖泥船，局部地方使用陆地清淤方案。</w:t>
            </w:r>
          </w:p>
          <w:p>
            <w:pPr>
              <w:pStyle w:val="34"/>
              <w:ind w:firstLine="480"/>
            </w:pPr>
            <w:r>
              <w:rPr>
                <w:rFonts w:hint="eastAsia"/>
              </w:rPr>
              <w:t>3）主要工程量</w:t>
            </w:r>
          </w:p>
          <w:p>
            <w:pPr>
              <w:pStyle w:val="34"/>
              <w:ind w:firstLine="480"/>
            </w:pPr>
            <w:r>
              <w:rPr>
                <w:rFonts w:hint="eastAsia"/>
              </w:rPr>
              <w:t>根据项目设计，本次清淤量约为3</w:t>
            </w:r>
            <w:r>
              <w:t>14.10</w:t>
            </w:r>
            <w:r>
              <w:rPr>
                <w:rFonts w:hint="eastAsia"/>
              </w:rPr>
              <w:t>万m</w:t>
            </w:r>
            <w:r>
              <w:rPr>
                <w:vertAlign w:val="superscript"/>
              </w:rPr>
              <w:t>3</w:t>
            </w:r>
            <w:r>
              <w:rPr>
                <w:rFonts w:hint="eastAsia"/>
              </w:rPr>
              <w:t>。</w:t>
            </w:r>
          </w:p>
          <w:p>
            <w:pPr>
              <w:pStyle w:val="34"/>
              <w:ind w:firstLine="480"/>
            </w:pPr>
            <w:r>
              <w:rPr>
                <w:rFonts w:hint="eastAsia"/>
              </w:rPr>
              <w:t>（5）水生植被群落构建工程</w:t>
            </w:r>
          </w:p>
          <w:p>
            <w:pPr>
              <w:pStyle w:val="34"/>
              <w:ind w:firstLine="480"/>
            </w:pPr>
            <w:r>
              <w:rPr>
                <w:rFonts w:hint="eastAsia"/>
              </w:rPr>
              <w:t>本工程根据湘阴县水生植物分布和生长情况，结合现状边坡条件、养殖需求建设水生植物带。主要包括挺水植物带、浮叶植物带、沉水植物带的建设，交叉种植。同时满足各河湖的常年水位、年均最高水位及年均最低水位的河湖水位来进行设计。</w:t>
            </w:r>
          </w:p>
          <w:p>
            <w:pPr>
              <w:pStyle w:val="34"/>
              <w:ind w:firstLine="480"/>
            </w:pPr>
            <w:r>
              <w:rPr>
                <w:rFonts w:hint="eastAsia"/>
              </w:rPr>
              <w:t>1）挺水植物群落构建</w:t>
            </w:r>
          </w:p>
          <w:p>
            <w:pPr>
              <w:pStyle w:val="34"/>
              <w:ind w:firstLine="480"/>
            </w:pPr>
            <w:r>
              <w:rPr>
                <w:rFonts w:hint="eastAsia"/>
              </w:rPr>
              <w:t>布置于河湖常水位</w:t>
            </w:r>
            <w:r>
              <w:t>1m水深区域内。主要以恢复挺水植物为</w:t>
            </w:r>
            <w:r>
              <w:rPr>
                <w:rFonts w:hint="eastAsia"/>
              </w:rPr>
              <w:t>主，根据对滨岸带实际地形的限制情况以及水深情况，设计建设挺水植物带，该区域设计初设宽度为</w:t>
            </w:r>
            <w:r>
              <w:t>2m</w:t>
            </w:r>
            <w:r>
              <w:rPr>
                <w:rFonts w:hint="eastAsia"/>
              </w:rPr>
              <w:t>～</w:t>
            </w:r>
            <w:r>
              <w:t>3m，环湖或沿河道</w:t>
            </w:r>
            <w:r>
              <w:rPr>
                <w:rFonts w:hint="eastAsia"/>
              </w:rPr>
              <w:t>两侧布置，共计布置</w:t>
            </w:r>
            <w:r>
              <w:t>17449.87</w:t>
            </w:r>
            <w:r>
              <w:rPr>
                <w:rFonts w:hint="eastAsia"/>
              </w:rPr>
              <w:t>m</w:t>
            </w:r>
            <w:r>
              <w:rPr>
                <w:vertAlign w:val="superscript"/>
              </w:rPr>
              <w:t>2</w:t>
            </w:r>
            <w:r>
              <w:t>，并存在自然扩增的趋势。</w:t>
            </w:r>
          </w:p>
          <w:p>
            <w:pPr>
              <w:pStyle w:val="34"/>
              <w:ind w:firstLine="480"/>
            </w:pPr>
            <w:r>
              <w:rPr>
                <w:rFonts w:hint="eastAsia"/>
              </w:rPr>
              <w:t>本次主要采用的挺水植物有：芦苇、香蒲、菖蒲、美人蕉、慈姑、千屈菜、水葱、鸢尾、旱伞草等交替种植，结合景观节点处小面积布置荷花等景观较好的挺水植物。</w:t>
            </w:r>
          </w:p>
          <w:p>
            <w:pPr>
              <w:pStyle w:val="34"/>
              <w:ind w:firstLine="480"/>
            </w:pPr>
            <w:r>
              <w:rPr>
                <w:rFonts w:hint="eastAsia"/>
              </w:rPr>
              <w:t>2）浮叶植物带</w:t>
            </w:r>
          </w:p>
          <w:p>
            <w:pPr>
              <w:pStyle w:val="34"/>
              <w:ind w:firstLine="480"/>
            </w:pPr>
            <w:r>
              <w:rPr>
                <w:rFonts w:hint="eastAsia"/>
              </w:rPr>
              <w:t>河湖常水位</w:t>
            </w:r>
            <w:r>
              <w:t>1m水深区域内，对鼻湖开展浮叶植物群落构</w:t>
            </w:r>
            <w:r>
              <w:rPr>
                <w:rFonts w:hint="eastAsia"/>
              </w:rPr>
              <w:t>建，共计构建浮叶群落带面积</w:t>
            </w:r>
            <w:r>
              <w:t>7185.24</w:t>
            </w:r>
            <w:r>
              <w:rPr>
                <w:rFonts w:hint="eastAsia"/>
              </w:rPr>
              <w:t>m</w:t>
            </w:r>
            <w:r>
              <w:rPr>
                <w:vertAlign w:val="superscript"/>
              </w:rPr>
              <w:t>2</w:t>
            </w:r>
            <w:r>
              <w:t>。该区域设计宽度为2m</w:t>
            </w:r>
            <w:r>
              <w:rPr>
                <w:rFonts w:hint="eastAsia"/>
              </w:rPr>
              <w:t>～</w:t>
            </w:r>
            <w:r>
              <w:t>3m，环湖布设浮叶植物，净化水质同时又可作为景观点缀。</w:t>
            </w:r>
          </w:p>
          <w:p>
            <w:pPr>
              <w:pStyle w:val="34"/>
              <w:ind w:firstLine="480"/>
            </w:pPr>
            <w:r>
              <w:rPr>
                <w:rFonts w:hint="eastAsia"/>
              </w:rPr>
              <w:t>本次主要采用的浮叶植物有：芡实、浮萍、睡莲等，局部结合景观布置可选睡莲等景观效果较好的浮叶植物。</w:t>
            </w:r>
          </w:p>
          <w:p>
            <w:pPr>
              <w:pStyle w:val="34"/>
              <w:ind w:firstLine="480"/>
            </w:pPr>
            <w:r>
              <w:t>3</w:t>
            </w:r>
            <w:r>
              <w:rPr>
                <w:rFonts w:hint="eastAsia"/>
              </w:rPr>
              <w:t>）沉水植物带</w:t>
            </w:r>
          </w:p>
          <w:p>
            <w:pPr>
              <w:pStyle w:val="34"/>
              <w:ind w:firstLine="480"/>
            </w:pPr>
            <w:r>
              <w:rPr>
                <w:rFonts w:hint="eastAsia"/>
              </w:rPr>
              <w:t>在前期挺水植物与浮叶植物恢复后，水体透明度达到</w:t>
            </w:r>
            <w:r>
              <w:t>60cm</w:t>
            </w:r>
            <w:r>
              <w:rPr>
                <w:rFonts w:hint="eastAsia"/>
              </w:rPr>
              <w:t>～</w:t>
            </w:r>
            <w:r>
              <w:t>80cm左右时，重点考虑设计入湖口区域内逐步恢复沉水</w:t>
            </w:r>
            <w:r>
              <w:rPr>
                <w:rFonts w:hint="eastAsia"/>
              </w:rPr>
              <w:t>植物，沉水植物带总建设面积为</w:t>
            </w:r>
            <w:r>
              <w:t>12728.14</w:t>
            </w:r>
            <w:r>
              <w:rPr>
                <w:rFonts w:hint="eastAsia"/>
              </w:rPr>
              <w:t>m</w:t>
            </w:r>
            <w:r>
              <w:rPr>
                <w:vertAlign w:val="superscript"/>
              </w:rPr>
              <w:t>2</w:t>
            </w:r>
            <w:r>
              <w:t>。</w:t>
            </w:r>
          </w:p>
          <w:p>
            <w:pPr>
              <w:pStyle w:val="34"/>
              <w:ind w:firstLine="480"/>
            </w:pPr>
            <w:r>
              <w:rPr>
                <w:rFonts w:hint="eastAsia"/>
              </w:rPr>
              <w:t>本次主要采用的沉水植物有：竹叶眼子菜、黑藻、狐尾藻、苦草、金鱼、菹草等。</w:t>
            </w:r>
          </w:p>
          <w:p>
            <w:pPr>
              <w:pStyle w:val="34"/>
              <w:ind w:firstLine="480"/>
            </w:pPr>
            <w:r>
              <w:t>8</w:t>
            </w:r>
            <w:r>
              <w:rPr>
                <w:rFonts w:hint="eastAsia"/>
              </w:rPr>
              <w:t>、工程量统计</w:t>
            </w:r>
          </w:p>
          <w:p>
            <w:pPr>
              <w:pStyle w:val="39"/>
              <w:spacing w:before="156"/>
            </w:pPr>
            <w:r>
              <w:rPr>
                <w:rFonts w:hint="eastAsia"/>
              </w:rPr>
              <w:t>表</w:t>
            </w:r>
            <w:r>
              <w:t xml:space="preserve">2-5  </w:t>
            </w:r>
            <w:r>
              <w:rPr>
                <w:rFonts w:hint="eastAsia"/>
              </w:rPr>
              <w:t>项目工程量统计表</w:t>
            </w:r>
          </w:p>
          <w:tbl>
            <w:tblPr>
              <w:tblStyle w:val="27"/>
              <w:tblW w:w="5000" w:type="pct"/>
              <w:tblInd w:w="0" w:type="dxa"/>
              <w:tblLayout w:type="autofit"/>
              <w:tblCellMar>
                <w:top w:w="0" w:type="dxa"/>
                <w:left w:w="108" w:type="dxa"/>
                <w:bottom w:w="0" w:type="dxa"/>
                <w:right w:w="108" w:type="dxa"/>
              </w:tblCellMar>
            </w:tblPr>
            <w:tblGrid>
              <w:gridCol w:w="923"/>
              <w:gridCol w:w="5734"/>
              <w:gridCol w:w="923"/>
              <w:gridCol w:w="1762"/>
            </w:tblGrid>
            <w:tr>
              <w:tblPrEx>
                <w:tblCellMar>
                  <w:top w:w="0" w:type="dxa"/>
                  <w:left w:w="108" w:type="dxa"/>
                  <w:bottom w:w="0" w:type="dxa"/>
                  <w:right w:w="108" w:type="dxa"/>
                </w:tblCellMar>
              </w:tblPrEx>
              <w:trPr>
                <w:trHeight w:val="20"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Pr>
                <w:p>
                  <w:pPr>
                    <w:pStyle w:val="41"/>
                    <w:rPr>
                      <w:u w:val="single"/>
                    </w:rPr>
                  </w:pPr>
                  <w:r>
                    <w:rPr>
                      <w:rFonts w:hint="eastAsia"/>
                      <w:u w:val="single"/>
                    </w:rPr>
                    <w:t>序号</w:t>
                  </w:r>
                </w:p>
              </w:tc>
              <w:tc>
                <w:tcPr>
                  <w:tcW w:w="3069" w:type="pct"/>
                  <w:tcBorders>
                    <w:top w:val="single" w:color="000000" w:sz="4" w:space="0"/>
                    <w:left w:val="nil"/>
                    <w:bottom w:val="single" w:color="000000" w:sz="4" w:space="0"/>
                    <w:right w:val="single" w:color="000000" w:sz="4" w:space="0"/>
                  </w:tcBorders>
                  <w:shd w:val="clear" w:color="auto" w:fill="auto"/>
                </w:tcPr>
                <w:p>
                  <w:pPr>
                    <w:pStyle w:val="41"/>
                    <w:rPr>
                      <w:u w:val="single"/>
                    </w:rPr>
                  </w:pPr>
                  <w:r>
                    <w:rPr>
                      <w:rFonts w:hint="eastAsia"/>
                      <w:u w:val="single"/>
                    </w:rPr>
                    <w:t>工程或费用名称</w:t>
                  </w:r>
                </w:p>
              </w:tc>
              <w:tc>
                <w:tcPr>
                  <w:tcW w:w="494" w:type="pct"/>
                  <w:tcBorders>
                    <w:top w:val="single" w:color="000000" w:sz="4" w:space="0"/>
                    <w:left w:val="nil"/>
                    <w:bottom w:val="single" w:color="000000" w:sz="4" w:space="0"/>
                    <w:right w:val="single" w:color="000000" w:sz="4" w:space="0"/>
                  </w:tcBorders>
                  <w:shd w:val="clear" w:color="auto" w:fill="auto"/>
                </w:tcPr>
                <w:p>
                  <w:pPr>
                    <w:pStyle w:val="41"/>
                    <w:rPr>
                      <w:u w:val="single"/>
                    </w:rPr>
                  </w:pPr>
                  <w:r>
                    <w:rPr>
                      <w:rFonts w:hint="eastAsia"/>
                      <w:u w:val="single"/>
                    </w:rPr>
                    <w:t>单位</w:t>
                  </w:r>
                </w:p>
              </w:tc>
              <w:tc>
                <w:tcPr>
                  <w:tcW w:w="943" w:type="pct"/>
                  <w:tcBorders>
                    <w:top w:val="single" w:color="000000" w:sz="4" w:space="0"/>
                    <w:left w:val="nil"/>
                    <w:bottom w:val="single" w:color="000000" w:sz="4" w:space="0"/>
                    <w:right w:val="single" w:color="000000" w:sz="4" w:space="0"/>
                  </w:tcBorders>
                  <w:shd w:val="clear" w:color="auto" w:fill="auto"/>
                </w:tcPr>
                <w:p>
                  <w:pPr>
                    <w:pStyle w:val="41"/>
                    <w:rPr>
                      <w:u w:val="single"/>
                    </w:rPr>
                  </w:pPr>
                  <w:r>
                    <w:rPr>
                      <w:rFonts w:hint="eastAsia"/>
                      <w:u w:val="single"/>
                    </w:rPr>
                    <w:t>数量</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b/>
                      <w:bCs/>
                      <w:u w:val="single"/>
                    </w:rPr>
                  </w:pPr>
                  <w:r>
                    <w:rPr>
                      <w:rFonts w:hint="eastAsia"/>
                      <w:b/>
                      <w:bCs/>
                      <w:u w:val="single"/>
                    </w:rPr>
                    <w:t>一</w:t>
                  </w:r>
                </w:p>
              </w:tc>
              <w:tc>
                <w:tcPr>
                  <w:tcW w:w="3069"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渠道整治工程</w:t>
                  </w:r>
                </w:p>
              </w:tc>
              <w:tc>
                <w:tcPr>
                  <w:tcW w:w="494"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m</w:t>
                  </w:r>
                </w:p>
              </w:tc>
              <w:tc>
                <w:tcPr>
                  <w:tcW w:w="943"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 xml:space="preserve">13070.00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1</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清杂</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39210.00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2</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疏浚</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23526.00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3</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堤坡整型</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19605.00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4</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六方块连锁护坡</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7842.00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5</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上下踏步</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3921.00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6</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泵站改造</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座</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6.00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b/>
                      <w:bCs/>
                      <w:u w:val="single"/>
                    </w:rPr>
                  </w:pPr>
                  <w:r>
                    <w:rPr>
                      <w:rFonts w:hint="eastAsia"/>
                      <w:b/>
                      <w:bCs/>
                      <w:u w:val="single"/>
                    </w:rPr>
                    <w:t>二</w:t>
                  </w:r>
                </w:p>
              </w:tc>
              <w:tc>
                <w:tcPr>
                  <w:tcW w:w="3069"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湖泊清障工程</w:t>
                  </w:r>
                </w:p>
              </w:tc>
              <w:tc>
                <w:tcPr>
                  <w:tcW w:w="494"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m³</w:t>
                  </w:r>
                </w:p>
              </w:tc>
              <w:tc>
                <w:tcPr>
                  <w:tcW w:w="943"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 xml:space="preserve">533760.87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1</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鼻湖（金沙台片区）</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225262.14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2</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鼻湖（躲风亭片区）</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195261.86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3</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鼻湖（白沙片区）</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39068.43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4</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鼻湖（东港片区）</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45443.35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5</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鼻湖（双华片区）</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28725.08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b/>
                      <w:bCs/>
                      <w:u w:val="single"/>
                    </w:rPr>
                  </w:pPr>
                  <w:r>
                    <w:rPr>
                      <w:rFonts w:hint="eastAsia"/>
                      <w:b/>
                      <w:bCs/>
                      <w:u w:val="single"/>
                    </w:rPr>
                    <w:t>三</w:t>
                  </w:r>
                </w:p>
              </w:tc>
              <w:tc>
                <w:tcPr>
                  <w:tcW w:w="3069"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湖泊清淤疏浚工程</w:t>
                  </w:r>
                </w:p>
              </w:tc>
              <w:tc>
                <w:tcPr>
                  <w:tcW w:w="494"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m³</w:t>
                  </w:r>
                </w:p>
              </w:tc>
              <w:tc>
                <w:tcPr>
                  <w:tcW w:w="943"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 xml:space="preserve">2474622.00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1</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鼻湖（金沙台片区）</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1325581.03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u w:val="single"/>
                    </w:rPr>
                  </w:pPr>
                  <w:r>
                    <w:rPr>
                      <w:u w:val="single"/>
                    </w:rPr>
                    <w:t>　</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土方清淤疏浚开挖（弃料、运4.0km）</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167647.01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u w:val="single"/>
                    </w:rPr>
                  </w:pPr>
                  <w:r>
                    <w:rPr>
                      <w:u w:val="single"/>
                    </w:rPr>
                    <w:t>　</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土方清淤疏浚开挖（利用料、运2.0km）</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66279.05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u w:val="single"/>
                    </w:rPr>
                  </w:pPr>
                  <w:r>
                    <w:rPr>
                      <w:u w:val="single"/>
                    </w:rPr>
                    <w:t>　</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土方清淤疏浚开挖（利用料、运8.0km）</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1091654.97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2</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鼻湖（躲风亭片区）</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1149040.97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u w:val="single"/>
                    </w:rPr>
                  </w:pPr>
                  <w:r>
                    <w:rPr>
                      <w:u w:val="single"/>
                    </w:rPr>
                    <w:t>　</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土方清淤疏浚开挖（弃料、运4.0km）</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145319.89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u w:val="single"/>
                    </w:rPr>
                  </w:pPr>
                  <w:r>
                    <w:rPr>
                      <w:u w:val="single"/>
                    </w:rPr>
                    <w:t>　</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土方清淤疏浚开挖（利用料、运2.0km）</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57452.05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u w:val="single"/>
                    </w:rPr>
                  </w:pPr>
                  <w:r>
                    <w:rPr>
                      <w:u w:val="single"/>
                    </w:rPr>
                    <w:t>　</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土方清淤疏浚开挖（利用料、运8.0km）</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946269.03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b/>
                      <w:bCs/>
                      <w:u w:val="single"/>
                    </w:rPr>
                  </w:pPr>
                  <w:r>
                    <w:rPr>
                      <w:rFonts w:hint="eastAsia"/>
                      <w:b/>
                      <w:bCs/>
                      <w:u w:val="single"/>
                    </w:rPr>
                    <w:t>四</w:t>
                  </w:r>
                </w:p>
              </w:tc>
              <w:tc>
                <w:tcPr>
                  <w:tcW w:w="3069"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滨岸带整治工程</w:t>
                  </w:r>
                </w:p>
              </w:tc>
              <w:tc>
                <w:tcPr>
                  <w:tcW w:w="494"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47550.00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1</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雷诺护坡（17cm）</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47550.00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2</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格宾基座</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10420.44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3</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C15砼护肩</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m³</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833.64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4</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草皮护坡</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15630.66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5</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沥青杉板伸缩缝</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15.92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6</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一般模板安装拆除</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2534.24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7</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防护栏杆</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m</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15850.00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b/>
                      <w:bCs/>
                      <w:u w:val="single"/>
                    </w:rPr>
                  </w:pPr>
                  <w:r>
                    <w:rPr>
                      <w:rFonts w:hint="eastAsia"/>
                      <w:b/>
                      <w:bCs/>
                      <w:u w:val="single"/>
                    </w:rPr>
                    <w:t>五</w:t>
                  </w:r>
                </w:p>
              </w:tc>
              <w:tc>
                <w:tcPr>
                  <w:tcW w:w="3069"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水生植被群落构建工程</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w:t>
                  </w:r>
                </w:p>
              </w:tc>
              <w:tc>
                <w:tcPr>
                  <w:tcW w:w="943" w:type="pct"/>
                  <w:tcBorders>
                    <w:top w:val="nil"/>
                    <w:left w:val="nil"/>
                    <w:bottom w:val="single" w:color="000000" w:sz="4" w:space="0"/>
                    <w:right w:val="single" w:color="000000" w:sz="4" w:space="0"/>
                  </w:tcBorders>
                  <w:shd w:val="clear" w:color="auto" w:fill="auto"/>
                </w:tcPr>
                <w:p>
                  <w:pPr>
                    <w:pStyle w:val="41"/>
                    <w:rPr>
                      <w:b/>
                      <w:bCs/>
                      <w:u w:val="single"/>
                    </w:rPr>
                  </w:pPr>
                  <w:r>
                    <w:rPr>
                      <w:rFonts w:hint="eastAsia"/>
                      <w:b/>
                      <w:bCs/>
                      <w:u w:val="single"/>
                    </w:rPr>
                    <w:t xml:space="preserve">37363.26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1</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挺水植物</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17449.87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2</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浮叶植物</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7185.24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3</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沉水植物</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12728.14 </w:t>
                  </w:r>
                </w:p>
              </w:tc>
            </w:tr>
            <w:tr>
              <w:tblPrEx>
                <w:tblCellMar>
                  <w:top w:w="0" w:type="dxa"/>
                  <w:left w:w="108" w:type="dxa"/>
                  <w:bottom w:w="0" w:type="dxa"/>
                  <w:right w:w="108" w:type="dxa"/>
                </w:tblCellMar>
              </w:tblPrEx>
              <w:trPr>
                <w:trHeight w:val="20" w:hRule="atLeast"/>
              </w:trPr>
              <w:tc>
                <w:tcPr>
                  <w:tcW w:w="494" w:type="pct"/>
                  <w:tcBorders>
                    <w:top w:val="nil"/>
                    <w:left w:val="single" w:color="000000" w:sz="4" w:space="0"/>
                    <w:bottom w:val="single" w:color="000000" w:sz="4" w:space="0"/>
                    <w:right w:val="single" w:color="000000" w:sz="4" w:space="0"/>
                  </w:tcBorders>
                  <w:shd w:val="clear" w:color="auto" w:fill="auto"/>
                </w:tcPr>
                <w:p>
                  <w:pPr>
                    <w:pStyle w:val="41"/>
                    <w:rPr>
                      <w:rFonts w:ascii="Arial" w:hAnsi="Arial" w:cs="Arial"/>
                      <w:u w:val="single"/>
                    </w:rPr>
                  </w:pPr>
                  <w:r>
                    <w:rPr>
                      <w:rFonts w:ascii="Arial" w:hAnsi="Arial" w:cs="Arial"/>
                      <w:u w:val="single"/>
                    </w:rPr>
                    <w:t>4</w:t>
                  </w:r>
                </w:p>
              </w:tc>
              <w:tc>
                <w:tcPr>
                  <w:tcW w:w="3069"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鱼类产卵场</w:t>
                  </w:r>
                </w:p>
              </w:tc>
              <w:tc>
                <w:tcPr>
                  <w:tcW w:w="494"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处</w:t>
                  </w:r>
                </w:p>
              </w:tc>
              <w:tc>
                <w:tcPr>
                  <w:tcW w:w="943" w:type="pct"/>
                  <w:tcBorders>
                    <w:top w:val="nil"/>
                    <w:left w:val="nil"/>
                    <w:bottom w:val="single" w:color="000000" w:sz="4" w:space="0"/>
                    <w:right w:val="single" w:color="000000" w:sz="4" w:space="0"/>
                  </w:tcBorders>
                  <w:shd w:val="clear" w:color="auto" w:fill="auto"/>
                </w:tcPr>
                <w:p>
                  <w:pPr>
                    <w:pStyle w:val="41"/>
                    <w:rPr>
                      <w:u w:val="single"/>
                    </w:rPr>
                  </w:pPr>
                  <w:r>
                    <w:rPr>
                      <w:rFonts w:hint="eastAsia"/>
                      <w:u w:val="single"/>
                    </w:rPr>
                    <w:t xml:space="preserve">3.00 </w:t>
                  </w:r>
                </w:p>
              </w:tc>
            </w:tr>
          </w:tbl>
          <w:p>
            <w:pPr>
              <w:pStyle w:val="34"/>
              <w:ind w:firstLine="4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10" w:type="dxa"/>
            <w:vAlign w:val="center"/>
          </w:tcPr>
          <w:p>
            <w:pPr>
              <w:pStyle w:val="41"/>
            </w:pPr>
            <w:r>
              <w:rPr>
                <w:rFonts w:hint="eastAsia"/>
              </w:rPr>
              <w:t>总平面及现场布置</w:t>
            </w:r>
          </w:p>
        </w:tc>
        <w:tc>
          <w:tcPr>
            <w:tcW w:w="8380" w:type="dxa"/>
          </w:tcPr>
          <w:p>
            <w:pPr>
              <w:pStyle w:val="34"/>
              <w:ind w:firstLine="480"/>
            </w:pPr>
            <w:r>
              <w:rPr>
                <w:rFonts w:hint="eastAsia"/>
              </w:rPr>
              <w:t>1、渠道整治工程布置</w:t>
            </w:r>
          </w:p>
          <w:p>
            <w:pPr>
              <w:pStyle w:val="34"/>
              <w:ind w:firstLine="480"/>
            </w:pPr>
            <w:r>
              <w:rPr>
                <w:rFonts w:hint="eastAsia"/>
              </w:rPr>
              <w:t>渠道整治工程主要包括清障、清淤疏浚及生态修复，渠道均在鼻湖四周，清除的垃圾及水草等集中收集后运至当地政府指定地点填埋；淤泥与湖泊清淤产生的淤泥一并进入干化场干化后委托水泥厂进行协同处置。清障和清淤工作完成后，对生态破坏较严重岸带进行生态修复。</w:t>
            </w:r>
          </w:p>
          <w:p>
            <w:pPr>
              <w:pStyle w:val="34"/>
              <w:ind w:firstLine="480"/>
            </w:pPr>
            <w:r>
              <w:rPr>
                <w:rFonts w:hint="eastAsia"/>
              </w:rPr>
              <w:t>2、湖泊清障</w:t>
            </w:r>
          </w:p>
          <w:p>
            <w:pPr>
              <w:pStyle w:val="34"/>
              <w:ind w:firstLine="480"/>
            </w:pPr>
            <w:r>
              <w:rPr>
                <w:rFonts w:hint="eastAsia"/>
              </w:rPr>
              <w:t>对湖泊中的枯枝、垃圾使用小型船只进行人工打捞清除；对河湖内违建阻水障碍物进行拆除。清除的垃圾集中收集后运至当地政府指定地点填埋。</w:t>
            </w:r>
          </w:p>
          <w:p>
            <w:pPr>
              <w:pStyle w:val="34"/>
              <w:ind w:firstLine="480"/>
            </w:pPr>
            <w:r>
              <w:rPr>
                <w:rFonts w:hint="eastAsia"/>
              </w:rPr>
              <w:t>3、湖泊清淤疏浚工程布置</w:t>
            </w:r>
          </w:p>
          <w:p>
            <w:pPr>
              <w:pStyle w:val="34"/>
              <w:ind w:firstLine="480"/>
            </w:pPr>
            <w:r>
              <w:rPr>
                <w:rFonts w:hint="eastAsia"/>
              </w:rPr>
              <w:t>本工程所有项目均安排在枯水期施工，施工采用按湖泊分区进行，采用分区集中布置方式进行施工布置。</w:t>
            </w:r>
            <w:r>
              <w:t>故本次施工作业工具主要选择绞吸挖泥船，局部地方使用陆地清淤方案。</w:t>
            </w:r>
          </w:p>
          <w:p>
            <w:pPr>
              <w:pStyle w:val="34"/>
              <w:ind w:firstLine="480"/>
            </w:pPr>
            <w:r>
              <w:rPr>
                <w:rFonts w:hint="eastAsia"/>
              </w:rPr>
              <w:t>根据鼻湖的现状特点和水深，本次清淤选择的绞吸挖泥船每小时吹填泥沙量为</w:t>
            </w:r>
            <w:r>
              <w:t xml:space="preserve"> 3000m</w:t>
            </w:r>
            <w:r>
              <w:rPr>
                <w:rFonts w:hint="eastAsia"/>
              </w:rPr>
              <w:t>；</w:t>
            </w:r>
            <w:r>
              <w:t>排距不小于 1.5km。湖内淤泥共314.10万m</w:t>
            </w:r>
            <w:r>
              <w:rPr>
                <w:vertAlign w:val="superscript"/>
              </w:rPr>
              <w:t>3</w:t>
            </w:r>
            <w:r>
              <w:t>。</w:t>
            </w:r>
          </w:p>
          <w:p>
            <w:pPr>
              <w:pStyle w:val="34"/>
              <w:ind w:firstLine="480"/>
            </w:pPr>
            <w:r>
              <w:rPr>
                <w:rFonts w:hint="eastAsia"/>
              </w:rPr>
              <w:t>4、滨岸带整治</w:t>
            </w:r>
          </w:p>
          <w:p>
            <w:pPr>
              <w:pStyle w:val="34"/>
              <w:ind w:firstLine="480"/>
            </w:pPr>
            <w:r>
              <w:rPr>
                <w:rFonts w:hint="eastAsia"/>
              </w:rPr>
              <w:t>对鼻湖岸带生态破坏严重段采用</w:t>
            </w:r>
            <w:r>
              <w:t>驳岸及雷诺护坡</w:t>
            </w:r>
            <w:r>
              <w:rPr>
                <w:rFonts w:hint="eastAsia"/>
              </w:rPr>
              <w:t>进行修复。</w:t>
            </w:r>
          </w:p>
          <w:p>
            <w:pPr>
              <w:pStyle w:val="34"/>
              <w:ind w:firstLine="480"/>
            </w:pPr>
            <w:r>
              <w:rPr>
                <w:rFonts w:hint="eastAsia"/>
              </w:rPr>
              <w:t>5、水生植被构建</w:t>
            </w:r>
          </w:p>
          <w:p>
            <w:pPr>
              <w:pStyle w:val="34"/>
              <w:ind w:firstLine="480"/>
            </w:pPr>
            <w:r>
              <w:rPr>
                <w:rFonts w:hint="eastAsia"/>
              </w:rPr>
              <w:t>对鼻湖局部区域构建挺水、浮叶、沉水植物，总计3</w:t>
            </w:r>
            <w:r>
              <w:t>.74</w:t>
            </w:r>
            <w:r>
              <w:rPr>
                <w:rFonts w:hint="eastAsia"/>
              </w:rPr>
              <w:t>万m</w:t>
            </w:r>
            <w:r>
              <w:rPr>
                <w:vertAlign w:val="superscript"/>
              </w:rPr>
              <w:t>2</w:t>
            </w:r>
            <w:r>
              <w:rPr>
                <w:rFonts w:hint="eastAsia"/>
              </w:rPr>
              <w:t>。</w:t>
            </w:r>
          </w:p>
          <w:p>
            <w:pPr>
              <w:pStyle w:val="34"/>
              <w:ind w:firstLine="480"/>
            </w:pPr>
            <w:r>
              <w:t>6</w:t>
            </w:r>
            <w:r>
              <w:rPr>
                <w:rFonts w:hint="eastAsia"/>
              </w:rPr>
              <w:t>、临时工程</w:t>
            </w:r>
          </w:p>
          <w:p>
            <w:pPr>
              <w:pStyle w:val="34"/>
              <w:ind w:firstLine="480"/>
            </w:pPr>
            <w:r>
              <w:rPr>
                <w:rFonts w:hint="eastAsia"/>
              </w:rPr>
              <w:t>（1）污泥干化场、砂石分离场、污水处理设施</w:t>
            </w:r>
          </w:p>
          <w:p>
            <w:pPr>
              <w:pStyle w:val="34"/>
              <w:ind w:firstLine="480"/>
            </w:pPr>
            <w:r>
              <w:rPr>
                <w:rFonts w:hint="eastAsia"/>
              </w:rPr>
              <w:t>项目施工临时占地面积为</w:t>
            </w:r>
            <w:r>
              <w:t>16666.67</w:t>
            </w:r>
            <w:r>
              <w:rPr>
                <w:rFonts w:hint="eastAsia"/>
              </w:rPr>
              <w:t>m</w:t>
            </w:r>
            <w:r>
              <w:rPr>
                <w:vertAlign w:val="superscript"/>
              </w:rPr>
              <w:t>2</w:t>
            </w:r>
            <w:r>
              <w:rPr>
                <w:rFonts w:hint="eastAsia"/>
              </w:rPr>
              <w:t>，主要包括污泥干化场，污泥干化场位于鼻湖西侧，占地类型为荒地及灌草地，不占用基本农田。</w:t>
            </w:r>
          </w:p>
          <w:p>
            <w:pPr>
              <w:pStyle w:val="34"/>
              <w:ind w:firstLine="480"/>
            </w:pPr>
            <w:r>
              <w:rPr>
                <w:rFonts w:hint="eastAsia"/>
              </w:rPr>
              <w:t>污泥干化采用自然干化方式，在污泥干化场周边建设截排水沟，并配套建设尾水处理设施，尾水处理设施租赁</w:t>
            </w:r>
            <w:r>
              <w:t>20</w:t>
            </w:r>
            <w:r>
              <w:rPr>
                <w:rFonts w:hint="eastAsia"/>
              </w:rPr>
              <w:t>台</w:t>
            </w:r>
            <w:r>
              <w:t>200</w:t>
            </w:r>
            <w:r>
              <w:rPr>
                <w:rFonts w:hint="eastAsia"/>
              </w:rPr>
              <w:t>m</w:t>
            </w:r>
            <w:r>
              <w:rPr>
                <w:vertAlign w:val="superscript"/>
              </w:rPr>
              <w:t>3</w:t>
            </w:r>
            <w:r>
              <w:t>/d</w:t>
            </w:r>
            <w:r>
              <w:rPr>
                <w:rFonts w:hint="eastAsia"/>
              </w:rPr>
              <w:t>的一体化污水处理设备，处理工艺为“格栅+混凝沉淀+斜板沉淀池+调节p</w:t>
            </w:r>
            <w:r>
              <w:t>H</w:t>
            </w:r>
            <w:r>
              <w:rPr>
                <w:rFonts w:hint="eastAsia"/>
              </w:rPr>
              <w:t>+多介质过滤”，污泥干化尾水经污水处理设施处理达到《污水综合排放标准》（GB</w:t>
            </w:r>
            <w:r>
              <w:t>8978-1996</w:t>
            </w:r>
            <w:r>
              <w:rPr>
                <w:rFonts w:hint="eastAsia"/>
              </w:rPr>
              <w:t>）一级标准后排入鼻湖。</w:t>
            </w:r>
          </w:p>
          <w:p>
            <w:pPr>
              <w:pStyle w:val="34"/>
              <w:ind w:firstLine="480"/>
            </w:pPr>
            <w:r>
              <w:rPr>
                <w:rFonts w:hint="eastAsia"/>
              </w:rPr>
              <w:t>（2）施工营地</w:t>
            </w:r>
          </w:p>
          <w:p>
            <w:pPr>
              <w:pStyle w:val="34"/>
              <w:ind w:firstLine="480"/>
            </w:pPr>
            <w:r>
              <w:rPr>
                <w:rFonts w:hint="eastAsia"/>
              </w:rPr>
              <w:t>本项目租赁周边居民民房作为施工营地，不另行占地建设。</w:t>
            </w:r>
          </w:p>
          <w:p>
            <w:pPr>
              <w:pStyle w:val="34"/>
              <w:ind w:firstLine="480"/>
            </w:pPr>
            <w:r>
              <w:rPr>
                <w:rFonts w:hint="eastAsia"/>
              </w:rPr>
              <w:t>（3）临时施工道路</w:t>
            </w:r>
          </w:p>
          <w:p>
            <w:pPr>
              <w:pStyle w:val="34"/>
              <w:ind w:firstLine="480"/>
            </w:pPr>
            <w:r>
              <w:rPr>
                <w:rFonts w:hint="eastAsia"/>
              </w:rPr>
              <w:t>本项目建设区域周边道路建设完善，可依托现有道路进行施工，无需建设临时施工道路。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10" w:type="dxa"/>
            <w:vAlign w:val="center"/>
          </w:tcPr>
          <w:p>
            <w:pPr>
              <w:pStyle w:val="41"/>
            </w:pPr>
            <w:r>
              <w:rPr>
                <w:rFonts w:hint="eastAsia"/>
              </w:rPr>
              <w:t>施工方案</w:t>
            </w:r>
          </w:p>
        </w:tc>
        <w:tc>
          <w:tcPr>
            <w:tcW w:w="8380" w:type="dxa"/>
          </w:tcPr>
          <w:p>
            <w:pPr>
              <w:pStyle w:val="34"/>
              <w:ind w:firstLine="480"/>
              <w:rPr>
                <w:u w:val="single"/>
              </w:rPr>
            </w:pPr>
            <w:r>
              <w:rPr>
                <w:rFonts w:hint="eastAsia"/>
                <w:u w:val="single"/>
              </w:rPr>
              <w:t>一、施工工艺</w:t>
            </w:r>
          </w:p>
          <w:p>
            <w:pPr>
              <w:pStyle w:val="34"/>
              <w:ind w:firstLine="480"/>
              <w:rPr>
                <w:u w:val="single"/>
              </w:rPr>
            </w:pPr>
            <w:r>
              <w:rPr>
                <w:rFonts w:hint="eastAsia"/>
                <w:u w:val="single"/>
              </w:rPr>
              <w:t>1、渠道整治工程</w:t>
            </w:r>
          </w:p>
          <w:p>
            <w:pPr>
              <w:pStyle w:val="34"/>
              <w:ind w:firstLine="480"/>
              <w:rPr>
                <w:u w:val="single"/>
              </w:rPr>
            </w:pPr>
            <w:r>
              <w:rPr>
                <w:rFonts w:hint="eastAsia"/>
                <w:u w:val="single"/>
              </w:rPr>
              <w:t>渠道整治工程主要包括渠道垃圾清理、渠道清淤、岸线整治和泵站改造四部分内容：</w:t>
            </w:r>
          </w:p>
          <w:p>
            <w:pPr>
              <w:pStyle w:val="34"/>
              <w:ind w:firstLine="480"/>
              <w:rPr>
                <w:u w:val="single"/>
              </w:rPr>
            </w:pPr>
            <w:r>
              <w:rPr>
                <w:rFonts w:hint="eastAsia"/>
                <w:u w:val="single"/>
              </w:rPr>
              <w:t>（1）渠道垃圾清理</w:t>
            </w:r>
          </w:p>
          <w:p>
            <w:pPr>
              <w:pStyle w:val="34"/>
              <w:ind w:firstLine="480"/>
              <w:rPr>
                <w:u w:val="single"/>
              </w:rPr>
            </w:pPr>
            <w:r>
              <w:rPr>
                <w:u w:val="single"/>
              </w:rPr>
              <w:t>1）两岸河堤范围内清理方法</w:t>
            </w:r>
          </w:p>
          <w:p>
            <w:pPr>
              <w:pStyle w:val="34"/>
              <w:ind w:firstLine="480"/>
              <w:rPr>
                <w:u w:val="single"/>
              </w:rPr>
            </w:pPr>
            <w:r>
              <w:rPr>
                <w:rFonts w:hint="eastAsia"/>
                <w:u w:val="single"/>
              </w:rPr>
              <w:t>该范围内清理施工采用人工清淤，清理工序：人工清除地表垃圾、植被→人工装袋→人工便道处装车→河岸集中堆放→沥水→装车外运至附近垃圾中转站。为确保现状河堤安全，施工过程中严禁对河堤造成破坏，本工程建议对渠道两岸河堤采用人工</w:t>
            </w:r>
            <w:r>
              <w:rPr>
                <w:u w:val="single"/>
              </w:rPr>
              <w:t>+简单机械工具清除的办法，施工便道修建好后，工人进入施工现场，对地表附着的杂草进行清理，边清理边装袋，转运至便道侧，分类堆放以便上车。堆至一定数量后采用运输车或人力车转运集中堆放沥水，沥水统一收集预处理后排至市政管网处理。沥水干后，采用密闭式运输车外运至附近垃圾中转站。</w:t>
            </w:r>
          </w:p>
          <w:p>
            <w:pPr>
              <w:pStyle w:val="34"/>
              <w:ind w:firstLine="480"/>
              <w:rPr>
                <w:u w:val="single"/>
              </w:rPr>
            </w:pPr>
            <w:r>
              <w:rPr>
                <w:u w:val="single"/>
              </w:rPr>
              <w:t>2）河内漂浮物垃圾打捞方法</w:t>
            </w:r>
          </w:p>
          <w:p>
            <w:pPr>
              <w:pStyle w:val="34"/>
              <w:ind w:firstLine="480"/>
              <w:rPr>
                <w:u w:val="single"/>
              </w:rPr>
            </w:pPr>
            <w:r>
              <w:rPr>
                <w:rFonts w:hint="eastAsia"/>
                <w:u w:val="single"/>
              </w:rPr>
              <w:t>河道内的漂浮物清理工序为：长臂型捕捞→人工装袋→人工便道处装车→河岸集中堆放→沥水→装车外运至附近垃圾中转站。配备长臂型捕捞工具，人工打探，只在白天对河面漂浮物进行打捞保洁和巡逻。由两名穿戴好安全作业设备的专职人员从上至下或者从下至上对河面进行循环巡逻，其中一人对发现的漂浮物进行及时打捞，一人负责对打捞上岸的漂浮物安全装袋堆放，堆至一定数量后采用运输车或人力车转运集中堆放沥水，要求垃圾堆放点在不影响道路通行和市容市貌的较隐蔽位置，沥水干后，采用密闭式运输车外运至附近垃圾中转站。</w:t>
            </w:r>
          </w:p>
          <w:p>
            <w:pPr>
              <w:pStyle w:val="34"/>
              <w:ind w:firstLine="480"/>
              <w:rPr>
                <w:u w:val="single"/>
              </w:rPr>
            </w:pPr>
            <w:r>
              <w:rPr>
                <w:rFonts w:hint="eastAsia"/>
                <w:u w:val="single"/>
              </w:rPr>
              <w:t>（2）渠道清淤</w:t>
            </w:r>
          </w:p>
          <w:p>
            <w:pPr>
              <w:pStyle w:val="34"/>
              <w:ind w:firstLine="480"/>
              <w:rPr>
                <w:u w:val="single"/>
              </w:rPr>
            </w:pPr>
            <w:r>
              <w:rPr>
                <w:rFonts w:hint="eastAsia"/>
                <w:u w:val="single"/>
              </w:rPr>
              <w:t>周边渠道目前水域面积</w:t>
            </w:r>
            <w:r>
              <w:rPr>
                <w:u w:val="single"/>
              </w:rPr>
              <w:t>182040</w:t>
            </w:r>
            <w:r>
              <w:rPr>
                <w:rFonts w:hint="eastAsia"/>
                <w:u w:val="single"/>
              </w:rPr>
              <w:t>m</w:t>
            </w:r>
            <w:r>
              <w:rPr>
                <w:rFonts w:hint="eastAsia"/>
                <w:u w:val="single"/>
                <w:vertAlign w:val="superscript"/>
              </w:rPr>
              <w:t>2</w:t>
            </w:r>
            <w:r>
              <w:rPr>
                <w:rFonts w:hint="eastAsia"/>
                <w:u w:val="single"/>
              </w:rPr>
              <w:t>，需要治理的底泥量为2</w:t>
            </w:r>
            <w:r>
              <w:rPr>
                <w:u w:val="single"/>
              </w:rPr>
              <w:t>3526</w:t>
            </w:r>
            <w:r>
              <w:rPr>
                <w:rFonts w:hint="eastAsia"/>
                <w:u w:val="single"/>
              </w:rPr>
              <w:t>m</w:t>
            </w:r>
            <w:r>
              <w:rPr>
                <w:rFonts w:hint="eastAsia"/>
                <w:u w:val="single"/>
                <w:vertAlign w:val="superscript"/>
              </w:rPr>
              <w:t>3</w:t>
            </w:r>
            <w:r>
              <w:rPr>
                <w:rFonts w:hint="eastAsia"/>
                <w:u w:val="single"/>
              </w:rPr>
              <w:t>。</w:t>
            </w:r>
          </w:p>
          <w:p>
            <w:pPr>
              <w:pStyle w:val="34"/>
              <w:ind w:firstLine="480"/>
              <w:rPr>
                <w:u w:val="single"/>
              </w:rPr>
            </w:pPr>
            <w:r>
              <w:rPr>
                <w:rFonts w:hint="eastAsia"/>
                <w:u w:val="single"/>
              </w:rPr>
              <w:t>1）底泥清淤治理</w:t>
            </w:r>
          </w:p>
          <w:p>
            <w:pPr>
              <w:pStyle w:val="34"/>
              <w:ind w:firstLine="480"/>
              <w:rPr>
                <w:u w:val="single"/>
              </w:rPr>
            </w:pPr>
            <w:r>
              <w:rPr>
                <w:rFonts w:hint="eastAsia"/>
                <w:u w:val="single"/>
              </w:rPr>
              <w:t>技术路线如下：</w:t>
            </w:r>
          </w:p>
          <w:p>
            <w:pPr>
              <w:adjustRightInd w:val="0"/>
              <w:spacing w:line="360" w:lineRule="auto"/>
              <w:ind w:firstLine="420" w:firstLineChars="200"/>
              <w:jc w:val="center"/>
              <w:rPr>
                <w:bCs/>
                <w:sz w:val="24"/>
                <w:szCs w:val="24"/>
                <w:u w:val="single"/>
              </w:rPr>
            </w:pPr>
            <w:r>
              <w:rPr>
                <w:u w:val="single"/>
              </w:rPr>
              <w:drawing>
                <wp:inline distT="0" distB="0" distL="0" distR="0">
                  <wp:extent cx="3200400" cy="190754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3210916" cy="1914200"/>
                          </a:xfrm>
                          <a:prstGeom prst="rect">
                            <a:avLst/>
                          </a:prstGeom>
                        </pic:spPr>
                      </pic:pic>
                    </a:graphicData>
                  </a:graphic>
                </wp:inline>
              </w:drawing>
            </w:r>
          </w:p>
          <w:p>
            <w:pPr>
              <w:pStyle w:val="39"/>
              <w:spacing w:before="156"/>
              <w:rPr>
                <w:u w:val="single"/>
              </w:rPr>
            </w:pPr>
            <w:r>
              <w:rPr>
                <w:rFonts w:hint="eastAsia"/>
                <w:u w:val="single"/>
              </w:rPr>
              <w:t>图1</w:t>
            </w:r>
            <w:r>
              <w:rPr>
                <w:u w:val="single"/>
              </w:rPr>
              <w:t xml:space="preserve">-1  </w:t>
            </w:r>
            <w:r>
              <w:rPr>
                <w:rFonts w:hint="eastAsia"/>
                <w:u w:val="single"/>
              </w:rPr>
              <w:t>清淤疏浚工程技术路线</w:t>
            </w:r>
          </w:p>
          <w:p>
            <w:pPr>
              <w:pStyle w:val="34"/>
              <w:ind w:firstLine="480"/>
              <w:rPr>
                <w:u w:val="single"/>
              </w:rPr>
            </w:pPr>
            <w:r>
              <w:rPr>
                <w:rFonts w:hint="eastAsia"/>
                <w:u w:val="single"/>
              </w:rPr>
              <w:t>① 围堰导排工程：根据清理渠道水面现状、现场交通情况、底泥污染情况等，对清理渠道进行上下游的围堰和导排工程；</w:t>
            </w:r>
          </w:p>
          <w:p>
            <w:pPr>
              <w:pStyle w:val="34"/>
              <w:ind w:firstLine="480"/>
              <w:rPr>
                <w:u w:val="single"/>
              </w:rPr>
            </w:pPr>
            <w:r>
              <w:rPr>
                <w:rFonts w:hint="eastAsia"/>
                <w:u w:val="single"/>
              </w:rPr>
              <w:t>② 清淤疏浚工程：通过清淤疏浚工程比选，对渠道进行清淤；</w:t>
            </w:r>
          </w:p>
          <w:p>
            <w:pPr>
              <w:pStyle w:val="34"/>
              <w:ind w:firstLine="480"/>
              <w:rPr>
                <w:u w:val="single"/>
              </w:rPr>
            </w:pPr>
            <w:r>
              <w:rPr>
                <w:rFonts w:hint="eastAsia"/>
                <w:u w:val="single"/>
              </w:rPr>
              <w:t>③ 脱水干化工程：对清淤疏浚后的底泥进行干化脱水，对脱水工程产生的废水进行收集及处理，处理达标后排放；</w:t>
            </w:r>
          </w:p>
          <w:p>
            <w:pPr>
              <w:pStyle w:val="34"/>
              <w:ind w:firstLine="480"/>
              <w:rPr>
                <w:u w:val="single"/>
              </w:rPr>
            </w:pPr>
            <w:r>
              <w:rPr>
                <w:rFonts w:hint="eastAsia"/>
                <w:u w:val="single"/>
              </w:rPr>
              <w:t>④ 底泥治理工程：对本工程重金属污染底泥进行治理。</w:t>
            </w:r>
          </w:p>
          <w:p>
            <w:pPr>
              <w:pStyle w:val="34"/>
              <w:ind w:firstLine="480"/>
              <w:rPr>
                <w:u w:val="single"/>
              </w:rPr>
            </w:pPr>
            <w:r>
              <w:rPr>
                <w:rFonts w:hint="eastAsia"/>
                <w:u w:val="single"/>
              </w:rPr>
              <w:t>⑤ 安全填埋处置工程：对处理达标的底泥进行安全填埋。</w:t>
            </w:r>
          </w:p>
          <w:p>
            <w:pPr>
              <w:pStyle w:val="34"/>
              <w:ind w:firstLine="480"/>
              <w:rPr>
                <w:u w:val="single"/>
              </w:rPr>
            </w:pPr>
            <w:r>
              <w:rPr>
                <w:rFonts w:hint="eastAsia"/>
                <w:u w:val="single"/>
              </w:rPr>
              <w:t>2）围堰导流工程</w:t>
            </w:r>
          </w:p>
          <w:p>
            <w:pPr>
              <w:pStyle w:val="34"/>
              <w:ind w:firstLine="480"/>
              <w:rPr>
                <w:u w:val="single"/>
              </w:rPr>
            </w:pPr>
            <w:r>
              <w:rPr>
                <w:rFonts w:hint="eastAsia"/>
                <w:u w:val="single"/>
              </w:rPr>
              <w:t>本项目清淤采用分段围堰进行干港清淤，清淤段设置2 处围堰，下游围堰与上游围堰之间的清淤段可形成一个封闭的区域，利于干港清淤。布置围堰时先布设上游土石围堰，再设置1 根DN1000HDPE 排水管（管内流速2.36m/s）作为本工程上游来水的导流管将上游截水导流至下游围堰处，最后布设下游围堰。</w:t>
            </w:r>
          </w:p>
          <w:p>
            <w:pPr>
              <w:pStyle w:val="34"/>
              <w:ind w:firstLine="480"/>
              <w:rPr>
                <w:u w:val="single"/>
              </w:rPr>
            </w:pPr>
            <w:r>
              <w:rPr>
                <w:rFonts w:hint="eastAsia"/>
                <w:u w:val="single"/>
              </w:rPr>
              <w:t>围堰采用黏土心墙袋装土石围堰，顶宽2.0m，黏土心墙0.5m 宽，高2—3m，迎水面水位线以上坡比为1:1，水位线以下坡比为1:2，迎水侧铺设防水彩条布，彩条布沿河床向上游延伸2m。本项目围堰高度设置至淤泥层下方黏土层，以保证围堰布置的稳定性。</w:t>
            </w:r>
          </w:p>
          <w:p>
            <w:pPr>
              <w:adjustRightInd w:val="0"/>
              <w:spacing w:line="360" w:lineRule="auto"/>
              <w:rPr>
                <w:bCs/>
                <w:sz w:val="24"/>
                <w:szCs w:val="24"/>
                <w:u w:val="single"/>
              </w:rPr>
            </w:pPr>
            <w:r>
              <w:rPr>
                <w:u w:val="single"/>
              </w:rPr>
              <w:drawing>
                <wp:inline distT="0" distB="0" distL="0" distR="0">
                  <wp:extent cx="5913120" cy="2644775"/>
                  <wp:effectExtent l="19050" t="19050" r="0"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5913120" cy="2644775"/>
                          </a:xfrm>
                          <a:prstGeom prst="rect">
                            <a:avLst/>
                          </a:prstGeom>
                          <a:ln>
                            <a:solidFill>
                              <a:schemeClr val="tx1"/>
                            </a:solidFill>
                          </a:ln>
                        </pic:spPr>
                      </pic:pic>
                    </a:graphicData>
                  </a:graphic>
                </wp:inline>
              </w:drawing>
            </w:r>
          </w:p>
          <w:p>
            <w:pPr>
              <w:pStyle w:val="39"/>
              <w:spacing w:before="156"/>
              <w:rPr>
                <w:u w:val="single"/>
              </w:rPr>
            </w:pPr>
            <w:r>
              <w:rPr>
                <w:rFonts w:hint="eastAsia"/>
                <w:u w:val="single"/>
              </w:rPr>
              <w:t>图1</w:t>
            </w:r>
            <w:r>
              <w:rPr>
                <w:u w:val="single"/>
              </w:rPr>
              <w:t xml:space="preserve">-2  </w:t>
            </w:r>
            <w:r>
              <w:rPr>
                <w:rFonts w:hint="eastAsia"/>
                <w:u w:val="single"/>
              </w:rPr>
              <w:t>围堰样图</w:t>
            </w:r>
          </w:p>
          <w:p>
            <w:pPr>
              <w:pStyle w:val="34"/>
              <w:ind w:firstLine="480"/>
              <w:rPr>
                <w:u w:val="single"/>
              </w:rPr>
            </w:pPr>
            <w:r>
              <w:rPr>
                <w:rFonts w:hint="eastAsia"/>
                <w:u w:val="single"/>
              </w:rPr>
              <w:t>3）底泥清淤疏浚工程</w:t>
            </w:r>
          </w:p>
          <w:p>
            <w:pPr>
              <w:pStyle w:val="34"/>
              <w:ind w:firstLine="480"/>
              <w:rPr>
                <w:u w:val="single"/>
              </w:rPr>
            </w:pPr>
            <w:r>
              <w:rPr>
                <w:rFonts w:hint="eastAsia"/>
                <w:u w:val="single"/>
              </w:rPr>
              <w:t>周边渠道均属于小型河道，水位较浅，水流量较小，不适合采用大型船只清理，故采用干港直接机械挖掘+人工清淤。</w:t>
            </w:r>
          </w:p>
          <w:p>
            <w:pPr>
              <w:pStyle w:val="34"/>
              <w:ind w:firstLine="480"/>
              <w:rPr>
                <w:u w:val="single"/>
              </w:rPr>
            </w:pPr>
            <w:r>
              <w:rPr>
                <w:rFonts w:hint="eastAsia"/>
                <w:u w:val="single"/>
              </w:rPr>
              <w:t>具体工艺步骤：</w:t>
            </w:r>
          </w:p>
          <w:p>
            <w:pPr>
              <w:pStyle w:val="34"/>
              <w:ind w:firstLine="480"/>
              <w:rPr>
                <w:u w:val="single"/>
              </w:rPr>
            </w:pPr>
            <w:r>
              <w:rPr>
                <w:rFonts w:hint="eastAsia"/>
                <w:u w:val="single"/>
              </w:rPr>
              <w:t>① 在进行干港挖掘时，与外界相通处修筑施工围堰，围堰必须满足安全、防渗及防汛的要求；</w:t>
            </w:r>
          </w:p>
          <w:p>
            <w:pPr>
              <w:pStyle w:val="34"/>
              <w:ind w:firstLine="480"/>
              <w:rPr>
                <w:u w:val="single"/>
              </w:rPr>
            </w:pPr>
            <w:r>
              <w:rPr>
                <w:rFonts w:hint="eastAsia"/>
                <w:u w:val="single"/>
              </w:rPr>
              <w:t>② 围堰中河段通过开沟沥水、晾晒等方式可降低底泥含水率，也便于底泥的挖掘和运输；</w:t>
            </w:r>
          </w:p>
          <w:p>
            <w:pPr>
              <w:pStyle w:val="34"/>
              <w:ind w:firstLine="480"/>
              <w:rPr>
                <w:u w:val="single"/>
              </w:rPr>
            </w:pPr>
            <w:r>
              <w:rPr>
                <w:rFonts w:hint="eastAsia"/>
                <w:u w:val="single"/>
              </w:rPr>
              <w:t>③ 待河道底泥脱水处理符合挖掘运输要求后，采用履带式反铲挖掘机分区、分块进行开挖、装车。为方便底泥的挖掘与运输，设置清淤便道，便道间距为宽3.0m，采用泥结碎石填筑（以能保证挖掘机不陷入淤泥为原则，厚度根据现场情况确定）。对部分淤泥较深的渠道，修便道前需进行抛块石处理。另外，挖掘机不便施工的地方可由人工挖掘；</w:t>
            </w:r>
          </w:p>
          <w:p>
            <w:pPr>
              <w:pStyle w:val="34"/>
              <w:ind w:firstLine="480"/>
              <w:rPr>
                <w:u w:val="single"/>
              </w:rPr>
            </w:pPr>
            <w:r>
              <w:rPr>
                <w:rFonts w:hint="eastAsia"/>
                <w:u w:val="single"/>
              </w:rPr>
              <w:t>④ 为满足淤泥运输，需要修筑临时施工道路进场；河水排干后，岸坡可能存在失稳坍塌的情况，沿河道坝挖掘时，不应垂直开挖边坡坡脚，并特别关注边坡稳定性。</w:t>
            </w:r>
          </w:p>
          <w:p>
            <w:pPr>
              <w:pStyle w:val="34"/>
              <w:ind w:firstLine="480"/>
              <w:rPr>
                <w:u w:val="single"/>
              </w:rPr>
            </w:pPr>
            <w:r>
              <w:rPr>
                <w:rFonts w:hint="eastAsia"/>
                <w:u w:val="single"/>
              </w:rPr>
              <w:t>本项目清淤时段安排在枯水季节（1~2月）施工，不建议在雨季进行底泥清淤，若要保证工期要求，遇上下雨天进行开挖清淤，需在清淤段设置一台泵及时把雨水抽走，以保证底泥正常开挖的进行。</w:t>
            </w:r>
          </w:p>
          <w:p>
            <w:pPr>
              <w:pStyle w:val="34"/>
              <w:ind w:firstLine="480"/>
              <w:rPr>
                <w:u w:val="single"/>
              </w:rPr>
            </w:pPr>
            <w:r>
              <w:rPr>
                <w:rFonts w:hint="eastAsia"/>
                <w:u w:val="single"/>
              </w:rPr>
              <w:t>底泥运输需使用国家统一标准的环保绿色封闭式运输车，本项目租用载重量为3t与8t 的2种密闭自卸式汽车作为运输车辆，挖随装车，装车高度不超过车厢槽帮，将密封盖合拢后，转运至脱水场进行脱水处理。其中载重量为3t的密闭式自卸车用于场地狭窄、交通不便的水塘。由于本项目清挖的底泥全部运至脱水场进行脱水处理，脱水场亦设置在项目范围内，运距不超过3km。</w:t>
            </w:r>
          </w:p>
          <w:p>
            <w:pPr>
              <w:pStyle w:val="34"/>
              <w:ind w:firstLine="480"/>
              <w:rPr>
                <w:u w:val="single"/>
              </w:rPr>
            </w:pPr>
            <w:r>
              <w:rPr>
                <w:rFonts w:hint="eastAsia"/>
                <w:u w:val="single"/>
              </w:rPr>
              <w:t>（3）岸线治理工程</w:t>
            </w:r>
          </w:p>
          <w:p>
            <w:pPr>
              <w:pStyle w:val="34"/>
              <w:ind w:firstLine="480"/>
              <w:rPr>
                <w:u w:val="single"/>
              </w:rPr>
            </w:pPr>
            <w:r>
              <w:rPr>
                <w:rFonts w:hint="eastAsia"/>
                <w:u w:val="single"/>
              </w:rPr>
              <w:t>结合渠道两侧用地规划及控制，形成两种生态驳岸形式，硬质挡墙驳岸及自然生态驳岸。</w:t>
            </w:r>
          </w:p>
          <w:p>
            <w:pPr>
              <w:pStyle w:val="34"/>
              <w:ind w:firstLine="480"/>
              <w:rPr>
                <w:u w:val="single"/>
              </w:rPr>
            </w:pPr>
            <w:r>
              <w:rPr>
                <w:rFonts w:hint="eastAsia"/>
                <w:u w:val="single"/>
              </w:rPr>
              <w:t>1）硬质挡墙驳岸</w:t>
            </w:r>
          </w:p>
          <w:p>
            <w:pPr>
              <w:pStyle w:val="34"/>
              <w:ind w:firstLine="480"/>
              <w:rPr>
                <w:u w:val="single"/>
              </w:rPr>
            </w:pPr>
            <w:r>
              <w:rPr>
                <w:rFonts w:hint="eastAsia"/>
                <w:u w:val="single"/>
              </w:rPr>
              <w:t>现状硬质挡土墙驳岸主要为中下游荷塘大道以下两侧的，对于水位变化大的水体以及有城市防洪要求的堤岸，或是水面较窄的区域，统一常采用混凝土等砌筑直立式岸壁。它的特点是坚固耐久，防渗抗冲击，但亲水性和生态性较差，可于堤上种植垂蔓植物进行柔化及美化。</w:t>
            </w:r>
          </w:p>
          <w:p>
            <w:pPr>
              <w:pStyle w:val="34"/>
              <w:ind w:firstLine="480"/>
              <w:rPr>
                <w:u w:val="single"/>
              </w:rPr>
            </w:pPr>
            <w:r>
              <w:rPr>
                <w:rFonts w:hint="eastAsia"/>
                <w:u w:val="single"/>
              </w:rPr>
              <w:t>2）自然生态驳岸</w:t>
            </w:r>
          </w:p>
          <w:p>
            <w:pPr>
              <w:pStyle w:val="34"/>
              <w:ind w:firstLine="480"/>
              <w:rPr>
                <w:u w:val="single"/>
              </w:rPr>
            </w:pPr>
            <w:r>
              <w:rPr>
                <w:rFonts w:hint="eastAsia"/>
                <w:u w:val="single"/>
              </w:rPr>
              <w:t>生态驳岸是指绿地能缓坡入水，驳岸坡度较小，能形成很好的景观生态效果的驳岸。根据植物的生态习性，在驳岸不同区域配置不同的植物，包括岸生植物及耐水湿或耐短暂洪涝的湿生植物。自然生态驳岸不仅能够起到防浪护坡的效果，还能够有效的净化水中的污染物以达到水治理的目的。主要用于水渠两侧有较宽的绿化带，形成缓坡入水，坡度控制在≤1:1.5 左右。</w:t>
            </w:r>
          </w:p>
          <w:p>
            <w:pPr>
              <w:pStyle w:val="34"/>
              <w:ind w:firstLine="480"/>
              <w:rPr>
                <w:u w:val="single"/>
              </w:rPr>
            </w:pPr>
            <w:r>
              <w:rPr>
                <w:rFonts w:hint="eastAsia"/>
                <w:u w:val="single"/>
              </w:rPr>
              <w:t>（4）泵站改造工程</w:t>
            </w:r>
          </w:p>
          <w:p>
            <w:pPr>
              <w:pStyle w:val="34"/>
              <w:ind w:firstLine="480"/>
              <w:rPr>
                <w:u w:val="single"/>
              </w:rPr>
            </w:pPr>
            <w:r>
              <w:rPr>
                <w:rFonts w:hint="eastAsia"/>
                <w:u w:val="single"/>
              </w:rPr>
              <w:t>灌溉泵站更新改造共</w:t>
            </w:r>
            <w:r>
              <w:rPr>
                <w:u w:val="single"/>
              </w:rPr>
              <w:t>6处，</w:t>
            </w:r>
            <w:r>
              <w:rPr>
                <w:rFonts w:hint="eastAsia"/>
                <w:u w:val="single"/>
              </w:rPr>
              <w:t>向阳村泵站、上仓村泵站、高湖村泵站、白沙村泵站、老港村泵站、双湖村</w:t>
            </w:r>
            <w:r>
              <w:rPr>
                <w:u w:val="single"/>
              </w:rPr>
              <w:t>泵站等6处泵站更换金结及机电设备。</w:t>
            </w:r>
            <w:r>
              <w:rPr>
                <w:rFonts w:hint="eastAsia"/>
                <w:u w:val="single"/>
              </w:rPr>
              <w:t>泵站改造施工较为简单，与其他工程科同步施工，采用人工更换泵站部分设备即可。</w:t>
            </w:r>
          </w:p>
          <w:p>
            <w:pPr>
              <w:pStyle w:val="34"/>
              <w:ind w:firstLine="480"/>
              <w:rPr>
                <w:u w:val="single"/>
              </w:rPr>
            </w:pPr>
            <w:r>
              <w:rPr>
                <w:rFonts w:hint="eastAsia"/>
                <w:u w:val="single"/>
              </w:rPr>
              <w:t>2、湖泊清障工程</w:t>
            </w:r>
          </w:p>
          <w:p>
            <w:pPr>
              <w:pStyle w:val="34"/>
              <w:ind w:firstLine="480"/>
              <w:rPr>
                <w:u w:val="single"/>
              </w:rPr>
            </w:pPr>
            <w:r>
              <w:rPr>
                <w:u w:val="single"/>
              </w:rPr>
              <w:t>1）</w:t>
            </w:r>
            <w:r>
              <w:rPr>
                <w:rFonts w:hint="eastAsia"/>
                <w:u w:val="single"/>
              </w:rPr>
              <w:t>湖</w:t>
            </w:r>
            <w:r>
              <w:rPr>
                <w:u w:val="single"/>
              </w:rPr>
              <w:t>堤范围内清理方法</w:t>
            </w:r>
          </w:p>
          <w:p>
            <w:pPr>
              <w:pStyle w:val="34"/>
              <w:ind w:firstLine="480"/>
              <w:rPr>
                <w:u w:val="single"/>
              </w:rPr>
            </w:pPr>
            <w:r>
              <w:rPr>
                <w:rFonts w:hint="eastAsia"/>
                <w:u w:val="single"/>
              </w:rPr>
              <w:t>该范围内清理施工采用人工清淤，清理工序：人工清除地表垃圾、植被→人工装袋→人工便道处装车→河岸集中堆放→沥水→装车外运至附近垃圾中转站。为确保现状河堤安全，施工过程中严禁对河堤造成破坏，本工程建议对渠道两岸河堤采用人工</w:t>
            </w:r>
            <w:r>
              <w:rPr>
                <w:u w:val="single"/>
              </w:rPr>
              <w:t>+简单机械工具清除的办法，施工便道修建好后，工人进入施工现场，对地表附着的杂草进行清理，边清理边装袋，转运至便道侧，分类堆放以便上车。堆至一定数量后采用运输车或人力车转运集中堆放沥水，沥水统一收集预处理后排至市政管网处理。沥水干后，采用密闭式运输车外运至附近垃圾中转站。</w:t>
            </w:r>
          </w:p>
          <w:p>
            <w:pPr>
              <w:pStyle w:val="34"/>
              <w:ind w:firstLine="480"/>
              <w:rPr>
                <w:u w:val="single"/>
              </w:rPr>
            </w:pPr>
            <w:r>
              <w:rPr>
                <w:u w:val="single"/>
              </w:rPr>
              <w:t>2）</w:t>
            </w:r>
            <w:r>
              <w:rPr>
                <w:rFonts w:hint="eastAsia"/>
                <w:u w:val="single"/>
              </w:rPr>
              <w:t>湖内</w:t>
            </w:r>
            <w:r>
              <w:rPr>
                <w:u w:val="single"/>
              </w:rPr>
              <w:t>漂浮物垃圾打捞方法</w:t>
            </w:r>
          </w:p>
          <w:p>
            <w:pPr>
              <w:pStyle w:val="34"/>
              <w:ind w:firstLine="480"/>
              <w:rPr>
                <w:u w:val="single"/>
              </w:rPr>
            </w:pPr>
            <w:r>
              <w:rPr>
                <w:rFonts w:hint="eastAsia"/>
                <w:u w:val="single"/>
              </w:rPr>
              <w:t>河道内的漂浮物清理工序为：小型船舶入湖→长臂型捕捞→人工装袋→人工便道处装车→湖岸集中堆放→沥水→装车外运至附近垃圾中转站。采用小型船舶进入湖面，配备长臂型捕捞工具，人工打探，只在白天对湖面漂浮物进行打捞保洁和巡逻。由两名穿戴好安全作业设备的专职人员从上至下或者从下至上对湖面进行循环巡逻，其中一人对发现的漂浮物进行及时打捞，一人负责对打捞上岸的漂浮物安全装袋堆放，堆至一定数量后采用运输车或人力车转运集中堆放沥水，要求垃圾堆放点在不影响道路通行和市容市貌的较隐蔽位置，沥水干后，采用密闭式运输车外运至附近垃圾中转站。</w:t>
            </w:r>
          </w:p>
          <w:p>
            <w:pPr>
              <w:pStyle w:val="34"/>
              <w:ind w:firstLine="480"/>
              <w:rPr>
                <w:u w:val="single"/>
              </w:rPr>
            </w:pPr>
            <w:r>
              <w:rPr>
                <w:rFonts w:hint="eastAsia"/>
                <w:u w:val="single"/>
              </w:rPr>
              <w:t>3、湖泊清淤疏浚工程</w:t>
            </w:r>
          </w:p>
          <w:p>
            <w:pPr>
              <w:pStyle w:val="69"/>
              <w:ind w:firstLine="480" w:firstLineChars="200"/>
              <w:rPr>
                <w:rFonts w:ascii="Times New Roman" w:hAnsi="Times New Roman" w:cs="Times New Roman"/>
                <w:color w:val="auto"/>
                <w:sz w:val="24"/>
                <w:u w:val="single"/>
              </w:rPr>
            </w:pPr>
            <w:r>
              <w:rPr>
                <w:rFonts w:ascii="Times New Roman" w:hAnsi="Times New Roman" w:cs="Times New Roman"/>
                <w:color w:val="auto"/>
                <w:sz w:val="24"/>
                <w:u w:val="single"/>
              </w:rPr>
              <w:t>本次湖泊清淤疏浚工程量共计314.10万m</w:t>
            </w:r>
            <w:r>
              <w:rPr>
                <w:rFonts w:ascii="Times New Roman" w:hAnsi="Times New Roman" w:cs="Times New Roman"/>
                <w:color w:val="auto"/>
                <w:sz w:val="24"/>
                <w:u w:val="single"/>
                <w:vertAlign w:val="superscript"/>
              </w:rPr>
              <w:t>3</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清淤面积2</w:t>
            </w:r>
            <w:r>
              <w:rPr>
                <w:rFonts w:ascii="Times New Roman" w:hAnsi="Times New Roman" w:cs="Times New Roman"/>
                <w:color w:val="auto"/>
                <w:sz w:val="24"/>
                <w:u w:val="single"/>
              </w:rPr>
              <w:t>05.29</w:t>
            </w:r>
            <w:r>
              <w:rPr>
                <w:rFonts w:hint="eastAsia" w:ascii="Times New Roman" w:hAnsi="Times New Roman" w:cs="Times New Roman"/>
                <w:color w:val="auto"/>
                <w:sz w:val="24"/>
                <w:u w:val="single"/>
              </w:rPr>
              <w:t>万m</w:t>
            </w:r>
            <w:r>
              <w:rPr>
                <w:rFonts w:ascii="Times New Roman" w:hAnsi="Times New Roman" w:cs="Times New Roman"/>
                <w:color w:val="auto"/>
                <w:sz w:val="24"/>
                <w:u w:val="single"/>
                <w:vertAlign w:val="superscript"/>
              </w:rPr>
              <w:t>2</w:t>
            </w:r>
            <w:r>
              <w:rPr>
                <w:rFonts w:hint="eastAsia" w:ascii="Times New Roman" w:hAnsi="Times New Roman" w:cs="Times New Roman"/>
                <w:color w:val="auto"/>
                <w:sz w:val="24"/>
                <w:u w:val="single"/>
              </w:rPr>
              <w:t>（约3</w:t>
            </w:r>
            <w:r>
              <w:rPr>
                <w:rFonts w:ascii="Times New Roman" w:hAnsi="Times New Roman" w:cs="Times New Roman"/>
                <w:color w:val="auto"/>
                <w:sz w:val="24"/>
                <w:u w:val="single"/>
              </w:rPr>
              <w:t>079</w:t>
            </w:r>
            <w:r>
              <w:rPr>
                <w:rFonts w:hint="eastAsia" w:ascii="Times New Roman" w:hAnsi="Times New Roman" w:cs="Times New Roman"/>
                <w:color w:val="auto"/>
                <w:sz w:val="24"/>
                <w:u w:val="single"/>
              </w:rPr>
              <w:t>亩，在鱼光互补以外区域清淤，鱼光互补区域由于光伏发电设备的阻碍，无法进行清淤，不纳入本次工程范围），平均清理深度为1</w:t>
            </w:r>
            <w:r>
              <w:rPr>
                <w:rFonts w:ascii="Times New Roman" w:hAnsi="Times New Roman" w:cs="Times New Roman"/>
                <w:color w:val="auto"/>
                <w:sz w:val="24"/>
                <w:u w:val="single"/>
              </w:rPr>
              <w:t>.53</w:t>
            </w:r>
            <w:r>
              <w:rPr>
                <w:rFonts w:hint="eastAsia" w:ascii="Times New Roman" w:hAnsi="Times New Roman" w:cs="Times New Roman"/>
                <w:color w:val="auto"/>
                <w:sz w:val="24"/>
                <w:u w:val="single"/>
              </w:rPr>
              <w:t>m。</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据钻探揭露，场地内地层主要为第四系填土、粉质黏土、砾砂，现将各土层特征自上而下分别描述如下（其中&lt;1</w:t>
            </w:r>
            <w:r>
              <w:rPr>
                <w:rFonts w:hint="eastAsia" w:ascii="Times New Roman" w:hAnsi="Times New Roman" w:eastAsia="宋体" w:cs="Times New Roman"/>
                <w:sz w:val="24"/>
                <w:szCs w:val="24"/>
                <w:u w:val="single"/>
              </w:rPr>
              <w:t>&gt;</w:t>
            </w:r>
            <w:r>
              <w:rPr>
                <w:rFonts w:ascii="Times New Roman" w:hAnsi="Times New Roman" w:eastAsia="宋体" w:cs="Times New Roman"/>
                <w:sz w:val="24"/>
                <w:szCs w:val="24"/>
                <w:u w:val="single"/>
              </w:rPr>
              <w:t>&lt;5&gt;为地层序号）：</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①素填土（Q</w:t>
            </w:r>
            <w:r>
              <w:rPr>
                <w:rFonts w:ascii="Times New Roman" w:hAnsi="Times New Roman" w:eastAsia="宋体" w:cs="Times New Roman"/>
                <w:sz w:val="24"/>
                <w:szCs w:val="24"/>
                <w:u w:val="single"/>
                <w:vertAlign w:val="subscript"/>
              </w:rPr>
              <w:t>4</w:t>
            </w:r>
            <w:r>
              <w:rPr>
                <w:rFonts w:ascii="Times New Roman" w:hAnsi="Times New Roman" w:eastAsia="宋体" w:cs="Times New Roman"/>
                <w:sz w:val="24"/>
                <w:szCs w:val="24"/>
                <w:u w:val="single"/>
                <w:vertAlign w:val="superscript"/>
              </w:rPr>
              <w:t>ml</w:t>
            </w:r>
            <w:r>
              <w:rPr>
                <w:rFonts w:ascii="Times New Roman" w:hAnsi="Times New Roman" w:eastAsia="宋体" w:cs="Times New Roman"/>
                <w:sz w:val="24"/>
                <w:szCs w:val="24"/>
                <w:u w:val="single"/>
              </w:rPr>
              <w:t>）&lt;1</w:t>
            </w:r>
            <w:r>
              <w:rPr>
                <w:rFonts w:hint="eastAsia" w:ascii="Times New Roman" w:hAnsi="Times New Roman" w:eastAsia="宋体" w:cs="Times New Roman"/>
                <w:sz w:val="24"/>
                <w:szCs w:val="24"/>
                <w:u w:val="single"/>
              </w:rPr>
              <w:t>&gt;</w:t>
            </w:r>
            <w:r>
              <w:rPr>
                <w:rFonts w:ascii="Times New Roman" w:hAnsi="Times New Roman" w:eastAsia="宋体" w:cs="Times New Roman"/>
                <w:sz w:val="24"/>
                <w:szCs w:val="24"/>
                <w:u w:val="single"/>
              </w:rPr>
              <w:t>褐黄色，松散～稍密状，稍湿～湿，由黏性土回填而成，回填年限大于10年，采取率为85%。</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②粉质黏土（Q</w:t>
            </w:r>
            <w:r>
              <w:rPr>
                <w:rFonts w:ascii="Times New Roman" w:hAnsi="Times New Roman" w:eastAsia="宋体" w:cs="Times New Roman"/>
                <w:sz w:val="24"/>
                <w:szCs w:val="24"/>
                <w:u w:val="single"/>
                <w:vertAlign w:val="subscript"/>
              </w:rPr>
              <w:t>4</w:t>
            </w:r>
            <w:r>
              <w:rPr>
                <w:rFonts w:ascii="Times New Roman" w:hAnsi="Times New Roman" w:eastAsia="宋体" w:cs="Times New Roman"/>
                <w:sz w:val="24"/>
                <w:szCs w:val="24"/>
                <w:u w:val="single"/>
                <w:vertAlign w:val="superscript"/>
              </w:rPr>
              <w:t>al+pl</w:t>
            </w:r>
            <w:r>
              <w:rPr>
                <w:rFonts w:ascii="Times New Roman" w:hAnsi="Times New Roman" w:eastAsia="宋体" w:cs="Times New Roman"/>
                <w:sz w:val="24"/>
                <w:szCs w:val="24"/>
                <w:u w:val="single"/>
              </w:rPr>
              <w:t>）&lt;2</w:t>
            </w:r>
            <w:r>
              <w:rPr>
                <w:rFonts w:hint="eastAsia" w:ascii="Times New Roman" w:hAnsi="Times New Roman" w:eastAsia="宋体" w:cs="Times New Roman"/>
                <w:sz w:val="24"/>
                <w:szCs w:val="24"/>
                <w:u w:val="single"/>
              </w:rPr>
              <w:t>&gt;</w:t>
            </w:r>
            <w:r>
              <w:rPr>
                <w:rFonts w:ascii="Times New Roman" w:hAnsi="Times New Roman" w:eastAsia="宋体" w:cs="Times New Roman"/>
                <w:sz w:val="24"/>
                <w:szCs w:val="24"/>
                <w:u w:val="single"/>
              </w:rPr>
              <w:t>褐灰色，软塑状态，摇振无反应，稍有光泽，干强度中等，韧性中等，采取率为90%。</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③粉质黏土（Q</w:t>
            </w:r>
            <w:r>
              <w:rPr>
                <w:rFonts w:ascii="Times New Roman" w:hAnsi="Times New Roman" w:eastAsia="宋体" w:cs="Times New Roman"/>
                <w:sz w:val="24"/>
                <w:szCs w:val="24"/>
                <w:u w:val="single"/>
                <w:vertAlign w:val="subscript"/>
              </w:rPr>
              <w:t>4</w:t>
            </w:r>
            <w:r>
              <w:rPr>
                <w:rFonts w:ascii="Times New Roman" w:hAnsi="Times New Roman" w:eastAsia="宋体" w:cs="Times New Roman"/>
                <w:sz w:val="24"/>
                <w:szCs w:val="24"/>
                <w:u w:val="single"/>
                <w:vertAlign w:val="superscript"/>
              </w:rPr>
              <w:t>al+pl</w:t>
            </w:r>
            <w:r>
              <w:rPr>
                <w:rFonts w:ascii="Times New Roman" w:hAnsi="Times New Roman" w:eastAsia="宋体" w:cs="Times New Roman"/>
                <w:sz w:val="24"/>
                <w:szCs w:val="24"/>
                <w:u w:val="single"/>
              </w:rPr>
              <w:t>）&lt;3</w:t>
            </w:r>
            <w:r>
              <w:rPr>
                <w:rFonts w:hint="eastAsia" w:ascii="Times New Roman" w:hAnsi="Times New Roman" w:eastAsia="宋体" w:cs="Times New Roman"/>
                <w:sz w:val="24"/>
                <w:szCs w:val="24"/>
                <w:u w:val="single"/>
              </w:rPr>
              <w:t>&gt;</w:t>
            </w:r>
            <w:r>
              <w:rPr>
                <w:rFonts w:ascii="Times New Roman" w:hAnsi="Times New Roman" w:eastAsia="宋体" w:cs="Times New Roman"/>
                <w:sz w:val="24"/>
                <w:szCs w:val="24"/>
                <w:u w:val="single"/>
              </w:rPr>
              <w:t>褐黄色，可～硬塑状态，摇振无反应，稍有光泽，干强度高，韧性中等，底部含少量中细砂，采取率为90%</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④砾砂（Q</w:t>
            </w:r>
            <w:r>
              <w:rPr>
                <w:rFonts w:ascii="Times New Roman" w:hAnsi="Times New Roman" w:eastAsia="宋体" w:cs="Times New Roman"/>
                <w:sz w:val="24"/>
                <w:szCs w:val="24"/>
                <w:u w:val="single"/>
                <w:vertAlign w:val="subscript"/>
              </w:rPr>
              <w:t>4</w:t>
            </w:r>
            <w:r>
              <w:rPr>
                <w:rFonts w:ascii="Times New Roman" w:hAnsi="Times New Roman" w:eastAsia="宋体" w:cs="Times New Roman"/>
                <w:sz w:val="24"/>
                <w:szCs w:val="24"/>
                <w:u w:val="single"/>
                <w:vertAlign w:val="superscript"/>
              </w:rPr>
              <w:t>al+pl</w:t>
            </w:r>
            <w:r>
              <w:rPr>
                <w:rFonts w:ascii="Times New Roman" w:hAnsi="Times New Roman" w:eastAsia="宋体" w:cs="Times New Roman"/>
                <w:sz w:val="24"/>
                <w:szCs w:val="24"/>
                <w:u w:val="single"/>
              </w:rPr>
              <w:t>）&lt;4</w:t>
            </w:r>
            <w:r>
              <w:rPr>
                <w:rFonts w:hint="eastAsia" w:ascii="Times New Roman" w:hAnsi="Times New Roman" w:eastAsia="宋体" w:cs="Times New Roman"/>
                <w:sz w:val="24"/>
                <w:szCs w:val="24"/>
                <w:u w:val="single"/>
              </w:rPr>
              <w:t>&gt;</w:t>
            </w:r>
            <w:r>
              <w:rPr>
                <w:rFonts w:ascii="Times New Roman" w:hAnsi="Times New Roman" w:eastAsia="宋体" w:cs="Times New Roman"/>
                <w:sz w:val="24"/>
                <w:szCs w:val="24"/>
                <w:u w:val="single"/>
              </w:rPr>
              <w:t>灰黄色，灰白色、灰褐色，饱和，呈松散～稍密状，主要成分为石英，泥质含量约10%～15%，圆砾含量约5%～10%，采取率为90%</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⑤粉质黏土（Q</w:t>
            </w:r>
            <w:r>
              <w:rPr>
                <w:rFonts w:ascii="Times New Roman" w:hAnsi="Times New Roman" w:eastAsia="宋体" w:cs="Times New Roman"/>
                <w:sz w:val="24"/>
                <w:szCs w:val="24"/>
                <w:u w:val="single"/>
                <w:vertAlign w:val="subscript"/>
              </w:rPr>
              <w:t>4</w:t>
            </w:r>
            <w:r>
              <w:rPr>
                <w:rFonts w:ascii="Times New Roman" w:hAnsi="Times New Roman" w:eastAsia="宋体" w:cs="Times New Roman"/>
                <w:sz w:val="24"/>
                <w:szCs w:val="24"/>
                <w:u w:val="single"/>
                <w:vertAlign w:val="superscript"/>
              </w:rPr>
              <w:t>al+pl</w:t>
            </w:r>
            <w:r>
              <w:rPr>
                <w:rFonts w:ascii="Times New Roman" w:hAnsi="Times New Roman" w:eastAsia="宋体" w:cs="Times New Roman"/>
                <w:sz w:val="24"/>
                <w:szCs w:val="24"/>
                <w:u w:val="single"/>
              </w:rPr>
              <w:t>）&lt;5</w:t>
            </w:r>
            <w:r>
              <w:rPr>
                <w:rFonts w:hint="eastAsia" w:ascii="Times New Roman" w:hAnsi="Times New Roman" w:eastAsia="宋体" w:cs="Times New Roman"/>
                <w:sz w:val="24"/>
                <w:szCs w:val="24"/>
                <w:u w:val="single"/>
              </w:rPr>
              <w:t>&gt;</w:t>
            </w:r>
            <w:r>
              <w:rPr>
                <w:rFonts w:ascii="Times New Roman" w:hAnsi="Times New Roman" w:eastAsia="宋体" w:cs="Times New Roman"/>
                <w:sz w:val="24"/>
                <w:szCs w:val="24"/>
                <w:u w:val="single"/>
              </w:rPr>
              <w:t>褐黄色，可～硬塑状态，摇振无反应，稍有光泽，干强度高，韧性中等，底部含少量中细砂，采取率为90%</w:t>
            </w:r>
          </w:p>
          <w:p>
            <w:pPr>
              <w:snapToGrid w:val="0"/>
              <w:spacing w:line="360" w:lineRule="auto"/>
              <w:ind w:firstLine="480" w:firstLineChars="200"/>
              <w:rPr>
                <w:rFonts w:ascii="Times New Roman" w:hAnsi="Times New Roman"/>
                <w:snapToGrid w:val="0"/>
                <w:kern w:val="24"/>
                <w:sz w:val="24"/>
                <w:u w:val="single"/>
              </w:rPr>
            </w:pPr>
            <w:r>
              <w:rPr>
                <w:rFonts w:ascii="Times New Roman" w:hAnsi="Times New Roman" w:eastAsia="宋体" w:cs="Times New Roman"/>
                <w:snapToGrid w:val="0"/>
                <w:kern w:val="24"/>
                <w:sz w:val="24"/>
                <w:szCs w:val="24"/>
                <w:u w:val="single"/>
              </w:rPr>
              <w:t>1）设备选型</w:t>
            </w:r>
          </w:p>
          <w:p>
            <w:pPr>
              <w:snapToGrid w:val="0"/>
              <w:spacing w:line="360" w:lineRule="auto"/>
              <w:ind w:firstLine="480" w:firstLineChars="200"/>
              <w:rPr>
                <w:rFonts w:ascii="Times New Roman" w:hAnsi="Times New Roman"/>
                <w:snapToGrid w:val="0"/>
                <w:kern w:val="0"/>
                <w:sz w:val="24"/>
                <w:u w:val="single"/>
              </w:rPr>
            </w:pPr>
            <w:r>
              <w:rPr>
                <w:rFonts w:hint="eastAsia" w:ascii="Times New Roman" w:hAnsi="Times New Roman" w:eastAsia="宋体" w:cs="Times New Roman"/>
                <w:snapToGrid w:val="0"/>
                <w:sz w:val="24"/>
                <w:szCs w:val="24"/>
                <w:u w:val="single"/>
              </w:rPr>
              <w:t>鼻湖</w:t>
            </w:r>
            <w:r>
              <w:rPr>
                <w:rFonts w:ascii="Times New Roman" w:hAnsi="Times New Roman" w:eastAsia="宋体" w:cs="Times New Roman"/>
                <w:snapToGrid w:val="0"/>
                <w:kern w:val="24"/>
                <w:sz w:val="24"/>
                <w:szCs w:val="24"/>
                <w:u w:val="single"/>
              </w:rPr>
              <w:t>清淤疏浚工程量大</w:t>
            </w:r>
            <w:r>
              <w:rPr>
                <w:rFonts w:ascii="Times New Roman" w:hAnsi="Times New Roman" w:eastAsia="宋体" w:cs="Times New Roman"/>
                <w:snapToGrid w:val="0"/>
                <w:kern w:val="0"/>
                <w:sz w:val="24"/>
                <w:szCs w:val="24"/>
                <w:u w:val="single"/>
              </w:rPr>
              <w:t>，水深，不适合人工或者陆上机械清淤，适合于采用工程船舶。在疏浚行业，按其工作方式，工程船舶可分为机械式和水力式挖泥船，前者有链斗式、抓斗式和铲斗式挖泥船等，后者有耙吸式、绞吸式、斗轮式、吸扬式挖泥船等，各种挖泥船适用范围不一样。</w:t>
            </w:r>
          </w:p>
          <w:p>
            <w:pPr>
              <w:adjustRightInd w:val="0"/>
              <w:spacing w:line="360" w:lineRule="auto"/>
              <w:ind w:firstLine="480" w:firstLineChars="200"/>
              <w:rPr>
                <w:rFonts w:ascii="Times New Roman" w:hAnsi="Times New Roman"/>
                <w:snapToGrid w:val="0"/>
                <w:kern w:val="0"/>
                <w:sz w:val="24"/>
                <w:u w:val="single"/>
              </w:rPr>
            </w:pPr>
            <w:r>
              <w:rPr>
                <w:rFonts w:ascii="Times New Roman" w:hAnsi="Times New Roman" w:eastAsia="宋体" w:cs="Times New Roman"/>
                <w:snapToGrid w:val="0"/>
                <w:kern w:val="0"/>
                <w:sz w:val="24"/>
                <w:szCs w:val="24"/>
                <w:u w:val="single"/>
              </w:rPr>
              <w:t>机械式挖泥船结构较简单，类似于陆用挖掘机械，缺点是不能远距离输送所挖物料，生产效率较低，优点是可在诸如船坞、港口及码头等受限制的水域内施工。其中，链斗式挖泥船虽然效率高，但不适合粘土层。</w:t>
            </w:r>
          </w:p>
          <w:p>
            <w:pPr>
              <w:adjustRightInd w:val="0"/>
              <w:spacing w:line="360" w:lineRule="auto"/>
              <w:ind w:firstLine="480" w:firstLineChars="200"/>
              <w:rPr>
                <w:rFonts w:ascii="Times New Roman" w:hAnsi="Times New Roman"/>
                <w:snapToGrid w:val="0"/>
                <w:kern w:val="0"/>
                <w:sz w:val="24"/>
                <w:u w:val="single"/>
              </w:rPr>
            </w:pPr>
            <w:r>
              <w:rPr>
                <w:rFonts w:ascii="Times New Roman" w:hAnsi="Times New Roman" w:eastAsia="宋体" w:cs="Times New Roman"/>
                <w:snapToGrid w:val="0"/>
                <w:kern w:val="0"/>
                <w:sz w:val="24"/>
                <w:szCs w:val="24"/>
                <w:u w:val="single"/>
              </w:rPr>
              <w:t>水力式挖泥船不仅可以挖掘物料，而且还可以用泥泵将疏浚土料经排泥管输送到卸料区，或先贮存在船上的泥舱内而后再运至卸料区。由于水力式挖泥船既可以自行挖泥又可自行排泥的连续作业，故具有多功能、较高的效率和经济性。</w:t>
            </w:r>
          </w:p>
          <w:p>
            <w:pPr>
              <w:pStyle w:val="39"/>
              <w:spacing w:before="156"/>
              <w:rPr>
                <w:snapToGrid w:val="0"/>
                <w:kern w:val="0"/>
                <w:u w:val="single"/>
              </w:rPr>
            </w:pPr>
            <w:r>
              <w:rPr>
                <w:rFonts w:hint="eastAsia"/>
                <w:u w:val="single"/>
              </w:rPr>
              <w:t xml:space="preserve">表2-8  </w:t>
            </w:r>
            <w:r>
              <w:rPr>
                <w:u w:val="single"/>
              </w:rPr>
              <w:t>各种型式的挖泥船工作原理及特点和适应性</w:t>
            </w:r>
            <w:r>
              <w:rPr>
                <w:rFonts w:hint="eastAsia"/>
                <w:u w:val="single"/>
              </w:rPr>
              <w:t>一览表</w:t>
            </w:r>
          </w:p>
          <w:tbl>
            <w:tblPr>
              <w:tblStyle w:val="27"/>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5801"/>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98" w:type="pct"/>
                  <w:vAlign w:val="center"/>
                </w:tcPr>
                <w:p>
                  <w:pPr>
                    <w:pStyle w:val="41"/>
                    <w:rPr>
                      <w:snapToGrid w:val="0"/>
                      <w:u w:val="single"/>
                    </w:rPr>
                  </w:pPr>
                  <w:r>
                    <w:rPr>
                      <w:rFonts w:hint="eastAsia"/>
                      <w:snapToGrid w:val="0"/>
                      <w:u w:val="single"/>
                    </w:rPr>
                    <w:t>船型</w:t>
                  </w:r>
                </w:p>
              </w:tc>
              <w:tc>
                <w:tcPr>
                  <w:tcW w:w="3109" w:type="pct"/>
                  <w:vAlign w:val="center"/>
                </w:tcPr>
                <w:p>
                  <w:pPr>
                    <w:pStyle w:val="41"/>
                    <w:rPr>
                      <w:snapToGrid w:val="0"/>
                      <w:u w:val="single"/>
                    </w:rPr>
                  </w:pPr>
                  <w:r>
                    <w:rPr>
                      <w:rFonts w:hint="eastAsia"/>
                      <w:snapToGrid w:val="0"/>
                      <w:u w:val="single"/>
                    </w:rPr>
                    <w:t>工作原理及特点</w:t>
                  </w:r>
                </w:p>
              </w:tc>
              <w:tc>
                <w:tcPr>
                  <w:tcW w:w="1292" w:type="pct"/>
                  <w:vAlign w:val="center"/>
                </w:tcPr>
                <w:p>
                  <w:pPr>
                    <w:pStyle w:val="41"/>
                    <w:rPr>
                      <w:snapToGrid w:val="0"/>
                      <w:u w:val="single"/>
                    </w:rPr>
                  </w:pPr>
                  <w:r>
                    <w:rPr>
                      <w:rFonts w:hint="eastAsia"/>
                      <w:snapToGrid w:val="0"/>
                      <w:u w:val="single"/>
                    </w:rPr>
                    <w:t>适应性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vAlign w:val="center"/>
                </w:tcPr>
                <w:p>
                  <w:pPr>
                    <w:pStyle w:val="41"/>
                    <w:rPr>
                      <w:snapToGrid w:val="0"/>
                      <w:u w:val="single"/>
                    </w:rPr>
                  </w:pPr>
                  <w:r>
                    <w:rPr>
                      <w:rFonts w:hint="eastAsia"/>
                      <w:snapToGrid w:val="0"/>
                      <w:u w:val="single"/>
                    </w:rPr>
                    <w:t>绞吸式挖泥船</w:t>
                  </w:r>
                </w:p>
              </w:tc>
              <w:tc>
                <w:tcPr>
                  <w:tcW w:w="3109" w:type="pct"/>
                  <w:vAlign w:val="center"/>
                </w:tcPr>
                <w:p>
                  <w:pPr>
                    <w:pStyle w:val="41"/>
                    <w:rPr>
                      <w:snapToGrid w:val="0"/>
                      <w:u w:val="single"/>
                    </w:rPr>
                  </w:pPr>
                  <w:r>
                    <w:rPr>
                      <w:rFonts w:hint="eastAsia"/>
                      <w:snapToGrid w:val="0"/>
                      <w:u w:val="single"/>
                    </w:rPr>
                    <w:t>以装于船首的绞刀，搅动和切削土层，并形成泥浆，利用离心式泥泵自水下吸取泥浆，通过吸泥管、泥泵和排泥管（浮管+岸管）输送到排泥区的一种挖泥船型；一般为非自航；按结构分整体式和组合式；安装潜泵，可以获得更大的挖深和更高的生产率；主要采取逆流开挖</w:t>
                  </w:r>
                </w:p>
              </w:tc>
              <w:tc>
                <w:tcPr>
                  <w:tcW w:w="1292" w:type="pct"/>
                  <w:vAlign w:val="center"/>
                </w:tcPr>
                <w:p>
                  <w:pPr>
                    <w:pStyle w:val="41"/>
                    <w:rPr>
                      <w:snapToGrid w:val="0"/>
                      <w:u w:val="single"/>
                    </w:rPr>
                  </w:pPr>
                  <w:r>
                    <w:rPr>
                      <w:rFonts w:hint="eastAsia"/>
                      <w:snapToGrid w:val="0"/>
                      <w:u w:val="single"/>
                    </w:rPr>
                    <w:t>适应性很强，40MPa以下的软岩可以开挖，各种类型的土（粘土、粉土、淤泥质土、砂砾石、淤泥）都可以。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vAlign w:val="center"/>
                </w:tcPr>
                <w:p>
                  <w:pPr>
                    <w:pStyle w:val="41"/>
                    <w:rPr>
                      <w:snapToGrid w:val="0"/>
                      <w:u w:val="single"/>
                    </w:rPr>
                  </w:pPr>
                  <w:r>
                    <w:rPr>
                      <w:rFonts w:hint="eastAsia"/>
                      <w:snapToGrid w:val="0"/>
                      <w:u w:val="single"/>
                    </w:rPr>
                    <w:t>链斗式挖泥船</w:t>
                  </w:r>
                </w:p>
              </w:tc>
              <w:tc>
                <w:tcPr>
                  <w:tcW w:w="3109" w:type="pct"/>
                  <w:vAlign w:val="center"/>
                </w:tcPr>
                <w:p>
                  <w:pPr>
                    <w:pStyle w:val="41"/>
                    <w:rPr>
                      <w:snapToGrid w:val="0"/>
                      <w:u w:val="single"/>
                    </w:rPr>
                  </w:pPr>
                  <w:r>
                    <w:rPr>
                      <w:rFonts w:hint="eastAsia"/>
                      <w:snapToGrid w:val="0"/>
                      <w:u w:val="single"/>
                    </w:rPr>
                    <w:t>以一定数量的挖泥斗通过链节串联组成斗链，斗链支承在斗桥的上下导轮和滚轮上，借助导轮的驱动，在斗桥上连续循环转动，使挖泥斗用斗刃或斗齿在水下切割、挖掘砂石（土壤）并保留在挖泥斗中，挖泥斗随着链节的提升，上升到斗塔上部后倾卸入泥井，经溜槽装驳船运出。通过升降斗桥改变挖深，通过船上的首尾和边锚绞车控制船体的横移、前移，从而完成对砂石（土壤）的挖取，还要配备泥驳、砂驳来转移运送疏挖料从而完成疏挖项目；通常采取逆流开挖；</w:t>
                  </w:r>
                </w:p>
              </w:tc>
              <w:tc>
                <w:tcPr>
                  <w:tcW w:w="1292" w:type="pct"/>
                  <w:vAlign w:val="center"/>
                </w:tcPr>
                <w:p>
                  <w:pPr>
                    <w:pStyle w:val="41"/>
                    <w:rPr>
                      <w:snapToGrid w:val="0"/>
                      <w:u w:val="single"/>
                    </w:rPr>
                  </w:pPr>
                  <w:r>
                    <w:rPr>
                      <w:rFonts w:hint="eastAsia"/>
                      <w:snapToGrid w:val="0"/>
                      <w:u w:val="single"/>
                    </w:rPr>
                    <w:t>除对细砂、粉细砂、淤泥质土的挖取工效较低外，其余类型的土体均合适。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98" w:type="pct"/>
                  <w:vAlign w:val="center"/>
                </w:tcPr>
                <w:p>
                  <w:pPr>
                    <w:pStyle w:val="41"/>
                    <w:rPr>
                      <w:snapToGrid w:val="0"/>
                      <w:u w:val="single"/>
                    </w:rPr>
                  </w:pPr>
                  <w:r>
                    <w:rPr>
                      <w:rFonts w:hint="eastAsia"/>
                      <w:snapToGrid w:val="0"/>
                      <w:u w:val="single"/>
                    </w:rPr>
                    <w:t>铲斗式挖泥船</w:t>
                  </w:r>
                </w:p>
              </w:tc>
              <w:tc>
                <w:tcPr>
                  <w:tcW w:w="3109" w:type="pct"/>
                  <w:vAlign w:val="center"/>
                </w:tcPr>
                <w:p>
                  <w:pPr>
                    <w:pStyle w:val="41"/>
                    <w:rPr>
                      <w:snapToGrid w:val="0"/>
                      <w:u w:val="single"/>
                    </w:rPr>
                  </w:pPr>
                  <w:r>
                    <w:rPr>
                      <w:rFonts w:hint="eastAsia"/>
                      <w:snapToGrid w:val="0"/>
                      <w:u w:val="single"/>
                    </w:rPr>
                    <w:t>利用吊杆与斗柄把铲斗伸入水中，切入挖掘层进行铲挖，然后经主起升钢缆和变幅钢缆绕过滑轮把铲斗连同吊杆一并扬起适当的高度，并旋转到卸泥处，拉开斗门卸泥，卸泥后旋回至挖掘点，依次循环进行作业；泥土的转运和输送同</w:t>
                  </w:r>
                  <w:r>
                    <w:rPr>
                      <w:snapToGrid w:val="0"/>
                      <w:u w:val="single"/>
                    </w:rPr>
                    <w:t>“</w:t>
                  </w:r>
                  <w:r>
                    <w:rPr>
                      <w:rFonts w:hint="eastAsia"/>
                      <w:snapToGrid w:val="0"/>
                      <w:u w:val="single"/>
                    </w:rPr>
                    <w:t>链斗式挖泥船”；多为非自航式；</w:t>
                  </w:r>
                </w:p>
              </w:tc>
              <w:tc>
                <w:tcPr>
                  <w:tcW w:w="1292" w:type="pct"/>
                  <w:vAlign w:val="center"/>
                </w:tcPr>
                <w:p>
                  <w:pPr>
                    <w:pStyle w:val="41"/>
                    <w:rPr>
                      <w:snapToGrid w:val="0"/>
                      <w:u w:val="single"/>
                    </w:rPr>
                  </w:pPr>
                  <w:r>
                    <w:rPr>
                      <w:rFonts w:hint="eastAsia"/>
                      <w:snapToGrid w:val="0"/>
                      <w:u w:val="single"/>
                    </w:rPr>
                    <w:t>对细砂、稀泥和粘性土不适用。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vAlign w:val="center"/>
                </w:tcPr>
                <w:p>
                  <w:pPr>
                    <w:pStyle w:val="41"/>
                    <w:rPr>
                      <w:snapToGrid w:val="0"/>
                      <w:u w:val="single"/>
                    </w:rPr>
                  </w:pPr>
                  <w:r>
                    <w:rPr>
                      <w:rFonts w:hint="eastAsia"/>
                      <w:snapToGrid w:val="0"/>
                      <w:u w:val="single"/>
                    </w:rPr>
                    <w:t>抓斗式挖泥船</w:t>
                  </w:r>
                </w:p>
              </w:tc>
              <w:tc>
                <w:tcPr>
                  <w:tcW w:w="3109" w:type="pct"/>
                  <w:vAlign w:val="center"/>
                </w:tcPr>
                <w:p>
                  <w:pPr>
                    <w:pStyle w:val="41"/>
                    <w:rPr>
                      <w:snapToGrid w:val="0"/>
                      <w:u w:val="single"/>
                    </w:rPr>
                  </w:pPr>
                  <w:r>
                    <w:rPr>
                      <w:rFonts w:hint="eastAsia"/>
                      <w:snapToGrid w:val="0"/>
                      <w:u w:val="single"/>
                    </w:rPr>
                    <w:t>包括船体和挖泥装置，挖泥装置由吊机、吊杆和抓斗组成。吊机是抓放抓斗的起重机械，安装在可旋转360</w:t>
                  </w:r>
                  <w:r>
                    <w:rPr>
                      <w:rFonts w:hint="eastAsia"/>
                      <w:snapToGrid w:val="0"/>
                      <w:u w:val="single"/>
                      <w:vertAlign w:val="superscript"/>
                    </w:rPr>
                    <w:t>0</w:t>
                  </w:r>
                  <w:r>
                    <w:rPr>
                      <w:rFonts w:hint="eastAsia"/>
                      <w:snapToGrid w:val="0"/>
                      <w:u w:val="single"/>
                    </w:rPr>
                    <w:t>的转盘上，抓斗用吊杆和钢丝绳悬挂，挖泥时利用抓斗的自重，切入泥土，然后斗索起吊并关闭抓斗，使 抓起的泥土提升至水面以上，转动吊机到预定位置（驳船或转料点），开启抓斗而卸泥，完成一次抓泥作业，重复上述动作进行循环施工，从而达到疏浚效果；泥土的转运和输送同</w:t>
                  </w:r>
                  <w:r>
                    <w:rPr>
                      <w:snapToGrid w:val="0"/>
                      <w:u w:val="single"/>
                    </w:rPr>
                    <w:t>“</w:t>
                  </w:r>
                  <w:r>
                    <w:rPr>
                      <w:rFonts w:hint="eastAsia"/>
                      <w:snapToGrid w:val="0"/>
                      <w:u w:val="single"/>
                    </w:rPr>
                    <w:t>链斗式挖泥船”；多采取顺流开挖；多为非自航式；</w:t>
                  </w:r>
                </w:p>
              </w:tc>
              <w:tc>
                <w:tcPr>
                  <w:tcW w:w="1292" w:type="pct"/>
                  <w:vAlign w:val="center"/>
                </w:tcPr>
                <w:p>
                  <w:pPr>
                    <w:pStyle w:val="41"/>
                    <w:rPr>
                      <w:snapToGrid w:val="0"/>
                      <w:u w:val="single"/>
                    </w:rPr>
                  </w:pPr>
                  <w:r>
                    <w:rPr>
                      <w:rFonts w:hint="eastAsia"/>
                      <w:snapToGrid w:val="0"/>
                      <w:u w:val="single"/>
                    </w:rPr>
                    <w:t>对细砂、粉细砂、淤泥质土不适用（泄露大、工效差、污染大），粘土、砾石、卵石等土体和较大石块均合适。现在最新的发展是把抓泥装置安置在大型浮箱组合船或趸船上。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vAlign w:val="center"/>
                </w:tcPr>
                <w:p>
                  <w:pPr>
                    <w:pStyle w:val="41"/>
                    <w:rPr>
                      <w:snapToGrid w:val="0"/>
                      <w:u w:val="single"/>
                    </w:rPr>
                  </w:pPr>
                  <w:r>
                    <w:rPr>
                      <w:rFonts w:hint="eastAsia"/>
                      <w:snapToGrid w:val="0"/>
                      <w:u w:val="single"/>
                    </w:rPr>
                    <w:t>耙吸式挖泥船</w:t>
                  </w:r>
                </w:p>
              </w:tc>
              <w:tc>
                <w:tcPr>
                  <w:tcW w:w="3109" w:type="pct"/>
                  <w:vAlign w:val="center"/>
                </w:tcPr>
                <w:p>
                  <w:pPr>
                    <w:pStyle w:val="41"/>
                    <w:rPr>
                      <w:snapToGrid w:val="0"/>
                      <w:u w:val="single"/>
                    </w:rPr>
                  </w:pPr>
                  <w:r>
                    <w:rPr>
                      <w:rFonts w:hint="eastAsia"/>
                      <w:snapToGrid w:val="0"/>
                      <w:u w:val="single"/>
                    </w:rPr>
                    <w:t>在航行过程中借助耙头在水下将泥土挖送，由泥泵通过吸泥管吸入泥沙，并排至自身泥舱，当满舱后，航行到卸泥区，打开泥门进行卸泥。之后又出发，进行下一个循环；外形类似运输货船，有航行和挖泥两套系统，均为自航式；除深水开舱排泥外，还有</w:t>
                  </w:r>
                  <w:r>
                    <w:rPr>
                      <w:snapToGrid w:val="0"/>
                      <w:u w:val="single"/>
                    </w:rPr>
                    <w:t>“</w:t>
                  </w:r>
                  <w:r>
                    <w:rPr>
                      <w:rFonts w:hint="eastAsia"/>
                      <w:snapToGrid w:val="0"/>
                      <w:u w:val="single"/>
                    </w:rPr>
                    <w:t>边排架排泥、装舱接岸管自排、指定点集沙区倾卸，其他挖泥船二次挖取</w:t>
                  </w:r>
                  <w:r>
                    <w:rPr>
                      <w:snapToGrid w:val="0"/>
                      <w:u w:val="single"/>
                    </w:rPr>
                    <w:t>”</w:t>
                  </w:r>
                  <w:r>
                    <w:rPr>
                      <w:rFonts w:hint="eastAsia"/>
                      <w:snapToGrid w:val="0"/>
                      <w:u w:val="single"/>
                    </w:rPr>
                    <w:t>等作业方式。但是作业时间利用率低、施工质量难控制、吃水深度较大；</w:t>
                  </w:r>
                </w:p>
              </w:tc>
              <w:tc>
                <w:tcPr>
                  <w:tcW w:w="1292" w:type="pct"/>
                  <w:vAlign w:val="center"/>
                </w:tcPr>
                <w:p>
                  <w:pPr>
                    <w:pStyle w:val="41"/>
                    <w:rPr>
                      <w:snapToGrid w:val="0"/>
                      <w:u w:val="single"/>
                    </w:rPr>
                  </w:pPr>
                  <w:r>
                    <w:rPr>
                      <w:rFonts w:hint="eastAsia"/>
                      <w:snapToGrid w:val="0"/>
                      <w:u w:val="single"/>
                    </w:rPr>
                    <w:t>适合挖取淤泥、壤土、松散沙土。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vAlign w:val="center"/>
                </w:tcPr>
                <w:p>
                  <w:pPr>
                    <w:pStyle w:val="41"/>
                    <w:rPr>
                      <w:snapToGrid w:val="0"/>
                      <w:u w:val="single"/>
                    </w:rPr>
                  </w:pPr>
                  <w:r>
                    <w:rPr>
                      <w:rFonts w:hint="eastAsia"/>
                      <w:snapToGrid w:val="0"/>
                      <w:u w:val="single"/>
                    </w:rPr>
                    <w:t>气动泵挖泥船</w:t>
                  </w:r>
                </w:p>
              </w:tc>
              <w:tc>
                <w:tcPr>
                  <w:tcW w:w="3109" w:type="pct"/>
                  <w:vAlign w:val="center"/>
                </w:tcPr>
                <w:p>
                  <w:pPr>
                    <w:pStyle w:val="41"/>
                    <w:rPr>
                      <w:snapToGrid w:val="0"/>
                      <w:u w:val="single"/>
                    </w:rPr>
                  </w:pPr>
                  <w:r>
                    <w:rPr>
                      <w:rFonts w:hint="eastAsia"/>
                      <w:snapToGrid w:val="0"/>
                      <w:u w:val="single"/>
                    </w:rPr>
                    <w:t>以压缩空气为动力的水下清淤设备。由泵体（2～3个泵桶，每个泵桶由进气管、进泥管、排泥管、进泥阀、排泥阀和空气阀组成）、压缩空气及空气分配器、控制系统、排泥管系和悬吊、移船、操纵系统。气动泵挖泥时，先操纵移船系统将泵体移到清淤部位并下落到泥沙淤积面，旋转绞刀搅动并切削淤泥土形成泥浆，在压力差作用下，泥浆进入泵桶，当泥浆充满泵桶时，进泥阀门关闭，压缩空气通过分配器进入泵桶，泥浆在压缩空气作用下顶开排泥阀经排泥管排出。适合于近距离排泥或接驳。挖深达50m以上，泥浆浓度高（40%～60%），生产率不高，但是碎石、卵石、杂物容易堵塞泵筒，施工成本高；</w:t>
                  </w:r>
                </w:p>
              </w:tc>
              <w:tc>
                <w:tcPr>
                  <w:tcW w:w="1292" w:type="pct"/>
                  <w:vAlign w:val="center"/>
                </w:tcPr>
                <w:p>
                  <w:pPr>
                    <w:pStyle w:val="41"/>
                    <w:rPr>
                      <w:snapToGrid w:val="0"/>
                      <w:u w:val="single"/>
                    </w:rPr>
                  </w:pPr>
                  <w:r>
                    <w:rPr>
                      <w:rFonts w:hint="eastAsia"/>
                      <w:snapToGrid w:val="0"/>
                      <w:u w:val="single"/>
                    </w:rPr>
                    <w:t>适合挖取数量不多、比较深、地方狭窄处的淤泥。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pPr>
                    <w:pStyle w:val="41"/>
                    <w:rPr>
                      <w:snapToGrid w:val="0"/>
                      <w:u w:val="single"/>
                    </w:rPr>
                  </w:pPr>
                  <w:r>
                    <w:rPr>
                      <w:rFonts w:hint="eastAsia"/>
                      <w:snapToGrid w:val="0"/>
                      <w:u w:val="single"/>
                    </w:rPr>
                    <w:t>水陆两栖式挖泥船</w:t>
                  </w:r>
                </w:p>
              </w:tc>
              <w:tc>
                <w:tcPr>
                  <w:tcW w:w="3109" w:type="pct"/>
                  <w:vAlign w:val="center"/>
                </w:tcPr>
                <w:p>
                  <w:pPr>
                    <w:pStyle w:val="41"/>
                    <w:rPr>
                      <w:snapToGrid w:val="0"/>
                      <w:u w:val="single"/>
                    </w:rPr>
                  </w:pPr>
                  <w:r>
                    <w:rPr>
                      <w:rFonts w:hint="eastAsia"/>
                      <w:snapToGrid w:val="0"/>
                      <w:u w:val="single"/>
                    </w:rPr>
                    <w:t>遇水靠螺旋桨推进、遇陆地靠轮胎行走，用挖斗挖取疏浚范围内的泥土卸入接收斗，通过管路或泥驳将疏浚物送到岸上；</w:t>
                  </w:r>
                </w:p>
              </w:tc>
              <w:tc>
                <w:tcPr>
                  <w:tcW w:w="1292" w:type="pct"/>
                  <w:vAlign w:val="center"/>
                </w:tcPr>
                <w:p>
                  <w:pPr>
                    <w:pStyle w:val="41"/>
                    <w:rPr>
                      <w:snapToGrid w:val="0"/>
                      <w:u w:val="single"/>
                    </w:rPr>
                  </w:pPr>
                  <w:r>
                    <w:rPr>
                      <w:rFonts w:hint="eastAsia"/>
                      <w:snapToGrid w:val="0"/>
                      <w:u w:val="single"/>
                    </w:rPr>
                    <w:t>对水位变化幅度较大、交通不便的区域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pPr>
                    <w:pStyle w:val="41"/>
                    <w:rPr>
                      <w:snapToGrid w:val="0"/>
                      <w:u w:val="single"/>
                    </w:rPr>
                  </w:pPr>
                  <w:r>
                    <w:rPr>
                      <w:rFonts w:hint="eastAsia"/>
                      <w:snapToGrid w:val="0"/>
                      <w:u w:val="single"/>
                    </w:rPr>
                    <w:t>水力冲挖机组</w:t>
                  </w:r>
                </w:p>
              </w:tc>
              <w:tc>
                <w:tcPr>
                  <w:tcW w:w="3109" w:type="pct"/>
                  <w:vAlign w:val="center"/>
                </w:tcPr>
                <w:p>
                  <w:pPr>
                    <w:pStyle w:val="41"/>
                    <w:rPr>
                      <w:snapToGrid w:val="0"/>
                      <w:u w:val="single"/>
                    </w:rPr>
                  </w:pPr>
                  <w:r>
                    <w:rPr>
                      <w:rFonts w:hint="eastAsia"/>
                      <w:snapToGrid w:val="0"/>
                      <w:u w:val="single"/>
                    </w:rPr>
                    <w:t>以高压水枪为工具，将沉积的淤泥冲稀、冲散，随着水流汇到泥浆泵进口，通过管道送到弃土区或集浆池；</w:t>
                  </w:r>
                </w:p>
              </w:tc>
              <w:tc>
                <w:tcPr>
                  <w:tcW w:w="1292" w:type="pct"/>
                  <w:vAlign w:val="center"/>
                </w:tcPr>
                <w:p>
                  <w:pPr>
                    <w:pStyle w:val="41"/>
                    <w:rPr>
                      <w:snapToGrid w:val="0"/>
                      <w:u w:val="single"/>
                    </w:rPr>
                  </w:pPr>
                  <w:r>
                    <w:rPr>
                      <w:rFonts w:hint="eastAsia"/>
                      <w:snapToGrid w:val="0"/>
                      <w:u w:val="single"/>
                    </w:rPr>
                    <w:t>适用于工程量分散的清淤，但是生产率不大，增加了淤泥的含水量。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pPr>
                    <w:pStyle w:val="41"/>
                    <w:rPr>
                      <w:snapToGrid w:val="0"/>
                      <w:u w:val="single"/>
                    </w:rPr>
                  </w:pPr>
                  <w:r>
                    <w:rPr>
                      <w:rFonts w:hint="eastAsia"/>
                      <w:snapToGrid w:val="0"/>
                      <w:u w:val="single"/>
                    </w:rPr>
                    <w:t>智能环保清淤船</w:t>
                  </w:r>
                </w:p>
              </w:tc>
              <w:tc>
                <w:tcPr>
                  <w:tcW w:w="3109" w:type="pct"/>
                  <w:vAlign w:val="center"/>
                </w:tcPr>
                <w:p>
                  <w:pPr>
                    <w:pStyle w:val="41"/>
                    <w:rPr>
                      <w:snapToGrid w:val="0"/>
                      <w:u w:val="single"/>
                    </w:rPr>
                  </w:pPr>
                  <w:r>
                    <w:rPr>
                      <w:rFonts w:hint="eastAsia"/>
                      <w:snapToGrid w:val="0"/>
                      <w:u w:val="single"/>
                    </w:rPr>
                    <w:t>由水下低扰动作业车、水中长管路、水面作业母船及泥浆浓缩设备、高浓泥浆输送管路、岸基固化处理站组成，集清淤、输送、脱水固化于一体的新研发的设备， 对周围污染少；</w:t>
                  </w:r>
                </w:p>
              </w:tc>
              <w:tc>
                <w:tcPr>
                  <w:tcW w:w="1292" w:type="pct"/>
                  <w:vAlign w:val="center"/>
                </w:tcPr>
                <w:p>
                  <w:pPr>
                    <w:pStyle w:val="41"/>
                    <w:rPr>
                      <w:snapToGrid w:val="0"/>
                      <w:u w:val="single"/>
                    </w:rPr>
                  </w:pPr>
                  <w:r>
                    <w:rPr>
                      <w:rFonts w:hint="eastAsia"/>
                      <w:snapToGrid w:val="0"/>
                      <w:u w:val="single"/>
                    </w:rPr>
                    <w:t>适用于工程量不大，且水深变化大部位的清淤，生产率不大。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vAlign w:val="center"/>
                </w:tcPr>
                <w:p>
                  <w:pPr>
                    <w:pStyle w:val="41"/>
                    <w:rPr>
                      <w:snapToGrid w:val="0"/>
                      <w:u w:val="single"/>
                    </w:rPr>
                  </w:pPr>
                  <w:r>
                    <w:rPr>
                      <w:rFonts w:hint="eastAsia"/>
                      <w:snapToGrid w:val="0"/>
                      <w:u w:val="single"/>
                    </w:rPr>
                    <w:t>吸扬式挖泥船</w:t>
                  </w:r>
                </w:p>
              </w:tc>
              <w:tc>
                <w:tcPr>
                  <w:tcW w:w="3109" w:type="pct"/>
                  <w:vAlign w:val="center"/>
                </w:tcPr>
                <w:p>
                  <w:pPr>
                    <w:pStyle w:val="41"/>
                    <w:rPr>
                      <w:snapToGrid w:val="0"/>
                      <w:u w:val="single"/>
                    </w:rPr>
                  </w:pPr>
                  <w:r>
                    <w:rPr>
                      <w:rFonts w:hint="eastAsia"/>
                      <w:u w:val="single"/>
                    </w:rPr>
                    <w:t>主要是依靠船上安装的离心式泥泵的作用，在其吸入管中产生一定的真空度，经吸泥头将水底的淤泥 、沙和其他较松散物质与水一起吸起，并提升出水，经泥泵的排出管，将所吸起的泥浆排入泥驳或输送到规定的抛泥地区，最大挖深为50m，会形成像火山口形的底部剖面。</w:t>
                  </w:r>
                </w:p>
              </w:tc>
              <w:tc>
                <w:tcPr>
                  <w:tcW w:w="1292" w:type="pct"/>
                  <w:vAlign w:val="center"/>
                </w:tcPr>
                <w:p>
                  <w:pPr>
                    <w:pStyle w:val="41"/>
                    <w:rPr>
                      <w:snapToGrid w:val="0"/>
                      <w:u w:val="single"/>
                    </w:rPr>
                  </w:pPr>
                  <w:r>
                    <w:rPr>
                      <w:rFonts w:hint="eastAsia"/>
                      <w:u w:val="single"/>
                    </w:rPr>
                    <w:t>适合于非粘性砂、砾石。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vAlign w:val="center"/>
                </w:tcPr>
                <w:p>
                  <w:pPr>
                    <w:pStyle w:val="41"/>
                    <w:rPr>
                      <w:snapToGrid w:val="0"/>
                      <w:u w:val="single"/>
                    </w:rPr>
                  </w:pPr>
                  <w:r>
                    <w:rPr>
                      <w:rFonts w:hint="eastAsia"/>
                      <w:snapToGrid w:val="0"/>
                      <w:u w:val="single"/>
                    </w:rPr>
                    <w:t>钻探式抽沙船</w:t>
                  </w:r>
                </w:p>
              </w:tc>
              <w:tc>
                <w:tcPr>
                  <w:tcW w:w="3109" w:type="pct"/>
                  <w:vAlign w:val="center"/>
                </w:tcPr>
                <w:p>
                  <w:pPr>
                    <w:pStyle w:val="41"/>
                    <w:rPr>
                      <w:u w:val="single"/>
                    </w:rPr>
                  </w:pPr>
                  <w:r>
                    <w:rPr>
                      <w:rFonts w:hint="eastAsia"/>
                      <w:u w:val="single"/>
                    </w:rPr>
                    <w:t>钻探式抽沙船是用钻探杆和旋转钻头打通厚厚的泥层，钻探头直接接触沙层并高速旋转，将泥沙层强力搅拌，然后通过高压射水泵射出高压水，将泥层下的砂层冲散，主柴油机再带动大功率抽沙泵，使抽沙泵高速旋转，吸入管产生真空，将钻探头绞散的沙、水、石子混合物从吸入管吸入，然后通过排沙管排到指定位置。钻探式抽沙船机动灵活，经济，投资及运行成本均比绞吸式抽沙船低。产沙量由沙场情况、配套动力及抽沙泵流量决定，大可出沙500立方/小时。抽沙深度深，可达水下20—30米。</w:t>
                  </w:r>
                </w:p>
              </w:tc>
              <w:tc>
                <w:tcPr>
                  <w:tcW w:w="1292" w:type="pct"/>
                  <w:vAlign w:val="center"/>
                </w:tcPr>
                <w:p>
                  <w:pPr>
                    <w:pStyle w:val="41"/>
                    <w:rPr>
                      <w:u w:val="single"/>
                    </w:rPr>
                  </w:pPr>
                  <w:r>
                    <w:rPr>
                      <w:rFonts w:hint="eastAsia"/>
                      <w:u w:val="single"/>
                    </w:rPr>
                    <w:t>钻探式抽沙船适用于河道内泥层厚而且泥层较硬，用绞吸船和射流船均难以施工的复杂地形。</w:t>
                  </w:r>
                </w:p>
              </w:tc>
            </w:tr>
          </w:tbl>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根据工程特点，</w:t>
            </w:r>
            <w:r>
              <w:rPr>
                <w:rFonts w:hint="eastAsia" w:ascii="Times New Roman" w:hAnsi="Times New Roman" w:eastAsia="宋体" w:cs="Times New Roman"/>
                <w:sz w:val="24"/>
                <w:szCs w:val="24"/>
                <w:u w:val="single"/>
              </w:rPr>
              <w:t>鼻湖</w:t>
            </w:r>
            <w:r>
              <w:rPr>
                <w:rFonts w:ascii="Times New Roman" w:hAnsi="Times New Roman" w:eastAsia="宋体" w:cs="Times New Roman"/>
                <w:sz w:val="24"/>
                <w:szCs w:val="24"/>
                <w:u w:val="single"/>
              </w:rPr>
              <w:t>抽取粘土层下层的砂石，绞吸式挖泥船对粘土层破坏性大，且施工过程需要大面积的弃渣场， 根据初步计算，按堆场平均厚度</w:t>
            </w:r>
            <w:r>
              <w:rPr>
                <w:rFonts w:ascii="Times New Roman" w:hAnsi="Times New Roman" w:cs="Times New Roman"/>
                <w:sz w:val="24"/>
                <w:szCs w:val="24"/>
                <w:u w:val="single"/>
              </w:rPr>
              <w:t>1.5</w:t>
            </w:r>
            <w:r>
              <w:rPr>
                <w:rFonts w:ascii="Times New Roman" w:hAnsi="Times New Roman" w:eastAsia="宋体" w:cs="Times New Roman"/>
                <w:sz w:val="24"/>
                <w:szCs w:val="24"/>
                <w:u w:val="single"/>
              </w:rPr>
              <w:t>米计，约需弃渣场1500亩，</w:t>
            </w:r>
            <w:r>
              <w:rPr>
                <w:rFonts w:hint="eastAsia" w:ascii="Times New Roman" w:hAnsi="Times New Roman" w:eastAsia="宋体" w:cs="Times New Roman"/>
                <w:sz w:val="24"/>
                <w:szCs w:val="24"/>
                <w:u w:val="single"/>
              </w:rPr>
              <w:t>鼻湖</w:t>
            </w:r>
            <w:r>
              <w:rPr>
                <w:rFonts w:ascii="Times New Roman" w:hAnsi="Times New Roman" w:eastAsia="宋体" w:cs="Times New Roman"/>
                <w:sz w:val="24"/>
                <w:szCs w:val="24"/>
                <w:u w:val="single"/>
              </w:rPr>
              <w:t>附近没有合适的区域作为弃渣场，经综合考虑，</w:t>
            </w:r>
            <w:r>
              <w:rPr>
                <w:rFonts w:hint="eastAsia" w:ascii="Times New Roman" w:hAnsi="Times New Roman" w:eastAsia="宋体" w:cs="Times New Roman"/>
                <w:sz w:val="24"/>
                <w:szCs w:val="24"/>
                <w:u w:val="single"/>
              </w:rPr>
              <w:t>鼻湖</w:t>
            </w:r>
            <w:r>
              <w:rPr>
                <w:rFonts w:ascii="Times New Roman" w:hAnsi="Times New Roman" w:eastAsia="宋体" w:cs="Times New Roman"/>
                <w:sz w:val="24"/>
                <w:szCs w:val="24"/>
                <w:u w:val="single"/>
              </w:rPr>
              <w:t>区域疏浚推荐采用钻探式抽沙船，清淤副产品可直接用于当地建设，清淤副产品按每3天进行一次转运，只需约10亩的临时堆场</w:t>
            </w:r>
            <w:r>
              <w:rPr>
                <w:rFonts w:hint="eastAsia" w:ascii="Times New Roman" w:hAnsi="Times New Roman" w:eastAsia="宋体" w:cs="Times New Roman"/>
                <w:sz w:val="24"/>
                <w:szCs w:val="24"/>
                <w:u w:val="single"/>
              </w:rPr>
              <w:t>，项目设计堆场位于鼻湖西侧空地</w:t>
            </w:r>
            <w:r>
              <w:rPr>
                <w:rFonts w:ascii="Times New Roman" w:hAnsi="Times New Roman" w:eastAsia="宋体" w:cs="Times New Roman"/>
                <w:sz w:val="24"/>
                <w:szCs w:val="24"/>
                <w:u w:val="single"/>
              </w:rPr>
              <w:t>。</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抽砂船利用抽沙泵作为主要的取砂部件，将钻探头绞散的沙、水、石子混合物从吸入管吸入，然后通过驳船运到指定位置。</w:t>
            </w:r>
          </w:p>
          <w:p>
            <w:pPr>
              <w:snapToGrid w:val="0"/>
              <w:spacing w:line="360" w:lineRule="auto"/>
              <w:ind w:firstLine="480" w:firstLineChars="200"/>
              <w:rPr>
                <w:rFonts w:ascii="Times New Roman" w:hAnsi="Times New Roman"/>
                <w:snapToGrid w:val="0"/>
                <w:kern w:val="0"/>
                <w:sz w:val="24"/>
                <w:u w:val="single"/>
              </w:rPr>
            </w:pPr>
            <w:r>
              <w:rPr>
                <w:rFonts w:ascii="Times New Roman" w:hAnsi="Times New Roman" w:eastAsia="宋体" w:cs="Times New Roman"/>
                <w:snapToGrid w:val="0"/>
                <w:kern w:val="0"/>
                <w:sz w:val="24"/>
                <w:szCs w:val="24"/>
                <w:u w:val="single"/>
              </w:rPr>
              <w:t>2）施工方法</w:t>
            </w:r>
          </w:p>
          <w:p>
            <w:pPr>
              <w:snapToGrid w:val="0"/>
              <w:spacing w:line="360" w:lineRule="auto"/>
              <w:ind w:firstLine="482" w:firstLineChars="200"/>
              <w:rPr>
                <w:rFonts w:ascii="Times New Roman" w:hAnsi="Times New Roman"/>
                <w:b/>
                <w:bCs/>
                <w:snapToGrid w:val="0"/>
                <w:kern w:val="0"/>
                <w:sz w:val="24"/>
                <w:u w:val="single"/>
              </w:rPr>
            </w:pPr>
            <w:r>
              <w:rPr>
                <w:rFonts w:ascii="Times New Roman" w:hAnsi="Times New Roman" w:eastAsia="宋体" w:cs="Times New Roman"/>
                <w:b/>
                <w:bCs/>
                <w:snapToGrid w:val="0"/>
                <w:kern w:val="0"/>
                <w:sz w:val="24"/>
                <w:szCs w:val="24"/>
                <w:u w:val="single"/>
              </w:rPr>
              <w:t>a.绞吸式挖泥船</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本工程采用1台500m</w:t>
            </w:r>
            <w:r>
              <w:rPr>
                <w:rFonts w:ascii="Times New Roman" w:hAnsi="Times New Roman" w:eastAsia="宋体" w:cs="Times New Roman"/>
                <w:sz w:val="24"/>
                <w:szCs w:val="24"/>
                <w:u w:val="single"/>
                <w:vertAlign w:val="superscript"/>
              </w:rPr>
              <w:t>3</w:t>
            </w:r>
            <w:r>
              <w:rPr>
                <w:rFonts w:ascii="Times New Roman" w:hAnsi="Times New Roman" w:eastAsia="宋体" w:cs="Times New Roman"/>
                <w:sz w:val="24"/>
                <w:szCs w:val="24"/>
                <w:u w:val="single"/>
              </w:rPr>
              <w:t>/h绞吸式挖泥船开挖，利用吸水管前端围绕吸水管装设旋转绞刀</w:t>
            </w:r>
            <w:r>
              <w:rPr>
                <w:rFonts w:hint="eastAsia" w:ascii="Times New Roman" w:hAnsi="Times New Roman" w:eastAsia="宋体" w:cs="Times New Roman"/>
                <w:sz w:val="24"/>
                <w:szCs w:val="24"/>
                <w:u w:val="single"/>
              </w:rPr>
              <w:t>装置</w:t>
            </w:r>
            <w:r>
              <w:rPr>
                <w:rFonts w:ascii="Times New Roman" w:hAnsi="Times New Roman" w:eastAsia="宋体" w:cs="Times New Roman"/>
                <w:sz w:val="24"/>
                <w:szCs w:val="24"/>
                <w:u w:val="single"/>
              </w:rPr>
              <w:t>，将库底泥沙进行切割和搅动，再经吸泥管将绞起的泥沙物料，借助强大泵力，经排泥管线，输送到临时堆场内。为了使泥沙尽快干结，须将开挖的泥沙做成沟槽状，并在退水口与排水沟相连。</w:t>
            </w:r>
          </w:p>
          <w:p>
            <w:pPr>
              <w:snapToGrid w:val="0"/>
              <w:spacing w:line="360" w:lineRule="auto"/>
              <w:ind w:firstLine="482" w:firstLineChars="200"/>
              <w:rPr>
                <w:rFonts w:ascii="Times New Roman" w:hAnsi="Times New Roman"/>
                <w:b/>
                <w:bCs/>
                <w:snapToGrid w:val="0"/>
                <w:kern w:val="0"/>
                <w:sz w:val="24"/>
                <w:u w:val="single"/>
              </w:rPr>
            </w:pPr>
            <w:r>
              <w:rPr>
                <w:rFonts w:ascii="Times New Roman" w:hAnsi="Times New Roman" w:eastAsia="宋体" w:cs="Times New Roman"/>
                <w:b/>
                <w:bCs/>
                <w:snapToGrid w:val="0"/>
                <w:kern w:val="0"/>
                <w:sz w:val="24"/>
                <w:szCs w:val="24"/>
                <w:u w:val="single"/>
              </w:rPr>
              <w:t>b.钻探式抽沙船</w:t>
            </w:r>
          </w:p>
          <w:p>
            <w:pPr>
              <w:snapToGrid w:val="0"/>
              <w:spacing w:line="360" w:lineRule="auto"/>
              <w:ind w:firstLine="480" w:firstLineChars="200"/>
              <w:rPr>
                <w:rFonts w:ascii="Times New Roman" w:hAnsi="Times New Roman"/>
                <w:snapToGrid w:val="0"/>
                <w:kern w:val="0"/>
                <w:sz w:val="24"/>
                <w:u w:val="single"/>
              </w:rPr>
            </w:pPr>
            <w:r>
              <w:rPr>
                <w:rFonts w:ascii="Times New Roman" w:hAnsi="Times New Roman" w:eastAsia="宋体" w:cs="Times New Roman"/>
                <w:snapToGrid w:val="0"/>
                <w:kern w:val="0"/>
                <w:sz w:val="24"/>
                <w:szCs w:val="24"/>
                <w:u w:val="single"/>
              </w:rPr>
              <w:t>钻探式抽沙船一般是可拆卸</w:t>
            </w:r>
            <w:r>
              <w:rPr>
                <w:rFonts w:ascii="Times New Roman" w:hAnsi="Times New Roman" w:eastAsia="宋体" w:cs="Times New Roman"/>
                <w:sz w:val="24"/>
                <w:szCs w:val="24"/>
                <w:u w:val="single"/>
              </w:rPr>
              <w:t>型的平底船，一般相对较轻，由锚缆定位。根据工程区实际情况，本工程宜选择驳船装运型吸扬式挖泥船，它通过喷嘴喷射系统将泥舱内物料转移至停靠在船边的</w:t>
            </w:r>
            <w:r>
              <w:rPr>
                <w:rFonts w:ascii="Times New Roman" w:hAnsi="Times New Roman" w:eastAsia="宋体" w:cs="Times New Roman"/>
                <w:snapToGrid w:val="0"/>
                <w:kern w:val="0"/>
                <w:sz w:val="24"/>
                <w:szCs w:val="24"/>
                <w:u w:val="single"/>
              </w:rPr>
              <w:t>驳船上。</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本工程采用1台20寸泵钻探式抽沙船开挖，钻探式抽沙船是用钻探杆和旋转钻头打通厚厚的泥层，钻探头直接接触沙层并高速旋转，将泥沙层强力搅拌，然后通过高压射水泵射出高压水，将泥层下的砂层冲散，主柴油机再带动大功率抽沙泵，使抽沙泵高速旋转，吸入管产生真空，将钻探头绞散的沙、水、石子混合物从吸入管吸入，然后通过排沙管排到指定位置。抽上来的沙、水、石子混合物，再进行筛分和水洗。为了使泥沙尽快干结，须将开挖的泥沙做成沟槽状，并在退水口与排水沟相连。</w:t>
            </w:r>
            <w:r>
              <w:rPr>
                <w:rFonts w:ascii="Times New Roman" w:hAnsi="Times New Roman" w:eastAsia="宋体" w:cs="Times New Roman"/>
                <w:snapToGrid w:val="0"/>
                <w:kern w:val="0"/>
                <w:sz w:val="24"/>
                <w:szCs w:val="24"/>
                <w:u w:val="single"/>
              </w:rPr>
              <w:t>在施工时，抽沙船可通过绞车系统缓慢向前移动</w:t>
            </w:r>
            <w:r>
              <w:rPr>
                <w:rFonts w:ascii="Times New Roman" w:hAnsi="Times New Roman" w:eastAsia="宋体" w:cs="Times New Roman"/>
                <w:sz w:val="24"/>
                <w:szCs w:val="24"/>
                <w:u w:val="single"/>
              </w:rPr>
              <w:t>。</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本工程可选600m</w:t>
            </w:r>
            <w:r>
              <w:rPr>
                <w:rFonts w:ascii="Times New Roman" w:hAnsi="Times New Roman" w:eastAsia="宋体" w:cs="Times New Roman"/>
                <w:sz w:val="24"/>
                <w:szCs w:val="24"/>
                <w:u w:val="single"/>
                <w:vertAlign w:val="superscript"/>
              </w:rPr>
              <w:t>3</w:t>
            </w:r>
            <w:r>
              <w:rPr>
                <w:rFonts w:ascii="Times New Roman" w:hAnsi="Times New Roman" w:eastAsia="宋体" w:cs="Times New Roman"/>
                <w:sz w:val="24"/>
                <w:szCs w:val="24"/>
                <w:u w:val="single"/>
              </w:rPr>
              <w:t>/h钻探式抽沙船，主要参数参考如下：总长40m，总宽12m，型深2.0m，平均吃水0.9m，功率2000马力，最大挖深15±0.5m，抽沙泵20寸，高压水泵14寸。</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3）施工</w:t>
            </w:r>
            <w:r>
              <w:rPr>
                <w:rFonts w:hint="eastAsia" w:ascii="Times New Roman" w:hAnsi="Times New Roman" w:cs="Times New Roman"/>
                <w:sz w:val="24"/>
                <w:szCs w:val="24"/>
                <w:u w:val="single"/>
              </w:rPr>
              <w:t>时序</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（1）测量放线</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根据测量基准点、基准线和水准点等资料复测各控制点的数据并设立自己的施工控制网。</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（2）挖泥船定位</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挖沙船被拖到或自航到起始点位置附近时，用交通艇配合全站仪，先下放斗桥至河底临时固定船位，再依次抛主锚、尾锚和边锚，精确就位。</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3）锚固方法</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在开挖河段的一岸埋设地垅锚固挖泥船的左右横移，生产时用左右横移摆动挖沙，停产时与定位桩一起固定船位。</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4）挖泥船施工方法</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用钻探杆和旋转钻头打通厚厚的泥层至指定高程，钻探头直接接触沙层并高速旋转，将泥沙层强力搅拌，然后通过高压射水泵射出高压水，将泥层下的砂层冲散，主柴油机再带动大功率抽沙泵，使抽沙泵高速旋转，吸入管产生真空，将钻探头绞散的沙、水、石子混合物从吸入管吸入，然后通过排沙管排到指定位置。抽上来的沙、水、石子混合物，再进行筛分和水洗。为了使泥沙尽快干结，须将开挖的泥沙做成沟槽状，并在退水口与排水沟相连。在施工时，抽沙船可通过绞车系统缓慢向前移动。</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5）挖泥船移位</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挖泥船开挖过程中，应监视实时疏挖高程，疏挖至</w:t>
            </w:r>
            <w:r>
              <w:rPr>
                <w:rFonts w:hint="eastAsia" w:ascii="Times New Roman" w:hAnsi="Times New Roman" w:eastAsia="宋体" w:cs="Times New Roman"/>
                <w:sz w:val="24"/>
                <w:szCs w:val="24"/>
                <w:u w:val="single"/>
              </w:rPr>
              <w:t>设计规定</w:t>
            </w:r>
            <w:r>
              <w:rPr>
                <w:rFonts w:ascii="Times New Roman" w:hAnsi="Times New Roman" w:eastAsia="宋体" w:cs="Times New Roman"/>
                <w:sz w:val="24"/>
                <w:szCs w:val="24"/>
                <w:u w:val="single"/>
              </w:rPr>
              <w:t>高程后，应将挖泥船及时移位至下一开挖点，以保证疏挖区域形状等满足设计要求。</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6）疏挖后平整</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疏挖区域内疏挖完成后，应及时测量水下地形，要求疏挖后的形状与高程满足设计要求。</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如果疏挖后疏挖区的范围和平整度不满足设计要求，需要再次进行修整或者疏挖，可以采用链斗式挖泥船或者水上挖机进行，直至满足设计要求，达到治理砂石尾堆四乱、改善行洪条件和保障安全出行等目的。</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（4）临时转存场设置</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受地形影响，周边可以设置临时转存场的场地有限，仅</w:t>
            </w:r>
            <w:r>
              <w:rPr>
                <w:rFonts w:hint="eastAsia" w:ascii="Times New Roman" w:hAnsi="Times New Roman" w:eastAsia="宋体" w:cs="Times New Roman"/>
                <w:sz w:val="24"/>
                <w:szCs w:val="24"/>
                <w:u w:val="single"/>
              </w:rPr>
              <w:t>有</w:t>
            </w:r>
            <w:r>
              <w:rPr>
                <w:rFonts w:ascii="Times New Roman" w:hAnsi="Times New Roman" w:eastAsia="宋体" w:cs="Times New Roman"/>
                <w:sz w:val="24"/>
                <w:szCs w:val="24"/>
                <w:u w:val="single"/>
              </w:rPr>
              <w:t>零散鱼塘和山地可供布置临时转存场。</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（5）疏浚安排</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汛期时，抽砂船和运砂船施工不能影响当地防洪度汛工作，当湖泊水位超过超警戒水位时，疏挖工作应停止工作。</w:t>
            </w:r>
          </w:p>
          <w:p>
            <w:pPr>
              <w:spacing w:line="360" w:lineRule="auto"/>
              <w:ind w:firstLine="480" w:firstLineChars="200"/>
              <w:rPr>
                <w:rFonts w:ascii="Times New Roman" w:hAnsi="Times New Roman"/>
                <w:sz w:val="24"/>
                <w:u w:val="single"/>
              </w:rPr>
            </w:pPr>
            <w:bookmarkStart w:id="3" w:name="_Toc266781544"/>
            <w:bookmarkStart w:id="4" w:name="_Toc266871577"/>
            <w:r>
              <w:rPr>
                <w:rFonts w:ascii="Times New Roman" w:hAnsi="Times New Roman" w:eastAsia="宋体" w:cs="Times New Roman"/>
                <w:sz w:val="24"/>
                <w:szCs w:val="24"/>
                <w:u w:val="single"/>
              </w:rPr>
              <w:t>（6）疏浚工程的质量控制</w:t>
            </w:r>
            <w:bookmarkEnd w:id="3"/>
            <w:bookmarkEnd w:id="4"/>
            <w:r>
              <w:rPr>
                <w:rFonts w:ascii="Times New Roman" w:hAnsi="Times New Roman" w:eastAsia="宋体" w:cs="Times New Roman"/>
                <w:sz w:val="24"/>
                <w:szCs w:val="24"/>
                <w:u w:val="single"/>
              </w:rPr>
              <w:t>标准</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本疏浚工程质量控制标准为：</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纵断面测点间距不应大于100m，横断面测点间距不应大于30m。</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断面中心线偏移不得大于10m。开挖宽度和深度应符合设计要求，断面边线不允许超出设计边线，允许偏差值为-5m～0。</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高程方面，原则上不允许欠挖，不允许有连续2个欠挖点，局部欠挖不得大于0.3m，允许超挖值为0.5m。浅埂长度小于2.5m。</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水下断面边坡按不陡于1:5控制疏挖。</w:t>
            </w:r>
          </w:p>
          <w:p>
            <w:pPr>
              <w:pStyle w:val="34"/>
              <w:ind w:firstLine="480"/>
              <w:rPr>
                <w:u w:val="single"/>
              </w:rPr>
            </w:pPr>
            <w:r>
              <w:rPr>
                <w:u w:val="single"/>
              </w:rPr>
              <w:t>疏浚工程施工前，施工单位应仔细研究施工图纸及相关技术资料，对施工作业人员进行技术交底。施工单位应制定复核测量和加密控制的方案，进行放样，在施工中尽量将直线型构造物的主轴线或平行线纳入平面控制网内，根据设计图纸经常校核平面位置、水平标高、控制桩号、边坡坡度是否符合施工图纸要求。</w:t>
            </w:r>
          </w:p>
          <w:p>
            <w:pPr>
              <w:pStyle w:val="34"/>
              <w:ind w:firstLine="480"/>
              <w:rPr>
                <w:u w:val="single"/>
              </w:rPr>
            </w:pPr>
            <w:r>
              <w:rPr>
                <w:rFonts w:hint="eastAsia"/>
                <w:u w:val="single"/>
              </w:rPr>
              <w:t>4、滨岸带整治工程</w:t>
            </w:r>
          </w:p>
          <w:p>
            <w:pPr>
              <w:pStyle w:val="34"/>
              <w:ind w:firstLine="480"/>
              <w:rPr>
                <w:u w:val="single"/>
              </w:rPr>
            </w:pPr>
            <w:r>
              <w:rPr>
                <w:u w:val="single"/>
              </w:rPr>
              <w:t>整治沿线驳岸及雷诺护坡，驳岸总长15.85km，雷诺护坡面积4.76</w:t>
            </w:r>
            <w:r>
              <w:rPr>
                <w:rFonts w:hint="eastAsia"/>
                <w:u w:val="single"/>
              </w:rPr>
              <w:t>万m</w:t>
            </w:r>
            <w:r>
              <w:rPr>
                <w:u w:val="single"/>
                <w:vertAlign w:val="superscript"/>
              </w:rPr>
              <w:t>2</w:t>
            </w:r>
            <w:r>
              <w:rPr>
                <w:rFonts w:hint="eastAsia"/>
                <w:u w:val="single"/>
              </w:rPr>
              <w:t>。</w:t>
            </w:r>
          </w:p>
          <w:p>
            <w:pPr>
              <w:spacing w:line="360" w:lineRule="auto"/>
              <w:ind w:firstLine="480" w:firstLineChars="200"/>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（1）雷诺护坡施工</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雷诺护坡可采用机械和人工相结合的施工方法。雷诺护坡施工，先整坡，使坡比、表面平整度达到设计要求，然后铺设雷诺护垫。雷诺护垫铺设应平整美观。</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1）整坡</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本次护坡工程采用机械整坡，使坡比、表面平整度达到设计要求，与岸坡的结合面采用刨毛或挖齿槽，对坡面进行整平夯实。</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2）雷诺护垫铺筑</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雷诺护垫铺筑，先工厂化生产制作出半成品，施工现场按施工图进行组装定型。然后采用机械进行配合吊装铺筑。</w:t>
            </w:r>
          </w:p>
          <w:p>
            <w:pPr>
              <w:pStyle w:val="34"/>
              <w:ind w:firstLine="480"/>
              <w:rPr>
                <w:u w:val="single"/>
              </w:rPr>
            </w:pPr>
            <w:r>
              <w:rPr>
                <w:u w:val="single"/>
              </w:rPr>
              <w:t>雷诺护垫专业厂家预制，雷诺护垫施工现场需由专业厂家指导施工；其具体施工工艺见相关产品说明书。</w:t>
            </w:r>
          </w:p>
          <w:p>
            <w:pPr>
              <w:pStyle w:val="34"/>
              <w:ind w:firstLine="480"/>
              <w:rPr>
                <w:u w:val="single"/>
              </w:rPr>
            </w:pPr>
            <w:r>
              <w:rPr>
                <w:rFonts w:hint="eastAsia"/>
                <w:u w:val="single"/>
              </w:rPr>
              <w:t>（2）草皮护坡施工</w:t>
            </w:r>
          </w:p>
          <w:p>
            <w:pPr>
              <w:pStyle w:val="34"/>
              <w:ind w:firstLine="480"/>
              <w:rPr>
                <w:u w:val="single"/>
              </w:rPr>
            </w:pPr>
            <w:r>
              <w:rPr>
                <w:u w:val="single"/>
              </w:rPr>
              <w:t>草皮护坡采用人工铺草或人工播草籽培育施工。铺草皮前要求坡面铲槽、贴紧、拍平，不宜草皮生长的堤防应先铺设一层腐殖土。草皮铺设要均匀，厚度一般约3cm，并做好浇水养护。</w:t>
            </w:r>
          </w:p>
          <w:p>
            <w:pPr>
              <w:pStyle w:val="34"/>
              <w:ind w:firstLine="480"/>
              <w:rPr>
                <w:u w:val="single"/>
              </w:rPr>
            </w:pPr>
            <w:r>
              <w:rPr>
                <w:rFonts w:hint="eastAsia"/>
                <w:u w:val="single"/>
              </w:rPr>
              <w:t>5、水生植被构建</w:t>
            </w:r>
          </w:p>
          <w:p>
            <w:pPr>
              <w:pStyle w:val="34"/>
              <w:ind w:firstLine="480"/>
              <w:rPr>
                <w:u w:val="single"/>
              </w:rPr>
            </w:pPr>
            <w:r>
              <w:rPr>
                <w:rFonts w:hint="eastAsia"/>
                <w:u w:val="single"/>
              </w:rPr>
              <w:t>水生植物带由河湖的水位变幅带和水向辐射带共同组成，其通过水生植被的人工恢复、种群置换进行，从而加快滨岸带生态系统的演替过程，根据滨岸带水生和水生植物生存条件的变化情况，通常按水深由浅入深分为挺水植物带、浮叶植物带和沉水植物带三个功能结合湿生植物带进行修复。</w:t>
            </w:r>
          </w:p>
          <w:p>
            <w:pPr>
              <w:pStyle w:val="34"/>
              <w:ind w:firstLine="480"/>
              <w:rPr>
                <w:u w:val="single"/>
              </w:rPr>
            </w:pPr>
            <w:r>
              <w:rPr>
                <w:rFonts w:hint="eastAsia"/>
                <w:u w:val="single"/>
              </w:rPr>
              <w:t>（1）</w:t>
            </w:r>
            <w:r>
              <w:rPr>
                <w:u w:val="single"/>
              </w:rPr>
              <w:t>挺水植物带</w:t>
            </w:r>
          </w:p>
          <w:p>
            <w:pPr>
              <w:pStyle w:val="34"/>
              <w:ind w:firstLine="480"/>
              <w:rPr>
                <w:u w:val="single"/>
              </w:rPr>
            </w:pPr>
            <w:r>
              <w:rPr>
                <w:rFonts w:hint="eastAsia"/>
                <w:u w:val="single"/>
              </w:rPr>
              <w:t>挺水植物根系发达，可通过根系向基质送氧，使基质中形成多个好氧、兼性厌氧、厌氧小区，利于多种微生物繁殖，便于污染物的多途径降解。本次挺水植物带应布设河湖水位变幅带中，通常是水深</w:t>
            </w:r>
            <w:r>
              <w:rPr>
                <w:u w:val="single"/>
              </w:rPr>
              <w:t>0m~1m 范围的浅水区域，具体情况根据选取</w:t>
            </w:r>
            <w:r>
              <w:rPr>
                <w:rFonts w:hint="eastAsia"/>
                <w:u w:val="single"/>
              </w:rPr>
              <w:t>的挺水植物的习性确定。在选取植物种类的同时也要考虑河湖底质、水质等外部的影响。</w:t>
            </w:r>
          </w:p>
          <w:p>
            <w:pPr>
              <w:pStyle w:val="34"/>
              <w:ind w:firstLine="480"/>
              <w:rPr>
                <w:u w:val="single"/>
              </w:rPr>
            </w:pPr>
            <w:r>
              <w:rPr>
                <w:rFonts w:hint="eastAsia"/>
                <w:u w:val="single"/>
              </w:rPr>
              <w:t>（2）</w:t>
            </w:r>
            <w:r>
              <w:rPr>
                <w:u w:val="single"/>
              </w:rPr>
              <w:t>浮叶植物带</w:t>
            </w:r>
          </w:p>
          <w:p>
            <w:pPr>
              <w:pStyle w:val="34"/>
              <w:ind w:firstLine="480"/>
              <w:rPr>
                <w:u w:val="single"/>
              </w:rPr>
            </w:pPr>
            <w:r>
              <w:rPr>
                <w:rFonts w:hint="eastAsia"/>
                <w:u w:val="single"/>
              </w:rPr>
              <w:t>浮叶植物根部生长在水域的底泥中，叶片浮于水面上，繁殖能力强，通过光合作用由根系向水体放氧，植物吸收有效去除</w:t>
            </w:r>
            <w:r>
              <w:rPr>
                <w:u w:val="single"/>
              </w:rPr>
              <w:t>N、P 及重金属等污染物。对水深的适应性比挺水植物稍好，</w:t>
            </w:r>
            <w:r>
              <w:rPr>
                <w:rFonts w:hint="eastAsia"/>
                <w:u w:val="single"/>
              </w:rPr>
              <w:t>通常浮叶植物可适应的水深在</w:t>
            </w:r>
            <w:r>
              <w:rPr>
                <w:u w:val="single"/>
              </w:rPr>
              <w:t>0m~2m 左右。此外，在滨岸带生</w:t>
            </w:r>
            <w:r>
              <w:rPr>
                <w:rFonts w:hint="eastAsia"/>
                <w:u w:val="single"/>
              </w:rPr>
              <w:t>态修复时，可种植一定量的漂浮植物，由于其整个植株漂浮于水面，对水深没有特殊要求，适应性较高。</w:t>
            </w:r>
          </w:p>
          <w:p>
            <w:pPr>
              <w:pStyle w:val="34"/>
              <w:ind w:firstLine="480"/>
              <w:rPr>
                <w:u w:val="single"/>
              </w:rPr>
            </w:pPr>
            <w:r>
              <w:rPr>
                <w:rFonts w:hint="eastAsia"/>
                <w:u w:val="single"/>
              </w:rPr>
              <w:t>（3）</w:t>
            </w:r>
            <w:r>
              <w:rPr>
                <w:u w:val="single"/>
              </w:rPr>
              <w:t>沉水植物带</w:t>
            </w:r>
          </w:p>
          <w:p>
            <w:pPr>
              <w:pStyle w:val="34"/>
              <w:ind w:firstLine="480"/>
              <w:rPr>
                <w:u w:val="single"/>
              </w:rPr>
            </w:pPr>
            <w:r>
              <w:rPr>
                <w:rFonts w:hint="eastAsia"/>
                <w:u w:val="single"/>
              </w:rPr>
              <w:t>植物全部位于水层下面营固着生存的大型水生植物。它们的根有时不发达或退化，植物体的各部分都可以吸收水分和养料，通气组织特别发达，有利于在水中缺乏空气的情况下进行气体交换。一般设计在常水位的</w:t>
            </w:r>
            <w:r>
              <w:rPr>
                <w:u w:val="single"/>
              </w:rPr>
              <w:t>0.5m</w:t>
            </w:r>
            <w:r>
              <w:rPr>
                <w:rFonts w:hint="eastAsia"/>
                <w:u w:val="single"/>
              </w:rPr>
              <w:t>～</w:t>
            </w:r>
            <w:r>
              <w:rPr>
                <w:u w:val="single"/>
              </w:rPr>
              <w:t>3m 水深的区域。该系统</w:t>
            </w:r>
            <w:r>
              <w:rPr>
                <w:rFonts w:hint="eastAsia"/>
                <w:u w:val="single"/>
              </w:rPr>
              <w:t>还处于试验阶段，主要用于初级处理与二级处理后的深度处理。</w:t>
            </w:r>
          </w:p>
          <w:p>
            <w:pPr>
              <w:pStyle w:val="34"/>
              <w:ind w:firstLine="480"/>
              <w:rPr>
                <w:u w:val="single"/>
              </w:rPr>
            </w:pPr>
            <w:r>
              <w:rPr>
                <w:rFonts w:hint="eastAsia"/>
                <w:u w:val="single"/>
              </w:rPr>
              <w:t>（4）</w:t>
            </w:r>
            <w:r>
              <w:rPr>
                <w:u w:val="single"/>
              </w:rPr>
              <w:t>湿生植物带</w:t>
            </w:r>
          </w:p>
          <w:p>
            <w:pPr>
              <w:pStyle w:val="34"/>
              <w:ind w:firstLine="480"/>
              <w:rPr>
                <w:u w:val="single"/>
              </w:rPr>
            </w:pPr>
            <w:r>
              <w:rPr>
                <w:rFonts w:hint="eastAsia"/>
                <w:u w:val="single"/>
              </w:rPr>
              <w:t>指生长在过度潮湿地点的植物。有两种生境条件适宜湿生植物生长。一种是土壤中充满水分，光照条件充足的生境条件，这类湿生植物称为阳性湿生植物，水体附近生长的苔草等属于此类西番莲。另一种是土壤足够湿润的情况下，空气中充满水分的生境条件，这种情况下光照条件常常不好，其上生长的植物称为阴性湿生植物，热带、亚热带充满水汽的阴暗森林中生长的一些植物属于此类。</w:t>
            </w:r>
          </w:p>
          <w:p>
            <w:pPr>
              <w:pStyle w:val="34"/>
              <w:ind w:firstLine="480"/>
              <w:rPr>
                <w:u w:val="single"/>
              </w:rPr>
            </w:pPr>
            <w:r>
              <w:rPr>
                <w:rFonts w:hint="eastAsia"/>
                <w:u w:val="single"/>
              </w:rPr>
              <w:t>6、清淤淤泥处置方案</w:t>
            </w:r>
          </w:p>
          <w:p>
            <w:pPr>
              <w:pStyle w:val="34"/>
              <w:ind w:firstLine="480"/>
              <w:rPr>
                <w:u w:val="single"/>
              </w:rPr>
            </w:pPr>
            <w:r>
              <w:rPr>
                <w:rFonts w:hint="eastAsia"/>
                <w:u w:val="single"/>
              </w:rPr>
              <w:t>自然状态下河道淤泥初始含水率为</w:t>
            </w:r>
            <w:r>
              <w:rPr>
                <w:u w:val="single"/>
              </w:rPr>
              <w:t xml:space="preserve"> 80%</w:t>
            </w:r>
            <w:r>
              <w:rPr>
                <w:rFonts w:hint="eastAsia"/>
                <w:u w:val="single"/>
              </w:rPr>
              <w:t>～</w:t>
            </w:r>
            <w:r>
              <w:rPr>
                <w:u w:val="single"/>
              </w:rPr>
              <w:t>85%，按平均值 85%考虑，但通过绞吸式挖泥船将淤泥泵吸后，含水量可达到 95%，并且通过绞吸船吸上来的为水、泥混合物，体积会大大增加，经砂石分离+三级沉淀+自然干化后，含水率达 80%。</w:t>
            </w:r>
          </w:p>
          <w:p>
            <w:pPr>
              <w:pStyle w:val="34"/>
              <w:ind w:firstLine="480"/>
              <w:rPr>
                <w:u w:val="single"/>
              </w:rPr>
            </w:pPr>
            <w:r>
              <w:rPr>
                <w:rFonts w:hint="eastAsia"/>
                <w:u w:val="single"/>
              </w:rPr>
              <w:t>7、清淤污泥、砂石处置方案</w:t>
            </w:r>
          </w:p>
          <w:p>
            <w:pPr>
              <w:pStyle w:val="34"/>
              <w:ind w:firstLine="480"/>
              <w:rPr>
                <w:u w:val="single"/>
              </w:rPr>
            </w:pPr>
            <w:r>
              <w:rPr>
                <w:rFonts w:hint="eastAsia"/>
                <w:u w:val="single"/>
              </w:rPr>
              <w:t>采出的砂石再进入砂石分离机，将淤泥与石头、垃圾进行粗分，设计采用</w:t>
            </w:r>
            <w:r>
              <w:rPr>
                <w:u w:val="single"/>
              </w:rPr>
              <w:t>2台砂石分离器，型号为SQ300，每台处理能力为150m</w:t>
            </w:r>
            <w:r>
              <w:rPr>
                <w:u w:val="single"/>
                <w:vertAlign w:val="superscript"/>
              </w:rPr>
              <w:t>3</w:t>
            </w:r>
            <w:r>
              <w:rPr>
                <w:rFonts w:hint="eastAsia"/>
                <w:u w:val="single"/>
              </w:rPr>
              <w:t>/</w:t>
            </w:r>
            <w:r>
              <w:rPr>
                <w:u w:val="single"/>
              </w:rPr>
              <w:t>h，单台设备平面尺寸2.4mx1.8m，功率1.5kw。分离出的砂石分别单独堆放。分离的粗石块用于周边筑路材料，分离的砂石作为建材外卖。项目砂石分离区设置砂石堆场，面积约2600m，砂石分离场四周设置雨水边沟。</w:t>
            </w:r>
          </w:p>
          <w:p>
            <w:pPr>
              <w:pStyle w:val="34"/>
              <w:ind w:firstLine="480"/>
              <w:rPr>
                <w:u w:val="single"/>
              </w:rPr>
            </w:pPr>
            <w:r>
              <w:rPr>
                <w:rFonts w:hint="eastAsia"/>
                <w:u w:val="single"/>
              </w:rPr>
              <w:t>鼻湖周边均为乡村地区，疏浚淤泥无重金属污染，同时氮磷等营养盐的含量也低</w:t>
            </w:r>
            <w:r>
              <w:rPr>
                <w:u w:val="single"/>
              </w:rPr>
              <w:t>。对于此类无污染或</w:t>
            </w:r>
            <w:r>
              <w:rPr>
                <w:rFonts w:hint="eastAsia"/>
                <w:u w:val="single"/>
              </w:rPr>
              <w:t>轻度</w:t>
            </w:r>
            <w:r>
              <w:rPr>
                <w:u w:val="single"/>
              </w:rPr>
              <w:t>污染的淤泥可以进行资源化处理。推进资源化利用，是淤泥处置的根本出路。尽可能将污泥采取无害化</w:t>
            </w:r>
            <w:r>
              <w:rPr>
                <w:rFonts w:hint="eastAsia"/>
                <w:u w:val="single"/>
              </w:rPr>
              <w:t>处理、集中化处置，将淤泥再利用，降低成本，防止“二次污染”。对于污泥无害化处理，污泥干化后就地作为紫龙湖中心岛及周边园林绿化用土。</w:t>
            </w:r>
          </w:p>
          <w:p>
            <w:pPr>
              <w:pStyle w:val="34"/>
              <w:ind w:firstLine="480"/>
              <w:rPr>
                <w:u w:val="single"/>
              </w:rPr>
            </w:pPr>
            <w:r>
              <w:rPr>
                <w:rFonts w:hint="eastAsia"/>
                <w:u w:val="single"/>
              </w:rPr>
              <w:t>施工现场不设施工营地，施工人员大部分为当地居民，在自家及周边饭店旅馆食宿。</w:t>
            </w:r>
          </w:p>
          <w:p>
            <w:pPr>
              <w:pStyle w:val="34"/>
              <w:ind w:firstLine="480"/>
              <w:rPr>
                <w:u w:val="single"/>
              </w:rPr>
            </w:pPr>
            <w:r>
              <w:rPr>
                <w:rFonts w:hint="eastAsia"/>
                <w:u w:val="single"/>
              </w:rPr>
              <w:t>8、污泥干化场设置方案</w:t>
            </w:r>
          </w:p>
          <w:p>
            <w:pPr>
              <w:pStyle w:val="34"/>
              <w:ind w:firstLine="480"/>
              <w:rPr>
                <w:u w:val="single"/>
              </w:rPr>
            </w:pPr>
            <w:r>
              <w:rPr>
                <w:rFonts w:hint="eastAsia"/>
                <w:u w:val="single"/>
              </w:rPr>
              <w:t>项目污泥干化场选址位于鼻湖西侧，占地类型为荒地和灌草地，总占地面积1</w:t>
            </w:r>
            <w:r>
              <w:rPr>
                <w:u w:val="single"/>
              </w:rPr>
              <w:t>2000</w:t>
            </w:r>
            <w:r>
              <w:rPr>
                <w:rFonts w:hint="eastAsia"/>
                <w:u w:val="single"/>
              </w:rPr>
              <w:t>m</w:t>
            </w:r>
            <w:r>
              <w:rPr>
                <w:u w:val="single"/>
                <w:vertAlign w:val="superscript"/>
              </w:rPr>
              <w:t>2</w:t>
            </w:r>
            <w:r>
              <w:rPr>
                <w:rFonts w:hint="eastAsia"/>
                <w:u w:val="single"/>
              </w:rPr>
              <w:t>，分为8个区块，每个区块1</w:t>
            </w:r>
            <w:r>
              <w:rPr>
                <w:u w:val="single"/>
              </w:rPr>
              <w:t>500</w:t>
            </w:r>
            <w:r>
              <w:rPr>
                <w:rFonts w:hint="eastAsia"/>
                <w:u w:val="single"/>
              </w:rPr>
              <w:t>m</w:t>
            </w:r>
            <w:r>
              <w:rPr>
                <w:u w:val="single"/>
                <w:vertAlign w:val="superscript"/>
              </w:rPr>
              <w:t>2</w:t>
            </w:r>
            <w:r>
              <w:rPr>
                <w:rFonts w:hint="eastAsia"/>
                <w:u w:val="single"/>
              </w:rPr>
              <w:t>，脱水场地采用</w:t>
            </w:r>
            <w:r>
              <w:rPr>
                <w:u w:val="single"/>
              </w:rPr>
              <w:t>200mm 厚C25混凝土，由</w:t>
            </w:r>
            <w:r>
              <w:rPr>
                <w:rFonts w:hint="eastAsia"/>
                <w:u w:val="single"/>
              </w:rPr>
              <w:t>西向东</w:t>
            </w:r>
            <w:r>
              <w:rPr>
                <w:u w:val="single"/>
              </w:rPr>
              <w:t>以1‰坡度布置；东、</w:t>
            </w:r>
            <w:r>
              <w:rPr>
                <w:rFonts w:hint="eastAsia"/>
                <w:u w:val="single"/>
              </w:rPr>
              <w:t>北</w:t>
            </w:r>
            <w:r>
              <w:rPr>
                <w:u w:val="single"/>
              </w:rPr>
              <w:t>、南三面设置挡泥墙，防止干化尾水溢出；场地周边设置3‰坡度的排水沟收集底泥脱水后的废水，</w:t>
            </w:r>
            <w:r>
              <w:rPr>
                <w:rFonts w:hint="eastAsia"/>
                <w:u w:val="single"/>
              </w:rPr>
              <w:t>每个区块西南</w:t>
            </w:r>
            <w:r>
              <w:rPr>
                <w:u w:val="single"/>
              </w:rPr>
              <w:t>角设置一处集水池，用来收集进入排水沟的废水。</w:t>
            </w:r>
          </w:p>
          <w:p>
            <w:pPr>
              <w:pStyle w:val="34"/>
              <w:ind w:firstLine="480"/>
              <w:rPr>
                <w:u w:val="single"/>
              </w:rPr>
            </w:pPr>
            <w:r>
              <w:rPr>
                <w:rFonts w:hint="eastAsia"/>
                <w:u w:val="single"/>
              </w:rPr>
              <w:t>项目总计清淤量为3</w:t>
            </w:r>
            <w:r>
              <w:rPr>
                <w:u w:val="single"/>
              </w:rPr>
              <w:t>23.202</w:t>
            </w:r>
            <w:r>
              <w:rPr>
                <w:rFonts w:hint="eastAsia"/>
                <w:u w:val="single"/>
              </w:rPr>
              <w:t>万m</w:t>
            </w:r>
            <w:r>
              <w:rPr>
                <w:u w:val="single"/>
                <w:vertAlign w:val="superscript"/>
              </w:rPr>
              <w:t>3</w:t>
            </w:r>
            <w:r>
              <w:rPr>
                <w:rFonts w:hint="eastAsia"/>
                <w:u w:val="single"/>
              </w:rPr>
              <w:t>（其中渠道清淤9</w:t>
            </w:r>
            <w:r>
              <w:rPr>
                <w:u w:val="single"/>
              </w:rPr>
              <w:t>.102</w:t>
            </w:r>
            <w:r>
              <w:rPr>
                <w:rFonts w:hint="eastAsia"/>
                <w:u w:val="single"/>
              </w:rPr>
              <w:t>万m</w:t>
            </w:r>
            <w:r>
              <w:rPr>
                <w:u w:val="single"/>
                <w:vertAlign w:val="superscript"/>
              </w:rPr>
              <w:t>3</w:t>
            </w:r>
            <w:r>
              <w:rPr>
                <w:u w:val="single"/>
              </w:rPr>
              <w:t>+</w:t>
            </w:r>
            <w:r>
              <w:rPr>
                <w:rFonts w:hint="eastAsia"/>
                <w:u w:val="single"/>
              </w:rPr>
              <w:t>湖泊清淤</w:t>
            </w:r>
            <w:r>
              <w:rPr>
                <w:u w:val="single"/>
              </w:rPr>
              <w:t>314.10</w:t>
            </w:r>
            <w:r>
              <w:rPr>
                <w:rFonts w:hint="eastAsia"/>
                <w:u w:val="single"/>
              </w:rPr>
              <w:t>万m</w:t>
            </w:r>
            <w:r>
              <w:rPr>
                <w:u w:val="single"/>
                <w:vertAlign w:val="superscript"/>
              </w:rPr>
              <w:t>3</w:t>
            </w:r>
            <w:r>
              <w:rPr>
                <w:rFonts w:hint="eastAsia"/>
                <w:u w:val="single"/>
              </w:rPr>
              <w:t>），根据可行性研究报告分析，鼻湖底泥含沙量在8</w:t>
            </w:r>
            <w:r>
              <w:rPr>
                <w:u w:val="single"/>
              </w:rPr>
              <w:t>%</w:t>
            </w:r>
            <w:r>
              <w:rPr>
                <w:rFonts w:hint="eastAsia"/>
                <w:u w:val="single"/>
              </w:rPr>
              <w:t>～</w:t>
            </w:r>
            <w:r>
              <w:rPr>
                <w:u w:val="single"/>
              </w:rPr>
              <w:t>12%</w:t>
            </w:r>
            <w:r>
              <w:rPr>
                <w:rFonts w:hint="eastAsia"/>
                <w:u w:val="single"/>
              </w:rPr>
              <w:t>之间，本次评价按1</w:t>
            </w:r>
            <w:r>
              <w:rPr>
                <w:u w:val="single"/>
              </w:rPr>
              <w:t>0%</w:t>
            </w:r>
            <w:r>
              <w:rPr>
                <w:rFonts w:hint="eastAsia"/>
                <w:u w:val="single"/>
              </w:rPr>
              <w:t>计算，则采用砂石分离器分离后，剩余污泥量约为2</w:t>
            </w:r>
            <w:r>
              <w:rPr>
                <w:u w:val="single"/>
              </w:rPr>
              <w:t>90.882</w:t>
            </w:r>
            <w:r>
              <w:rPr>
                <w:rFonts w:hint="eastAsia"/>
                <w:u w:val="single"/>
              </w:rPr>
              <w:t>万m</w:t>
            </w:r>
            <w:r>
              <w:rPr>
                <w:u w:val="single"/>
                <w:vertAlign w:val="superscript"/>
              </w:rPr>
              <w:t>3</w:t>
            </w:r>
            <w:r>
              <w:rPr>
                <w:rFonts w:hint="eastAsia"/>
                <w:u w:val="single"/>
              </w:rPr>
              <w:t>，含水率约为9</w:t>
            </w:r>
            <w:r>
              <w:rPr>
                <w:u w:val="single"/>
              </w:rPr>
              <w:t>5%</w:t>
            </w:r>
            <w:r>
              <w:rPr>
                <w:rFonts w:hint="eastAsia"/>
                <w:u w:val="single"/>
              </w:rPr>
              <w:t>，在干化场进行自然干化，使污泥含水率达到8</w:t>
            </w:r>
            <w:r>
              <w:rPr>
                <w:u w:val="single"/>
              </w:rPr>
              <w:t>0%</w:t>
            </w:r>
            <w:r>
              <w:rPr>
                <w:rFonts w:hint="eastAsia"/>
                <w:u w:val="single"/>
              </w:rPr>
              <w:t>以下，根据设计自然干化1周即可使淤泥含水率达到8</w:t>
            </w:r>
            <w:r>
              <w:rPr>
                <w:u w:val="single"/>
              </w:rPr>
              <w:t>0%</w:t>
            </w:r>
            <w:r>
              <w:rPr>
                <w:rFonts w:hint="eastAsia"/>
                <w:u w:val="single"/>
              </w:rPr>
              <w:t>以下，则可计算出2</w:t>
            </w:r>
            <w:r>
              <w:rPr>
                <w:u w:val="single"/>
              </w:rPr>
              <w:t>0</w:t>
            </w:r>
            <w:r>
              <w:rPr>
                <w:rFonts w:hint="eastAsia"/>
                <w:u w:val="single"/>
              </w:rPr>
              <w:t>个月可干化8</w:t>
            </w:r>
            <w:r>
              <w:rPr>
                <w:u w:val="single"/>
              </w:rPr>
              <w:t>0</w:t>
            </w:r>
            <w:r>
              <w:rPr>
                <w:rFonts w:hint="eastAsia"/>
                <w:u w:val="single"/>
              </w:rPr>
              <w:t>批次淤泥。</w:t>
            </w:r>
          </w:p>
          <w:p>
            <w:pPr>
              <w:pStyle w:val="34"/>
              <w:ind w:firstLine="480"/>
              <w:rPr>
                <w:u w:val="single"/>
              </w:rPr>
            </w:pPr>
            <w:r>
              <w:rPr>
                <w:rFonts w:hint="eastAsia"/>
                <w:u w:val="single"/>
              </w:rPr>
              <w:t>2</w:t>
            </w:r>
            <w:r>
              <w:rPr>
                <w:u w:val="single"/>
              </w:rPr>
              <w:t>90.882</w:t>
            </w:r>
            <w:r>
              <w:rPr>
                <w:rFonts w:hint="eastAsia"/>
                <w:u w:val="single"/>
              </w:rPr>
              <w:t>万m</w:t>
            </w:r>
            <w:r>
              <w:rPr>
                <w:u w:val="single"/>
                <w:vertAlign w:val="superscript"/>
              </w:rPr>
              <w:t>3</w:t>
            </w:r>
            <w:r>
              <w:rPr>
                <w:rFonts w:hint="eastAsia"/>
                <w:u w:val="single"/>
              </w:rPr>
              <w:t>淤泥从9</w:t>
            </w:r>
            <w:r>
              <w:rPr>
                <w:u w:val="single"/>
              </w:rPr>
              <w:t>5%</w:t>
            </w:r>
            <w:r>
              <w:rPr>
                <w:rFonts w:hint="eastAsia"/>
                <w:u w:val="single"/>
              </w:rPr>
              <w:t>含水率干化值8</w:t>
            </w:r>
            <w:r>
              <w:rPr>
                <w:u w:val="single"/>
              </w:rPr>
              <w:t>0%</w:t>
            </w:r>
            <w:r>
              <w:rPr>
                <w:rFonts w:hint="eastAsia"/>
                <w:u w:val="single"/>
              </w:rPr>
              <w:t>以下，会产生尾水</w:t>
            </w:r>
            <w:r>
              <w:rPr>
                <w:u w:val="single"/>
              </w:rPr>
              <w:t>218.16</w:t>
            </w:r>
            <w:r>
              <w:rPr>
                <w:rFonts w:hint="eastAsia"/>
                <w:u w:val="single"/>
              </w:rPr>
              <w:t>万m</w:t>
            </w:r>
            <w:r>
              <w:rPr>
                <w:u w:val="single"/>
                <w:vertAlign w:val="superscript"/>
              </w:rPr>
              <w:t>3</w:t>
            </w:r>
            <w:r>
              <w:rPr>
                <w:rFonts w:hint="eastAsia"/>
                <w:u w:val="single"/>
              </w:rPr>
              <w:t>，平均每天产生废水量为3</w:t>
            </w:r>
            <w:r>
              <w:rPr>
                <w:u w:val="single"/>
              </w:rPr>
              <w:t>636</w:t>
            </w:r>
            <w:r>
              <w:rPr>
                <w:rFonts w:hint="eastAsia"/>
                <w:u w:val="single"/>
              </w:rPr>
              <w:t>m</w:t>
            </w:r>
            <w:r>
              <w:rPr>
                <w:u w:val="single"/>
                <w:vertAlign w:val="superscript"/>
              </w:rPr>
              <w:t>3</w:t>
            </w:r>
            <w:r>
              <w:rPr>
                <w:u w:val="single"/>
              </w:rPr>
              <w:t>/d</w:t>
            </w:r>
            <w:r>
              <w:rPr>
                <w:rFonts w:hint="eastAsia"/>
                <w:u w:val="single"/>
              </w:rPr>
              <w:t>。项目每个干化区设置5</w:t>
            </w:r>
            <w:r>
              <w:rPr>
                <w:u w:val="single"/>
              </w:rPr>
              <w:t>00</w:t>
            </w:r>
            <w:r>
              <w:rPr>
                <w:rFonts w:hint="eastAsia"/>
                <w:u w:val="single"/>
              </w:rPr>
              <w:t>m</w:t>
            </w:r>
            <w:r>
              <w:rPr>
                <w:u w:val="single"/>
                <w:vertAlign w:val="superscript"/>
              </w:rPr>
              <w:t>3</w:t>
            </w:r>
            <w:r>
              <w:rPr>
                <w:rFonts w:hint="eastAsia"/>
                <w:u w:val="single"/>
              </w:rPr>
              <w:t>集水池（2</w:t>
            </w:r>
            <w:r>
              <w:rPr>
                <w:u w:val="single"/>
              </w:rPr>
              <w:t>0</w:t>
            </w:r>
            <w:r>
              <w:rPr>
                <w:rFonts w:hint="eastAsia"/>
                <w:u w:val="single"/>
              </w:rPr>
              <w:t>m×</w:t>
            </w:r>
            <w:r>
              <w:rPr>
                <w:u w:val="single"/>
              </w:rPr>
              <w:t>5</w:t>
            </w:r>
            <w:r>
              <w:rPr>
                <w:rFonts w:hint="eastAsia"/>
                <w:u w:val="single"/>
              </w:rPr>
              <w:t>m×</w:t>
            </w:r>
            <w:r>
              <w:rPr>
                <w:u w:val="single"/>
              </w:rPr>
              <w:t>5</w:t>
            </w:r>
            <w:r>
              <w:rPr>
                <w:rFonts w:hint="eastAsia"/>
                <w:u w:val="single"/>
              </w:rPr>
              <w:t>m），总计8个集水池，总可容纳4</w:t>
            </w:r>
            <w:r>
              <w:rPr>
                <w:u w:val="single"/>
              </w:rPr>
              <w:t>000</w:t>
            </w:r>
            <w:r>
              <w:rPr>
                <w:rFonts w:hint="eastAsia"/>
                <w:u w:val="single"/>
              </w:rPr>
              <w:t>m</w:t>
            </w:r>
            <w:r>
              <w:rPr>
                <w:u w:val="single"/>
                <w:vertAlign w:val="superscript"/>
              </w:rPr>
              <w:t>3</w:t>
            </w:r>
            <w:r>
              <w:rPr>
                <w:rFonts w:hint="eastAsia"/>
                <w:u w:val="single"/>
              </w:rPr>
              <w:t>废水，可容纳1天的废水产生量，且设置2</w:t>
            </w:r>
            <w:r>
              <w:rPr>
                <w:u w:val="single"/>
              </w:rPr>
              <w:t>0</w:t>
            </w:r>
            <w:r>
              <w:rPr>
                <w:rFonts w:hint="eastAsia"/>
                <w:u w:val="single"/>
              </w:rPr>
              <w:t>台移动式水处理设备成品进行处理达标后排放。</w:t>
            </w:r>
          </w:p>
          <w:p>
            <w:pPr>
              <w:pStyle w:val="34"/>
              <w:ind w:firstLine="480"/>
              <w:rPr>
                <w:u w:val="single"/>
              </w:rPr>
            </w:pPr>
            <w:r>
              <w:rPr>
                <w:rFonts w:hint="eastAsia"/>
                <w:u w:val="single"/>
              </w:rPr>
              <w:t>9、污泥脱水尾水处理工程</w:t>
            </w:r>
          </w:p>
          <w:p>
            <w:pPr>
              <w:pStyle w:val="34"/>
              <w:ind w:firstLine="480"/>
              <w:rPr>
                <w:u w:val="single"/>
              </w:rPr>
            </w:pPr>
            <w:r>
              <w:rPr>
                <w:rFonts w:hint="eastAsia"/>
                <w:u w:val="single"/>
              </w:rPr>
              <w:t>本工程脱水产生的尾水经脱水场内的排水沟汇入到脱水场地内的集水池内。本项目清淤后产生尾水量为</w:t>
            </w:r>
            <w:r>
              <w:rPr>
                <w:u w:val="single"/>
              </w:rPr>
              <w:t>218.16</w:t>
            </w:r>
            <w:r>
              <w:rPr>
                <w:rFonts w:hint="eastAsia"/>
                <w:u w:val="single"/>
              </w:rPr>
              <w:t>万m</w:t>
            </w:r>
            <w:r>
              <w:rPr>
                <w:rFonts w:hint="eastAsia"/>
                <w:u w:val="single"/>
                <w:vertAlign w:val="superscript"/>
              </w:rPr>
              <w:t>3</w:t>
            </w:r>
            <w:r>
              <w:rPr>
                <w:rFonts w:hint="eastAsia"/>
                <w:u w:val="single"/>
              </w:rPr>
              <w:t>，平均每天产生废水量为3</w:t>
            </w:r>
            <w:r>
              <w:rPr>
                <w:u w:val="single"/>
              </w:rPr>
              <w:t>636</w:t>
            </w:r>
            <w:r>
              <w:rPr>
                <w:rFonts w:hint="eastAsia"/>
                <w:u w:val="single"/>
              </w:rPr>
              <w:t>m</w:t>
            </w:r>
            <w:r>
              <w:rPr>
                <w:u w:val="single"/>
                <w:vertAlign w:val="superscript"/>
              </w:rPr>
              <w:t>3</w:t>
            </w:r>
            <w:r>
              <w:rPr>
                <w:u w:val="single"/>
              </w:rPr>
              <w:t>/d</w:t>
            </w:r>
            <w:r>
              <w:rPr>
                <w:rFonts w:hint="eastAsia"/>
                <w:u w:val="single"/>
              </w:rPr>
              <w:t>、1</w:t>
            </w:r>
            <w:r>
              <w:rPr>
                <w:u w:val="single"/>
              </w:rPr>
              <w:t>51.5</w:t>
            </w:r>
            <w:r>
              <w:rPr>
                <w:rFonts w:hint="eastAsia"/>
                <w:u w:val="single"/>
              </w:rPr>
              <w:t>m</w:t>
            </w:r>
            <w:r>
              <w:rPr>
                <w:u w:val="single"/>
                <w:vertAlign w:val="superscript"/>
              </w:rPr>
              <w:t>3</w:t>
            </w:r>
            <w:r>
              <w:rPr>
                <w:u w:val="single"/>
              </w:rPr>
              <w:t>/h</w:t>
            </w:r>
            <w:r>
              <w:rPr>
                <w:rFonts w:hint="eastAsia"/>
                <w:u w:val="single"/>
              </w:rPr>
              <w:t>，本项目设置2</w:t>
            </w:r>
            <w:r>
              <w:rPr>
                <w:u w:val="single"/>
              </w:rPr>
              <w:t>0</w:t>
            </w:r>
            <w:r>
              <w:rPr>
                <w:rFonts w:hint="eastAsia"/>
                <w:u w:val="single"/>
              </w:rPr>
              <w:t>台规模为1</w:t>
            </w:r>
            <w:r>
              <w:rPr>
                <w:u w:val="single"/>
              </w:rPr>
              <w:t>0</w:t>
            </w:r>
            <w:r>
              <w:rPr>
                <w:rFonts w:hint="eastAsia"/>
                <w:u w:val="single"/>
              </w:rPr>
              <w:t>m</w:t>
            </w:r>
            <w:r>
              <w:rPr>
                <w:u w:val="single"/>
                <w:vertAlign w:val="superscript"/>
              </w:rPr>
              <w:t>3</w:t>
            </w:r>
            <w:r>
              <w:rPr>
                <w:u w:val="single"/>
              </w:rPr>
              <w:t>/h</w:t>
            </w:r>
            <w:r>
              <w:rPr>
                <w:rFonts w:hint="eastAsia"/>
                <w:u w:val="single"/>
              </w:rPr>
              <w:t>的移动式污水处理设备，最大处理能力可达2</w:t>
            </w:r>
            <w:r>
              <w:rPr>
                <w:u w:val="single"/>
              </w:rPr>
              <w:t>00</w:t>
            </w:r>
            <w:r>
              <w:rPr>
                <w:rFonts w:hint="eastAsia"/>
                <w:u w:val="single"/>
              </w:rPr>
              <w:t>m</w:t>
            </w:r>
            <w:r>
              <w:rPr>
                <w:u w:val="single"/>
                <w:vertAlign w:val="superscript"/>
              </w:rPr>
              <w:t>3</w:t>
            </w:r>
            <w:r>
              <w:rPr>
                <w:u w:val="single"/>
              </w:rPr>
              <w:t>/h</w:t>
            </w:r>
            <w:r>
              <w:rPr>
                <w:rFonts w:hint="eastAsia"/>
                <w:u w:val="single"/>
              </w:rPr>
              <w:t>，能够满足项目需求。</w:t>
            </w:r>
          </w:p>
          <w:p>
            <w:pPr>
              <w:pStyle w:val="34"/>
              <w:ind w:firstLine="480"/>
              <w:rPr>
                <w:u w:val="single"/>
              </w:rPr>
            </w:pPr>
            <w:r>
              <w:rPr>
                <w:rFonts w:hint="eastAsia"/>
                <w:u w:val="single"/>
              </w:rPr>
              <w:t>采用租赁2</w:t>
            </w:r>
            <w:r>
              <w:rPr>
                <w:u w:val="single"/>
              </w:rPr>
              <w:t>0</w:t>
            </w:r>
            <w:r>
              <w:rPr>
                <w:rFonts w:hint="eastAsia"/>
                <w:u w:val="single"/>
              </w:rPr>
              <w:t>台移动式水处理设备成品（单台处理规模1</w:t>
            </w:r>
            <w:r>
              <w:rPr>
                <w:u w:val="single"/>
              </w:rPr>
              <w:t>0</w:t>
            </w:r>
            <w:r>
              <w:rPr>
                <w:rFonts w:hint="eastAsia"/>
                <w:u w:val="single"/>
              </w:rPr>
              <w:t>m</w:t>
            </w:r>
            <w:r>
              <w:rPr>
                <w:u w:val="single"/>
                <w:vertAlign w:val="superscript"/>
              </w:rPr>
              <w:t>3</w:t>
            </w:r>
            <w:r>
              <w:rPr>
                <w:u w:val="single"/>
              </w:rPr>
              <w:t>/h</w:t>
            </w:r>
            <w:r>
              <w:rPr>
                <w:rFonts w:hint="eastAsia"/>
                <w:u w:val="single"/>
              </w:rPr>
              <w:t>），对脱水尾水进行处理。在集水池内设置2</w:t>
            </w:r>
            <w:r>
              <w:rPr>
                <w:u w:val="single"/>
              </w:rPr>
              <w:t>0</w:t>
            </w:r>
            <w:r>
              <w:rPr>
                <w:rFonts w:hint="eastAsia"/>
                <w:u w:val="single"/>
              </w:rPr>
              <w:t>台潜污泵（50QW10-7-0.75）将收集的废水提升至污水处理设备中，进入集成式处理系统，采用中和混凝沉淀将废水中大颗粒杂质及悬浮物去除。具体处理工艺流程如下：</w:t>
            </w:r>
          </w:p>
          <w:p>
            <w:pPr>
              <w:adjustRightInd w:val="0"/>
              <w:spacing w:line="360" w:lineRule="auto"/>
              <w:rPr>
                <w:bCs/>
                <w:sz w:val="24"/>
                <w:szCs w:val="24"/>
                <w:u w:val="single"/>
              </w:rPr>
            </w:pPr>
            <w:r>
              <w:rPr>
                <w:u w:val="single"/>
              </w:rPr>
              <w:drawing>
                <wp:inline distT="0" distB="0" distL="0" distR="0">
                  <wp:extent cx="5913120" cy="132397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8"/>
                          <a:stretch>
                            <a:fillRect/>
                          </a:stretch>
                        </pic:blipFill>
                        <pic:spPr>
                          <a:xfrm>
                            <a:off x="0" y="0"/>
                            <a:ext cx="5913120" cy="1323975"/>
                          </a:xfrm>
                          <a:prstGeom prst="rect">
                            <a:avLst/>
                          </a:prstGeom>
                        </pic:spPr>
                      </pic:pic>
                    </a:graphicData>
                  </a:graphic>
                </wp:inline>
              </w:drawing>
            </w:r>
          </w:p>
          <w:p>
            <w:pPr>
              <w:pStyle w:val="39"/>
              <w:spacing w:before="156"/>
              <w:rPr>
                <w:u w:val="single"/>
              </w:rPr>
            </w:pPr>
            <w:r>
              <w:rPr>
                <w:rFonts w:hint="eastAsia"/>
                <w:u w:val="single"/>
              </w:rPr>
              <w:t>图</w:t>
            </w:r>
            <w:r>
              <w:rPr>
                <w:u w:val="single"/>
              </w:rPr>
              <w:t xml:space="preserve">2-3  </w:t>
            </w:r>
            <w:r>
              <w:rPr>
                <w:rFonts w:hint="eastAsia"/>
                <w:u w:val="single"/>
              </w:rPr>
              <w:t>脱水尾水处理工艺流程图</w:t>
            </w:r>
          </w:p>
          <w:p>
            <w:pPr>
              <w:pStyle w:val="34"/>
              <w:ind w:firstLine="480"/>
              <w:rPr>
                <w:u w:val="single"/>
              </w:rPr>
            </w:pPr>
            <w:r>
              <w:rPr>
                <w:rFonts w:hint="eastAsia"/>
                <w:u w:val="single"/>
              </w:rPr>
              <w:t>① 格栅</w:t>
            </w:r>
          </w:p>
          <w:p>
            <w:pPr>
              <w:pStyle w:val="34"/>
              <w:ind w:firstLine="480"/>
              <w:rPr>
                <w:u w:val="single"/>
              </w:rPr>
            </w:pPr>
            <w:r>
              <w:rPr>
                <w:rFonts w:hint="eastAsia"/>
                <w:u w:val="single"/>
              </w:rPr>
              <w:t>底泥脱滤水经过格栅拦截后，可去除较大呈悬浮或漂浮状态的固体污染物。</w:t>
            </w:r>
          </w:p>
          <w:p>
            <w:pPr>
              <w:pStyle w:val="34"/>
              <w:ind w:firstLine="480"/>
              <w:rPr>
                <w:u w:val="single"/>
              </w:rPr>
            </w:pPr>
            <w:r>
              <w:rPr>
                <w:rFonts w:hint="eastAsia"/>
                <w:u w:val="single"/>
              </w:rPr>
              <w:t>② 混凝反应槽</w:t>
            </w:r>
          </w:p>
          <w:p>
            <w:pPr>
              <w:pStyle w:val="34"/>
              <w:ind w:firstLine="480"/>
              <w:rPr>
                <w:u w:val="single"/>
              </w:rPr>
            </w:pPr>
            <w:r>
              <w:rPr>
                <w:rFonts w:hint="eastAsia"/>
                <w:u w:val="single"/>
              </w:rPr>
              <w:t>池中先后投PAC、PAM，在短时间内迅速生成不溶性、低含水量、容易去除的絮状沉淀，反应不仅能在常温和很宽的pH值条件范围内进行。</w:t>
            </w:r>
          </w:p>
          <w:p>
            <w:pPr>
              <w:pStyle w:val="34"/>
              <w:ind w:firstLine="480"/>
              <w:rPr>
                <w:u w:val="single"/>
              </w:rPr>
            </w:pPr>
            <w:r>
              <w:rPr>
                <w:rFonts w:hint="eastAsia"/>
                <w:u w:val="single"/>
              </w:rPr>
              <w:t>③</w:t>
            </w:r>
            <w:r>
              <w:rPr>
                <w:u w:val="single"/>
              </w:rPr>
              <w:t xml:space="preserve"> </w:t>
            </w:r>
            <w:r>
              <w:rPr>
                <w:rFonts w:hint="eastAsia"/>
                <w:u w:val="single"/>
              </w:rPr>
              <w:t>斜板沉淀池</w:t>
            </w:r>
          </w:p>
          <w:p>
            <w:pPr>
              <w:pStyle w:val="34"/>
              <w:ind w:firstLine="480"/>
              <w:rPr>
                <w:u w:val="single"/>
              </w:rPr>
            </w:pPr>
            <w:r>
              <w:rPr>
                <w:rFonts w:hint="eastAsia"/>
                <w:u w:val="single"/>
              </w:rPr>
              <w:t>药剂投加完成并搅拌后，通过重力流入斜板沉淀池中，在池中依靠重力作用，将沉淀物沉淀去除。对于污水处理过程中产生的污泥，本工程将污泥收集后与底泥一并进行脱水及处理。</w:t>
            </w:r>
          </w:p>
          <w:p>
            <w:pPr>
              <w:pStyle w:val="34"/>
              <w:ind w:firstLine="480"/>
              <w:rPr>
                <w:u w:val="single"/>
              </w:rPr>
            </w:pPr>
            <w:r>
              <w:rPr>
                <w:rFonts w:hint="eastAsia"/>
                <w:u w:val="single"/>
              </w:rPr>
              <w:t>④调节槽</w:t>
            </w:r>
          </w:p>
          <w:p>
            <w:pPr>
              <w:pStyle w:val="34"/>
              <w:ind w:firstLine="480"/>
              <w:rPr>
                <w:u w:val="single"/>
              </w:rPr>
            </w:pPr>
            <w:r>
              <w:rPr>
                <w:rFonts w:hint="eastAsia"/>
                <w:u w:val="single"/>
              </w:rPr>
              <w:t>沉淀槽出水加酸调节pH；</w:t>
            </w:r>
          </w:p>
          <w:p>
            <w:pPr>
              <w:pStyle w:val="34"/>
              <w:ind w:firstLine="480"/>
              <w:rPr>
                <w:u w:val="single"/>
              </w:rPr>
            </w:pPr>
            <w:r>
              <w:rPr>
                <w:rFonts w:hint="eastAsia"/>
                <w:u w:val="single"/>
              </w:rPr>
              <w:t>⑤多介质过滤池</w:t>
            </w:r>
          </w:p>
          <w:p>
            <w:pPr>
              <w:pStyle w:val="34"/>
              <w:ind w:firstLine="480"/>
              <w:rPr>
                <w:u w:val="single"/>
              </w:rPr>
            </w:pPr>
            <w:r>
              <w:rPr>
                <w:rFonts w:hint="eastAsia"/>
                <w:u w:val="single"/>
              </w:rPr>
              <w:t>为进一步保证出水水质，沉淀槽出水通过出水堰进入多介质过滤器进行过滤，水体被多介质过滤池中的砂层净化，有效地去除了水中不易沉淀的细小悬浮物。处理后废水用于施工场地洒水降尘与周边绿化用水。</w:t>
            </w:r>
          </w:p>
          <w:p>
            <w:pPr>
              <w:pStyle w:val="34"/>
              <w:ind w:firstLine="0" w:firstLineChars="0"/>
              <w:rPr>
                <w:b/>
                <w:bCs/>
                <w:u w:val="single"/>
              </w:rPr>
            </w:pPr>
            <w:r>
              <w:rPr>
                <w:rFonts w:hint="eastAsia"/>
                <w:b/>
                <w:bCs/>
                <w:u w:val="single"/>
              </w:rPr>
              <w:t>二、施工时序</w:t>
            </w:r>
          </w:p>
          <w:p>
            <w:pPr>
              <w:pStyle w:val="34"/>
              <w:ind w:firstLine="480"/>
              <w:rPr>
                <w:u w:val="single"/>
              </w:rPr>
            </w:pPr>
            <w:r>
              <w:rPr>
                <w:rFonts w:hint="eastAsia"/>
                <w:u w:val="single"/>
              </w:rPr>
              <w:t>预计施工时间为2</w:t>
            </w:r>
            <w:r>
              <w:rPr>
                <w:u w:val="single"/>
              </w:rPr>
              <w:t>024</w:t>
            </w:r>
            <w:r>
              <w:rPr>
                <w:rFonts w:hint="eastAsia"/>
                <w:u w:val="single"/>
              </w:rPr>
              <w:t>年1月～</w:t>
            </w:r>
            <w:r>
              <w:rPr>
                <w:u w:val="single"/>
              </w:rPr>
              <w:t>2025</w:t>
            </w:r>
            <w:r>
              <w:rPr>
                <w:rFonts w:hint="eastAsia"/>
                <w:u w:val="single"/>
              </w:rPr>
              <w:t>年1</w:t>
            </w:r>
            <w:r>
              <w:rPr>
                <w:u w:val="single"/>
              </w:rPr>
              <w:t>2</w:t>
            </w:r>
            <w:r>
              <w:rPr>
                <w:rFonts w:hint="eastAsia"/>
                <w:u w:val="single"/>
              </w:rPr>
              <w:t>月，总计施工市场2</w:t>
            </w:r>
            <w:r>
              <w:rPr>
                <w:u w:val="single"/>
              </w:rPr>
              <w:t>4</w:t>
            </w:r>
            <w:r>
              <w:rPr>
                <w:rFonts w:hint="eastAsia"/>
                <w:u w:val="single"/>
              </w:rPr>
              <w:t>个月。其中渠道清理、湖泊清理1个月，清淤疏浚2</w:t>
            </w:r>
            <w:r>
              <w:rPr>
                <w:u w:val="single"/>
              </w:rPr>
              <w:t>0</w:t>
            </w:r>
            <w:r>
              <w:rPr>
                <w:rFonts w:hint="eastAsia"/>
                <w:u w:val="single"/>
              </w:rPr>
              <w:t>个月，岸线整治、植被恢复、水生植被构建3个月。</w:t>
            </w:r>
          </w:p>
          <w:p>
            <w:pPr>
              <w:pStyle w:val="34"/>
              <w:ind w:firstLine="0" w:firstLineChars="0"/>
              <w:rPr>
                <w:b/>
                <w:bCs/>
                <w:u w:val="single"/>
              </w:rPr>
            </w:pPr>
            <w:r>
              <w:rPr>
                <w:rFonts w:hint="eastAsia"/>
                <w:b/>
                <w:bCs/>
                <w:u w:val="single"/>
              </w:rPr>
              <w:t>三、项目施工机械</w:t>
            </w:r>
          </w:p>
          <w:p>
            <w:pPr>
              <w:pStyle w:val="39"/>
              <w:spacing w:before="156"/>
            </w:pPr>
            <w:r>
              <w:t>表</w:t>
            </w:r>
            <w:r>
              <w:rPr>
                <w:rFonts w:hint="eastAsia"/>
              </w:rPr>
              <w:t>2-</w:t>
            </w:r>
            <w:r>
              <w:t>9</w:t>
            </w:r>
            <w:r>
              <w:rPr>
                <w:rFonts w:hint="eastAsia"/>
              </w:rPr>
              <w:t xml:space="preserve">  </w:t>
            </w:r>
            <w:r>
              <w:t>项目</w:t>
            </w:r>
            <w:r>
              <w:rPr>
                <w:rFonts w:hint="eastAsia"/>
              </w:rPr>
              <w:t>施工</w:t>
            </w:r>
            <w:r>
              <w:t>机械一览表</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516"/>
              <w:gridCol w:w="2370"/>
              <w:gridCol w:w="1176"/>
              <w:gridCol w:w="1288"/>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序号</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设备名称</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规格与型号</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单位</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数量</w:t>
                  </w:r>
                </w:p>
              </w:tc>
              <w:tc>
                <w:tcPr>
                  <w:tcW w:w="632"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反铲挖掘机</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1m³</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10</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自卸汽车</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8t</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20</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3</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推土机</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118kw</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5</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4</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羊足碾</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13.5t</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4</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5</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振动碾</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7～12t</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4</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6</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拖拉机</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120kW履带式</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7</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砂浆拌和机</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0.2m³</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10</w:t>
                  </w:r>
                </w:p>
              </w:tc>
              <w:tc>
                <w:tcPr>
                  <w:tcW w:w="632"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移动式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8</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混凝土搅拌运输车</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6 m³</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9</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农用车</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3.5t</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10</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10</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蛙式打夯机</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2.8kw</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5</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11</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柴油发电机</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200kw</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12</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绞吸式挖泥船</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3000m</w:t>
                  </w:r>
                  <w:r>
                    <w:rPr>
                      <w:rFonts w:ascii="Times New Roman" w:hAnsi="Times New Roman" w:eastAsia="宋体" w:cs="Times New Roman"/>
                      <w:snapToGrid w:val="0"/>
                      <w:szCs w:val="21"/>
                      <w:u w:val="single"/>
                      <w:vertAlign w:val="superscript"/>
                    </w:rPr>
                    <w:t>3</w:t>
                  </w:r>
                  <w:r>
                    <w:rPr>
                      <w:rFonts w:ascii="Times New Roman" w:hAnsi="Times New Roman" w:eastAsia="宋体" w:cs="Times New Roman"/>
                      <w:snapToGrid w:val="0"/>
                      <w:szCs w:val="21"/>
                      <w:u w:val="single"/>
                    </w:rPr>
                    <w:t>/d</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艘</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13</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运砂船</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120m</w:t>
                  </w:r>
                  <w:r>
                    <w:rPr>
                      <w:rFonts w:ascii="Times New Roman" w:hAnsi="Times New Roman" w:eastAsia="宋体" w:cs="Times New Roman"/>
                      <w:snapToGrid w:val="0"/>
                      <w:szCs w:val="21"/>
                      <w:u w:val="single"/>
                      <w:vertAlign w:val="superscript"/>
                    </w:rPr>
                    <w:t>3</w:t>
                  </w:r>
                  <w:r>
                    <w:rPr>
                      <w:rFonts w:ascii="Times New Roman" w:hAnsi="Times New Roman" w:eastAsia="宋体" w:cs="Times New Roman"/>
                      <w:snapToGrid w:val="0"/>
                      <w:szCs w:val="21"/>
                      <w:u w:val="single"/>
                    </w:rPr>
                    <w:t>/h</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艘</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20</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14</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钻探式抽沙船</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20寸</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艘</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15</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液压抓斗</w:t>
                  </w:r>
                </w:p>
              </w:tc>
              <w:tc>
                <w:tcPr>
                  <w:tcW w:w="1270" w:type="pct"/>
                  <w:vAlign w:val="center"/>
                </w:tcPr>
                <w:p>
                  <w:pPr>
                    <w:snapToGrid w:val="0"/>
                    <w:jc w:val="center"/>
                    <w:rPr>
                      <w:rFonts w:ascii="Times New Roman" w:hAnsi="Times New Roman"/>
                      <w:snapToGrid w:val="0"/>
                      <w:szCs w:val="21"/>
                      <w:u w:val="single"/>
                    </w:rPr>
                  </w:pPr>
                  <w:r>
                    <w:rPr>
                      <w:rFonts w:hint="eastAsia" w:ascii="Times New Roman" w:hAnsi="Times New Roman" w:eastAsia="宋体" w:cs="Times New Roman"/>
                      <w:snapToGrid w:val="0"/>
                      <w:szCs w:val="21"/>
                      <w:u w:val="single"/>
                    </w:rPr>
                    <w:t>/</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2</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16</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移动空压机</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3m³</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10</w:t>
                  </w:r>
                </w:p>
              </w:tc>
              <w:tc>
                <w:tcPr>
                  <w:tcW w:w="632" w:type="pct"/>
                  <w:vAlign w:val="center"/>
                </w:tcPr>
                <w:p>
                  <w:pPr>
                    <w:snapToGrid w:val="0"/>
                    <w:jc w:val="center"/>
                    <w:rPr>
                      <w:rFonts w:ascii="Times New Roman" w:hAnsi="Times New Roman"/>
                      <w:snapToGrid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17</w:t>
                  </w:r>
                </w:p>
              </w:tc>
              <w:tc>
                <w:tcPr>
                  <w:tcW w:w="1348"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离心水泵</w:t>
                  </w:r>
                </w:p>
              </w:tc>
              <w:tc>
                <w:tcPr>
                  <w:tcW w:w="127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IS80-65-1</w:t>
                  </w:r>
                  <w:r>
                    <w:rPr>
                      <w:rFonts w:hint="eastAsia" w:ascii="Times New Roman" w:hAnsi="Times New Roman" w:eastAsia="宋体" w:cs="Times New Roman"/>
                      <w:snapToGrid w:val="0"/>
                      <w:szCs w:val="21"/>
                      <w:u w:val="single"/>
                    </w:rPr>
                    <w:t>60</w:t>
                  </w:r>
                </w:p>
              </w:tc>
              <w:tc>
                <w:tcPr>
                  <w:tcW w:w="630" w:type="pct"/>
                  <w:vAlign w:val="center"/>
                </w:tcPr>
                <w:p>
                  <w:pPr>
                    <w:snapToGrid w:val="0"/>
                    <w:jc w:val="center"/>
                    <w:rPr>
                      <w:rFonts w:ascii="Times New Roman" w:hAnsi="Times New Roman"/>
                      <w:snapToGrid w:val="0"/>
                      <w:szCs w:val="21"/>
                      <w:u w:val="single"/>
                    </w:rPr>
                  </w:pPr>
                  <w:r>
                    <w:rPr>
                      <w:rFonts w:ascii="Times New Roman" w:hAnsi="Times New Roman" w:eastAsia="宋体" w:cs="Times New Roman"/>
                      <w:snapToGrid w:val="0"/>
                      <w:szCs w:val="21"/>
                      <w:u w:val="single"/>
                    </w:rPr>
                    <w:t>台</w:t>
                  </w:r>
                </w:p>
              </w:tc>
              <w:tc>
                <w:tcPr>
                  <w:tcW w:w="690" w:type="pct"/>
                  <w:vAlign w:val="center"/>
                </w:tcPr>
                <w:p>
                  <w:pPr>
                    <w:snapToGrid w:val="0"/>
                    <w:jc w:val="center"/>
                    <w:rPr>
                      <w:rFonts w:ascii="Times New Roman" w:hAnsi="Times New Roman"/>
                      <w:snapToGrid w:val="0"/>
                      <w:szCs w:val="21"/>
                      <w:u w:val="single"/>
                    </w:rPr>
                  </w:pPr>
                  <w:r>
                    <w:rPr>
                      <w:rFonts w:hint="eastAsia" w:ascii="Times New Roman" w:hAnsi="Times New Roman" w:eastAsia="宋体" w:cs="Times New Roman"/>
                      <w:snapToGrid w:val="0"/>
                      <w:szCs w:val="21"/>
                      <w:u w:val="single"/>
                    </w:rPr>
                    <w:t>10</w:t>
                  </w:r>
                </w:p>
              </w:tc>
              <w:tc>
                <w:tcPr>
                  <w:tcW w:w="632" w:type="pct"/>
                  <w:vAlign w:val="center"/>
                </w:tcPr>
                <w:p>
                  <w:pPr>
                    <w:snapToGrid w:val="0"/>
                    <w:jc w:val="center"/>
                    <w:rPr>
                      <w:rFonts w:ascii="Times New Roman" w:hAnsi="Times New Roman"/>
                      <w:snapToGrid w:val="0"/>
                      <w:szCs w:val="21"/>
                      <w:u w:val="single"/>
                    </w:rPr>
                  </w:pPr>
                </w:p>
              </w:tc>
            </w:tr>
          </w:tbl>
          <w:p>
            <w:pPr>
              <w:pStyle w:val="34"/>
              <w:ind w:firstLine="480"/>
              <w:rPr>
                <w:u w:val="single"/>
              </w:rPr>
            </w:pPr>
            <w:r>
              <w:rPr>
                <w:u w:val="single"/>
              </w:rPr>
              <w:t>本项目</w:t>
            </w:r>
            <w:r>
              <w:rPr>
                <w:rFonts w:hint="eastAsia"/>
                <w:u w:val="single"/>
              </w:rPr>
              <w:t>施工期拟使用</w:t>
            </w:r>
            <w:r>
              <w:rPr>
                <w:u w:val="single"/>
              </w:rPr>
              <w:t>的设备不属于《产业结构调整指导目录（2019年本）》（2021年修订）、《工业和信息化部高耗能落后机电设备（产品）淘汰目录</w:t>
            </w:r>
            <w:r>
              <w:rPr>
                <w:rFonts w:hint="eastAsia"/>
                <w:u w:val="single"/>
              </w:rPr>
              <w:t>》《</w:t>
            </w:r>
            <w:r>
              <w:rPr>
                <w:u w:val="single"/>
              </w:rPr>
              <w:t>部分工业行业淘汰落后生产工艺装备和产品指导目录》中淘汰及明令禁止使用的设备及工艺</w:t>
            </w:r>
            <w:r>
              <w:rPr>
                <w:rFonts w:hint="eastAsia"/>
                <w:u w:val="single"/>
              </w:rPr>
              <w:t>。环评要求，项目施工期间不得使用上述规定中的</w:t>
            </w:r>
            <w:r>
              <w:rPr>
                <w:u w:val="single"/>
              </w:rPr>
              <w:t>淘汰及明令禁止使用的设备</w:t>
            </w:r>
            <w:r>
              <w:rPr>
                <w:rFonts w:hint="eastAsia"/>
                <w:u w:val="single"/>
              </w:rPr>
              <w:t>。</w:t>
            </w:r>
          </w:p>
          <w:p>
            <w:pPr>
              <w:pStyle w:val="34"/>
              <w:ind w:firstLine="480"/>
              <w:rPr>
                <w:u w:val="single"/>
              </w:rPr>
            </w:pPr>
            <w:r>
              <w:rPr>
                <w:rFonts w:hint="eastAsia"/>
                <w:u w:val="single"/>
              </w:rPr>
              <w:t>本项目鼻湖内清淤主要采用绞吸船，规模为</w:t>
            </w:r>
            <w:r>
              <w:rPr>
                <w:snapToGrid w:val="0"/>
                <w:szCs w:val="21"/>
                <w:u w:val="single"/>
              </w:rPr>
              <w:t>30</w:t>
            </w:r>
            <w:r>
              <w:rPr>
                <w:snapToGrid w:val="0"/>
                <w:sz w:val="21"/>
                <w:szCs w:val="21"/>
                <w:u w:val="single"/>
              </w:rPr>
              <w:t>00m</w:t>
            </w:r>
            <w:r>
              <w:rPr>
                <w:snapToGrid w:val="0"/>
                <w:sz w:val="21"/>
                <w:szCs w:val="21"/>
                <w:u w:val="single"/>
                <w:vertAlign w:val="superscript"/>
              </w:rPr>
              <w:t>3</w:t>
            </w:r>
            <w:r>
              <w:rPr>
                <w:snapToGrid w:val="0"/>
                <w:sz w:val="21"/>
                <w:szCs w:val="21"/>
                <w:u w:val="single"/>
              </w:rPr>
              <w:t>/</w:t>
            </w:r>
            <w:r>
              <w:rPr>
                <w:rFonts w:hint="eastAsia"/>
                <w:snapToGrid w:val="0"/>
                <w:szCs w:val="21"/>
                <w:u w:val="single"/>
              </w:rPr>
              <w:t>d，总计施工时间为2</w:t>
            </w:r>
            <w:r>
              <w:rPr>
                <w:snapToGrid w:val="0"/>
                <w:szCs w:val="21"/>
                <w:u w:val="single"/>
              </w:rPr>
              <w:t>0</w:t>
            </w:r>
            <w:r>
              <w:rPr>
                <w:rFonts w:hint="eastAsia"/>
                <w:snapToGrid w:val="0"/>
                <w:szCs w:val="21"/>
                <w:u w:val="single"/>
              </w:rPr>
              <w:t>个月（约6</w:t>
            </w:r>
            <w:r>
              <w:rPr>
                <w:snapToGrid w:val="0"/>
                <w:szCs w:val="21"/>
                <w:u w:val="single"/>
              </w:rPr>
              <w:t>00</w:t>
            </w:r>
            <w:r>
              <w:rPr>
                <w:rFonts w:hint="eastAsia"/>
                <w:snapToGrid w:val="0"/>
                <w:szCs w:val="21"/>
                <w:u w:val="single"/>
              </w:rPr>
              <w:t>天），项目鼻湖清淤量约为3</w:t>
            </w:r>
            <w:r>
              <w:rPr>
                <w:snapToGrid w:val="0"/>
                <w:szCs w:val="21"/>
                <w:u w:val="single"/>
              </w:rPr>
              <w:t>14.10</w:t>
            </w:r>
            <w:r>
              <w:rPr>
                <w:rFonts w:hint="eastAsia"/>
                <w:snapToGrid w:val="0"/>
                <w:szCs w:val="21"/>
                <w:u w:val="single"/>
              </w:rPr>
              <w:t>万m</w:t>
            </w:r>
            <w:r>
              <w:rPr>
                <w:snapToGrid w:val="0"/>
                <w:szCs w:val="21"/>
                <w:u w:val="single"/>
                <w:vertAlign w:val="superscript"/>
              </w:rPr>
              <w:t>3</w:t>
            </w:r>
            <w:r>
              <w:rPr>
                <w:rFonts w:hint="eastAsia"/>
                <w:snapToGrid w:val="0"/>
                <w:szCs w:val="21"/>
                <w:u w:val="single"/>
              </w:rPr>
              <w:t>，单台设备清淤需1</w:t>
            </w:r>
            <w:r>
              <w:rPr>
                <w:snapToGrid w:val="0"/>
                <w:szCs w:val="21"/>
                <w:u w:val="single"/>
              </w:rPr>
              <w:t>047</w:t>
            </w:r>
            <w:r>
              <w:rPr>
                <w:rFonts w:hint="eastAsia"/>
                <w:snapToGrid w:val="0"/>
                <w:szCs w:val="21"/>
                <w:u w:val="single"/>
              </w:rPr>
              <w:t>天，项目总计设置2艘绞吸船，则需至少5</w:t>
            </w:r>
            <w:r>
              <w:rPr>
                <w:snapToGrid w:val="0"/>
                <w:szCs w:val="21"/>
                <w:u w:val="single"/>
              </w:rPr>
              <w:t>23.5</w:t>
            </w:r>
            <w:r>
              <w:rPr>
                <w:rFonts w:hint="eastAsia"/>
                <w:snapToGrid w:val="0"/>
                <w:szCs w:val="21"/>
                <w:u w:val="single"/>
              </w:rPr>
              <w:t>天完成，考虑放假及部分天气原因等其他原因，6</w:t>
            </w:r>
            <w:r>
              <w:rPr>
                <w:snapToGrid w:val="0"/>
                <w:szCs w:val="21"/>
                <w:u w:val="single"/>
              </w:rPr>
              <w:t>00</w:t>
            </w:r>
            <w:r>
              <w:rPr>
                <w:rFonts w:hint="eastAsia"/>
                <w:snapToGrid w:val="0"/>
                <w:szCs w:val="21"/>
                <w:u w:val="single"/>
              </w:rPr>
              <w:t>天内采用2台绞吸船清淤合理。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710" w:type="dxa"/>
            <w:vAlign w:val="center"/>
          </w:tcPr>
          <w:p>
            <w:pPr>
              <w:pStyle w:val="41"/>
            </w:pPr>
            <w:r>
              <w:rPr>
                <w:rFonts w:hint="eastAsia"/>
              </w:rPr>
              <w:t>其他</w:t>
            </w:r>
          </w:p>
        </w:tc>
        <w:tc>
          <w:tcPr>
            <w:tcW w:w="8380" w:type="dxa"/>
          </w:tcPr>
          <w:p>
            <w:pPr>
              <w:pStyle w:val="34"/>
              <w:ind w:firstLine="482"/>
              <w:rPr>
                <w:b/>
                <w:bCs/>
              </w:rPr>
            </w:pPr>
            <w:r>
              <w:rPr>
                <w:rFonts w:hint="eastAsia"/>
                <w:b/>
                <w:bCs/>
              </w:rPr>
              <w:t>1、工程土石方平衡</w:t>
            </w:r>
          </w:p>
          <w:p>
            <w:pPr>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本工程土石方开挖共计</w:t>
            </w:r>
            <w:r>
              <w:rPr>
                <w:rFonts w:ascii="Times New Roman" w:hAnsi="Times New Roman" w:cs="Times New Roman"/>
                <w:sz w:val="24"/>
                <w:szCs w:val="24"/>
                <w:u w:val="single"/>
              </w:rPr>
              <w:t>316.53</w:t>
            </w:r>
            <w:r>
              <w:rPr>
                <w:rFonts w:ascii="Times New Roman" w:hAnsi="Times New Roman" w:eastAsia="宋体" w:cs="Times New Roman"/>
                <w:sz w:val="24"/>
                <w:szCs w:val="24"/>
                <w:u w:val="single"/>
              </w:rPr>
              <w:t>万m</w:t>
            </w:r>
            <w:r>
              <w:rPr>
                <w:rFonts w:ascii="Times New Roman" w:hAnsi="Times New Roman" w:eastAsia="宋体" w:cs="Times New Roman"/>
                <w:sz w:val="24"/>
                <w:szCs w:val="24"/>
                <w:u w:val="single"/>
                <w:vertAlign w:val="superscript"/>
              </w:rPr>
              <w:t>3</w:t>
            </w:r>
            <w:r>
              <w:rPr>
                <w:rFonts w:ascii="Times New Roman" w:hAnsi="Times New Roman" w:eastAsia="宋体" w:cs="Times New Roman"/>
                <w:sz w:val="24"/>
                <w:szCs w:val="24"/>
                <w:u w:val="single"/>
              </w:rPr>
              <w:t>，土方填筑共计</w:t>
            </w:r>
            <w:r>
              <w:rPr>
                <w:rFonts w:ascii="Times New Roman" w:hAnsi="Times New Roman" w:cs="Times New Roman"/>
                <w:sz w:val="24"/>
                <w:szCs w:val="24"/>
                <w:u w:val="single"/>
              </w:rPr>
              <w:t>780</w:t>
            </w:r>
            <w:r>
              <w:rPr>
                <w:rFonts w:ascii="Times New Roman" w:hAnsi="Times New Roman" w:eastAsia="宋体" w:cs="Times New Roman"/>
                <w:sz w:val="24"/>
                <w:szCs w:val="24"/>
                <w:u w:val="single"/>
              </w:rPr>
              <w:t>m</w:t>
            </w:r>
            <w:r>
              <w:rPr>
                <w:rFonts w:ascii="Times New Roman" w:hAnsi="Times New Roman" w:eastAsia="宋体" w:cs="Times New Roman"/>
                <w:sz w:val="24"/>
                <w:szCs w:val="24"/>
                <w:u w:val="single"/>
                <w:vertAlign w:val="superscript"/>
              </w:rPr>
              <w:t>3</w:t>
            </w:r>
            <w:r>
              <w:rPr>
                <w:rFonts w:ascii="Times New Roman" w:hAnsi="Times New Roman" w:eastAsia="宋体" w:cs="Times New Roman"/>
                <w:sz w:val="24"/>
                <w:szCs w:val="24"/>
                <w:u w:val="single"/>
              </w:rPr>
              <w:t>。其中土石方开挖料部分用于自身回填。经土石方平衡规划，共计利用土石方开挖料为</w:t>
            </w:r>
            <w:r>
              <w:rPr>
                <w:rFonts w:ascii="Times New Roman" w:hAnsi="Times New Roman" w:cs="Times New Roman"/>
                <w:sz w:val="24"/>
                <w:szCs w:val="24"/>
                <w:u w:val="single"/>
              </w:rPr>
              <w:t>17.50</w:t>
            </w:r>
            <w:r>
              <w:rPr>
                <w:rFonts w:ascii="Times New Roman" w:hAnsi="Times New Roman" w:eastAsia="宋体" w:cs="Times New Roman"/>
                <w:sz w:val="24"/>
                <w:szCs w:val="24"/>
                <w:u w:val="single"/>
              </w:rPr>
              <w:t>万m</w:t>
            </w:r>
            <w:r>
              <w:rPr>
                <w:rFonts w:ascii="Times New Roman" w:hAnsi="Times New Roman" w:eastAsia="宋体" w:cs="Times New Roman"/>
                <w:sz w:val="24"/>
                <w:szCs w:val="24"/>
                <w:u w:val="single"/>
                <w:vertAlign w:val="superscript"/>
              </w:rPr>
              <w:t>3</w:t>
            </w:r>
            <w:r>
              <w:rPr>
                <w:rFonts w:ascii="Times New Roman" w:hAnsi="Times New Roman" w:eastAsia="宋体" w:cs="Times New Roman"/>
                <w:sz w:val="24"/>
                <w:szCs w:val="24"/>
                <w:u w:val="single"/>
              </w:rPr>
              <w:t>，</w:t>
            </w:r>
            <w:r>
              <w:rPr>
                <w:rFonts w:hint="eastAsia" w:ascii="Times New Roman" w:hAnsi="Times New Roman" w:cs="Times New Roman"/>
                <w:sz w:val="24"/>
                <w:szCs w:val="24"/>
                <w:u w:val="single"/>
              </w:rPr>
              <w:t>剩余清淤料</w:t>
            </w:r>
            <w:r>
              <w:rPr>
                <w:rFonts w:ascii="Times New Roman" w:hAnsi="Times New Roman" w:cs="Times New Roman"/>
                <w:sz w:val="24"/>
                <w:szCs w:val="24"/>
                <w:u w:val="single"/>
              </w:rPr>
              <w:t>299.03</w:t>
            </w:r>
            <w:r>
              <w:rPr>
                <w:rFonts w:ascii="Times New Roman" w:hAnsi="Times New Roman" w:eastAsia="宋体" w:cs="Times New Roman"/>
                <w:sz w:val="24"/>
                <w:szCs w:val="24"/>
                <w:u w:val="single"/>
              </w:rPr>
              <w:t>万m</w:t>
            </w:r>
            <w:r>
              <w:rPr>
                <w:rFonts w:ascii="Times New Roman" w:hAnsi="Times New Roman" w:eastAsia="宋体" w:cs="Times New Roman"/>
                <w:sz w:val="24"/>
                <w:szCs w:val="24"/>
                <w:u w:val="single"/>
                <w:vertAlign w:val="superscript"/>
              </w:rPr>
              <w:t>3</w:t>
            </w:r>
            <w:r>
              <w:rPr>
                <w:rFonts w:ascii="Times New Roman" w:hAnsi="Times New Roman" w:eastAsia="宋体" w:cs="Times New Roman"/>
                <w:sz w:val="24"/>
                <w:szCs w:val="24"/>
                <w:u w:val="single"/>
              </w:rPr>
              <w:t>，计算结果详见表</w:t>
            </w:r>
            <w:r>
              <w:rPr>
                <w:rFonts w:hint="eastAsia" w:ascii="Times New Roman" w:hAnsi="Times New Roman" w:eastAsia="宋体" w:cs="Times New Roman"/>
                <w:sz w:val="24"/>
                <w:szCs w:val="24"/>
                <w:u w:val="single"/>
              </w:rPr>
              <w:t>2-</w:t>
            </w:r>
            <w:r>
              <w:rPr>
                <w:rFonts w:hint="eastAsia" w:ascii="Times New Roman" w:hAnsi="Times New Roman" w:cs="Times New Roman"/>
                <w:sz w:val="24"/>
                <w:szCs w:val="24"/>
                <w:u w:val="single"/>
              </w:rPr>
              <w:t>11</w:t>
            </w:r>
            <w:r>
              <w:rPr>
                <w:rFonts w:ascii="Times New Roman" w:hAnsi="Times New Roman" w:eastAsia="宋体" w:cs="Times New Roman"/>
                <w:sz w:val="24"/>
                <w:szCs w:val="24"/>
                <w:u w:val="single"/>
              </w:rPr>
              <w:t>。</w:t>
            </w:r>
          </w:p>
          <w:p>
            <w:pPr>
              <w:pStyle w:val="39"/>
              <w:spacing w:before="156"/>
              <w:rPr>
                <w:bCs/>
              </w:rPr>
            </w:pPr>
            <w:r>
              <w:t>表2-</w:t>
            </w:r>
            <w:r>
              <w:rPr>
                <w:rFonts w:hint="eastAsia"/>
              </w:rPr>
              <w:t>11</w:t>
            </w:r>
            <w:r>
              <w:t xml:space="preserve">  土石方平衡计算表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60"/>
              <w:gridCol w:w="1076"/>
              <w:gridCol w:w="1448"/>
              <w:gridCol w:w="1455"/>
              <w:gridCol w:w="1207"/>
              <w:gridCol w:w="1209"/>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90" w:type="pct"/>
                  <w:vMerge w:val="restart"/>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ascii="Times New Roman" w:hAnsi="Times New Roman" w:eastAsia="宋体" w:cs="Times New Roman"/>
                      <w:kern w:val="0"/>
                      <w:szCs w:val="21"/>
                      <w:u w:val="single"/>
                    </w:rPr>
                    <w:t>项目</w:t>
                  </w:r>
                </w:p>
              </w:tc>
              <w:tc>
                <w:tcPr>
                  <w:tcW w:w="2133" w:type="pct"/>
                  <w:gridSpan w:val="3"/>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ascii="Times New Roman" w:hAnsi="Times New Roman" w:eastAsia="宋体" w:cs="Times New Roman"/>
                      <w:kern w:val="0"/>
                      <w:szCs w:val="21"/>
                      <w:u w:val="single"/>
                    </w:rPr>
                    <w:t>土石方开挖</w:t>
                  </w:r>
                </w:p>
              </w:tc>
              <w:tc>
                <w:tcPr>
                  <w:tcW w:w="1295" w:type="pct"/>
                  <w:gridSpan w:val="2"/>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ascii="Times New Roman" w:hAnsi="Times New Roman" w:eastAsia="宋体" w:cs="Times New Roman"/>
                      <w:kern w:val="0"/>
                      <w:szCs w:val="21"/>
                      <w:u w:val="single"/>
                    </w:rPr>
                    <w:t>土方填筑</w:t>
                  </w:r>
                </w:p>
              </w:tc>
              <w:tc>
                <w:tcPr>
                  <w:tcW w:w="682" w:type="pct"/>
                  <w:vMerge w:val="restart"/>
                  <w:tcMar>
                    <w:top w:w="15" w:type="dxa"/>
                    <w:left w:w="15" w:type="dxa"/>
                    <w:right w:w="15" w:type="dxa"/>
                  </w:tcMar>
                  <w:vAlign w:val="center"/>
                </w:tcPr>
                <w:p>
                  <w:pPr>
                    <w:widowControl/>
                    <w:jc w:val="center"/>
                    <w:textAlignment w:val="center"/>
                    <w:rPr>
                      <w:rFonts w:ascii="Times New Roman" w:hAnsi="Times New Roman" w:eastAsia="宋体" w:cs="Times New Roman"/>
                      <w:szCs w:val="21"/>
                      <w:highlight w:val="yellow"/>
                      <w:u w:val="single"/>
                    </w:rPr>
                  </w:pPr>
                  <w:r>
                    <w:rPr>
                      <w:rFonts w:ascii="Times New Roman" w:hAnsi="Times New Roman" w:eastAsia="宋体" w:cs="Times New Roman"/>
                      <w:kern w:val="0"/>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90" w:type="pct"/>
                  <w:vMerge w:val="continue"/>
                  <w:tcMar>
                    <w:top w:w="15" w:type="dxa"/>
                    <w:left w:w="15" w:type="dxa"/>
                    <w:right w:w="15" w:type="dxa"/>
                  </w:tcMar>
                  <w:vAlign w:val="center"/>
                </w:tcPr>
                <w:p>
                  <w:pPr>
                    <w:widowControl/>
                    <w:jc w:val="center"/>
                    <w:rPr>
                      <w:rFonts w:ascii="Times New Roman" w:hAnsi="Times New Roman" w:eastAsia="宋体" w:cs="Times New Roman"/>
                      <w:szCs w:val="21"/>
                      <w:u w:val="single"/>
                    </w:rPr>
                  </w:pPr>
                </w:p>
              </w:tc>
              <w:tc>
                <w:tcPr>
                  <w:tcW w:w="2133" w:type="pct"/>
                  <w:gridSpan w:val="3"/>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ascii="Times New Roman" w:hAnsi="Times New Roman" w:eastAsia="宋体" w:cs="Times New Roman"/>
                      <w:kern w:val="0"/>
                      <w:szCs w:val="21"/>
                      <w:u w:val="single"/>
                    </w:rPr>
                    <w:t>（m</w:t>
                  </w:r>
                  <w:r>
                    <w:rPr>
                      <w:rFonts w:ascii="Times New Roman" w:hAnsi="Times New Roman" w:eastAsia="宋体" w:cs="Times New Roman"/>
                      <w:kern w:val="0"/>
                      <w:szCs w:val="21"/>
                      <w:u w:val="single"/>
                      <w:vertAlign w:val="superscript"/>
                    </w:rPr>
                    <w:t>3</w:t>
                  </w:r>
                  <w:r>
                    <w:rPr>
                      <w:rFonts w:ascii="Times New Roman" w:hAnsi="Times New Roman" w:eastAsia="宋体" w:cs="Times New Roman"/>
                      <w:kern w:val="0"/>
                      <w:szCs w:val="21"/>
                      <w:u w:val="single"/>
                    </w:rPr>
                    <w:t>）</w:t>
                  </w:r>
                </w:p>
              </w:tc>
              <w:tc>
                <w:tcPr>
                  <w:tcW w:w="1295" w:type="pct"/>
                  <w:gridSpan w:val="2"/>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ascii="Times New Roman" w:hAnsi="Times New Roman" w:eastAsia="宋体" w:cs="Times New Roman"/>
                      <w:kern w:val="0"/>
                      <w:szCs w:val="21"/>
                      <w:u w:val="single"/>
                    </w:rPr>
                    <w:t>（m</w:t>
                  </w:r>
                  <w:r>
                    <w:rPr>
                      <w:rFonts w:ascii="Times New Roman" w:hAnsi="Times New Roman" w:eastAsia="宋体" w:cs="Times New Roman"/>
                      <w:kern w:val="0"/>
                      <w:szCs w:val="21"/>
                      <w:u w:val="single"/>
                      <w:vertAlign w:val="superscript"/>
                    </w:rPr>
                    <w:t>3</w:t>
                  </w:r>
                  <w:r>
                    <w:rPr>
                      <w:rFonts w:ascii="Times New Roman" w:hAnsi="Times New Roman" w:eastAsia="宋体" w:cs="Times New Roman"/>
                      <w:kern w:val="0"/>
                      <w:szCs w:val="21"/>
                      <w:u w:val="single"/>
                    </w:rPr>
                    <w:t>）</w:t>
                  </w:r>
                </w:p>
              </w:tc>
              <w:tc>
                <w:tcPr>
                  <w:tcW w:w="682" w:type="pct"/>
                  <w:vMerge w:val="continue"/>
                  <w:tcMar>
                    <w:top w:w="15" w:type="dxa"/>
                    <w:left w:w="15" w:type="dxa"/>
                    <w:right w:w="15" w:type="dxa"/>
                  </w:tcMar>
                  <w:vAlign w:val="center"/>
                </w:tcPr>
                <w:p>
                  <w:pPr>
                    <w:widowControl/>
                    <w:jc w:val="center"/>
                    <w:rPr>
                      <w:rFonts w:ascii="Times New Roman" w:hAnsi="Times New Roman" w:eastAsia="宋体" w:cs="Times New Roman"/>
                      <w:szCs w:val="21"/>
                      <w:highlight w:val="yellow"/>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90" w:type="pct"/>
                  <w:vMerge w:val="continue"/>
                  <w:tcMar>
                    <w:top w:w="15" w:type="dxa"/>
                    <w:left w:w="15" w:type="dxa"/>
                    <w:right w:w="15" w:type="dxa"/>
                  </w:tcMar>
                  <w:vAlign w:val="center"/>
                </w:tcPr>
                <w:p>
                  <w:pPr>
                    <w:widowControl/>
                    <w:jc w:val="center"/>
                    <w:rPr>
                      <w:rFonts w:ascii="Times New Roman" w:hAnsi="Times New Roman" w:eastAsia="宋体" w:cs="Times New Roman"/>
                      <w:szCs w:val="21"/>
                      <w:u w:val="single"/>
                    </w:rPr>
                  </w:pPr>
                </w:p>
              </w:tc>
              <w:tc>
                <w:tcPr>
                  <w:tcW w:w="577" w:type="pct"/>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ascii="Times New Roman" w:hAnsi="Times New Roman" w:eastAsia="宋体" w:cs="Times New Roman"/>
                      <w:kern w:val="0"/>
                      <w:szCs w:val="21"/>
                      <w:u w:val="single"/>
                    </w:rPr>
                    <w:t>开挖量</w:t>
                  </w:r>
                </w:p>
              </w:tc>
              <w:tc>
                <w:tcPr>
                  <w:tcW w:w="776" w:type="pct"/>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ascii="Times New Roman" w:hAnsi="Times New Roman" w:eastAsia="宋体" w:cs="Times New Roman"/>
                      <w:kern w:val="0"/>
                      <w:szCs w:val="21"/>
                      <w:u w:val="single"/>
                    </w:rPr>
                    <w:t>利用量</w:t>
                  </w:r>
                </w:p>
              </w:tc>
              <w:tc>
                <w:tcPr>
                  <w:tcW w:w="780" w:type="pct"/>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ascii="Times New Roman" w:hAnsi="Times New Roman" w:eastAsia="宋体" w:cs="Times New Roman"/>
                      <w:kern w:val="0"/>
                      <w:szCs w:val="21"/>
                      <w:u w:val="single"/>
                    </w:rPr>
                    <w:t>剩余清淤料</w:t>
                  </w:r>
                </w:p>
              </w:tc>
              <w:tc>
                <w:tcPr>
                  <w:tcW w:w="647" w:type="pct"/>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ascii="Times New Roman" w:hAnsi="Times New Roman" w:eastAsia="宋体" w:cs="Times New Roman"/>
                      <w:kern w:val="0"/>
                      <w:szCs w:val="21"/>
                      <w:u w:val="single"/>
                    </w:rPr>
                    <w:t>填筑量</w:t>
                  </w:r>
                </w:p>
              </w:tc>
              <w:tc>
                <w:tcPr>
                  <w:tcW w:w="648" w:type="pct"/>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ascii="Times New Roman" w:hAnsi="Times New Roman" w:eastAsia="宋体" w:cs="Times New Roman"/>
                      <w:kern w:val="0"/>
                      <w:szCs w:val="21"/>
                      <w:u w:val="single"/>
                    </w:rPr>
                    <w:t>利用量</w:t>
                  </w:r>
                </w:p>
              </w:tc>
              <w:tc>
                <w:tcPr>
                  <w:tcW w:w="682" w:type="pct"/>
                  <w:vMerge w:val="restart"/>
                  <w:tcMar>
                    <w:top w:w="15" w:type="dxa"/>
                    <w:left w:w="15" w:type="dxa"/>
                    <w:right w:w="15" w:type="dxa"/>
                  </w:tcMar>
                  <w:vAlign w:val="center"/>
                </w:tcPr>
                <w:p>
                  <w:pPr>
                    <w:widowControl/>
                    <w:jc w:val="center"/>
                    <w:textAlignment w:val="center"/>
                    <w:rPr>
                      <w:rFonts w:ascii="Times New Roman" w:hAnsi="Times New Roman" w:eastAsia="宋体" w:cs="Times New Roman"/>
                      <w:szCs w:val="21"/>
                      <w:highlight w:val="yellow"/>
                      <w:u w:val="single"/>
                    </w:rPr>
                  </w:pPr>
                  <w:r>
                    <w:rPr>
                      <w:rFonts w:ascii="Times New Roman" w:hAnsi="Times New Roman" w:eastAsia="宋体" w:cs="Times New Roman"/>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90" w:type="pct"/>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hint="eastAsia" w:ascii="Times New Roman" w:hAnsi="Times New Roman" w:eastAsia="宋体" w:cs="Times New Roman"/>
                      <w:szCs w:val="21"/>
                      <w:u w:val="single"/>
                    </w:rPr>
                    <w:t>鼻湖</w:t>
                  </w:r>
                  <w:r>
                    <w:rPr>
                      <w:rFonts w:ascii="Times New Roman" w:hAnsi="Times New Roman" w:eastAsia="宋体" w:cs="Times New Roman"/>
                      <w:szCs w:val="21"/>
                      <w:u w:val="single"/>
                    </w:rPr>
                    <w:t>清淤</w:t>
                  </w:r>
                </w:p>
              </w:tc>
              <w:tc>
                <w:tcPr>
                  <w:tcW w:w="577"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3</w:t>
                  </w:r>
                  <w:r>
                    <w:rPr>
                      <w:rFonts w:ascii="Times New Roman" w:hAnsi="Times New Roman" w:eastAsia="宋体" w:cs="Times New Roman"/>
                      <w:kern w:val="0"/>
                      <w:szCs w:val="21"/>
                      <w:u w:val="single"/>
                    </w:rPr>
                    <w:t>141000</w:t>
                  </w:r>
                </w:p>
              </w:tc>
              <w:tc>
                <w:tcPr>
                  <w:tcW w:w="776"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1</w:t>
                  </w:r>
                  <w:r>
                    <w:rPr>
                      <w:rFonts w:ascii="Times New Roman" w:hAnsi="Times New Roman" w:eastAsia="宋体" w:cs="Times New Roman"/>
                      <w:kern w:val="0"/>
                      <w:szCs w:val="21"/>
                      <w:u w:val="single"/>
                    </w:rPr>
                    <w:t>57050</w:t>
                  </w:r>
                </w:p>
              </w:tc>
              <w:tc>
                <w:tcPr>
                  <w:tcW w:w="780"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2</w:t>
                  </w:r>
                  <w:r>
                    <w:rPr>
                      <w:rFonts w:ascii="Times New Roman" w:hAnsi="Times New Roman" w:eastAsia="宋体" w:cs="Times New Roman"/>
                      <w:kern w:val="0"/>
                      <w:szCs w:val="21"/>
                      <w:u w:val="single"/>
                    </w:rPr>
                    <w:t>983950</w:t>
                  </w:r>
                </w:p>
              </w:tc>
              <w:tc>
                <w:tcPr>
                  <w:tcW w:w="1295" w:type="pct"/>
                  <w:gridSpan w:val="2"/>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ascii="Times New Roman" w:hAnsi="Times New Roman" w:eastAsia="宋体" w:cs="Times New Roman"/>
                      <w:kern w:val="0"/>
                      <w:szCs w:val="21"/>
                      <w:u w:val="single"/>
                    </w:rPr>
                    <w:t>/</w:t>
                  </w:r>
                </w:p>
              </w:tc>
              <w:tc>
                <w:tcPr>
                  <w:tcW w:w="682" w:type="pct"/>
                  <w:vMerge w:val="continue"/>
                  <w:tcMar>
                    <w:top w:w="15" w:type="dxa"/>
                    <w:left w:w="15" w:type="dxa"/>
                    <w:right w:w="15" w:type="dxa"/>
                  </w:tcMar>
                  <w:vAlign w:val="center"/>
                </w:tcPr>
                <w:p>
                  <w:pPr>
                    <w:widowControl/>
                    <w:jc w:val="center"/>
                    <w:rPr>
                      <w:rFonts w:ascii="Times New Roman" w:hAnsi="Times New Roman" w:eastAsia="宋体" w:cs="Times New Roman"/>
                      <w:szCs w:val="21"/>
                      <w:highlight w:val="yellow"/>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90" w:type="pct"/>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hint="eastAsia" w:ascii="Times New Roman" w:hAnsi="Times New Roman" w:eastAsia="宋体" w:cs="Times New Roman"/>
                      <w:szCs w:val="21"/>
                      <w:u w:val="single"/>
                    </w:rPr>
                    <w:t>周边渠道清淤</w:t>
                  </w:r>
                </w:p>
              </w:tc>
              <w:tc>
                <w:tcPr>
                  <w:tcW w:w="577"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2</w:t>
                  </w:r>
                  <w:r>
                    <w:rPr>
                      <w:rFonts w:ascii="Times New Roman" w:hAnsi="Times New Roman" w:eastAsia="宋体" w:cs="Times New Roman"/>
                      <w:kern w:val="0"/>
                      <w:szCs w:val="21"/>
                      <w:u w:val="single"/>
                    </w:rPr>
                    <w:t>3526</w:t>
                  </w:r>
                </w:p>
              </w:tc>
              <w:tc>
                <w:tcPr>
                  <w:tcW w:w="776"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1</w:t>
                  </w:r>
                  <w:r>
                    <w:rPr>
                      <w:rFonts w:ascii="Times New Roman" w:hAnsi="Times New Roman" w:eastAsia="宋体" w:cs="Times New Roman"/>
                      <w:kern w:val="0"/>
                      <w:szCs w:val="21"/>
                      <w:u w:val="single"/>
                    </w:rPr>
                    <w:t>7650</w:t>
                  </w:r>
                </w:p>
              </w:tc>
              <w:tc>
                <w:tcPr>
                  <w:tcW w:w="780"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5</w:t>
                  </w:r>
                  <w:r>
                    <w:rPr>
                      <w:rFonts w:ascii="Times New Roman" w:hAnsi="Times New Roman" w:eastAsia="宋体" w:cs="Times New Roman"/>
                      <w:kern w:val="0"/>
                      <w:szCs w:val="21"/>
                      <w:u w:val="single"/>
                    </w:rPr>
                    <w:t>876</w:t>
                  </w:r>
                </w:p>
              </w:tc>
              <w:tc>
                <w:tcPr>
                  <w:tcW w:w="1295" w:type="pct"/>
                  <w:gridSpan w:val="2"/>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w:t>
                  </w:r>
                </w:p>
              </w:tc>
              <w:tc>
                <w:tcPr>
                  <w:tcW w:w="682" w:type="pct"/>
                  <w:vMerge w:val="continue"/>
                  <w:tcMar>
                    <w:top w:w="15" w:type="dxa"/>
                    <w:left w:w="15" w:type="dxa"/>
                    <w:right w:w="15" w:type="dxa"/>
                  </w:tcMar>
                  <w:vAlign w:val="center"/>
                </w:tcPr>
                <w:p>
                  <w:pPr>
                    <w:widowControl/>
                    <w:jc w:val="center"/>
                    <w:rPr>
                      <w:rFonts w:ascii="Times New Roman" w:hAnsi="Times New Roman" w:eastAsia="宋体" w:cs="Times New Roman"/>
                      <w:szCs w:val="21"/>
                      <w:highlight w:val="yellow"/>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90"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ascii="Times New Roman" w:hAnsi="Times New Roman" w:eastAsia="宋体" w:cs="Times New Roman"/>
                      <w:kern w:val="0"/>
                      <w:szCs w:val="21"/>
                      <w:u w:val="single"/>
                    </w:rPr>
                    <w:t>泵站改造工程</w:t>
                  </w:r>
                </w:p>
              </w:tc>
              <w:tc>
                <w:tcPr>
                  <w:tcW w:w="577"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7</w:t>
                  </w:r>
                  <w:r>
                    <w:rPr>
                      <w:rFonts w:ascii="Times New Roman" w:hAnsi="Times New Roman" w:eastAsia="宋体" w:cs="Times New Roman"/>
                      <w:kern w:val="0"/>
                      <w:szCs w:val="21"/>
                      <w:u w:val="single"/>
                    </w:rPr>
                    <w:t>80</w:t>
                  </w:r>
                </w:p>
              </w:tc>
              <w:tc>
                <w:tcPr>
                  <w:tcW w:w="776"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3</w:t>
                  </w:r>
                  <w:r>
                    <w:rPr>
                      <w:rFonts w:ascii="Times New Roman" w:hAnsi="Times New Roman" w:eastAsia="宋体" w:cs="Times New Roman"/>
                      <w:kern w:val="0"/>
                      <w:szCs w:val="21"/>
                      <w:u w:val="single"/>
                    </w:rPr>
                    <w:t>35</w:t>
                  </w:r>
                </w:p>
              </w:tc>
              <w:tc>
                <w:tcPr>
                  <w:tcW w:w="780"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4</w:t>
                  </w:r>
                  <w:r>
                    <w:rPr>
                      <w:rFonts w:ascii="Times New Roman" w:hAnsi="Times New Roman" w:eastAsia="宋体" w:cs="Times New Roman"/>
                      <w:kern w:val="0"/>
                      <w:szCs w:val="21"/>
                      <w:u w:val="single"/>
                    </w:rPr>
                    <w:t>45</w:t>
                  </w:r>
                </w:p>
              </w:tc>
              <w:tc>
                <w:tcPr>
                  <w:tcW w:w="647"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7</w:t>
                  </w:r>
                  <w:r>
                    <w:rPr>
                      <w:rFonts w:ascii="Times New Roman" w:hAnsi="Times New Roman" w:eastAsia="宋体" w:cs="Times New Roman"/>
                      <w:kern w:val="0"/>
                      <w:szCs w:val="21"/>
                      <w:u w:val="single"/>
                    </w:rPr>
                    <w:t>80</w:t>
                  </w:r>
                </w:p>
              </w:tc>
              <w:tc>
                <w:tcPr>
                  <w:tcW w:w="648"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3</w:t>
                  </w:r>
                  <w:r>
                    <w:rPr>
                      <w:rFonts w:ascii="Times New Roman" w:hAnsi="Times New Roman" w:eastAsia="宋体" w:cs="Times New Roman"/>
                      <w:kern w:val="0"/>
                      <w:szCs w:val="21"/>
                      <w:u w:val="single"/>
                    </w:rPr>
                    <w:t>35</w:t>
                  </w:r>
                </w:p>
              </w:tc>
              <w:tc>
                <w:tcPr>
                  <w:tcW w:w="682" w:type="pct"/>
                  <w:vMerge w:val="continue"/>
                  <w:tcMar>
                    <w:top w:w="15" w:type="dxa"/>
                    <w:left w:w="15" w:type="dxa"/>
                    <w:right w:w="15" w:type="dxa"/>
                  </w:tcMar>
                  <w:vAlign w:val="center"/>
                </w:tcPr>
                <w:p>
                  <w:pPr>
                    <w:widowControl/>
                    <w:jc w:val="center"/>
                    <w:rPr>
                      <w:rFonts w:ascii="Times New Roman" w:hAnsi="Times New Roman" w:eastAsia="宋体" w:cs="Times New Roman"/>
                      <w:szCs w:val="21"/>
                      <w:highlight w:val="yellow"/>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90" w:type="pct"/>
                  <w:tcMar>
                    <w:top w:w="15" w:type="dxa"/>
                    <w:left w:w="15" w:type="dxa"/>
                    <w:right w:w="15" w:type="dxa"/>
                  </w:tcMar>
                  <w:vAlign w:val="center"/>
                </w:tcPr>
                <w:p>
                  <w:pPr>
                    <w:widowControl/>
                    <w:jc w:val="center"/>
                    <w:textAlignment w:val="center"/>
                    <w:rPr>
                      <w:rFonts w:ascii="Times New Roman" w:hAnsi="Times New Roman" w:eastAsia="宋体" w:cs="Times New Roman"/>
                      <w:szCs w:val="21"/>
                      <w:u w:val="single"/>
                    </w:rPr>
                  </w:pPr>
                  <w:r>
                    <w:rPr>
                      <w:rFonts w:ascii="Times New Roman" w:hAnsi="Times New Roman" w:eastAsia="宋体" w:cs="Times New Roman"/>
                      <w:kern w:val="0"/>
                      <w:szCs w:val="21"/>
                      <w:u w:val="single"/>
                    </w:rPr>
                    <w:t>合计</w:t>
                  </w:r>
                </w:p>
              </w:tc>
              <w:tc>
                <w:tcPr>
                  <w:tcW w:w="577"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ascii="Times New Roman" w:hAnsi="Times New Roman" w:cs="Times New Roman"/>
                      <w:color w:val="000000"/>
                      <w:szCs w:val="21"/>
                    </w:rPr>
                    <w:t>3165306</w:t>
                  </w:r>
                </w:p>
              </w:tc>
              <w:tc>
                <w:tcPr>
                  <w:tcW w:w="776"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ascii="Times New Roman" w:hAnsi="Times New Roman" w:cs="Times New Roman"/>
                      <w:color w:val="000000"/>
                      <w:szCs w:val="21"/>
                    </w:rPr>
                    <w:t>175035</w:t>
                  </w:r>
                </w:p>
              </w:tc>
              <w:tc>
                <w:tcPr>
                  <w:tcW w:w="780"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ascii="Times New Roman" w:hAnsi="Times New Roman" w:cs="Times New Roman"/>
                      <w:color w:val="000000"/>
                      <w:szCs w:val="21"/>
                    </w:rPr>
                    <w:t>2990271</w:t>
                  </w:r>
                </w:p>
              </w:tc>
              <w:tc>
                <w:tcPr>
                  <w:tcW w:w="647"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7</w:t>
                  </w:r>
                  <w:r>
                    <w:rPr>
                      <w:rFonts w:ascii="Times New Roman" w:hAnsi="Times New Roman" w:eastAsia="宋体" w:cs="Times New Roman"/>
                      <w:kern w:val="0"/>
                      <w:szCs w:val="21"/>
                      <w:u w:val="single"/>
                    </w:rPr>
                    <w:t>80</w:t>
                  </w:r>
                </w:p>
              </w:tc>
              <w:tc>
                <w:tcPr>
                  <w:tcW w:w="648" w:type="pct"/>
                  <w:tcMar>
                    <w:top w:w="15" w:type="dxa"/>
                    <w:left w:w="15" w:type="dxa"/>
                    <w:right w:w="15" w:type="dxa"/>
                  </w:tcMar>
                  <w:vAlign w:val="center"/>
                </w:tcPr>
                <w:p>
                  <w:pPr>
                    <w:widowControl/>
                    <w:jc w:val="center"/>
                    <w:textAlignment w:val="center"/>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3</w:t>
                  </w:r>
                  <w:r>
                    <w:rPr>
                      <w:rFonts w:ascii="Times New Roman" w:hAnsi="Times New Roman" w:eastAsia="宋体" w:cs="Times New Roman"/>
                      <w:kern w:val="0"/>
                      <w:szCs w:val="21"/>
                      <w:u w:val="single"/>
                    </w:rPr>
                    <w:t>35</w:t>
                  </w:r>
                </w:p>
              </w:tc>
              <w:tc>
                <w:tcPr>
                  <w:tcW w:w="682" w:type="pct"/>
                  <w:vMerge w:val="continue"/>
                  <w:tcMar>
                    <w:top w:w="15" w:type="dxa"/>
                    <w:left w:w="15" w:type="dxa"/>
                    <w:right w:w="15" w:type="dxa"/>
                  </w:tcMar>
                  <w:vAlign w:val="center"/>
                </w:tcPr>
                <w:p>
                  <w:pPr>
                    <w:widowControl/>
                    <w:jc w:val="center"/>
                    <w:rPr>
                      <w:rFonts w:ascii="Times New Roman" w:hAnsi="Times New Roman" w:eastAsia="宋体" w:cs="Times New Roman"/>
                      <w:szCs w:val="21"/>
                      <w:u w:val="single"/>
                    </w:rPr>
                  </w:pPr>
                </w:p>
              </w:tc>
            </w:tr>
          </w:tbl>
          <w:p>
            <w:pPr>
              <w:pStyle w:val="34"/>
              <w:ind w:firstLine="482"/>
              <w:rPr>
                <w:b/>
                <w:bCs/>
                <w:u w:val="single"/>
              </w:rPr>
            </w:pPr>
            <w:r>
              <w:rPr>
                <w:rFonts w:hint="eastAsia"/>
                <w:b/>
                <w:bCs/>
                <w:u w:val="single"/>
              </w:rPr>
              <w:t>2、弃渣场设计</w:t>
            </w:r>
          </w:p>
          <w:p>
            <w:pPr>
              <w:spacing w:line="360" w:lineRule="auto"/>
              <w:ind w:firstLine="480" w:firstLineChars="200"/>
              <w:rPr>
                <w:rFonts w:ascii="Times New Roman" w:hAnsi="Times New Roman"/>
                <w:b/>
                <w:sz w:val="24"/>
                <w:u w:val="single"/>
              </w:rPr>
            </w:pPr>
            <w:r>
              <w:rPr>
                <w:rFonts w:hint="eastAsia" w:ascii="Times New Roman" w:hAnsi="Times New Roman" w:eastAsia="宋体" w:cs="Times New Roman"/>
                <w:sz w:val="24"/>
                <w:szCs w:val="24"/>
                <w:u w:val="single"/>
              </w:rPr>
              <w:t>余方全部利用到其他建设项目用作其建筑材料来源，本工程不设置弃渣场。</w:t>
            </w:r>
          </w:p>
          <w:p>
            <w:pPr>
              <w:pStyle w:val="34"/>
              <w:ind w:firstLine="482"/>
              <w:rPr>
                <w:b/>
                <w:bCs/>
              </w:rPr>
            </w:pPr>
            <w:r>
              <w:rPr>
                <w:rFonts w:hint="eastAsia"/>
                <w:b/>
                <w:bCs/>
              </w:rPr>
              <w:t>3、</w:t>
            </w:r>
            <w:r>
              <w:rPr>
                <w:b/>
                <w:bCs/>
              </w:rPr>
              <w:t>临时堆场位置</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本项目存在施工量较大，弃渣量较大，施工期长等特点，结合对项目建设区周边实地调查及业主建议，</w:t>
            </w:r>
            <w:r>
              <w:rPr>
                <w:rFonts w:hint="eastAsia" w:ascii="Times New Roman" w:hAnsi="Times New Roman" w:eastAsia="宋体" w:cs="Times New Roman"/>
                <w:sz w:val="24"/>
                <w:szCs w:val="24"/>
                <w:u w:val="single"/>
              </w:rPr>
              <w:t>本次工程设置1处临时堆场，位于鼻湖西侧，占地面积2</w:t>
            </w:r>
            <w:r>
              <w:rPr>
                <w:rFonts w:ascii="Times New Roman" w:hAnsi="Times New Roman" w:eastAsia="宋体" w:cs="Times New Roman"/>
                <w:sz w:val="24"/>
                <w:szCs w:val="24"/>
                <w:u w:val="single"/>
              </w:rPr>
              <w:t>000</w:t>
            </w:r>
            <w:r>
              <w:rPr>
                <w:rFonts w:hint="eastAsia" w:ascii="Times New Roman" w:hAnsi="Times New Roman" w:eastAsia="宋体" w:cs="Times New Roman"/>
                <w:sz w:val="24"/>
                <w:szCs w:val="24"/>
                <w:u w:val="single"/>
              </w:rPr>
              <w:t>m</w:t>
            </w:r>
            <w:r>
              <w:rPr>
                <w:rFonts w:ascii="Times New Roman" w:hAnsi="Times New Roman" w:eastAsia="宋体" w:cs="Times New Roman"/>
                <w:sz w:val="24"/>
                <w:szCs w:val="24"/>
                <w:u w:val="single"/>
                <w:vertAlign w:val="superscript"/>
              </w:rPr>
              <w:t>2</w:t>
            </w:r>
            <w:r>
              <w:rPr>
                <w:rFonts w:ascii="Times New Roman" w:hAnsi="Times New Roman" w:eastAsia="宋体" w:cs="Times New Roman"/>
                <w:sz w:val="24"/>
                <w:szCs w:val="24"/>
                <w:u w:val="single"/>
              </w:rPr>
              <w:t>。</w:t>
            </w:r>
          </w:p>
          <w:p>
            <w:pPr>
              <w:pStyle w:val="34"/>
              <w:ind w:firstLine="480"/>
            </w:pPr>
            <w:r>
              <w:rPr>
                <w:u w:val="single"/>
              </w:rPr>
              <w:t>临时堆场</w:t>
            </w:r>
            <w:r>
              <w:rPr>
                <w:rFonts w:hint="eastAsia"/>
                <w:u w:val="single"/>
              </w:rPr>
              <w:t>中的清淤料经加工处理后可作为建筑材料另行利用，利用方案由当地政府另行设计，本环评不包括清淤料后续利用方案的评价。</w:t>
            </w:r>
          </w:p>
        </w:tc>
      </w:tr>
    </w:tbl>
    <w:p>
      <w:pPr>
        <w:pStyle w:val="34"/>
        <w:ind w:firstLine="0" w:firstLineChars="0"/>
        <w:sectPr>
          <w:pgSz w:w="11906" w:h="16838"/>
          <w:pgMar w:top="1440" w:right="1800" w:bottom="1440" w:left="1800" w:header="851" w:footer="992" w:gutter="0"/>
          <w:cols w:space="425" w:num="1"/>
          <w:docGrid w:type="lines" w:linePitch="312" w:charSpace="0"/>
        </w:sectPr>
      </w:pPr>
    </w:p>
    <w:p>
      <w:pPr>
        <w:pStyle w:val="36"/>
        <w:rPr>
          <w:snapToGrid w:val="0"/>
        </w:rPr>
      </w:pPr>
      <w:bookmarkStart w:id="5" w:name="_Toc149605111"/>
      <w:r>
        <w:rPr>
          <w:rFonts w:hint="eastAsia"/>
        </w:rPr>
        <w:t>三、</w:t>
      </w:r>
      <w:r>
        <w:rPr>
          <w:rFonts w:hint="eastAsia"/>
          <w:snapToGrid w:val="0"/>
        </w:rPr>
        <w:t>生态环境现状、保护目标及评价标准</w:t>
      </w:r>
      <w:bookmarkEnd w:id="5"/>
    </w:p>
    <w:tbl>
      <w:tblPr>
        <w:tblStyle w:val="27"/>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8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2" w:hRule="atLeast"/>
          <w:jc w:val="center"/>
        </w:trPr>
        <w:tc>
          <w:tcPr>
            <w:tcW w:w="831" w:type="dxa"/>
            <w:vAlign w:val="center"/>
          </w:tcPr>
          <w:p>
            <w:pPr>
              <w:pStyle w:val="41"/>
            </w:pPr>
            <w:r>
              <w:rPr>
                <w:rFonts w:hint="eastAsia"/>
              </w:rPr>
              <w:t>生态环境现状</w:t>
            </w:r>
          </w:p>
        </w:tc>
        <w:tc>
          <w:tcPr>
            <w:tcW w:w="8326" w:type="dxa"/>
            <w:vAlign w:val="center"/>
          </w:tcPr>
          <w:p>
            <w:pPr>
              <w:pStyle w:val="34"/>
              <w:ind w:firstLine="480"/>
              <w:rPr>
                <w:u w:val="single"/>
              </w:rPr>
            </w:pPr>
            <w:r>
              <w:rPr>
                <w:rFonts w:hint="eastAsia"/>
                <w:u w:val="single"/>
              </w:rPr>
              <w:t>1、生态环境现状</w:t>
            </w:r>
          </w:p>
          <w:p>
            <w:pPr>
              <w:spacing w:line="360" w:lineRule="auto"/>
              <w:ind w:firstLine="480" w:firstLineChars="200"/>
              <w:rPr>
                <w:rFonts w:ascii="Times New Roman" w:hAnsi="Times New Roman" w:eastAsia="宋体" w:cs="Times New Roman"/>
                <w:position w:val="1"/>
                <w:sz w:val="24"/>
                <w:szCs w:val="24"/>
                <w:u w:val="single"/>
              </w:rPr>
            </w:pPr>
            <w:r>
              <w:rPr>
                <w:rFonts w:hint="eastAsia" w:ascii="Times New Roman" w:hAnsi="Times New Roman" w:eastAsia="宋体" w:cs="Times New Roman"/>
                <w:position w:val="1"/>
                <w:sz w:val="24"/>
                <w:szCs w:val="24"/>
                <w:u w:val="single"/>
              </w:rPr>
              <w:t>根据《湖南省主体功能区划》，湘阴县不属于重点生态功能区，湘阴县属于国家级农产品主产区，区域功能定位为以提供农产品为主，保障农产品供给安全，发展现代农业的重要区域，重要的商品粮生产基地、绿色食品生产基地、畜牧业生产基地和农产品深加工区，农村居民安居乐业的美好家园，社会主义新农村建设的示范区。</w:t>
            </w:r>
          </w:p>
          <w:p>
            <w:pPr>
              <w:pStyle w:val="34"/>
              <w:ind w:firstLine="480"/>
              <w:rPr>
                <w:u w:val="single"/>
              </w:rPr>
            </w:pPr>
            <w:r>
              <w:rPr>
                <w:rFonts w:hint="eastAsia"/>
                <w:position w:val="1"/>
                <w:u w:val="single"/>
              </w:rPr>
              <w:t>本项目周边分布大量农田，本项目涉及的鼻湖属于周边农田的主要灌溉水源。本项目为清淤疏浚及生态修复项目，不涉及永久占地，临时占地类型为水域（工程实施区域）、林地（淤泥干化场临时占地）。</w:t>
            </w:r>
          </w:p>
          <w:p>
            <w:pPr>
              <w:spacing w:line="360" w:lineRule="auto"/>
              <w:rPr>
                <w:rFonts w:ascii="Times New Roman" w:hAnsi="Times New Roman"/>
                <w:b/>
                <w:bCs/>
                <w:sz w:val="24"/>
                <w:u w:val="single"/>
              </w:rPr>
            </w:pPr>
            <w:r>
              <w:rPr>
                <w:rFonts w:hint="eastAsia" w:ascii="Times New Roman" w:hAnsi="Times New Roman" w:cs="Times New Roman"/>
                <w:b/>
                <w:bCs/>
                <w:sz w:val="24"/>
                <w:szCs w:val="24"/>
                <w:u w:val="single"/>
              </w:rPr>
              <w:t>1.1、生态系统现状调查</w:t>
            </w:r>
          </w:p>
          <w:p>
            <w:pPr>
              <w:spacing w:line="360" w:lineRule="auto"/>
              <w:rPr>
                <w:rFonts w:ascii="Times New Roman" w:hAnsi="Times New Roman"/>
                <w:b/>
                <w:bCs/>
                <w:sz w:val="24"/>
                <w:u w:val="single"/>
              </w:rPr>
            </w:pPr>
            <w:r>
              <w:rPr>
                <w:rFonts w:hint="eastAsia" w:ascii="Times New Roman" w:hAnsi="Times New Roman" w:cs="Times New Roman"/>
                <w:b/>
                <w:bCs/>
                <w:sz w:val="24"/>
                <w:szCs w:val="24"/>
                <w:u w:val="single"/>
              </w:rPr>
              <w:t>1.1.1、</w:t>
            </w:r>
            <w:r>
              <w:rPr>
                <w:rFonts w:ascii="Times New Roman" w:hAnsi="Times New Roman" w:cs="Times New Roman"/>
                <w:b/>
                <w:bCs/>
                <w:sz w:val="24"/>
                <w:szCs w:val="24"/>
                <w:u w:val="single"/>
              </w:rPr>
              <w:t>森林生态系统</w:t>
            </w:r>
          </w:p>
          <w:p>
            <w:pPr>
              <w:spacing w:line="360" w:lineRule="auto"/>
              <w:ind w:firstLine="552" w:firstLineChars="200"/>
              <w:rPr>
                <w:rFonts w:ascii="Times New Roman" w:hAnsi="Times New Roman" w:eastAsia="宋体" w:cs="Times New Roman"/>
                <w:position w:val="1"/>
                <w:sz w:val="24"/>
                <w:szCs w:val="24"/>
                <w:u w:val="single"/>
              </w:rPr>
            </w:pPr>
            <w:r>
              <w:rPr>
                <w:rFonts w:ascii="Times New Roman" w:hAnsi="Times New Roman" w:eastAsia="宋体" w:cs="Times New Roman"/>
                <w:spacing w:val="18"/>
                <w:sz w:val="24"/>
                <w:szCs w:val="24"/>
                <w:u w:val="single"/>
              </w:rPr>
              <w:t>评</w:t>
            </w:r>
            <w:r>
              <w:rPr>
                <w:rFonts w:ascii="Times New Roman" w:hAnsi="Times New Roman" w:eastAsia="宋体" w:cs="Times New Roman"/>
                <w:spacing w:val="15"/>
                <w:sz w:val="24"/>
                <w:szCs w:val="24"/>
                <w:u w:val="single"/>
              </w:rPr>
              <w:t>价</w:t>
            </w:r>
            <w:r>
              <w:rPr>
                <w:rFonts w:ascii="Times New Roman" w:hAnsi="Times New Roman" w:eastAsia="宋体" w:cs="Times New Roman"/>
                <w:spacing w:val="9"/>
                <w:sz w:val="24"/>
                <w:szCs w:val="24"/>
                <w:u w:val="single"/>
              </w:rPr>
              <w:t>区森林生态系统主要集中在村落附近，根据现场踏勘结合遥感图片解译，</w:t>
            </w:r>
            <w:r>
              <w:rPr>
                <w:rFonts w:ascii="Times New Roman" w:hAnsi="Times New Roman" w:eastAsia="宋体" w:cs="Times New Roman"/>
                <w:spacing w:val="1"/>
                <w:position w:val="1"/>
                <w:sz w:val="24"/>
                <w:szCs w:val="24"/>
                <w:u w:val="single"/>
              </w:rPr>
              <w:t>评价区森林生态系统面</w:t>
            </w:r>
            <w:r>
              <w:rPr>
                <w:rFonts w:ascii="Times New Roman" w:hAnsi="Times New Roman" w:eastAsia="宋体" w:cs="Times New Roman"/>
                <w:position w:val="1"/>
                <w:sz w:val="24"/>
                <w:szCs w:val="24"/>
                <w:u w:val="single"/>
              </w:rPr>
              <w:t>积为267.45hm</w:t>
            </w:r>
            <w:r>
              <w:rPr>
                <w:rFonts w:hint="eastAsia" w:ascii="Times New Roman" w:hAnsi="Times New Roman" w:eastAsia="宋体" w:cs="Times New Roman"/>
                <w:position w:val="1"/>
                <w:sz w:val="24"/>
                <w:szCs w:val="24"/>
                <w:u w:val="single"/>
                <w:vertAlign w:val="superscript"/>
              </w:rPr>
              <w:t>2</w:t>
            </w:r>
            <w:r>
              <w:rPr>
                <w:rFonts w:ascii="Times New Roman" w:hAnsi="Times New Roman" w:eastAsia="宋体" w:cs="Times New Roman"/>
                <w:position w:val="1"/>
                <w:sz w:val="24"/>
                <w:szCs w:val="24"/>
                <w:u w:val="single"/>
              </w:rPr>
              <w:t>，占评价区总面积的 8.25%。</w:t>
            </w:r>
          </w:p>
          <w:p>
            <w:pPr>
              <w:spacing w:line="360" w:lineRule="auto"/>
              <w:ind w:firstLine="520" w:firstLineChars="200"/>
              <w:rPr>
                <w:rFonts w:ascii="Times New Roman" w:hAnsi="Times New Roman" w:eastAsia="宋体" w:cs="Times New Roman"/>
                <w:spacing w:val="8"/>
                <w:position w:val="2"/>
                <w:sz w:val="24"/>
                <w:szCs w:val="24"/>
                <w:u w:val="single"/>
              </w:rPr>
            </w:pPr>
            <w:r>
              <w:rPr>
                <w:rFonts w:hint="eastAsia" w:ascii="Times New Roman" w:hAnsi="Times New Roman" w:eastAsia="宋体" w:cs="Times New Roman"/>
                <w:spacing w:val="10"/>
                <w:position w:val="2"/>
                <w:sz w:val="24"/>
                <w:szCs w:val="24"/>
                <w:u w:val="single"/>
              </w:rPr>
              <w:t>一</w:t>
            </w:r>
            <w:r>
              <w:rPr>
                <w:rFonts w:ascii="Times New Roman" w:hAnsi="Times New Roman" w:eastAsia="宋体" w:cs="Times New Roman"/>
                <w:spacing w:val="8"/>
                <w:position w:val="2"/>
                <w:sz w:val="24"/>
                <w:szCs w:val="24"/>
                <w:u w:val="single"/>
              </w:rPr>
              <w:t>、生态系统结构</w:t>
            </w:r>
          </w:p>
          <w:p>
            <w:pPr>
              <w:spacing w:line="360" w:lineRule="auto"/>
              <w:ind w:firstLine="512" w:firstLineChars="200"/>
              <w:rPr>
                <w:rFonts w:ascii="Times New Roman" w:hAnsi="Times New Roman" w:eastAsia="宋体" w:cs="Times New Roman"/>
                <w:spacing w:val="8"/>
                <w:position w:val="2"/>
                <w:sz w:val="24"/>
                <w:szCs w:val="24"/>
                <w:u w:val="single"/>
              </w:rPr>
            </w:pPr>
            <w:r>
              <w:rPr>
                <w:rFonts w:hint="eastAsia" w:ascii="Times New Roman" w:hAnsi="Times New Roman" w:eastAsia="宋体" w:cs="Times New Roman"/>
                <w:spacing w:val="8"/>
                <w:position w:val="2"/>
                <w:sz w:val="24"/>
                <w:szCs w:val="24"/>
                <w:u w:val="single"/>
              </w:rPr>
              <w:t>（1）生态系统类型</w:t>
            </w:r>
          </w:p>
          <w:p>
            <w:pPr>
              <w:spacing w:line="360" w:lineRule="auto"/>
              <w:ind w:firstLine="512" w:firstLineChars="200"/>
              <w:rPr>
                <w:rFonts w:ascii="Times New Roman" w:hAnsi="Times New Roman"/>
                <w:sz w:val="24"/>
                <w:u w:val="single"/>
              </w:rPr>
            </w:pPr>
            <w:r>
              <w:rPr>
                <w:rFonts w:hint="eastAsia" w:ascii="Times New Roman" w:hAnsi="Times New Roman" w:eastAsia="宋体" w:cs="Times New Roman"/>
                <w:spacing w:val="8"/>
                <w:position w:val="2"/>
                <w:sz w:val="24"/>
                <w:szCs w:val="24"/>
                <w:u w:val="single"/>
              </w:rPr>
              <w:t>本项目实施区域生态系统类型为湿地类型，主要以湿地植被及湿地动物为主。项目周边区域生态系统类型以农田生态系统类型为主。</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w:t>
            </w:r>
            <w:r>
              <w:rPr>
                <w:rFonts w:ascii="Times New Roman" w:hAnsi="Times New Roman" w:eastAsia="宋体" w:cs="Times New Roman"/>
                <w:spacing w:val="20"/>
                <w:sz w:val="24"/>
                <w:szCs w:val="24"/>
                <w:u w:val="single"/>
              </w:rPr>
              <w:t>2</w:t>
            </w:r>
            <w:r>
              <w:rPr>
                <w:rFonts w:hint="eastAsia" w:ascii="Times New Roman" w:hAnsi="Times New Roman" w:eastAsia="宋体" w:cs="Times New Roman"/>
                <w:spacing w:val="20"/>
                <w:sz w:val="24"/>
                <w:szCs w:val="24"/>
                <w:u w:val="single"/>
              </w:rPr>
              <w:t>）</w:t>
            </w:r>
            <w:r>
              <w:rPr>
                <w:rFonts w:ascii="Times New Roman" w:hAnsi="Times New Roman" w:eastAsia="宋体" w:cs="Times New Roman"/>
                <w:spacing w:val="20"/>
                <w:sz w:val="24"/>
                <w:szCs w:val="24"/>
                <w:u w:val="single"/>
              </w:rPr>
              <w:t>植被</w:t>
            </w:r>
            <w:r>
              <w:rPr>
                <w:rFonts w:hint="eastAsia" w:ascii="Times New Roman" w:hAnsi="Times New Roman" w:eastAsia="宋体" w:cs="Times New Roman"/>
                <w:spacing w:val="20"/>
                <w:sz w:val="24"/>
                <w:szCs w:val="24"/>
                <w:u w:val="single"/>
              </w:rPr>
              <w:t>类型</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sz w:val="24"/>
                <w:szCs w:val="24"/>
                <w:u w:val="single"/>
              </w:rPr>
              <w:t>评</w:t>
            </w:r>
            <w:r>
              <w:rPr>
                <w:rFonts w:ascii="Times New Roman" w:hAnsi="Times New Roman" w:eastAsia="宋体" w:cs="Times New Roman"/>
                <w:spacing w:val="6"/>
                <w:sz w:val="24"/>
                <w:szCs w:val="24"/>
                <w:u w:val="single"/>
              </w:rPr>
              <w:t>价</w:t>
            </w:r>
            <w:r>
              <w:rPr>
                <w:rFonts w:ascii="Times New Roman" w:hAnsi="Times New Roman" w:eastAsia="宋体" w:cs="Times New Roman"/>
                <w:spacing w:val="5"/>
                <w:sz w:val="24"/>
                <w:szCs w:val="24"/>
                <w:u w:val="single"/>
              </w:rPr>
              <w:t>区森林生态系统由次生植被组成，包括落叶阔叶林、常绿针叶林、竹林等，</w:t>
            </w:r>
            <w:r>
              <w:rPr>
                <w:rFonts w:ascii="Times New Roman" w:hAnsi="Times New Roman" w:eastAsia="宋体" w:cs="Times New Roman"/>
                <w:spacing w:val="3"/>
                <w:sz w:val="24"/>
                <w:szCs w:val="24"/>
                <w:u w:val="single"/>
              </w:rPr>
              <w:t>主要群系有楝林</w:t>
            </w:r>
            <w:r>
              <w:rPr>
                <w:rFonts w:hint="eastAsia" w:ascii="Times New Roman" w:hAnsi="Times New Roman" w:eastAsia="宋体" w:cs="Times New Roman"/>
                <w:spacing w:val="3"/>
                <w:sz w:val="24"/>
                <w:szCs w:val="24"/>
                <w:u w:val="single"/>
              </w:rPr>
              <w:t>（</w:t>
            </w:r>
            <w:r>
              <w:rPr>
                <w:rFonts w:ascii="Times New Roman" w:hAnsi="Times New Roman" w:eastAsia="宋体" w:cs="Times New Roman"/>
                <w:sz w:val="24"/>
                <w:szCs w:val="24"/>
                <w:u w:val="single"/>
              </w:rPr>
              <w:t>From</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i/>
                <w:iCs/>
                <w:sz w:val="24"/>
                <w:szCs w:val="24"/>
                <w:u w:val="single"/>
              </w:rPr>
              <w:t>Melia</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i/>
                <w:iCs/>
                <w:sz w:val="24"/>
                <w:szCs w:val="24"/>
                <w:u w:val="single"/>
              </w:rPr>
              <w:t>azedarach</w:t>
            </w:r>
            <w:r>
              <w:rPr>
                <w:rFonts w:ascii="Times New Roman" w:hAnsi="Times New Roman" w:eastAsia="宋体" w:cs="Times New Roman"/>
                <w:spacing w:val="3"/>
                <w:sz w:val="24"/>
                <w:szCs w:val="24"/>
                <w:u w:val="single"/>
              </w:rPr>
              <w:t>)、樟林</w:t>
            </w:r>
            <w:r>
              <w:rPr>
                <w:rFonts w:hint="eastAsia" w:ascii="Times New Roman" w:hAnsi="Times New Roman" w:eastAsia="宋体" w:cs="Times New Roman"/>
                <w:spacing w:val="3"/>
                <w:sz w:val="24"/>
                <w:szCs w:val="24"/>
                <w:u w:val="single"/>
              </w:rPr>
              <w:t>（</w:t>
            </w:r>
            <w:r>
              <w:rPr>
                <w:rFonts w:ascii="Times New Roman" w:hAnsi="Times New Roman" w:eastAsia="宋体" w:cs="Times New Roman"/>
                <w:sz w:val="24"/>
                <w:szCs w:val="24"/>
                <w:u w:val="single"/>
              </w:rPr>
              <w:t>From</w:t>
            </w:r>
            <w:r>
              <w:rPr>
                <w:rFonts w:ascii="Times New Roman" w:hAnsi="Times New Roman" w:eastAsia="宋体" w:cs="Times New Roman"/>
                <w:spacing w:val="3"/>
                <w:sz w:val="24"/>
                <w:szCs w:val="24"/>
                <w:u w:val="single"/>
              </w:rPr>
              <w:t>.(</w:t>
            </w:r>
            <w:r>
              <w:rPr>
                <w:rFonts w:ascii="Times New Roman" w:hAnsi="Times New Roman" w:eastAsia="宋体" w:cs="Times New Roman"/>
                <w:sz w:val="24"/>
                <w:szCs w:val="24"/>
                <w:u w:val="single"/>
              </w:rPr>
              <w:t>From</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i/>
                <w:iCs/>
                <w:sz w:val="24"/>
                <w:szCs w:val="24"/>
                <w:u w:val="single"/>
              </w:rPr>
              <w:t>Melia</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i/>
                <w:iCs/>
                <w:sz w:val="24"/>
                <w:szCs w:val="24"/>
                <w:u w:val="single"/>
              </w:rPr>
              <w:t>azedarach</w:t>
            </w:r>
            <w:r>
              <w:rPr>
                <w:rFonts w:ascii="Times New Roman" w:hAnsi="Times New Roman" w:eastAsia="宋体" w:cs="Times New Roman"/>
                <w:spacing w:val="3"/>
                <w:sz w:val="24"/>
                <w:szCs w:val="24"/>
                <w:u w:val="single"/>
              </w:rPr>
              <w:t>))、</w:t>
            </w:r>
            <w:r>
              <w:rPr>
                <w:rFonts w:ascii="Times New Roman" w:hAnsi="Times New Roman" w:eastAsia="宋体" w:cs="Times New Roman"/>
                <w:spacing w:val="13"/>
                <w:sz w:val="24"/>
                <w:szCs w:val="24"/>
                <w:u w:val="single"/>
              </w:rPr>
              <w:t>淡</w:t>
            </w:r>
            <w:r>
              <w:rPr>
                <w:rFonts w:ascii="Times New Roman" w:hAnsi="Times New Roman" w:eastAsia="宋体" w:cs="Times New Roman"/>
                <w:spacing w:val="8"/>
                <w:sz w:val="24"/>
                <w:szCs w:val="24"/>
                <w:u w:val="single"/>
              </w:rPr>
              <w:t>竹林</w:t>
            </w:r>
            <w:r>
              <w:rPr>
                <w:rFonts w:hint="eastAsia" w:ascii="Times New Roman" w:hAnsi="Times New Roman" w:eastAsia="宋体" w:cs="Times New Roman"/>
                <w:spacing w:val="8"/>
                <w:sz w:val="24"/>
                <w:szCs w:val="24"/>
                <w:u w:val="single"/>
              </w:rPr>
              <w:t>（</w:t>
            </w:r>
            <w:r>
              <w:rPr>
                <w:rFonts w:ascii="Times New Roman" w:hAnsi="Times New Roman" w:eastAsia="宋体" w:cs="Times New Roman"/>
                <w:sz w:val="24"/>
                <w:szCs w:val="24"/>
                <w:u w:val="single"/>
              </w:rPr>
              <w:t>From</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Phyllostachys</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glauca</w:t>
            </w:r>
            <w:r>
              <w:rPr>
                <w:rFonts w:hint="eastAsia" w:ascii="Times New Roman" w:hAnsi="Times New Roman" w:eastAsia="宋体" w:cs="Times New Roman"/>
                <w:i/>
                <w:iCs/>
                <w:sz w:val="24"/>
                <w:szCs w:val="24"/>
                <w:u w:val="single"/>
              </w:rPr>
              <w:t>）</w:t>
            </w:r>
            <w:r>
              <w:rPr>
                <w:rFonts w:ascii="Times New Roman" w:hAnsi="Times New Roman" w:eastAsia="宋体" w:cs="Times New Roman"/>
                <w:spacing w:val="8"/>
                <w:sz w:val="24"/>
                <w:szCs w:val="24"/>
                <w:u w:val="single"/>
              </w:rPr>
              <w:t>等，其他常见的组成森林生态系统的植物种类</w:t>
            </w:r>
            <w:r>
              <w:rPr>
                <w:rFonts w:ascii="Times New Roman" w:hAnsi="Times New Roman" w:eastAsia="宋体" w:cs="Times New Roman"/>
                <w:spacing w:val="14"/>
                <w:sz w:val="24"/>
                <w:szCs w:val="24"/>
                <w:u w:val="single"/>
              </w:rPr>
              <w:t>有</w:t>
            </w:r>
            <w:r>
              <w:rPr>
                <w:rFonts w:ascii="Times New Roman" w:hAnsi="Times New Roman" w:eastAsia="宋体" w:cs="Times New Roman"/>
                <w:spacing w:val="7"/>
                <w:sz w:val="24"/>
                <w:szCs w:val="24"/>
                <w:u w:val="single"/>
              </w:rPr>
              <w:t>盐肤木</w:t>
            </w:r>
            <w:r>
              <w:rPr>
                <w:rFonts w:hint="eastAsia" w:ascii="Times New Roman" w:hAnsi="Times New Roman" w:eastAsia="宋体" w:cs="Times New Roman"/>
                <w:spacing w:val="7"/>
                <w:sz w:val="24"/>
                <w:szCs w:val="24"/>
                <w:u w:val="single"/>
              </w:rPr>
              <w:t>（</w:t>
            </w:r>
            <w:r>
              <w:rPr>
                <w:rFonts w:ascii="Times New Roman" w:hAnsi="Times New Roman" w:eastAsia="宋体" w:cs="Times New Roman"/>
                <w:i/>
                <w:iCs/>
                <w:sz w:val="24"/>
                <w:szCs w:val="24"/>
                <w:u w:val="single"/>
              </w:rPr>
              <w:t>Rhus</w:t>
            </w:r>
            <w:r>
              <w:rPr>
                <w:rFonts w:ascii="Times New Roman" w:hAnsi="Times New Roman" w:eastAsia="宋体" w:cs="Times New Roman"/>
                <w:spacing w:val="7"/>
                <w:sz w:val="24"/>
                <w:szCs w:val="24"/>
                <w:u w:val="single"/>
              </w:rPr>
              <w:t xml:space="preserve"> </w:t>
            </w:r>
            <w:r>
              <w:rPr>
                <w:rFonts w:ascii="Times New Roman" w:hAnsi="Times New Roman" w:eastAsia="宋体" w:cs="Times New Roman"/>
                <w:i/>
                <w:iCs/>
                <w:sz w:val="24"/>
                <w:szCs w:val="24"/>
                <w:u w:val="single"/>
              </w:rPr>
              <w:t>chinensis</w:t>
            </w:r>
            <w:r>
              <w:rPr>
                <w:rFonts w:ascii="Times New Roman" w:hAnsi="Times New Roman" w:eastAsia="宋体" w:cs="Times New Roman"/>
                <w:spacing w:val="7"/>
                <w:sz w:val="24"/>
                <w:szCs w:val="24"/>
                <w:u w:val="single"/>
              </w:rPr>
              <w:t xml:space="preserve"> )、乌桕</w:t>
            </w:r>
            <w:r>
              <w:rPr>
                <w:rFonts w:hint="eastAsia" w:ascii="Times New Roman" w:hAnsi="Times New Roman" w:eastAsia="宋体" w:cs="Times New Roman"/>
                <w:spacing w:val="7"/>
                <w:sz w:val="24"/>
                <w:szCs w:val="24"/>
                <w:u w:val="single"/>
              </w:rPr>
              <w:t>（</w:t>
            </w:r>
            <w:r>
              <w:rPr>
                <w:rFonts w:ascii="Times New Roman" w:hAnsi="Times New Roman" w:eastAsia="宋体" w:cs="Times New Roman"/>
                <w:i/>
                <w:iCs/>
                <w:sz w:val="24"/>
                <w:szCs w:val="24"/>
                <w:u w:val="single"/>
              </w:rPr>
              <w:t>Sapium</w:t>
            </w:r>
            <w:r>
              <w:rPr>
                <w:rFonts w:ascii="Times New Roman" w:hAnsi="Times New Roman" w:eastAsia="宋体" w:cs="Times New Roman"/>
                <w:spacing w:val="7"/>
                <w:sz w:val="24"/>
                <w:szCs w:val="24"/>
                <w:u w:val="single"/>
              </w:rPr>
              <w:t xml:space="preserve"> </w:t>
            </w:r>
            <w:r>
              <w:rPr>
                <w:rFonts w:ascii="Times New Roman" w:hAnsi="Times New Roman" w:eastAsia="宋体" w:cs="Times New Roman"/>
                <w:i/>
                <w:iCs/>
                <w:sz w:val="24"/>
                <w:szCs w:val="24"/>
                <w:u w:val="single"/>
              </w:rPr>
              <w:t>chihsinianum</w:t>
            </w:r>
            <w:r>
              <w:rPr>
                <w:rFonts w:ascii="Times New Roman" w:hAnsi="Times New Roman" w:eastAsia="宋体" w:cs="Times New Roman"/>
                <w:spacing w:val="7"/>
                <w:sz w:val="24"/>
                <w:szCs w:val="24"/>
                <w:u w:val="single"/>
              </w:rPr>
              <w:t xml:space="preserve"> )、绦柳</w:t>
            </w:r>
            <w:r>
              <w:rPr>
                <w:rFonts w:hint="eastAsia" w:ascii="Times New Roman" w:hAnsi="Times New Roman" w:eastAsia="宋体" w:cs="Times New Roman"/>
                <w:spacing w:val="7"/>
                <w:sz w:val="24"/>
                <w:szCs w:val="24"/>
                <w:u w:val="single"/>
              </w:rPr>
              <w:t>（</w:t>
            </w:r>
            <w:r>
              <w:rPr>
                <w:rFonts w:ascii="Times New Roman" w:hAnsi="Times New Roman" w:eastAsia="宋体" w:cs="Times New Roman"/>
                <w:i/>
                <w:iCs/>
                <w:sz w:val="24"/>
                <w:szCs w:val="24"/>
                <w:u w:val="single"/>
              </w:rPr>
              <w:t>Salix</w:t>
            </w:r>
            <w:r>
              <w:rPr>
                <w:rFonts w:ascii="Times New Roman" w:hAnsi="Times New Roman" w:eastAsia="宋体" w:cs="Times New Roman"/>
                <w:spacing w:val="7"/>
                <w:sz w:val="24"/>
                <w:szCs w:val="24"/>
                <w:u w:val="single"/>
              </w:rPr>
              <w:t xml:space="preserve"> </w:t>
            </w:r>
            <w:r>
              <w:rPr>
                <w:rFonts w:ascii="Times New Roman" w:hAnsi="Times New Roman" w:eastAsia="宋体" w:cs="Times New Roman"/>
                <w:i/>
                <w:iCs/>
                <w:sz w:val="24"/>
                <w:szCs w:val="24"/>
                <w:u w:val="single"/>
              </w:rPr>
              <w:t>matsudana</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var</w:t>
            </w:r>
            <w:r>
              <w:rPr>
                <w:rFonts w:ascii="Times New Roman" w:hAnsi="Times New Roman" w:eastAsia="宋体" w:cs="Times New Roman"/>
                <w:i/>
                <w:iCs/>
                <w:spacing w:val="12"/>
                <w:sz w:val="24"/>
                <w:szCs w:val="24"/>
                <w:u w:val="single"/>
              </w:rPr>
              <w:t>.</w:t>
            </w:r>
            <w:r>
              <w:rPr>
                <w:rFonts w:ascii="Times New Roman" w:hAnsi="Times New Roman" w:eastAsia="宋体" w:cs="Times New Roman"/>
                <w:spacing w:val="9"/>
                <w:sz w:val="24"/>
                <w:szCs w:val="24"/>
                <w:u w:val="single"/>
              </w:rPr>
              <w:t xml:space="preserve"> </w:t>
            </w:r>
            <w:r>
              <w:rPr>
                <w:rFonts w:ascii="Times New Roman" w:hAnsi="Times New Roman" w:eastAsia="宋体" w:cs="Times New Roman"/>
                <w:i/>
                <w:iCs/>
                <w:sz w:val="24"/>
                <w:szCs w:val="24"/>
                <w:u w:val="single"/>
              </w:rPr>
              <w:t>matsudanaf</w:t>
            </w:r>
            <w:r>
              <w:rPr>
                <w:rFonts w:ascii="Times New Roman" w:hAnsi="Times New Roman" w:eastAsia="宋体" w:cs="Times New Roman"/>
                <w:i/>
                <w:iCs/>
                <w:spacing w:val="9"/>
                <w:sz w:val="24"/>
                <w:szCs w:val="24"/>
                <w:u w:val="single"/>
              </w:rPr>
              <w:t>.</w:t>
            </w:r>
            <w:r>
              <w:rPr>
                <w:rFonts w:ascii="Times New Roman" w:hAnsi="Times New Roman" w:eastAsia="宋体" w:cs="Times New Roman"/>
                <w:spacing w:val="9"/>
                <w:sz w:val="24"/>
                <w:szCs w:val="24"/>
                <w:u w:val="single"/>
              </w:rPr>
              <w:t xml:space="preserve"> </w:t>
            </w:r>
            <w:r>
              <w:rPr>
                <w:rFonts w:ascii="Times New Roman" w:hAnsi="Times New Roman" w:eastAsia="宋体" w:cs="Times New Roman"/>
                <w:i/>
                <w:iCs/>
                <w:sz w:val="24"/>
                <w:szCs w:val="24"/>
                <w:u w:val="single"/>
              </w:rPr>
              <w:t>pendula</w:t>
            </w:r>
            <w:r>
              <w:rPr>
                <w:rFonts w:ascii="Times New Roman" w:hAnsi="Times New Roman" w:eastAsia="宋体" w:cs="Times New Roman"/>
                <w:spacing w:val="9"/>
                <w:sz w:val="24"/>
                <w:szCs w:val="24"/>
                <w:u w:val="single"/>
              </w:rPr>
              <w:t xml:space="preserve"> )、毛竹</w:t>
            </w:r>
            <w:r>
              <w:rPr>
                <w:rFonts w:hint="eastAsia" w:ascii="Times New Roman" w:hAnsi="Times New Roman" w:eastAsia="宋体" w:cs="Times New Roman"/>
                <w:spacing w:val="9"/>
                <w:sz w:val="24"/>
                <w:szCs w:val="24"/>
                <w:u w:val="single"/>
              </w:rPr>
              <w:t>（</w:t>
            </w:r>
            <w:r>
              <w:rPr>
                <w:rFonts w:ascii="Times New Roman" w:hAnsi="Times New Roman" w:eastAsia="宋体" w:cs="Times New Roman"/>
                <w:i/>
                <w:iCs/>
                <w:sz w:val="24"/>
                <w:szCs w:val="24"/>
                <w:u w:val="single"/>
              </w:rPr>
              <w:t>Phyllostachys</w:t>
            </w:r>
            <w:r>
              <w:rPr>
                <w:rFonts w:ascii="Times New Roman" w:hAnsi="Times New Roman" w:eastAsia="宋体" w:cs="Times New Roman"/>
                <w:spacing w:val="9"/>
                <w:sz w:val="24"/>
                <w:szCs w:val="24"/>
                <w:u w:val="single"/>
              </w:rPr>
              <w:t xml:space="preserve"> </w:t>
            </w:r>
            <w:r>
              <w:rPr>
                <w:rFonts w:ascii="Times New Roman" w:hAnsi="Times New Roman" w:eastAsia="宋体" w:cs="Times New Roman"/>
                <w:i/>
                <w:iCs/>
                <w:sz w:val="24"/>
                <w:szCs w:val="24"/>
                <w:u w:val="single"/>
              </w:rPr>
              <w:t>h</w:t>
            </w:r>
            <w:r>
              <w:rPr>
                <w:rFonts w:ascii="Times New Roman" w:hAnsi="Times New Roman" w:eastAsia="宋体" w:cs="Times New Roman"/>
                <w:spacing w:val="9"/>
                <w:sz w:val="24"/>
                <w:szCs w:val="24"/>
                <w:u w:val="single"/>
              </w:rPr>
              <w:t xml:space="preserve"> </w:t>
            </w:r>
            <w:r>
              <w:rPr>
                <w:rFonts w:ascii="Times New Roman" w:hAnsi="Times New Roman" w:eastAsia="宋体" w:cs="Times New Roman"/>
                <w:i/>
                <w:iCs/>
                <w:sz w:val="24"/>
                <w:szCs w:val="24"/>
                <w:u w:val="single"/>
              </w:rPr>
              <w:t>edulis</w:t>
            </w:r>
            <w:r>
              <w:rPr>
                <w:rFonts w:ascii="Times New Roman" w:hAnsi="Times New Roman" w:eastAsia="宋体" w:cs="Times New Roman"/>
                <w:spacing w:val="9"/>
                <w:sz w:val="24"/>
                <w:szCs w:val="24"/>
                <w:u w:val="single"/>
              </w:rPr>
              <w:t xml:space="preserve"> </w:t>
            </w:r>
            <w:r>
              <w:rPr>
                <w:rFonts w:hint="eastAsia" w:ascii="Times New Roman" w:hAnsi="Times New Roman" w:eastAsia="宋体" w:cs="Times New Roman"/>
                <w:spacing w:val="9"/>
                <w:sz w:val="24"/>
                <w:szCs w:val="24"/>
                <w:u w:val="single"/>
              </w:rPr>
              <w:t>）</w:t>
            </w:r>
            <w:r>
              <w:rPr>
                <w:rFonts w:ascii="Times New Roman" w:hAnsi="Times New Roman" w:eastAsia="宋体" w:cs="Times New Roman"/>
                <w:spacing w:val="9"/>
                <w:sz w:val="24"/>
                <w:szCs w:val="24"/>
                <w:u w:val="single"/>
              </w:rPr>
              <w:t>等。</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w:t>
            </w:r>
            <w:r>
              <w:rPr>
                <w:rFonts w:ascii="Times New Roman" w:hAnsi="Times New Roman" w:eastAsia="宋体" w:cs="Times New Roman"/>
                <w:spacing w:val="20"/>
                <w:sz w:val="24"/>
                <w:szCs w:val="24"/>
                <w:u w:val="single"/>
              </w:rPr>
              <w:t>3</w:t>
            </w:r>
            <w:r>
              <w:rPr>
                <w:rFonts w:hint="eastAsia" w:ascii="Times New Roman" w:hAnsi="Times New Roman" w:eastAsia="宋体" w:cs="Times New Roman"/>
                <w:spacing w:val="20"/>
                <w:sz w:val="24"/>
                <w:szCs w:val="24"/>
                <w:u w:val="single"/>
              </w:rPr>
              <w:t>）</w:t>
            </w:r>
            <w:r>
              <w:rPr>
                <w:rFonts w:ascii="Times New Roman" w:hAnsi="Times New Roman" w:eastAsia="宋体" w:cs="Times New Roman"/>
                <w:spacing w:val="20"/>
                <w:sz w:val="24"/>
                <w:szCs w:val="24"/>
                <w:u w:val="single"/>
              </w:rPr>
              <w:t>动物</w:t>
            </w:r>
            <w:r>
              <w:rPr>
                <w:rFonts w:hint="eastAsia" w:ascii="Times New Roman" w:hAnsi="Times New Roman" w:eastAsia="宋体" w:cs="Times New Roman"/>
                <w:spacing w:val="20"/>
                <w:sz w:val="24"/>
                <w:szCs w:val="24"/>
                <w:u w:val="single"/>
              </w:rPr>
              <w:t>类型</w:t>
            </w:r>
          </w:p>
          <w:p>
            <w:pPr>
              <w:tabs>
                <w:tab w:val="left" w:pos="247"/>
              </w:tabs>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规划</w:t>
            </w:r>
            <w:r>
              <w:rPr>
                <w:rFonts w:ascii="Times New Roman" w:hAnsi="Times New Roman" w:eastAsia="宋体" w:cs="Times New Roman"/>
                <w:spacing w:val="14"/>
                <w:sz w:val="24"/>
                <w:szCs w:val="24"/>
                <w:u w:val="single"/>
              </w:rPr>
              <w:t>区</w:t>
            </w:r>
            <w:r>
              <w:rPr>
                <w:rFonts w:ascii="Times New Roman" w:hAnsi="Times New Roman" w:eastAsia="宋体" w:cs="Times New Roman"/>
                <w:spacing w:val="9"/>
                <w:sz w:val="24"/>
                <w:szCs w:val="24"/>
                <w:u w:val="single"/>
              </w:rPr>
              <w:t>域森林生态系统面积较小，主要是分布在村落附近的四旁树。该区域分</w:t>
            </w:r>
            <w:r>
              <w:rPr>
                <w:rFonts w:ascii="Times New Roman" w:hAnsi="Times New Roman" w:eastAsia="宋体" w:cs="Times New Roman"/>
                <w:spacing w:val="20"/>
                <w:sz w:val="24"/>
                <w:szCs w:val="24"/>
                <w:u w:val="single"/>
              </w:rPr>
              <w:t>布的动物主要有常见的林鸟，常见的有棕背伯劳</w:t>
            </w:r>
            <w:r>
              <w:rPr>
                <w:rFonts w:hint="eastAsia" w:ascii="Times New Roman" w:hAnsi="Times New Roman" w:eastAsia="宋体" w:cs="Times New Roman"/>
                <w:spacing w:val="20"/>
                <w:sz w:val="24"/>
                <w:szCs w:val="24"/>
                <w:u w:val="single"/>
              </w:rPr>
              <w:t>（</w:t>
            </w:r>
            <w:r>
              <w:rPr>
                <w:rFonts w:ascii="Times New Roman" w:hAnsi="Times New Roman" w:eastAsia="宋体" w:cs="Times New Roman"/>
                <w:i/>
                <w:iCs/>
                <w:sz w:val="24"/>
                <w:szCs w:val="24"/>
                <w:u w:val="single"/>
              </w:rPr>
              <w:t>Lanius</w:t>
            </w:r>
            <w:r>
              <w:rPr>
                <w:rFonts w:ascii="Times New Roman" w:hAnsi="Times New Roman" w:eastAsia="宋体" w:cs="Times New Roman"/>
                <w:spacing w:val="20"/>
                <w:sz w:val="24"/>
                <w:szCs w:val="24"/>
                <w:u w:val="single"/>
              </w:rPr>
              <w:t xml:space="preserve"> </w:t>
            </w:r>
            <w:r>
              <w:rPr>
                <w:rFonts w:ascii="Times New Roman" w:hAnsi="Times New Roman" w:eastAsia="宋体" w:cs="Times New Roman"/>
                <w:i/>
                <w:iCs/>
                <w:sz w:val="24"/>
                <w:szCs w:val="24"/>
                <w:u w:val="single"/>
              </w:rPr>
              <w:t>schach</w:t>
            </w:r>
            <w:r>
              <w:rPr>
                <w:rFonts w:ascii="Times New Roman" w:hAnsi="Times New Roman" w:eastAsia="宋体" w:cs="Times New Roman"/>
                <w:spacing w:val="20"/>
                <w:sz w:val="24"/>
                <w:szCs w:val="24"/>
                <w:u w:val="single"/>
              </w:rPr>
              <w:t>)、黑尾蜡嘴</w:t>
            </w:r>
            <w:r>
              <w:rPr>
                <w:rFonts w:ascii="Times New Roman" w:hAnsi="Times New Roman" w:eastAsia="宋体" w:cs="Times New Roman"/>
                <w:spacing w:val="19"/>
                <w:sz w:val="24"/>
                <w:szCs w:val="24"/>
                <w:u w:val="single"/>
              </w:rPr>
              <w:t>雀</w:t>
            </w:r>
            <w:r>
              <w:rPr>
                <w:rFonts w:hint="eastAsia" w:ascii="Times New Roman" w:hAnsi="Times New Roman" w:eastAsia="宋体" w:cs="Times New Roman"/>
                <w:spacing w:val="19"/>
                <w:sz w:val="24"/>
                <w:szCs w:val="24"/>
                <w:u w:val="single"/>
              </w:rPr>
              <w:t>（</w:t>
            </w:r>
            <w:r>
              <w:rPr>
                <w:rFonts w:ascii="Times New Roman" w:hAnsi="Times New Roman" w:eastAsia="宋体" w:cs="Times New Roman"/>
                <w:i/>
                <w:iCs/>
                <w:spacing w:val="-1"/>
                <w:sz w:val="24"/>
                <w:szCs w:val="24"/>
                <w:u w:val="single"/>
              </w:rPr>
              <w:t>Eophona</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pacing w:val="-1"/>
                <w:sz w:val="24"/>
                <w:szCs w:val="24"/>
                <w:u w:val="single"/>
              </w:rPr>
              <w:t>migratoria</w:t>
            </w:r>
            <w:r>
              <w:rPr>
                <w:rFonts w:ascii="Times New Roman" w:hAnsi="Times New Roman" w:eastAsia="宋体" w:cs="Times New Roman"/>
                <w:spacing w:val="-1"/>
                <w:sz w:val="24"/>
                <w:szCs w:val="24"/>
                <w:u w:val="single"/>
              </w:rPr>
              <w:t xml:space="preserve"> )、丝光椋鸟</w:t>
            </w:r>
            <w:r>
              <w:rPr>
                <w:rFonts w:hint="eastAsia" w:ascii="Times New Roman" w:hAnsi="Times New Roman" w:eastAsia="宋体" w:cs="Times New Roman"/>
                <w:spacing w:val="-1"/>
                <w:sz w:val="24"/>
                <w:szCs w:val="24"/>
                <w:u w:val="single"/>
              </w:rPr>
              <w:t>（</w:t>
            </w:r>
            <w:r>
              <w:rPr>
                <w:rFonts w:ascii="Times New Roman" w:hAnsi="Times New Roman" w:eastAsia="宋体" w:cs="Times New Roman"/>
                <w:i/>
                <w:iCs/>
                <w:spacing w:val="-1"/>
                <w:sz w:val="24"/>
                <w:szCs w:val="24"/>
                <w:u w:val="single"/>
              </w:rPr>
              <w:t>Spodiopsar</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pacing w:val="-1"/>
                <w:sz w:val="24"/>
                <w:szCs w:val="24"/>
                <w:u w:val="single"/>
              </w:rPr>
              <w:t>sericeu</w:t>
            </w:r>
            <w:r>
              <w:rPr>
                <w:rFonts w:ascii="Times New Roman" w:hAnsi="Times New Roman" w:eastAsia="宋体" w:cs="Times New Roman"/>
                <w:i/>
                <w:iCs/>
                <w:sz w:val="24"/>
                <w:szCs w:val="24"/>
                <w:u w:val="single"/>
              </w:rPr>
              <w:t>s</w:t>
            </w:r>
            <w:r>
              <w:rPr>
                <w:rFonts w:ascii="Times New Roman" w:hAnsi="Times New Roman" w:eastAsia="宋体" w:cs="Times New Roman"/>
                <w:spacing w:val="-1"/>
                <w:sz w:val="24"/>
                <w:szCs w:val="24"/>
                <w:u w:val="single"/>
              </w:rPr>
              <w:t xml:space="preserve"> )、金翅雀</w:t>
            </w:r>
            <w:r>
              <w:rPr>
                <w:rFonts w:hint="eastAsia" w:ascii="Times New Roman" w:hAnsi="Times New Roman" w:eastAsia="宋体" w:cs="Times New Roman"/>
                <w:spacing w:val="-1"/>
                <w:sz w:val="24"/>
                <w:szCs w:val="24"/>
                <w:u w:val="single"/>
              </w:rPr>
              <w:t>（</w:t>
            </w:r>
            <w:r>
              <w:rPr>
                <w:rFonts w:ascii="Times New Roman" w:hAnsi="Times New Roman" w:eastAsia="宋体" w:cs="Times New Roman"/>
                <w:i/>
                <w:iCs/>
                <w:sz w:val="24"/>
                <w:szCs w:val="24"/>
                <w:u w:val="single"/>
              </w:rPr>
              <w:t>Chloris</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z w:val="24"/>
                <w:szCs w:val="24"/>
                <w:u w:val="single"/>
              </w:rPr>
              <w:t>sinica</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大山雀 (</w:t>
            </w:r>
            <w:r>
              <w:rPr>
                <w:rFonts w:ascii="Times New Roman" w:hAnsi="Times New Roman" w:eastAsia="宋体" w:cs="Times New Roman"/>
                <w:i/>
                <w:iCs/>
                <w:spacing w:val="-1"/>
                <w:sz w:val="24"/>
                <w:szCs w:val="24"/>
                <w:u w:val="single"/>
              </w:rPr>
              <w:t>Parus</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pacing w:val="-1"/>
                <w:sz w:val="24"/>
                <w:szCs w:val="24"/>
                <w:u w:val="single"/>
              </w:rPr>
              <w:t>major</w:t>
            </w:r>
            <w:r>
              <w:rPr>
                <w:rFonts w:ascii="Times New Roman" w:hAnsi="Times New Roman" w:eastAsia="宋体" w:cs="Times New Roman"/>
                <w:spacing w:val="-1"/>
                <w:sz w:val="24"/>
                <w:szCs w:val="24"/>
                <w:u w:val="single"/>
              </w:rPr>
              <w:t xml:space="preserve"> )、乌鸫 (</w:t>
            </w:r>
            <w:r>
              <w:rPr>
                <w:rFonts w:ascii="Times New Roman" w:hAnsi="Times New Roman" w:eastAsia="宋体" w:cs="Times New Roman"/>
                <w:i/>
                <w:iCs/>
                <w:spacing w:val="-1"/>
                <w:sz w:val="24"/>
                <w:szCs w:val="24"/>
                <w:u w:val="single"/>
              </w:rPr>
              <w:t>Turdus</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pacing w:val="-1"/>
                <w:sz w:val="24"/>
                <w:szCs w:val="24"/>
                <w:u w:val="single"/>
              </w:rPr>
              <w:t>mandarinus</w:t>
            </w:r>
            <w:r>
              <w:rPr>
                <w:rFonts w:ascii="Times New Roman" w:hAnsi="Times New Roman" w:eastAsia="宋体" w:cs="Times New Roman"/>
                <w:spacing w:val="-1"/>
                <w:sz w:val="24"/>
                <w:szCs w:val="24"/>
                <w:u w:val="single"/>
              </w:rPr>
              <w:t>)、八哥</w:t>
            </w:r>
            <w:r>
              <w:rPr>
                <w:rFonts w:hint="eastAsia" w:ascii="Times New Roman" w:hAnsi="Times New Roman" w:eastAsia="宋体" w:cs="Times New Roman"/>
                <w:spacing w:val="-1"/>
                <w:sz w:val="24"/>
                <w:szCs w:val="24"/>
                <w:u w:val="single"/>
              </w:rPr>
              <w:t>（</w:t>
            </w:r>
            <w:r>
              <w:rPr>
                <w:rFonts w:ascii="Times New Roman" w:hAnsi="Times New Roman" w:eastAsia="宋体" w:cs="Times New Roman"/>
                <w:i/>
                <w:iCs/>
                <w:spacing w:val="-1"/>
                <w:sz w:val="24"/>
                <w:szCs w:val="24"/>
                <w:u w:val="single"/>
              </w:rPr>
              <w:t>Acridotheres</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pacing w:val="-1"/>
                <w:sz w:val="24"/>
                <w:szCs w:val="24"/>
                <w:u w:val="single"/>
              </w:rPr>
              <w:t>cris</w:t>
            </w:r>
            <w:r>
              <w:rPr>
                <w:rFonts w:ascii="Times New Roman" w:hAnsi="Times New Roman" w:eastAsia="宋体" w:cs="Times New Roman"/>
                <w:i/>
                <w:iCs/>
                <w:sz w:val="24"/>
                <w:szCs w:val="24"/>
                <w:u w:val="single"/>
              </w:rPr>
              <w:t>tatellus</w:t>
            </w:r>
            <w:r>
              <w:rPr>
                <w:rFonts w:hint="eastAsia" w:ascii="Times New Roman" w:hAnsi="Times New Roman" w:eastAsia="宋体" w:cs="Times New Roman"/>
                <w:i/>
                <w:iCs/>
                <w:sz w:val="24"/>
                <w:szCs w:val="24"/>
                <w:u w:val="single"/>
              </w:rPr>
              <w:t>）</w:t>
            </w:r>
            <w:r>
              <w:rPr>
                <w:rFonts w:ascii="Times New Roman" w:hAnsi="Times New Roman" w:eastAsia="宋体" w:cs="Times New Roman"/>
                <w:spacing w:val="16"/>
                <w:sz w:val="24"/>
                <w:szCs w:val="24"/>
                <w:u w:val="single"/>
              </w:rPr>
              <w:t>等</w:t>
            </w:r>
            <w:r>
              <w:rPr>
                <w:rFonts w:ascii="Times New Roman" w:hAnsi="Times New Roman" w:eastAsia="宋体" w:cs="Times New Roman"/>
                <w:spacing w:val="15"/>
                <w:sz w:val="24"/>
                <w:szCs w:val="24"/>
                <w:u w:val="single"/>
              </w:rPr>
              <w:t>，</w:t>
            </w:r>
            <w:r>
              <w:rPr>
                <w:rFonts w:hint="eastAsia" w:ascii="Times New Roman" w:hAnsi="Times New Roman" w:eastAsia="宋体" w:cs="Times New Roman"/>
                <w:spacing w:val="8"/>
                <w:sz w:val="24"/>
                <w:szCs w:val="24"/>
                <w:u w:val="single"/>
              </w:rPr>
              <w:t>鼻湖</w:t>
            </w:r>
            <w:r>
              <w:rPr>
                <w:rFonts w:ascii="Times New Roman" w:hAnsi="Times New Roman" w:eastAsia="宋体" w:cs="Times New Roman"/>
                <w:spacing w:val="8"/>
                <w:sz w:val="24"/>
                <w:szCs w:val="24"/>
                <w:u w:val="single"/>
              </w:rPr>
              <w:t>西南角分布有少量乔木林，该区域常见白鹭</w:t>
            </w:r>
            <w:r>
              <w:rPr>
                <w:rFonts w:hint="eastAsia" w:ascii="Times New Roman" w:hAnsi="Times New Roman" w:eastAsia="宋体" w:cs="Times New Roman"/>
                <w:spacing w:val="8"/>
                <w:sz w:val="24"/>
                <w:szCs w:val="24"/>
                <w:u w:val="single"/>
              </w:rPr>
              <w:t>（</w:t>
            </w:r>
            <w:r>
              <w:rPr>
                <w:rFonts w:ascii="Times New Roman" w:hAnsi="Times New Roman" w:eastAsia="宋体" w:cs="Times New Roman"/>
                <w:i/>
                <w:iCs/>
                <w:sz w:val="24"/>
                <w:szCs w:val="24"/>
                <w:u w:val="single"/>
              </w:rPr>
              <w:t>Egretta</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garzetta</w:t>
            </w:r>
            <w:r>
              <w:rPr>
                <w:rFonts w:ascii="Times New Roman" w:hAnsi="Times New Roman" w:eastAsia="宋体" w:cs="Times New Roman"/>
                <w:spacing w:val="8"/>
                <w:sz w:val="24"/>
                <w:szCs w:val="24"/>
                <w:u w:val="single"/>
              </w:rPr>
              <w:t xml:space="preserve"> )、池鹭</w:t>
            </w:r>
            <w:r>
              <w:rPr>
                <w:rFonts w:hint="eastAsia" w:ascii="Times New Roman" w:hAnsi="Times New Roman" w:eastAsia="宋体" w:cs="Times New Roman"/>
                <w:spacing w:val="8"/>
                <w:sz w:val="24"/>
                <w:szCs w:val="24"/>
                <w:u w:val="single"/>
              </w:rPr>
              <w:t>（</w:t>
            </w:r>
            <w:r>
              <w:rPr>
                <w:rFonts w:ascii="Times New Roman" w:hAnsi="Times New Roman" w:eastAsia="宋体" w:cs="Times New Roman"/>
                <w:i/>
                <w:iCs/>
                <w:sz w:val="24"/>
                <w:szCs w:val="24"/>
                <w:u w:val="single"/>
              </w:rPr>
              <w:t>Ardeola</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bacchus</w:t>
            </w:r>
            <w:r>
              <w:rPr>
                <w:rFonts w:ascii="Times New Roman" w:hAnsi="Times New Roman" w:eastAsia="宋体" w:cs="Times New Roman"/>
                <w:spacing w:val="5"/>
                <w:sz w:val="24"/>
                <w:szCs w:val="24"/>
                <w:u w:val="single"/>
              </w:rPr>
              <w:t xml:space="preserve"> </w:t>
            </w:r>
            <w:r>
              <w:rPr>
                <w:rFonts w:hint="eastAsia" w:ascii="Times New Roman" w:hAnsi="Times New Roman" w:eastAsia="宋体" w:cs="Times New Roman"/>
                <w:spacing w:val="5"/>
                <w:sz w:val="24"/>
                <w:szCs w:val="24"/>
                <w:u w:val="single"/>
              </w:rPr>
              <w:t>）</w:t>
            </w:r>
            <w:r>
              <w:rPr>
                <w:rFonts w:ascii="Times New Roman" w:hAnsi="Times New Roman" w:eastAsia="宋体" w:cs="Times New Roman"/>
                <w:spacing w:val="5"/>
                <w:sz w:val="24"/>
                <w:szCs w:val="24"/>
                <w:u w:val="single"/>
              </w:rPr>
              <w:t>等在乔木上栖息，夜间，普通鸬鹚 (</w:t>
            </w:r>
            <w:r>
              <w:rPr>
                <w:rFonts w:ascii="Times New Roman" w:hAnsi="Times New Roman" w:eastAsia="宋体" w:cs="Times New Roman"/>
                <w:i/>
                <w:iCs/>
                <w:sz w:val="24"/>
                <w:szCs w:val="24"/>
                <w:u w:val="single"/>
              </w:rPr>
              <w:t>Phalacrocorax</w:t>
            </w:r>
            <w:r>
              <w:rPr>
                <w:rFonts w:ascii="Times New Roman" w:hAnsi="Times New Roman" w:eastAsia="宋体" w:cs="Times New Roman"/>
                <w:spacing w:val="5"/>
                <w:sz w:val="24"/>
                <w:szCs w:val="24"/>
                <w:u w:val="single"/>
              </w:rPr>
              <w:t xml:space="preserve"> </w:t>
            </w:r>
            <w:r>
              <w:rPr>
                <w:rFonts w:ascii="Times New Roman" w:hAnsi="Times New Roman" w:eastAsia="宋体" w:cs="Times New Roman"/>
                <w:i/>
                <w:iCs/>
                <w:sz w:val="24"/>
                <w:szCs w:val="24"/>
                <w:u w:val="single"/>
              </w:rPr>
              <w:t>carbo</w:t>
            </w:r>
            <w:r>
              <w:rPr>
                <w:rFonts w:ascii="Times New Roman" w:hAnsi="Times New Roman" w:eastAsia="宋体" w:cs="Times New Roman"/>
                <w:spacing w:val="5"/>
                <w:sz w:val="24"/>
                <w:szCs w:val="24"/>
                <w:u w:val="single"/>
              </w:rPr>
              <w:t xml:space="preserve"> </w:t>
            </w:r>
            <w:r>
              <w:rPr>
                <w:rFonts w:hint="eastAsia" w:ascii="Times New Roman" w:hAnsi="Times New Roman" w:eastAsia="宋体" w:cs="Times New Roman"/>
                <w:spacing w:val="5"/>
                <w:sz w:val="24"/>
                <w:szCs w:val="24"/>
                <w:u w:val="single"/>
              </w:rPr>
              <w:t>）</w:t>
            </w:r>
            <w:r>
              <w:rPr>
                <w:rFonts w:ascii="Times New Roman" w:hAnsi="Times New Roman" w:eastAsia="宋体" w:cs="Times New Roman"/>
                <w:spacing w:val="5"/>
                <w:sz w:val="24"/>
                <w:szCs w:val="24"/>
                <w:u w:val="single"/>
              </w:rPr>
              <w:t>等常</w:t>
            </w:r>
            <w:r>
              <w:rPr>
                <w:rFonts w:ascii="Times New Roman" w:hAnsi="Times New Roman" w:eastAsia="宋体" w:cs="Times New Roman"/>
                <w:spacing w:val="11"/>
                <w:sz w:val="24"/>
                <w:szCs w:val="24"/>
                <w:u w:val="single"/>
              </w:rPr>
              <w:t>在</w:t>
            </w:r>
            <w:r>
              <w:rPr>
                <w:rFonts w:ascii="Times New Roman" w:hAnsi="Times New Roman" w:eastAsia="宋体" w:cs="Times New Roman"/>
                <w:spacing w:val="8"/>
                <w:sz w:val="24"/>
                <w:szCs w:val="24"/>
                <w:u w:val="single"/>
              </w:rPr>
              <w:t>近水域的乔木上栖息。</w:t>
            </w:r>
          </w:p>
          <w:p>
            <w:pPr>
              <w:spacing w:line="360" w:lineRule="auto"/>
              <w:ind w:firstLine="520" w:firstLineChars="200"/>
              <w:rPr>
                <w:rFonts w:ascii="Times New Roman" w:hAnsi="Times New Roman"/>
                <w:sz w:val="24"/>
                <w:u w:val="single"/>
              </w:rPr>
            </w:pPr>
            <w:r>
              <w:rPr>
                <w:rFonts w:hint="eastAsia" w:ascii="Times New Roman" w:hAnsi="Times New Roman" w:eastAsia="宋体" w:cs="Times New Roman"/>
                <w:spacing w:val="10"/>
                <w:position w:val="1"/>
                <w:sz w:val="24"/>
                <w:szCs w:val="24"/>
                <w:u w:val="single"/>
              </w:rPr>
              <w:t>三</w:t>
            </w:r>
            <w:r>
              <w:rPr>
                <w:rFonts w:ascii="Times New Roman" w:hAnsi="Times New Roman" w:eastAsia="宋体" w:cs="Times New Roman"/>
                <w:spacing w:val="8"/>
                <w:position w:val="1"/>
                <w:sz w:val="24"/>
                <w:szCs w:val="24"/>
                <w:u w:val="single"/>
              </w:rPr>
              <w:t>、生态系统功能</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森林</w:t>
            </w:r>
            <w:r>
              <w:rPr>
                <w:rFonts w:ascii="Times New Roman" w:hAnsi="Times New Roman" w:eastAsia="宋体" w:cs="Times New Roman"/>
                <w:spacing w:val="15"/>
                <w:sz w:val="24"/>
                <w:szCs w:val="24"/>
                <w:u w:val="single"/>
              </w:rPr>
              <w:t>生</w:t>
            </w:r>
            <w:r>
              <w:rPr>
                <w:rFonts w:ascii="Times New Roman" w:hAnsi="Times New Roman" w:eastAsia="宋体" w:cs="Times New Roman"/>
                <w:spacing w:val="9"/>
                <w:sz w:val="24"/>
                <w:szCs w:val="24"/>
                <w:u w:val="single"/>
              </w:rPr>
              <w:t>态系统是森林群落与其环境在功能流的作用下形成一定结构、功能和自</w:t>
            </w:r>
            <w:r>
              <w:rPr>
                <w:rFonts w:ascii="Times New Roman" w:hAnsi="Times New Roman" w:eastAsia="宋体" w:cs="Times New Roman"/>
                <w:spacing w:val="18"/>
                <w:sz w:val="24"/>
                <w:szCs w:val="24"/>
                <w:u w:val="single"/>
              </w:rPr>
              <w:t>调控</w:t>
            </w:r>
            <w:r>
              <w:rPr>
                <w:rFonts w:ascii="Times New Roman" w:hAnsi="Times New Roman" w:eastAsia="宋体" w:cs="Times New Roman"/>
                <w:spacing w:val="15"/>
                <w:sz w:val="24"/>
                <w:szCs w:val="24"/>
                <w:u w:val="single"/>
              </w:rPr>
              <w:t>的</w:t>
            </w:r>
            <w:r>
              <w:rPr>
                <w:rFonts w:ascii="Times New Roman" w:hAnsi="Times New Roman" w:eastAsia="宋体" w:cs="Times New Roman"/>
                <w:spacing w:val="9"/>
                <w:sz w:val="24"/>
                <w:szCs w:val="24"/>
                <w:u w:val="single"/>
              </w:rPr>
              <w:t>自然综合体，是陆地生态系统中面积最多、最重要的自然生态系统。评价</w:t>
            </w:r>
            <w:r>
              <w:rPr>
                <w:rFonts w:ascii="Times New Roman" w:hAnsi="Times New Roman" w:eastAsia="宋体" w:cs="Times New Roman"/>
                <w:spacing w:val="18"/>
                <w:sz w:val="24"/>
                <w:szCs w:val="24"/>
                <w:u w:val="single"/>
              </w:rPr>
              <w:t>区内</w:t>
            </w:r>
            <w:r>
              <w:rPr>
                <w:rFonts w:ascii="Times New Roman" w:hAnsi="Times New Roman" w:eastAsia="宋体" w:cs="Times New Roman"/>
                <w:spacing w:val="15"/>
                <w:sz w:val="24"/>
                <w:szCs w:val="24"/>
                <w:u w:val="single"/>
              </w:rPr>
              <w:t>森</w:t>
            </w:r>
            <w:r>
              <w:rPr>
                <w:rFonts w:ascii="Times New Roman" w:hAnsi="Times New Roman" w:eastAsia="宋体" w:cs="Times New Roman"/>
                <w:spacing w:val="9"/>
                <w:sz w:val="24"/>
                <w:szCs w:val="24"/>
                <w:u w:val="single"/>
              </w:rPr>
              <w:t>林生态系统面积占比小，主要分布于居民区附近，其主要生态功能为防风固</w:t>
            </w:r>
            <w:r>
              <w:rPr>
                <w:rFonts w:ascii="Times New Roman" w:hAnsi="Times New Roman" w:eastAsia="宋体" w:cs="Times New Roman"/>
                <w:spacing w:val="18"/>
                <w:sz w:val="24"/>
                <w:szCs w:val="24"/>
                <w:u w:val="single"/>
              </w:rPr>
              <w:t>沙</w:t>
            </w:r>
            <w:r>
              <w:rPr>
                <w:rFonts w:ascii="Times New Roman" w:hAnsi="Times New Roman" w:eastAsia="宋体" w:cs="Times New Roman"/>
                <w:spacing w:val="13"/>
                <w:sz w:val="24"/>
                <w:szCs w:val="24"/>
                <w:u w:val="single"/>
              </w:rPr>
              <w:t>、</w:t>
            </w:r>
            <w:r>
              <w:rPr>
                <w:rFonts w:ascii="Times New Roman" w:hAnsi="Times New Roman" w:eastAsia="宋体" w:cs="Times New Roman"/>
                <w:spacing w:val="9"/>
                <w:sz w:val="24"/>
                <w:szCs w:val="24"/>
                <w:u w:val="single"/>
              </w:rPr>
              <w:t>水土保持</w:t>
            </w:r>
            <w:r>
              <w:rPr>
                <w:rFonts w:hint="eastAsia" w:ascii="Times New Roman" w:hAnsi="Times New Roman" w:eastAsia="宋体" w:cs="Times New Roman"/>
                <w:spacing w:val="9"/>
                <w:sz w:val="24"/>
                <w:szCs w:val="24"/>
                <w:u w:val="single"/>
              </w:rPr>
              <w:t>、</w:t>
            </w:r>
            <w:r>
              <w:rPr>
                <w:rFonts w:ascii="Times New Roman" w:hAnsi="Times New Roman" w:eastAsia="宋体" w:cs="Times New Roman"/>
                <w:spacing w:val="9"/>
                <w:sz w:val="24"/>
                <w:szCs w:val="24"/>
                <w:u w:val="single"/>
              </w:rPr>
              <w:t>控制水土流失、净化环境、孕育和保存生物多样性等几个方面。</w:t>
            </w:r>
          </w:p>
          <w:p>
            <w:pPr>
              <w:spacing w:line="360" w:lineRule="auto"/>
              <w:ind w:firstLine="480" w:firstLineChars="200"/>
              <w:rPr>
                <w:rFonts w:ascii="Times New Roman" w:hAnsi="Times New Roman"/>
                <w:b/>
                <w:bCs/>
                <w:sz w:val="24"/>
                <w:u w:val="single"/>
              </w:rPr>
            </w:pPr>
            <w:r>
              <w:rPr>
                <w:rFonts w:ascii="Times New Roman" w:hAnsi="Times New Roman" w:cs="Times New Roman"/>
                <w:b/>
                <w:bCs/>
                <w:sz w:val="24"/>
                <w:szCs w:val="24"/>
                <w:u w:val="single"/>
              </w:rPr>
              <w:t>1.1.2、灌丛生态系统</w:t>
            </w:r>
          </w:p>
          <w:p>
            <w:pPr>
              <w:spacing w:line="360" w:lineRule="auto"/>
              <w:ind w:firstLine="496" w:firstLineChars="200"/>
              <w:rPr>
                <w:rFonts w:ascii="Times New Roman" w:hAnsi="Times New Roman"/>
                <w:sz w:val="24"/>
                <w:u w:val="single"/>
              </w:rPr>
            </w:pPr>
            <w:r>
              <w:rPr>
                <w:rFonts w:ascii="Times New Roman" w:hAnsi="Times New Roman" w:eastAsia="宋体" w:cs="Times New Roman"/>
                <w:spacing w:val="4"/>
                <w:sz w:val="24"/>
                <w:szCs w:val="24"/>
                <w:u w:val="single"/>
              </w:rPr>
              <w:t>根据现场踏勘结合遥感图片解译，评价区灌丛生态系统面积为13.79</w:t>
            </w:r>
            <w:r>
              <w:rPr>
                <w:rFonts w:ascii="Times New Roman" w:hAnsi="Times New Roman" w:eastAsia="宋体" w:cs="Times New Roman"/>
                <w:sz w:val="24"/>
                <w:szCs w:val="24"/>
                <w:u w:val="single"/>
              </w:rPr>
              <w:t>hm</w:t>
            </w:r>
            <w:r>
              <w:rPr>
                <w:rFonts w:hint="eastAsia" w:ascii="Times New Roman" w:hAnsi="Times New Roman" w:eastAsia="宋体" w:cs="Times New Roman"/>
                <w:sz w:val="24"/>
                <w:szCs w:val="24"/>
                <w:u w:val="single"/>
                <w:vertAlign w:val="superscript"/>
              </w:rPr>
              <w:t>2</w:t>
            </w:r>
            <w:r>
              <w:rPr>
                <w:rFonts w:ascii="Times New Roman" w:hAnsi="Times New Roman" w:eastAsia="宋体" w:cs="Times New Roman"/>
                <w:spacing w:val="4"/>
                <w:sz w:val="24"/>
                <w:szCs w:val="24"/>
                <w:u w:val="single"/>
              </w:rPr>
              <w:t>，占</w:t>
            </w:r>
            <w:r>
              <w:rPr>
                <w:rFonts w:ascii="Times New Roman" w:hAnsi="Times New Roman" w:eastAsia="宋体" w:cs="Times New Roman"/>
                <w:spacing w:val="2"/>
                <w:sz w:val="24"/>
                <w:szCs w:val="24"/>
                <w:u w:val="single"/>
              </w:rPr>
              <w:t>评</w:t>
            </w:r>
            <w:r>
              <w:rPr>
                <w:rFonts w:ascii="Times New Roman" w:hAnsi="Times New Roman" w:eastAsia="宋体" w:cs="Times New Roman"/>
                <w:sz w:val="24"/>
                <w:szCs w:val="24"/>
                <w:u w:val="single"/>
              </w:rPr>
              <w:t xml:space="preserve"> </w:t>
            </w:r>
            <w:r>
              <w:rPr>
                <w:rFonts w:ascii="Times New Roman" w:hAnsi="Times New Roman" w:eastAsia="宋体" w:cs="Times New Roman"/>
                <w:spacing w:val="2"/>
                <w:sz w:val="24"/>
                <w:szCs w:val="24"/>
                <w:u w:val="single"/>
              </w:rPr>
              <w:t>价区总面积的</w:t>
            </w:r>
            <w:r>
              <w:rPr>
                <w:rFonts w:ascii="Times New Roman" w:hAnsi="Times New Roman" w:eastAsia="宋体" w:cs="Times New Roman"/>
                <w:spacing w:val="1"/>
                <w:sz w:val="24"/>
                <w:szCs w:val="24"/>
                <w:u w:val="single"/>
              </w:rPr>
              <w:t>0.43%。</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position w:val="2"/>
                <w:sz w:val="24"/>
                <w:szCs w:val="24"/>
                <w:u w:val="single"/>
              </w:rPr>
              <w:t>一</w:t>
            </w:r>
            <w:r>
              <w:rPr>
                <w:rFonts w:ascii="Times New Roman" w:hAnsi="Times New Roman" w:eastAsia="宋体" w:cs="Times New Roman"/>
                <w:spacing w:val="8"/>
                <w:position w:val="2"/>
                <w:sz w:val="24"/>
                <w:szCs w:val="24"/>
                <w:u w:val="single"/>
              </w:rPr>
              <w:t>、生态系统结构</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（1）</w:t>
            </w:r>
            <w:r>
              <w:rPr>
                <w:rFonts w:ascii="Times New Roman" w:hAnsi="Times New Roman" w:eastAsia="宋体" w:cs="Times New Roman"/>
                <w:spacing w:val="20"/>
                <w:sz w:val="24"/>
                <w:szCs w:val="24"/>
                <w:u w:val="single"/>
              </w:rPr>
              <w:t>植被现</w:t>
            </w:r>
            <w:r>
              <w:rPr>
                <w:rFonts w:ascii="Times New Roman" w:hAnsi="Times New Roman" w:eastAsia="宋体" w:cs="Times New Roman"/>
                <w:spacing w:val="19"/>
                <w:sz w:val="24"/>
                <w:szCs w:val="24"/>
                <w:u w:val="single"/>
              </w:rPr>
              <w:t>状</w:t>
            </w:r>
          </w:p>
          <w:p>
            <w:pPr>
              <w:tabs>
                <w:tab w:val="left" w:pos="247"/>
              </w:tabs>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评价</w:t>
            </w:r>
            <w:r>
              <w:rPr>
                <w:rFonts w:ascii="Times New Roman" w:hAnsi="Times New Roman" w:eastAsia="宋体" w:cs="Times New Roman"/>
                <w:spacing w:val="16"/>
                <w:sz w:val="24"/>
                <w:szCs w:val="24"/>
                <w:u w:val="single"/>
              </w:rPr>
              <w:t>区</w:t>
            </w:r>
            <w:r>
              <w:rPr>
                <w:rFonts w:ascii="Times New Roman" w:hAnsi="Times New Roman" w:eastAsia="宋体" w:cs="Times New Roman"/>
                <w:spacing w:val="9"/>
                <w:sz w:val="24"/>
                <w:szCs w:val="24"/>
                <w:u w:val="single"/>
              </w:rPr>
              <w:t>灌丛生态系统由次生植被组成，主要为落叶阔叶灌丛，主要群系有构树</w:t>
            </w:r>
            <w:r>
              <w:rPr>
                <w:rFonts w:ascii="Times New Roman" w:hAnsi="Times New Roman" w:eastAsia="宋体" w:cs="Times New Roman"/>
                <w:spacing w:val="12"/>
                <w:sz w:val="24"/>
                <w:szCs w:val="24"/>
                <w:u w:val="single"/>
              </w:rPr>
              <w:t>灌丛</w:t>
            </w:r>
            <w:r>
              <w:rPr>
                <w:rFonts w:hint="eastAsia" w:ascii="Times New Roman" w:hAnsi="Times New Roman" w:eastAsia="宋体" w:cs="Times New Roman"/>
                <w:spacing w:val="12"/>
                <w:sz w:val="24"/>
                <w:szCs w:val="24"/>
                <w:u w:val="single"/>
              </w:rPr>
              <w:t>（</w:t>
            </w:r>
            <w:r>
              <w:rPr>
                <w:rFonts w:ascii="Times New Roman" w:hAnsi="Times New Roman" w:eastAsia="宋体" w:cs="Times New Roman"/>
                <w:sz w:val="24"/>
                <w:szCs w:val="24"/>
                <w:u w:val="single"/>
              </w:rPr>
              <w:t>From</w:t>
            </w:r>
            <w:r>
              <w:rPr>
                <w:rFonts w:ascii="Times New Roman" w:hAnsi="Times New Roman" w:eastAsia="宋体" w:cs="Times New Roman"/>
                <w:spacing w:val="6"/>
                <w:sz w:val="24"/>
                <w:szCs w:val="24"/>
                <w:u w:val="single"/>
              </w:rPr>
              <w:t xml:space="preserve">. </w:t>
            </w:r>
            <w:r>
              <w:rPr>
                <w:rFonts w:ascii="Times New Roman" w:hAnsi="Times New Roman" w:eastAsia="宋体" w:cs="Times New Roman"/>
                <w:i/>
                <w:iCs/>
                <w:sz w:val="24"/>
                <w:szCs w:val="24"/>
                <w:u w:val="single"/>
              </w:rPr>
              <w:t>Broussonetia</w:t>
            </w:r>
            <w:r>
              <w:rPr>
                <w:rFonts w:ascii="Times New Roman" w:hAnsi="Times New Roman" w:eastAsia="宋体" w:cs="Times New Roman"/>
                <w:spacing w:val="6"/>
                <w:sz w:val="24"/>
                <w:szCs w:val="24"/>
                <w:u w:val="single"/>
              </w:rPr>
              <w:t xml:space="preserve"> </w:t>
            </w:r>
            <w:r>
              <w:rPr>
                <w:rFonts w:ascii="Times New Roman" w:hAnsi="Times New Roman" w:eastAsia="宋体" w:cs="Times New Roman"/>
                <w:i/>
                <w:iCs/>
                <w:sz w:val="24"/>
                <w:szCs w:val="24"/>
                <w:u w:val="single"/>
              </w:rPr>
              <w:t>papyrifera</w:t>
            </w:r>
            <w:r>
              <w:rPr>
                <w:rFonts w:ascii="Times New Roman" w:hAnsi="Times New Roman" w:eastAsia="宋体" w:cs="Times New Roman"/>
                <w:spacing w:val="6"/>
                <w:sz w:val="24"/>
                <w:szCs w:val="24"/>
                <w:u w:val="single"/>
              </w:rPr>
              <w:t xml:space="preserve"> </w:t>
            </w:r>
            <w:r>
              <w:rPr>
                <w:rFonts w:hint="eastAsia" w:ascii="Times New Roman" w:hAnsi="Times New Roman" w:eastAsia="宋体" w:cs="Times New Roman"/>
                <w:spacing w:val="6"/>
                <w:sz w:val="24"/>
                <w:szCs w:val="24"/>
                <w:u w:val="single"/>
              </w:rPr>
              <w:t>）</w:t>
            </w:r>
            <w:r>
              <w:rPr>
                <w:rFonts w:ascii="Times New Roman" w:hAnsi="Times New Roman" w:eastAsia="宋体" w:cs="Times New Roman"/>
                <w:spacing w:val="6"/>
                <w:sz w:val="24"/>
                <w:szCs w:val="24"/>
                <w:u w:val="single"/>
              </w:rPr>
              <w:t>等，其他常见的组成森林生态系统的植物种类</w:t>
            </w:r>
            <w:r>
              <w:rPr>
                <w:rFonts w:ascii="Times New Roman" w:hAnsi="Times New Roman" w:eastAsia="宋体" w:cs="Times New Roman"/>
                <w:spacing w:val="18"/>
                <w:sz w:val="24"/>
                <w:szCs w:val="24"/>
                <w:u w:val="single"/>
              </w:rPr>
              <w:t>有</w:t>
            </w:r>
            <w:r>
              <w:rPr>
                <w:rFonts w:ascii="Times New Roman" w:hAnsi="Times New Roman" w:eastAsia="宋体" w:cs="Times New Roman"/>
                <w:spacing w:val="10"/>
                <w:sz w:val="24"/>
                <w:szCs w:val="24"/>
                <w:u w:val="single"/>
              </w:rPr>
              <w:t>盐</w:t>
            </w:r>
            <w:r>
              <w:rPr>
                <w:rFonts w:ascii="Times New Roman" w:hAnsi="Times New Roman" w:eastAsia="宋体" w:cs="Times New Roman"/>
                <w:spacing w:val="9"/>
                <w:sz w:val="24"/>
                <w:szCs w:val="24"/>
                <w:u w:val="single"/>
              </w:rPr>
              <w:t>肤木、乌桕、白背叶</w:t>
            </w:r>
            <w:r>
              <w:rPr>
                <w:rFonts w:hint="eastAsia" w:ascii="Times New Roman" w:hAnsi="Times New Roman" w:eastAsia="宋体" w:cs="Times New Roman"/>
                <w:spacing w:val="9"/>
                <w:sz w:val="24"/>
                <w:szCs w:val="24"/>
                <w:u w:val="single"/>
              </w:rPr>
              <w:t>（</w:t>
            </w:r>
            <w:r>
              <w:rPr>
                <w:rFonts w:ascii="Times New Roman" w:hAnsi="Times New Roman" w:eastAsia="宋体" w:cs="Times New Roman"/>
                <w:i/>
                <w:iCs/>
                <w:sz w:val="24"/>
                <w:szCs w:val="24"/>
                <w:u w:val="single"/>
              </w:rPr>
              <w:t>Mallotus</w:t>
            </w:r>
            <w:r>
              <w:rPr>
                <w:rFonts w:ascii="Times New Roman" w:hAnsi="Times New Roman" w:eastAsia="宋体" w:cs="Times New Roman"/>
                <w:spacing w:val="9"/>
                <w:sz w:val="24"/>
                <w:szCs w:val="24"/>
                <w:u w:val="single"/>
              </w:rPr>
              <w:t xml:space="preserve"> </w:t>
            </w:r>
            <w:r>
              <w:rPr>
                <w:rFonts w:ascii="Times New Roman" w:hAnsi="Times New Roman" w:eastAsia="宋体" w:cs="Times New Roman"/>
                <w:i/>
                <w:iCs/>
                <w:sz w:val="24"/>
                <w:szCs w:val="24"/>
                <w:u w:val="single"/>
              </w:rPr>
              <w:t>apelta</w:t>
            </w:r>
            <w:r>
              <w:rPr>
                <w:rFonts w:ascii="Times New Roman" w:hAnsi="Times New Roman" w:eastAsia="宋体" w:cs="Times New Roman"/>
                <w:spacing w:val="9"/>
                <w:sz w:val="24"/>
                <w:szCs w:val="24"/>
                <w:u w:val="single"/>
              </w:rPr>
              <w:t xml:space="preserve"> )、寒莓 (</w:t>
            </w:r>
            <w:r>
              <w:rPr>
                <w:rFonts w:ascii="Times New Roman" w:hAnsi="Times New Roman" w:eastAsia="宋体" w:cs="Times New Roman"/>
                <w:i/>
                <w:iCs/>
                <w:sz w:val="24"/>
                <w:szCs w:val="24"/>
                <w:u w:val="single"/>
              </w:rPr>
              <w:t>Rubus</w:t>
            </w:r>
            <w:r>
              <w:rPr>
                <w:rFonts w:ascii="Times New Roman" w:hAnsi="Times New Roman" w:eastAsia="宋体" w:cs="Times New Roman"/>
                <w:spacing w:val="9"/>
                <w:sz w:val="24"/>
                <w:szCs w:val="24"/>
                <w:u w:val="single"/>
              </w:rPr>
              <w:t xml:space="preserve"> </w:t>
            </w:r>
            <w:r>
              <w:rPr>
                <w:rFonts w:ascii="Times New Roman" w:hAnsi="Times New Roman" w:eastAsia="宋体" w:cs="Times New Roman"/>
                <w:i/>
                <w:iCs/>
                <w:sz w:val="24"/>
                <w:szCs w:val="24"/>
                <w:u w:val="single"/>
              </w:rPr>
              <w:t>buergeri</w:t>
            </w:r>
            <w:r>
              <w:rPr>
                <w:rFonts w:ascii="Times New Roman" w:hAnsi="Times New Roman" w:eastAsia="宋体" w:cs="Times New Roman"/>
                <w:spacing w:val="9"/>
                <w:sz w:val="24"/>
                <w:szCs w:val="24"/>
                <w:u w:val="single"/>
              </w:rPr>
              <w:t>)、桑</w:t>
            </w:r>
            <w:r>
              <w:rPr>
                <w:rFonts w:hint="eastAsia" w:ascii="Times New Roman" w:hAnsi="Times New Roman" w:eastAsia="宋体" w:cs="Times New Roman"/>
                <w:spacing w:val="9"/>
                <w:sz w:val="24"/>
                <w:szCs w:val="24"/>
                <w:u w:val="single"/>
              </w:rPr>
              <w:t>（</w:t>
            </w:r>
            <w:r>
              <w:rPr>
                <w:rFonts w:ascii="Times New Roman" w:hAnsi="Times New Roman" w:eastAsia="宋体" w:cs="Times New Roman"/>
                <w:i/>
                <w:iCs/>
                <w:sz w:val="24"/>
                <w:szCs w:val="24"/>
                <w:u w:val="single"/>
              </w:rPr>
              <w:t>Morus</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alba</w:t>
            </w:r>
            <w:r>
              <w:rPr>
                <w:rFonts w:ascii="Times New Roman" w:hAnsi="Times New Roman" w:eastAsia="宋体" w:cs="Times New Roman"/>
                <w:spacing w:val="14"/>
                <w:sz w:val="24"/>
                <w:szCs w:val="24"/>
                <w:u w:val="single"/>
              </w:rPr>
              <w:t xml:space="preserve"> )</w:t>
            </w:r>
            <w:r>
              <w:rPr>
                <w:rFonts w:ascii="Times New Roman" w:hAnsi="Times New Roman" w:eastAsia="宋体" w:cs="Times New Roman"/>
                <w:spacing w:val="7"/>
                <w:sz w:val="24"/>
                <w:szCs w:val="24"/>
                <w:u w:val="single"/>
              </w:rPr>
              <w:t>、野蔷薇</w:t>
            </w:r>
            <w:r>
              <w:rPr>
                <w:rFonts w:hint="eastAsia" w:ascii="Times New Roman" w:hAnsi="Times New Roman" w:eastAsia="宋体" w:cs="Times New Roman"/>
                <w:spacing w:val="7"/>
                <w:sz w:val="24"/>
                <w:szCs w:val="24"/>
                <w:u w:val="single"/>
              </w:rPr>
              <w:t>（</w:t>
            </w:r>
            <w:r>
              <w:rPr>
                <w:rFonts w:ascii="Times New Roman" w:hAnsi="Times New Roman" w:eastAsia="宋体" w:cs="Times New Roman"/>
                <w:i/>
                <w:iCs/>
                <w:sz w:val="24"/>
                <w:szCs w:val="24"/>
                <w:u w:val="single"/>
              </w:rPr>
              <w:t>Rosa</w:t>
            </w:r>
            <w:r>
              <w:rPr>
                <w:rFonts w:ascii="Times New Roman" w:hAnsi="Times New Roman" w:eastAsia="宋体" w:cs="Times New Roman"/>
                <w:spacing w:val="7"/>
                <w:sz w:val="24"/>
                <w:szCs w:val="24"/>
                <w:u w:val="single"/>
              </w:rPr>
              <w:t xml:space="preserve"> </w:t>
            </w:r>
            <w:r>
              <w:rPr>
                <w:rFonts w:ascii="Times New Roman" w:hAnsi="Times New Roman" w:eastAsia="宋体" w:cs="Times New Roman"/>
                <w:i/>
                <w:iCs/>
                <w:sz w:val="24"/>
                <w:szCs w:val="24"/>
                <w:u w:val="single"/>
              </w:rPr>
              <w:t>multiflora</w:t>
            </w:r>
            <w:r>
              <w:rPr>
                <w:rFonts w:ascii="Times New Roman" w:hAnsi="Times New Roman" w:eastAsia="宋体" w:cs="Times New Roman"/>
                <w:spacing w:val="7"/>
                <w:sz w:val="24"/>
                <w:szCs w:val="24"/>
                <w:u w:val="single"/>
              </w:rPr>
              <w:t>)、竹叶花椒 (</w:t>
            </w:r>
            <w:r>
              <w:rPr>
                <w:rFonts w:ascii="Times New Roman" w:hAnsi="Times New Roman" w:eastAsia="宋体" w:cs="Times New Roman"/>
                <w:i/>
                <w:iCs/>
                <w:sz w:val="24"/>
                <w:szCs w:val="24"/>
                <w:u w:val="single"/>
              </w:rPr>
              <w:t>Zanthoxylum</w:t>
            </w:r>
            <w:r>
              <w:rPr>
                <w:rFonts w:ascii="Times New Roman" w:hAnsi="Times New Roman" w:eastAsia="宋体" w:cs="Times New Roman"/>
                <w:spacing w:val="7"/>
                <w:sz w:val="24"/>
                <w:szCs w:val="24"/>
                <w:u w:val="single"/>
              </w:rPr>
              <w:t xml:space="preserve"> </w:t>
            </w:r>
            <w:r>
              <w:rPr>
                <w:rFonts w:ascii="Times New Roman" w:hAnsi="Times New Roman" w:eastAsia="宋体" w:cs="Times New Roman"/>
                <w:i/>
                <w:iCs/>
                <w:sz w:val="24"/>
                <w:szCs w:val="24"/>
                <w:u w:val="single"/>
              </w:rPr>
              <w:t>armatum</w:t>
            </w:r>
            <w:r>
              <w:rPr>
                <w:rFonts w:ascii="Times New Roman" w:hAnsi="Times New Roman" w:eastAsia="宋体" w:cs="Times New Roman"/>
                <w:spacing w:val="7"/>
                <w:sz w:val="24"/>
                <w:szCs w:val="24"/>
                <w:u w:val="single"/>
              </w:rPr>
              <w:t xml:space="preserve"> )、黑果菝葜</w:t>
            </w:r>
            <w:r>
              <w:rPr>
                <w:rFonts w:hint="eastAsia" w:ascii="Times New Roman" w:hAnsi="Times New Roman" w:eastAsia="宋体" w:cs="Times New Roman"/>
                <w:spacing w:val="7"/>
                <w:sz w:val="24"/>
                <w:szCs w:val="24"/>
                <w:u w:val="single"/>
              </w:rPr>
              <w:t>（</w:t>
            </w:r>
            <w:r>
              <w:rPr>
                <w:rFonts w:ascii="Times New Roman" w:hAnsi="Times New Roman" w:eastAsia="宋体" w:cs="Times New Roman"/>
                <w:i/>
                <w:iCs/>
                <w:sz w:val="24"/>
                <w:szCs w:val="24"/>
                <w:u w:val="single"/>
              </w:rPr>
              <w:t>Smilax</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i/>
                <w:iCs/>
                <w:sz w:val="24"/>
                <w:szCs w:val="24"/>
                <w:u w:val="single"/>
              </w:rPr>
              <w:t>glaucochina</w:t>
            </w:r>
            <w:r>
              <w:rPr>
                <w:rFonts w:ascii="Times New Roman" w:hAnsi="Times New Roman" w:eastAsia="宋体" w:cs="Times New Roman"/>
                <w:spacing w:val="10"/>
                <w:sz w:val="24"/>
                <w:szCs w:val="24"/>
                <w:u w:val="single"/>
              </w:rPr>
              <w:t xml:space="preserve"> )</w:t>
            </w:r>
            <w:r>
              <w:rPr>
                <w:rFonts w:hint="eastAsia" w:ascii="Times New Roman" w:hAnsi="Times New Roman" w:eastAsia="宋体" w:cs="Times New Roman"/>
                <w:spacing w:val="10"/>
                <w:sz w:val="24"/>
                <w:szCs w:val="24"/>
                <w:u w:val="single"/>
              </w:rPr>
              <w:t>、</w:t>
            </w:r>
            <w:r>
              <w:rPr>
                <w:rFonts w:ascii="Times New Roman" w:hAnsi="Times New Roman" w:eastAsia="宋体" w:cs="Times New Roman"/>
                <w:spacing w:val="10"/>
                <w:sz w:val="24"/>
                <w:szCs w:val="24"/>
                <w:u w:val="single"/>
              </w:rPr>
              <w:t>毛排钱树 (</w:t>
            </w:r>
            <w:r>
              <w:rPr>
                <w:rFonts w:ascii="Times New Roman" w:hAnsi="Times New Roman" w:eastAsia="宋体" w:cs="Times New Roman"/>
                <w:i/>
                <w:iCs/>
                <w:sz w:val="24"/>
                <w:szCs w:val="24"/>
                <w:u w:val="single"/>
              </w:rPr>
              <w:t>Phyllodium</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i/>
                <w:iCs/>
                <w:sz w:val="24"/>
                <w:szCs w:val="24"/>
                <w:u w:val="single"/>
              </w:rPr>
              <w:t>elegans</w:t>
            </w:r>
            <w:r>
              <w:rPr>
                <w:rFonts w:ascii="Times New Roman" w:hAnsi="Times New Roman" w:eastAsia="宋体" w:cs="Times New Roman"/>
                <w:spacing w:val="10"/>
                <w:sz w:val="24"/>
                <w:szCs w:val="24"/>
                <w:u w:val="single"/>
              </w:rPr>
              <w:t>)、楝等。</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（2）</w:t>
            </w:r>
            <w:r>
              <w:rPr>
                <w:rFonts w:ascii="Times New Roman" w:hAnsi="Times New Roman" w:eastAsia="宋体" w:cs="Times New Roman"/>
                <w:spacing w:val="20"/>
                <w:sz w:val="24"/>
                <w:szCs w:val="24"/>
                <w:u w:val="single"/>
              </w:rPr>
              <w:t>动物现</w:t>
            </w:r>
            <w:r>
              <w:rPr>
                <w:rFonts w:ascii="Times New Roman" w:hAnsi="Times New Roman" w:eastAsia="宋体" w:cs="Times New Roman"/>
                <w:spacing w:val="19"/>
                <w:sz w:val="24"/>
                <w:szCs w:val="24"/>
                <w:u w:val="single"/>
              </w:rPr>
              <w:t>状</w:t>
            </w:r>
          </w:p>
          <w:p>
            <w:pPr>
              <w:tabs>
                <w:tab w:val="left" w:pos="247"/>
              </w:tabs>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规划</w:t>
            </w:r>
            <w:r>
              <w:rPr>
                <w:rFonts w:ascii="Times New Roman" w:hAnsi="Times New Roman" w:eastAsia="宋体" w:cs="Times New Roman"/>
                <w:spacing w:val="14"/>
                <w:sz w:val="24"/>
                <w:szCs w:val="24"/>
                <w:u w:val="single"/>
              </w:rPr>
              <w:t>区</w:t>
            </w:r>
            <w:r>
              <w:rPr>
                <w:rFonts w:ascii="Times New Roman" w:hAnsi="Times New Roman" w:eastAsia="宋体" w:cs="Times New Roman"/>
                <w:spacing w:val="9"/>
                <w:sz w:val="24"/>
                <w:szCs w:val="24"/>
                <w:u w:val="single"/>
              </w:rPr>
              <w:t>域灌丛生态系统主要分布在湖区附近的道路两侧，常见的动物主要有中</w:t>
            </w:r>
            <w:r>
              <w:rPr>
                <w:rFonts w:ascii="Times New Roman" w:hAnsi="Times New Roman" w:eastAsia="宋体" w:cs="Times New Roman"/>
                <w:spacing w:val="-1"/>
                <w:sz w:val="24"/>
                <w:szCs w:val="24"/>
                <w:u w:val="single"/>
              </w:rPr>
              <w:t>华蟾蜍</w:t>
            </w:r>
            <w:r>
              <w:rPr>
                <w:rFonts w:hint="eastAsia" w:ascii="Times New Roman" w:hAnsi="Times New Roman" w:eastAsia="宋体" w:cs="Times New Roman"/>
                <w:spacing w:val="-1"/>
                <w:sz w:val="24"/>
                <w:szCs w:val="24"/>
                <w:u w:val="single"/>
              </w:rPr>
              <w:t>（</w:t>
            </w:r>
            <w:r>
              <w:rPr>
                <w:rFonts w:ascii="Times New Roman" w:hAnsi="Times New Roman" w:eastAsia="宋体" w:cs="Times New Roman"/>
                <w:i/>
                <w:iCs/>
                <w:spacing w:val="-1"/>
                <w:sz w:val="24"/>
                <w:szCs w:val="24"/>
                <w:u w:val="single"/>
              </w:rPr>
              <w:t>Bufo</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pacing w:val="-1"/>
                <w:sz w:val="24"/>
                <w:szCs w:val="24"/>
                <w:u w:val="single"/>
              </w:rPr>
              <w:t>gargarizans</w:t>
            </w:r>
            <w:r>
              <w:rPr>
                <w:rFonts w:ascii="Times New Roman" w:hAnsi="Times New Roman" w:eastAsia="宋体" w:cs="Times New Roman"/>
                <w:spacing w:val="-1"/>
                <w:sz w:val="24"/>
                <w:szCs w:val="24"/>
                <w:u w:val="single"/>
              </w:rPr>
              <w:t>)、饰纹姬蛙</w:t>
            </w:r>
            <w:r>
              <w:rPr>
                <w:rFonts w:hint="eastAsia" w:ascii="Times New Roman" w:hAnsi="Times New Roman" w:eastAsia="宋体" w:cs="Times New Roman"/>
                <w:spacing w:val="-1"/>
                <w:sz w:val="24"/>
                <w:szCs w:val="24"/>
                <w:u w:val="single"/>
              </w:rPr>
              <w:t>（</w:t>
            </w:r>
            <w:r>
              <w:rPr>
                <w:rFonts w:ascii="Times New Roman" w:hAnsi="Times New Roman" w:eastAsia="宋体" w:cs="Times New Roman"/>
                <w:i/>
                <w:iCs/>
                <w:spacing w:val="-1"/>
                <w:sz w:val="24"/>
                <w:szCs w:val="24"/>
                <w:u w:val="single"/>
              </w:rPr>
              <w:t>Mic</w:t>
            </w:r>
            <w:r>
              <w:rPr>
                <w:rFonts w:ascii="Times New Roman" w:hAnsi="Times New Roman" w:eastAsia="宋体" w:cs="Times New Roman"/>
                <w:i/>
                <w:iCs/>
                <w:sz w:val="24"/>
                <w:szCs w:val="24"/>
                <w:u w:val="single"/>
              </w:rPr>
              <w:t>rohyla</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z w:val="24"/>
                <w:szCs w:val="24"/>
                <w:u w:val="single"/>
              </w:rPr>
              <w:t>ornata</w:t>
            </w:r>
            <w:r>
              <w:rPr>
                <w:rFonts w:ascii="Times New Roman" w:hAnsi="Times New Roman" w:eastAsia="宋体" w:cs="Times New Roman"/>
                <w:spacing w:val="-1"/>
                <w:sz w:val="24"/>
                <w:szCs w:val="24"/>
                <w:u w:val="single"/>
              </w:rPr>
              <w:t xml:space="preserve"> )、铜蜓蜥</w:t>
            </w:r>
            <w:r>
              <w:rPr>
                <w:rFonts w:hint="eastAsia" w:ascii="Times New Roman" w:hAnsi="Times New Roman" w:eastAsia="宋体" w:cs="Times New Roman"/>
                <w:spacing w:val="-1"/>
                <w:sz w:val="24"/>
                <w:szCs w:val="24"/>
                <w:u w:val="single"/>
              </w:rPr>
              <w:t>（</w:t>
            </w:r>
            <w:r>
              <w:rPr>
                <w:rFonts w:ascii="Times New Roman" w:hAnsi="Times New Roman" w:eastAsia="宋体" w:cs="Times New Roman"/>
                <w:sz w:val="24"/>
                <w:szCs w:val="24"/>
                <w:u w:val="single"/>
              </w:rPr>
              <w:t>Sphenomorphus</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29"/>
                <w:sz w:val="24"/>
                <w:szCs w:val="24"/>
                <w:u w:val="single"/>
              </w:rPr>
              <w:t>北</w:t>
            </w:r>
            <w:r>
              <w:rPr>
                <w:rFonts w:ascii="Times New Roman" w:hAnsi="Times New Roman" w:eastAsia="宋体" w:cs="Times New Roman"/>
                <w:spacing w:val="16"/>
                <w:sz w:val="24"/>
                <w:szCs w:val="24"/>
                <w:u w:val="single"/>
              </w:rPr>
              <w:t>草蜥</w:t>
            </w:r>
            <w:r>
              <w:rPr>
                <w:rFonts w:hint="eastAsia" w:ascii="Times New Roman" w:hAnsi="Times New Roman" w:eastAsia="宋体" w:cs="Times New Roman"/>
                <w:spacing w:val="16"/>
                <w:sz w:val="24"/>
                <w:szCs w:val="24"/>
                <w:u w:val="single"/>
              </w:rPr>
              <w:t>（</w:t>
            </w:r>
            <w:r>
              <w:rPr>
                <w:rFonts w:ascii="Times New Roman" w:hAnsi="Times New Roman" w:eastAsia="宋体" w:cs="Times New Roman"/>
                <w:i/>
                <w:iCs/>
                <w:sz w:val="24"/>
                <w:szCs w:val="24"/>
                <w:u w:val="single"/>
              </w:rPr>
              <w:t>Takydromus</w:t>
            </w:r>
            <w:r>
              <w:rPr>
                <w:rFonts w:ascii="Times New Roman" w:hAnsi="Times New Roman" w:eastAsia="宋体" w:cs="Times New Roman"/>
                <w:spacing w:val="16"/>
                <w:sz w:val="24"/>
                <w:szCs w:val="24"/>
                <w:u w:val="single"/>
              </w:rPr>
              <w:t xml:space="preserve"> </w:t>
            </w:r>
            <w:r>
              <w:rPr>
                <w:rFonts w:ascii="Times New Roman" w:hAnsi="Times New Roman" w:eastAsia="宋体" w:cs="Times New Roman"/>
                <w:i/>
                <w:iCs/>
                <w:sz w:val="24"/>
                <w:szCs w:val="24"/>
                <w:u w:val="single"/>
              </w:rPr>
              <w:t>septentrionalis</w:t>
            </w:r>
            <w:r>
              <w:rPr>
                <w:rFonts w:ascii="Times New Roman" w:hAnsi="Times New Roman" w:eastAsia="宋体" w:cs="Times New Roman"/>
                <w:spacing w:val="16"/>
                <w:sz w:val="24"/>
                <w:szCs w:val="24"/>
                <w:u w:val="single"/>
              </w:rPr>
              <w:t xml:space="preserve"> )</w:t>
            </w:r>
            <w:r>
              <w:rPr>
                <w:rFonts w:hint="eastAsia" w:ascii="Times New Roman" w:hAnsi="Times New Roman" w:eastAsia="宋体" w:cs="Times New Roman"/>
                <w:spacing w:val="16"/>
                <w:sz w:val="24"/>
                <w:szCs w:val="24"/>
                <w:u w:val="single"/>
              </w:rPr>
              <w:t>、</w:t>
            </w:r>
            <w:r>
              <w:rPr>
                <w:rFonts w:ascii="Times New Roman" w:hAnsi="Times New Roman" w:eastAsia="宋体" w:cs="Times New Roman"/>
                <w:spacing w:val="16"/>
                <w:sz w:val="24"/>
                <w:szCs w:val="24"/>
                <w:u w:val="single"/>
              </w:rPr>
              <w:t>白头鹎</w:t>
            </w:r>
            <w:r>
              <w:rPr>
                <w:rFonts w:hint="eastAsia" w:ascii="Times New Roman" w:hAnsi="Times New Roman" w:eastAsia="宋体" w:cs="Times New Roman"/>
                <w:spacing w:val="16"/>
                <w:sz w:val="24"/>
                <w:szCs w:val="24"/>
                <w:u w:val="single"/>
              </w:rPr>
              <w:t>（</w:t>
            </w:r>
            <w:r>
              <w:rPr>
                <w:rFonts w:ascii="Times New Roman" w:hAnsi="Times New Roman" w:eastAsia="宋体" w:cs="Times New Roman"/>
                <w:i/>
                <w:iCs/>
                <w:sz w:val="24"/>
                <w:szCs w:val="24"/>
                <w:u w:val="single"/>
              </w:rPr>
              <w:t>Pyconotus</w:t>
            </w:r>
            <w:r>
              <w:rPr>
                <w:rFonts w:ascii="Times New Roman" w:hAnsi="Times New Roman" w:eastAsia="宋体" w:cs="Times New Roman"/>
                <w:spacing w:val="16"/>
                <w:sz w:val="24"/>
                <w:szCs w:val="24"/>
                <w:u w:val="single"/>
              </w:rPr>
              <w:t xml:space="preserve"> </w:t>
            </w:r>
            <w:r>
              <w:rPr>
                <w:rFonts w:ascii="Times New Roman" w:hAnsi="Times New Roman" w:eastAsia="宋体" w:cs="Times New Roman"/>
                <w:i/>
                <w:iCs/>
                <w:sz w:val="24"/>
                <w:szCs w:val="24"/>
                <w:u w:val="single"/>
              </w:rPr>
              <w:t>sinensis</w:t>
            </w:r>
            <w:r>
              <w:rPr>
                <w:rFonts w:ascii="Times New Roman" w:hAnsi="Times New Roman" w:eastAsia="宋体" w:cs="Times New Roman"/>
                <w:spacing w:val="16"/>
                <w:sz w:val="24"/>
                <w:szCs w:val="24"/>
                <w:u w:val="single"/>
              </w:rPr>
              <w:t xml:space="preserve"> )、棕头鸦雀</w:t>
            </w:r>
            <w:r>
              <w:rPr>
                <w:rFonts w:hint="eastAsia" w:ascii="Times New Roman" w:hAnsi="Times New Roman" w:eastAsia="宋体" w:cs="Times New Roman"/>
                <w:spacing w:val="16"/>
                <w:sz w:val="24"/>
                <w:szCs w:val="24"/>
                <w:u w:val="single"/>
              </w:rPr>
              <w:t>（</w:t>
            </w:r>
            <w:r>
              <w:rPr>
                <w:rFonts w:ascii="Times New Roman" w:hAnsi="Times New Roman" w:eastAsia="宋体" w:cs="Times New Roman"/>
                <w:spacing w:val="-6"/>
                <w:sz w:val="24"/>
                <w:szCs w:val="24"/>
                <w:u w:val="single"/>
              </w:rPr>
              <w:t xml:space="preserve"> </w:t>
            </w:r>
            <w:r>
              <w:rPr>
                <w:rFonts w:ascii="Times New Roman" w:hAnsi="Times New Roman" w:eastAsia="宋体" w:cs="Times New Roman"/>
                <w:i/>
                <w:iCs/>
                <w:spacing w:val="-3"/>
                <w:sz w:val="24"/>
                <w:szCs w:val="24"/>
                <w:u w:val="single"/>
              </w:rPr>
              <w:t>Paradoxornis</w:t>
            </w:r>
            <w:r>
              <w:rPr>
                <w:rFonts w:ascii="Times New Roman" w:hAnsi="Times New Roman" w:eastAsia="宋体" w:cs="Times New Roman"/>
                <w:spacing w:val="-6"/>
                <w:sz w:val="24"/>
                <w:szCs w:val="24"/>
                <w:u w:val="single"/>
              </w:rPr>
              <w:t xml:space="preserve"> </w:t>
            </w:r>
            <w:r>
              <w:rPr>
                <w:rFonts w:ascii="Times New Roman" w:hAnsi="Times New Roman" w:eastAsia="宋体" w:cs="Times New Roman"/>
                <w:i/>
                <w:iCs/>
                <w:spacing w:val="-3"/>
                <w:sz w:val="24"/>
                <w:szCs w:val="24"/>
                <w:u w:val="single"/>
              </w:rPr>
              <w:t>webbianus</w:t>
            </w:r>
            <w:r>
              <w:rPr>
                <w:rFonts w:ascii="Times New Roman" w:hAnsi="Times New Roman" w:eastAsia="宋体" w:cs="Times New Roman"/>
                <w:spacing w:val="-6"/>
                <w:sz w:val="24"/>
                <w:szCs w:val="24"/>
                <w:u w:val="single"/>
              </w:rPr>
              <w:t xml:space="preserve"> )、暗绿绣眼</w:t>
            </w:r>
            <w:r>
              <w:rPr>
                <w:rFonts w:ascii="Times New Roman" w:hAnsi="Times New Roman" w:eastAsia="宋体" w:cs="Times New Roman"/>
                <w:spacing w:val="-3"/>
                <w:sz w:val="24"/>
                <w:szCs w:val="24"/>
                <w:u w:val="single"/>
              </w:rPr>
              <w:t>鸟</w:t>
            </w:r>
            <w:r>
              <w:rPr>
                <w:rFonts w:hint="eastAsia" w:ascii="Times New Roman" w:hAnsi="Times New Roman" w:eastAsia="宋体" w:cs="Times New Roman"/>
                <w:spacing w:val="-3"/>
                <w:sz w:val="24"/>
                <w:szCs w:val="24"/>
                <w:u w:val="single"/>
              </w:rPr>
              <w:t>（</w:t>
            </w:r>
            <w:r>
              <w:rPr>
                <w:rFonts w:ascii="Times New Roman" w:hAnsi="Times New Roman" w:eastAsia="宋体" w:cs="Times New Roman"/>
                <w:i/>
                <w:iCs/>
                <w:spacing w:val="-3"/>
                <w:sz w:val="24"/>
                <w:szCs w:val="24"/>
                <w:u w:val="single"/>
              </w:rPr>
              <w:t>Zosterops</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i/>
                <w:iCs/>
                <w:spacing w:val="-3"/>
                <w:sz w:val="24"/>
                <w:szCs w:val="24"/>
                <w:u w:val="single"/>
              </w:rPr>
              <w:t>japonicus</w:t>
            </w:r>
            <w:r>
              <w:rPr>
                <w:rFonts w:ascii="Times New Roman" w:hAnsi="Times New Roman" w:eastAsia="宋体" w:cs="Times New Roman"/>
                <w:spacing w:val="-3"/>
                <w:sz w:val="24"/>
                <w:szCs w:val="24"/>
                <w:u w:val="single"/>
              </w:rPr>
              <w:t xml:space="preserve"> )、北红尾鸲</w:t>
            </w:r>
            <w:r>
              <w:rPr>
                <w:rFonts w:hint="eastAsia" w:ascii="Times New Roman" w:hAnsi="Times New Roman" w:eastAsia="宋体" w:cs="Times New Roman"/>
                <w:spacing w:val="-3"/>
                <w:sz w:val="24"/>
                <w:szCs w:val="24"/>
                <w:u w:val="single"/>
              </w:rPr>
              <w:t>（</w:t>
            </w:r>
            <w:r>
              <w:rPr>
                <w:rFonts w:ascii="Times New Roman" w:hAnsi="Times New Roman" w:eastAsia="宋体" w:cs="Times New Roman"/>
                <w:i/>
                <w:iCs/>
                <w:sz w:val="24"/>
                <w:szCs w:val="24"/>
                <w:u w:val="single"/>
              </w:rPr>
              <w:t>Phoenicurus</w:t>
            </w:r>
            <w:r>
              <w:rPr>
                <w:rFonts w:ascii="Times New Roman" w:hAnsi="Times New Roman" w:eastAsia="宋体" w:cs="Times New Roman"/>
                <w:spacing w:val="16"/>
                <w:sz w:val="24"/>
                <w:szCs w:val="24"/>
                <w:u w:val="single"/>
              </w:rPr>
              <w:t xml:space="preserve"> </w:t>
            </w:r>
            <w:r>
              <w:rPr>
                <w:rFonts w:ascii="Times New Roman" w:hAnsi="Times New Roman" w:eastAsia="宋体" w:cs="Times New Roman"/>
                <w:i/>
                <w:iCs/>
                <w:sz w:val="24"/>
                <w:szCs w:val="24"/>
                <w:u w:val="single"/>
              </w:rPr>
              <w:t>auroreus</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spacing w:val="8"/>
                <w:sz w:val="24"/>
                <w:szCs w:val="24"/>
                <w:u w:val="single"/>
              </w:rPr>
              <w:t>)、领雀嘴鹎</w:t>
            </w:r>
            <w:r>
              <w:rPr>
                <w:rFonts w:hint="eastAsia" w:ascii="Times New Roman" w:hAnsi="Times New Roman" w:eastAsia="宋体" w:cs="Times New Roman"/>
                <w:spacing w:val="8"/>
                <w:sz w:val="24"/>
                <w:szCs w:val="24"/>
                <w:u w:val="single"/>
              </w:rPr>
              <w:t>（</w:t>
            </w:r>
            <w:r>
              <w:rPr>
                <w:rFonts w:ascii="Times New Roman" w:hAnsi="Times New Roman" w:eastAsia="宋体" w:cs="Times New Roman"/>
                <w:i/>
                <w:iCs/>
                <w:sz w:val="24"/>
                <w:szCs w:val="24"/>
                <w:u w:val="single"/>
              </w:rPr>
              <w:t>Spizixos</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semitorques</w:t>
            </w:r>
            <w:r>
              <w:rPr>
                <w:rFonts w:ascii="Times New Roman" w:hAnsi="Times New Roman" w:eastAsia="宋体" w:cs="Times New Roman"/>
                <w:spacing w:val="8"/>
                <w:sz w:val="24"/>
                <w:szCs w:val="24"/>
                <w:u w:val="single"/>
              </w:rPr>
              <w:t>)、大山雀、金翅雀、麻雀</w:t>
            </w:r>
            <w:r>
              <w:rPr>
                <w:rFonts w:hint="eastAsia" w:ascii="Times New Roman" w:hAnsi="Times New Roman" w:eastAsia="宋体" w:cs="Times New Roman"/>
                <w:spacing w:val="8"/>
                <w:sz w:val="24"/>
                <w:szCs w:val="24"/>
                <w:u w:val="single"/>
              </w:rPr>
              <w:t>（</w:t>
            </w:r>
            <w:r>
              <w:rPr>
                <w:rFonts w:ascii="Times New Roman" w:hAnsi="Times New Roman" w:eastAsia="宋体" w:cs="Times New Roman"/>
                <w:i/>
                <w:iCs/>
                <w:sz w:val="24"/>
                <w:szCs w:val="24"/>
                <w:u w:val="single"/>
              </w:rPr>
              <w:t>Passer</w:t>
            </w:r>
            <w:r>
              <w:rPr>
                <w:rFonts w:ascii="Times New Roman" w:hAnsi="Times New Roman" w:eastAsia="宋体" w:cs="Times New Roman"/>
                <w:spacing w:val="5"/>
                <w:sz w:val="24"/>
                <w:szCs w:val="24"/>
                <w:u w:val="single"/>
              </w:rPr>
              <w:t xml:space="preserve"> </w:t>
            </w:r>
            <w:r>
              <w:rPr>
                <w:rFonts w:ascii="Times New Roman" w:hAnsi="Times New Roman" w:eastAsia="宋体" w:cs="Times New Roman"/>
                <w:i/>
                <w:iCs/>
                <w:sz w:val="24"/>
                <w:szCs w:val="24"/>
                <w:u w:val="single"/>
              </w:rPr>
              <w:t>montanus</w:t>
            </w:r>
            <w:r>
              <w:rPr>
                <w:rFonts w:ascii="Times New Roman" w:hAnsi="Times New Roman" w:eastAsia="宋体" w:cs="Times New Roman"/>
                <w:spacing w:val="5"/>
                <w:sz w:val="24"/>
                <w:szCs w:val="24"/>
                <w:u w:val="single"/>
              </w:rPr>
              <w:t xml:space="preserve"> )、小家鼠</w:t>
            </w:r>
            <w:r>
              <w:rPr>
                <w:rFonts w:hint="eastAsia" w:ascii="Times New Roman" w:hAnsi="Times New Roman" w:eastAsia="宋体" w:cs="Times New Roman"/>
                <w:spacing w:val="5"/>
                <w:sz w:val="24"/>
                <w:szCs w:val="24"/>
                <w:u w:val="single"/>
              </w:rPr>
              <w:t>（</w:t>
            </w:r>
            <w:r>
              <w:rPr>
                <w:rFonts w:ascii="Times New Roman" w:hAnsi="Times New Roman" w:eastAsia="宋体" w:cs="Times New Roman"/>
                <w:i/>
                <w:iCs/>
                <w:sz w:val="24"/>
                <w:szCs w:val="24"/>
                <w:u w:val="single"/>
              </w:rPr>
              <w:t>Mus</w:t>
            </w:r>
            <w:r>
              <w:rPr>
                <w:rFonts w:ascii="Times New Roman" w:hAnsi="Times New Roman" w:eastAsia="宋体" w:cs="Times New Roman"/>
                <w:spacing w:val="5"/>
                <w:sz w:val="24"/>
                <w:szCs w:val="24"/>
                <w:u w:val="single"/>
              </w:rPr>
              <w:t xml:space="preserve"> </w:t>
            </w:r>
            <w:r>
              <w:rPr>
                <w:rFonts w:ascii="Times New Roman" w:hAnsi="Times New Roman" w:eastAsia="宋体" w:cs="Times New Roman"/>
                <w:i/>
                <w:iCs/>
                <w:sz w:val="24"/>
                <w:szCs w:val="24"/>
                <w:u w:val="single"/>
              </w:rPr>
              <w:t>musculus</w:t>
            </w:r>
            <w:r>
              <w:rPr>
                <w:rFonts w:ascii="Times New Roman" w:hAnsi="Times New Roman" w:eastAsia="宋体" w:cs="Times New Roman"/>
                <w:spacing w:val="5"/>
                <w:sz w:val="24"/>
                <w:szCs w:val="24"/>
                <w:u w:val="single"/>
              </w:rPr>
              <w:t xml:space="preserve"> </w:t>
            </w:r>
            <w:r>
              <w:rPr>
                <w:rFonts w:hint="eastAsia" w:ascii="Times New Roman" w:hAnsi="Times New Roman" w:eastAsia="宋体" w:cs="Times New Roman"/>
                <w:spacing w:val="5"/>
                <w:sz w:val="24"/>
                <w:szCs w:val="24"/>
                <w:u w:val="single"/>
              </w:rPr>
              <w:t>）</w:t>
            </w:r>
            <w:r>
              <w:rPr>
                <w:rFonts w:ascii="Times New Roman" w:hAnsi="Times New Roman" w:eastAsia="宋体" w:cs="Times New Roman"/>
                <w:spacing w:val="5"/>
                <w:sz w:val="24"/>
                <w:szCs w:val="24"/>
                <w:u w:val="single"/>
              </w:rPr>
              <w:t>等。</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position w:val="1"/>
                <w:sz w:val="24"/>
                <w:szCs w:val="24"/>
                <w:u w:val="single"/>
              </w:rPr>
              <w:t>二</w:t>
            </w:r>
            <w:r>
              <w:rPr>
                <w:rFonts w:ascii="Times New Roman" w:hAnsi="Times New Roman" w:eastAsia="宋体" w:cs="Times New Roman"/>
                <w:spacing w:val="8"/>
                <w:position w:val="1"/>
                <w:sz w:val="24"/>
                <w:szCs w:val="24"/>
                <w:u w:val="single"/>
              </w:rPr>
              <w:t>、生态系统功能</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灌丛</w:t>
            </w:r>
            <w:r>
              <w:rPr>
                <w:rFonts w:ascii="Times New Roman" w:hAnsi="Times New Roman" w:eastAsia="宋体" w:cs="Times New Roman"/>
                <w:spacing w:val="12"/>
                <w:sz w:val="24"/>
                <w:szCs w:val="24"/>
                <w:u w:val="single"/>
              </w:rPr>
              <w:t>生</w:t>
            </w:r>
            <w:r>
              <w:rPr>
                <w:rFonts w:ascii="Times New Roman" w:hAnsi="Times New Roman" w:eastAsia="宋体" w:cs="Times New Roman"/>
                <w:spacing w:val="9"/>
                <w:sz w:val="24"/>
                <w:szCs w:val="24"/>
                <w:u w:val="single"/>
              </w:rPr>
              <w:t>态系统形态结构及营养结构相对简单，适应性强。在评价区内分布面积</w:t>
            </w:r>
            <w:r>
              <w:rPr>
                <w:rFonts w:ascii="Times New Roman" w:hAnsi="Times New Roman" w:eastAsia="宋体" w:cs="Times New Roman"/>
                <w:spacing w:val="16"/>
                <w:sz w:val="24"/>
                <w:szCs w:val="24"/>
                <w:u w:val="single"/>
              </w:rPr>
              <w:t>较</w:t>
            </w:r>
            <w:r>
              <w:rPr>
                <w:rFonts w:ascii="Times New Roman" w:hAnsi="Times New Roman" w:eastAsia="宋体" w:cs="Times New Roman"/>
                <w:spacing w:val="9"/>
                <w:sz w:val="24"/>
                <w:szCs w:val="24"/>
                <w:u w:val="single"/>
              </w:rPr>
              <w:t>小，其生态服务功能主要有保持水土、防风固沙等作用。</w:t>
            </w:r>
          </w:p>
          <w:p>
            <w:pPr>
              <w:spacing w:line="360" w:lineRule="auto"/>
              <w:ind w:firstLine="480" w:firstLineChars="200"/>
              <w:rPr>
                <w:rFonts w:ascii="Times New Roman" w:hAnsi="Times New Roman"/>
                <w:b/>
                <w:bCs/>
                <w:sz w:val="24"/>
                <w:u w:val="single"/>
              </w:rPr>
            </w:pPr>
            <w:r>
              <w:rPr>
                <w:rFonts w:hint="eastAsia" w:ascii="Times New Roman" w:hAnsi="Times New Roman" w:cs="Times New Roman"/>
                <w:b/>
                <w:bCs/>
                <w:sz w:val="24"/>
                <w:szCs w:val="24"/>
                <w:u w:val="single"/>
              </w:rPr>
              <w:t>1.1.3、</w:t>
            </w:r>
            <w:r>
              <w:rPr>
                <w:rFonts w:ascii="Times New Roman" w:hAnsi="Times New Roman" w:cs="Times New Roman"/>
                <w:b/>
                <w:bCs/>
                <w:sz w:val="24"/>
                <w:szCs w:val="24"/>
                <w:u w:val="single"/>
              </w:rPr>
              <w:t>草地生态系统</w:t>
            </w:r>
          </w:p>
          <w:p>
            <w:pPr>
              <w:spacing w:line="360" w:lineRule="auto"/>
              <w:ind w:firstLine="496" w:firstLineChars="200"/>
              <w:rPr>
                <w:rFonts w:ascii="Times New Roman" w:hAnsi="Times New Roman"/>
                <w:sz w:val="24"/>
                <w:u w:val="single"/>
              </w:rPr>
            </w:pPr>
            <w:r>
              <w:rPr>
                <w:rFonts w:ascii="Times New Roman" w:hAnsi="Times New Roman" w:eastAsia="宋体" w:cs="Times New Roman"/>
                <w:spacing w:val="4"/>
                <w:sz w:val="24"/>
                <w:szCs w:val="24"/>
                <w:u w:val="single"/>
              </w:rPr>
              <w:t>根据现场踏勘结合遥感图片解译，评价区草地生态系统面积为9.04</w:t>
            </w:r>
            <w:r>
              <w:rPr>
                <w:rFonts w:ascii="Times New Roman" w:hAnsi="Times New Roman" w:eastAsia="宋体" w:cs="Times New Roman"/>
                <w:sz w:val="24"/>
                <w:szCs w:val="24"/>
                <w:u w:val="single"/>
              </w:rPr>
              <w:t>hm</w:t>
            </w:r>
            <w:r>
              <w:rPr>
                <w:rFonts w:hint="eastAsia" w:ascii="Times New Roman" w:hAnsi="Times New Roman" w:eastAsia="宋体" w:cs="Times New Roman"/>
                <w:sz w:val="24"/>
                <w:szCs w:val="24"/>
                <w:u w:val="single"/>
                <w:vertAlign w:val="superscript"/>
              </w:rPr>
              <w:t>2</w:t>
            </w:r>
            <w:r>
              <w:rPr>
                <w:rFonts w:ascii="Times New Roman" w:hAnsi="Times New Roman" w:eastAsia="宋体" w:cs="Times New Roman"/>
                <w:spacing w:val="4"/>
                <w:sz w:val="24"/>
                <w:szCs w:val="24"/>
                <w:u w:val="single"/>
              </w:rPr>
              <w:t>，占</w:t>
            </w:r>
            <w:r>
              <w:rPr>
                <w:rFonts w:ascii="Times New Roman" w:hAnsi="Times New Roman" w:eastAsia="宋体" w:cs="Times New Roman"/>
                <w:spacing w:val="2"/>
                <w:sz w:val="24"/>
                <w:szCs w:val="24"/>
                <w:u w:val="single"/>
              </w:rPr>
              <w:t>评价区总面积的</w:t>
            </w:r>
            <w:r>
              <w:rPr>
                <w:rFonts w:ascii="Times New Roman" w:hAnsi="Times New Roman" w:eastAsia="宋体" w:cs="Times New Roman"/>
                <w:spacing w:val="1"/>
                <w:sz w:val="24"/>
                <w:szCs w:val="24"/>
                <w:u w:val="single"/>
              </w:rPr>
              <w:t>0.28%。</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position w:val="2"/>
                <w:sz w:val="24"/>
                <w:szCs w:val="24"/>
                <w:u w:val="single"/>
              </w:rPr>
              <w:t>一</w:t>
            </w:r>
            <w:r>
              <w:rPr>
                <w:rFonts w:ascii="Times New Roman" w:hAnsi="Times New Roman" w:eastAsia="宋体" w:cs="Times New Roman"/>
                <w:spacing w:val="8"/>
                <w:position w:val="2"/>
                <w:sz w:val="24"/>
                <w:szCs w:val="24"/>
                <w:u w:val="single"/>
              </w:rPr>
              <w:t>、生态系统结构</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（1）</w:t>
            </w:r>
            <w:r>
              <w:rPr>
                <w:rFonts w:ascii="Times New Roman" w:hAnsi="Times New Roman" w:eastAsia="宋体" w:cs="Times New Roman"/>
                <w:spacing w:val="20"/>
                <w:sz w:val="24"/>
                <w:szCs w:val="24"/>
                <w:u w:val="single"/>
              </w:rPr>
              <w:t>植被现</w:t>
            </w:r>
            <w:r>
              <w:rPr>
                <w:rFonts w:ascii="Times New Roman" w:hAnsi="Times New Roman" w:eastAsia="宋体" w:cs="Times New Roman"/>
                <w:spacing w:val="19"/>
                <w:sz w:val="24"/>
                <w:szCs w:val="24"/>
                <w:u w:val="single"/>
              </w:rPr>
              <w:t>状</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评价</w:t>
            </w:r>
            <w:r>
              <w:rPr>
                <w:rFonts w:ascii="Times New Roman" w:hAnsi="Times New Roman" w:eastAsia="宋体" w:cs="Times New Roman"/>
                <w:spacing w:val="16"/>
                <w:sz w:val="24"/>
                <w:szCs w:val="24"/>
                <w:u w:val="single"/>
              </w:rPr>
              <w:t>区</w:t>
            </w:r>
            <w:r>
              <w:rPr>
                <w:rFonts w:ascii="Times New Roman" w:hAnsi="Times New Roman" w:eastAsia="宋体" w:cs="Times New Roman"/>
                <w:spacing w:val="9"/>
                <w:sz w:val="24"/>
                <w:szCs w:val="24"/>
                <w:u w:val="single"/>
              </w:rPr>
              <w:t>草地生态系统内植被以灌草丛为主，主要分布</w:t>
            </w:r>
            <w:r>
              <w:rPr>
                <w:rFonts w:hint="eastAsia" w:ascii="Times New Roman" w:hAnsi="Times New Roman" w:eastAsia="宋体" w:cs="Times New Roman"/>
                <w:spacing w:val="9"/>
                <w:sz w:val="24"/>
                <w:szCs w:val="24"/>
                <w:u w:val="single"/>
              </w:rPr>
              <w:t>鼻湖</w:t>
            </w:r>
            <w:r>
              <w:rPr>
                <w:rFonts w:ascii="Times New Roman" w:hAnsi="Times New Roman" w:eastAsia="宋体" w:cs="Times New Roman"/>
                <w:spacing w:val="-10"/>
                <w:sz w:val="24"/>
                <w:szCs w:val="24"/>
                <w:u w:val="single"/>
              </w:rPr>
              <w:t xml:space="preserve">附近及农田周围，常见的群系有菊叶香藜灌草丛 ( From. </w:t>
            </w:r>
            <w:r>
              <w:rPr>
                <w:rFonts w:ascii="Times New Roman" w:hAnsi="Times New Roman" w:eastAsia="宋体" w:cs="Times New Roman"/>
                <w:i/>
                <w:iCs/>
                <w:spacing w:val="-10"/>
                <w:sz w:val="24"/>
                <w:szCs w:val="24"/>
                <w:u w:val="single"/>
              </w:rPr>
              <w:t>Chenopodium</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foetidum</w:t>
            </w:r>
            <w:r>
              <w:rPr>
                <w:rFonts w:ascii="Times New Roman" w:hAnsi="Times New Roman" w:eastAsia="宋体" w:cs="Times New Roman"/>
                <w:spacing w:val="20"/>
                <w:sz w:val="24"/>
                <w:szCs w:val="24"/>
                <w:u w:val="single"/>
              </w:rPr>
              <w:t xml:space="preserve"> </w:t>
            </w:r>
            <w:r>
              <w:rPr>
                <w:rFonts w:ascii="Times New Roman" w:hAnsi="Times New Roman" w:eastAsia="宋体" w:cs="Times New Roman"/>
                <w:spacing w:val="13"/>
                <w:sz w:val="24"/>
                <w:szCs w:val="24"/>
                <w:u w:val="single"/>
              </w:rPr>
              <w:t>)</w:t>
            </w:r>
            <w:r>
              <w:rPr>
                <w:rFonts w:ascii="Times New Roman" w:hAnsi="Times New Roman" w:eastAsia="宋体" w:cs="Times New Roman"/>
                <w:spacing w:val="10"/>
                <w:sz w:val="24"/>
                <w:szCs w:val="24"/>
                <w:u w:val="single"/>
              </w:rPr>
              <w:t>、酸模叶蓼灌草丛 (</w:t>
            </w:r>
            <w:r>
              <w:rPr>
                <w:rFonts w:ascii="Times New Roman" w:hAnsi="Times New Roman" w:eastAsia="宋体" w:cs="Times New Roman"/>
                <w:sz w:val="24"/>
                <w:szCs w:val="24"/>
                <w:u w:val="single"/>
              </w:rPr>
              <w:t>From</w:t>
            </w:r>
            <w:r>
              <w:rPr>
                <w:rFonts w:ascii="Times New Roman" w:hAnsi="Times New Roman" w:eastAsia="宋体" w:cs="Times New Roman"/>
                <w:spacing w:val="10"/>
                <w:sz w:val="24"/>
                <w:szCs w:val="24"/>
                <w:u w:val="single"/>
              </w:rPr>
              <w:t>.)、狗尾草灌草丛 (</w:t>
            </w:r>
            <w:r>
              <w:rPr>
                <w:rFonts w:ascii="Times New Roman" w:hAnsi="Times New Roman" w:eastAsia="宋体" w:cs="Times New Roman"/>
                <w:sz w:val="24"/>
                <w:szCs w:val="24"/>
                <w:u w:val="single"/>
              </w:rPr>
              <w:t>Form</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i/>
                <w:iCs/>
                <w:sz w:val="24"/>
                <w:szCs w:val="24"/>
                <w:u w:val="single"/>
              </w:rPr>
              <w:t>Setaria</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i/>
                <w:iCs/>
                <w:sz w:val="24"/>
                <w:szCs w:val="24"/>
                <w:u w:val="single"/>
              </w:rPr>
              <w:t>viridis</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spacing w:val="15"/>
                <w:sz w:val="24"/>
                <w:szCs w:val="24"/>
                <w:u w:val="single"/>
              </w:rPr>
              <w:t>狗牙根灌草丛</w:t>
            </w:r>
            <w:r>
              <w:rPr>
                <w:rFonts w:hint="eastAsia" w:ascii="Times New Roman" w:hAnsi="Times New Roman" w:eastAsia="宋体" w:cs="Times New Roman"/>
                <w:spacing w:val="15"/>
                <w:sz w:val="24"/>
                <w:szCs w:val="24"/>
                <w:u w:val="single"/>
              </w:rPr>
              <w:t>（</w:t>
            </w:r>
            <w:r>
              <w:rPr>
                <w:rFonts w:ascii="Times New Roman" w:hAnsi="Times New Roman" w:eastAsia="宋体" w:cs="Times New Roman"/>
                <w:sz w:val="24"/>
                <w:szCs w:val="24"/>
                <w:u w:val="single"/>
              </w:rPr>
              <w:t>From</w:t>
            </w:r>
            <w:r>
              <w:rPr>
                <w:rFonts w:ascii="Times New Roman" w:hAnsi="Times New Roman" w:eastAsia="宋体" w:cs="Times New Roman"/>
                <w:spacing w:val="15"/>
                <w:sz w:val="24"/>
                <w:szCs w:val="24"/>
                <w:u w:val="single"/>
              </w:rPr>
              <w:t xml:space="preserve">. </w:t>
            </w:r>
            <w:r>
              <w:rPr>
                <w:rFonts w:ascii="Times New Roman" w:hAnsi="Times New Roman" w:eastAsia="宋体" w:cs="Times New Roman"/>
                <w:i/>
                <w:iCs/>
                <w:sz w:val="24"/>
                <w:szCs w:val="24"/>
                <w:u w:val="single"/>
              </w:rPr>
              <w:t>Polygonum</w:t>
            </w:r>
            <w:r>
              <w:rPr>
                <w:rFonts w:ascii="Times New Roman" w:hAnsi="Times New Roman" w:eastAsia="宋体" w:cs="Times New Roman"/>
                <w:spacing w:val="15"/>
                <w:sz w:val="24"/>
                <w:szCs w:val="24"/>
                <w:u w:val="single"/>
              </w:rPr>
              <w:t xml:space="preserve"> </w:t>
            </w:r>
            <w:r>
              <w:rPr>
                <w:rFonts w:ascii="Times New Roman" w:hAnsi="Times New Roman" w:eastAsia="宋体" w:cs="Times New Roman"/>
                <w:i/>
                <w:iCs/>
                <w:sz w:val="24"/>
                <w:szCs w:val="24"/>
                <w:u w:val="single"/>
              </w:rPr>
              <w:t>lapathifolium</w:t>
            </w:r>
            <w:r>
              <w:rPr>
                <w:rFonts w:ascii="Times New Roman" w:hAnsi="Times New Roman" w:eastAsia="宋体" w:cs="Times New Roman"/>
                <w:spacing w:val="15"/>
                <w:sz w:val="24"/>
                <w:szCs w:val="24"/>
                <w:u w:val="single"/>
              </w:rPr>
              <w:t xml:space="preserve"> )、广州蔊菜灌草丛</w:t>
            </w:r>
            <w:r>
              <w:rPr>
                <w:rFonts w:hint="eastAsia" w:ascii="Times New Roman" w:hAnsi="Times New Roman" w:eastAsia="宋体" w:cs="Times New Roman"/>
                <w:spacing w:val="15"/>
                <w:sz w:val="24"/>
                <w:szCs w:val="24"/>
                <w:u w:val="single"/>
              </w:rPr>
              <w:t>（</w:t>
            </w:r>
            <w:r>
              <w:rPr>
                <w:rFonts w:ascii="Times New Roman" w:hAnsi="Times New Roman" w:eastAsia="宋体" w:cs="Times New Roman"/>
                <w:sz w:val="24"/>
                <w:szCs w:val="24"/>
                <w:u w:val="single"/>
              </w:rPr>
              <w:t>From</w:t>
            </w:r>
            <w:r>
              <w:rPr>
                <w:rFonts w:ascii="Times New Roman" w:hAnsi="Times New Roman" w:eastAsia="宋体" w:cs="Times New Roman"/>
                <w:spacing w:val="15"/>
                <w:sz w:val="24"/>
                <w:szCs w:val="24"/>
                <w:u w:val="single"/>
              </w:rPr>
              <w:t>.</w:t>
            </w:r>
            <w:r>
              <w:rPr>
                <w:rFonts w:ascii="Times New Roman" w:hAnsi="Times New Roman" w:eastAsia="宋体" w:cs="Times New Roman"/>
                <w:spacing w:val="13"/>
                <w:sz w:val="24"/>
                <w:szCs w:val="24"/>
                <w:u w:val="single"/>
              </w:rPr>
              <w:t xml:space="preserve"> </w:t>
            </w:r>
            <w:r>
              <w:rPr>
                <w:rFonts w:ascii="Times New Roman" w:hAnsi="Times New Roman" w:eastAsia="宋体" w:cs="Times New Roman"/>
                <w:i/>
                <w:iCs/>
                <w:sz w:val="24"/>
                <w:szCs w:val="24"/>
                <w:u w:val="single"/>
              </w:rPr>
              <w:t>Rorippa</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cantoniensis</w:t>
            </w:r>
            <w:r>
              <w:rPr>
                <w:rFonts w:ascii="Times New Roman" w:hAnsi="Times New Roman" w:eastAsia="宋体" w:cs="Times New Roman"/>
                <w:spacing w:val="-1"/>
                <w:sz w:val="24"/>
                <w:szCs w:val="24"/>
                <w:u w:val="single"/>
              </w:rPr>
              <w:t xml:space="preserve"> </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等。常见植物有酢浆草</w:t>
            </w:r>
            <w:r>
              <w:rPr>
                <w:rFonts w:hint="eastAsia" w:ascii="Times New Roman" w:hAnsi="Times New Roman" w:eastAsia="宋体" w:cs="Times New Roman"/>
                <w:spacing w:val="-1"/>
                <w:sz w:val="24"/>
                <w:szCs w:val="24"/>
                <w:u w:val="single"/>
              </w:rPr>
              <w:t>（</w:t>
            </w:r>
            <w:r>
              <w:rPr>
                <w:rFonts w:ascii="Times New Roman" w:hAnsi="Times New Roman" w:eastAsia="宋体" w:cs="Times New Roman"/>
                <w:i/>
                <w:iCs/>
                <w:sz w:val="24"/>
                <w:szCs w:val="24"/>
                <w:u w:val="single"/>
              </w:rPr>
              <w:t>Oxalis</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z w:val="24"/>
                <w:szCs w:val="24"/>
                <w:u w:val="single"/>
              </w:rPr>
              <w:t>corniculata</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z w:val="24"/>
                <w:szCs w:val="24"/>
                <w:u w:val="single"/>
              </w:rPr>
              <w:t>铁苋菜</w:t>
            </w:r>
            <w:r>
              <w:rPr>
                <w:rFonts w:hint="eastAsia" w:ascii="Times New Roman" w:hAnsi="Times New Roman" w:eastAsia="宋体" w:cs="Times New Roman"/>
                <w:sz w:val="24"/>
                <w:szCs w:val="24"/>
                <w:u w:val="single"/>
              </w:rPr>
              <w:t>（</w:t>
            </w:r>
            <w:r>
              <w:rPr>
                <w:rFonts w:ascii="Times New Roman" w:hAnsi="Times New Roman" w:eastAsia="宋体" w:cs="Times New Roman"/>
                <w:i/>
                <w:iCs/>
                <w:sz w:val="24"/>
                <w:szCs w:val="24"/>
                <w:u w:val="single"/>
              </w:rPr>
              <w:t>Acalypha</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australis</w:t>
            </w:r>
            <w:r>
              <w:rPr>
                <w:rFonts w:ascii="Times New Roman" w:hAnsi="Times New Roman" w:eastAsia="宋体" w:cs="Times New Roman"/>
                <w:sz w:val="24"/>
                <w:szCs w:val="24"/>
                <w:u w:val="single"/>
              </w:rPr>
              <w:t xml:space="preserve"> )、</w:t>
            </w:r>
            <w:r>
              <w:rPr>
                <w:rFonts w:ascii="Times New Roman" w:hAnsi="Times New Roman" w:eastAsia="宋体" w:cs="Times New Roman"/>
                <w:spacing w:val="11"/>
                <w:sz w:val="24"/>
                <w:szCs w:val="24"/>
                <w:u w:val="single"/>
              </w:rPr>
              <w:t>一</w:t>
            </w:r>
            <w:r>
              <w:rPr>
                <w:rFonts w:ascii="Times New Roman" w:hAnsi="Times New Roman" w:eastAsia="宋体" w:cs="Times New Roman"/>
                <w:spacing w:val="6"/>
                <w:sz w:val="24"/>
                <w:szCs w:val="24"/>
                <w:u w:val="single"/>
              </w:rPr>
              <w:t>点红</w:t>
            </w:r>
            <w:r>
              <w:rPr>
                <w:rFonts w:hint="eastAsia" w:ascii="Times New Roman" w:hAnsi="Times New Roman" w:eastAsia="宋体" w:cs="Times New Roman"/>
                <w:spacing w:val="6"/>
                <w:sz w:val="24"/>
                <w:szCs w:val="24"/>
                <w:u w:val="single"/>
              </w:rPr>
              <w:t>（</w:t>
            </w:r>
            <w:r>
              <w:rPr>
                <w:rFonts w:ascii="Times New Roman" w:hAnsi="Times New Roman" w:eastAsia="宋体" w:cs="Times New Roman"/>
                <w:i/>
                <w:iCs/>
                <w:sz w:val="24"/>
                <w:szCs w:val="24"/>
                <w:u w:val="single"/>
              </w:rPr>
              <w:t>Emilia</w:t>
            </w:r>
            <w:r>
              <w:rPr>
                <w:rFonts w:ascii="Times New Roman" w:hAnsi="Times New Roman" w:eastAsia="宋体" w:cs="Times New Roman"/>
                <w:spacing w:val="6"/>
                <w:sz w:val="24"/>
                <w:szCs w:val="24"/>
                <w:u w:val="single"/>
              </w:rPr>
              <w:t xml:space="preserve"> </w:t>
            </w:r>
            <w:r>
              <w:rPr>
                <w:rFonts w:ascii="Times New Roman" w:hAnsi="Times New Roman" w:eastAsia="宋体" w:cs="Times New Roman"/>
                <w:i/>
                <w:iCs/>
                <w:sz w:val="24"/>
                <w:szCs w:val="24"/>
                <w:u w:val="single"/>
              </w:rPr>
              <w:t>sonchifolia</w:t>
            </w:r>
            <w:r>
              <w:rPr>
                <w:rFonts w:ascii="Times New Roman" w:hAnsi="Times New Roman" w:eastAsia="宋体" w:cs="Times New Roman"/>
                <w:spacing w:val="6"/>
                <w:sz w:val="24"/>
                <w:szCs w:val="24"/>
                <w:u w:val="single"/>
              </w:rPr>
              <w:t xml:space="preserve"> )、篱栏网</w:t>
            </w:r>
            <w:r>
              <w:rPr>
                <w:rFonts w:hint="eastAsia" w:ascii="Times New Roman" w:hAnsi="Times New Roman" w:eastAsia="宋体" w:cs="Times New Roman"/>
                <w:spacing w:val="6"/>
                <w:sz w:val="24"/>
                <w:szCs w:val="24"/>
                <w:u w:val="single"/>
              </w:rPr>
              <w:t>（</w:t>
            </w:r>
            <w:r>
              <w:rPr>
                <w:rFonts w:ascii="Times New Roman" w:hAnsi="Times New Roman" w:eastAsia="宋体" w:cs="Times New Roman"/>
                <w:i/>
                <w:iCs/>
                <w:sz w:val="24"/>
                <w:szCs w:val="24"/>
                <w:u w:val="single"/>
              </w:rPr>
              <w:t>Merremia</w:t>
            </w:r>
            <w:r>
              <w:rPr>
                <w:rFonts w:ascii="Times New Roman" w:hAnsi="Times New Roman" w:eastAsia="宋体" w:cs="Times New Roman"/>
                <w:spacing w:val="6"/>
                <w:sz w:val="24"/>
                <w:szCs w:val="24"/>
                <w:u w:val="single"/>
              </w:rPr>
              <w:t xml:space="preserve"> </w:t>
            </w:r>
            <w:r>
              <w:rPr>
                <w:rFonts w:ascii="Times New Roman" w:hAnsi="Times New Roman" w:eastAsia="宋体" w:cs="Times New Roman"/>
                <w:i/>
                <w:iCs/>
                <w:sz w:val="24"/>
                <w:szCs w:val="24"/>
                <w:u w:val="single"/>
              </w:rPr>
              <w:t>hederacea</w:t>
            </w:r>
            <w:r>
              <w:rPr>
                <w:rFonts w:ascii="Times New Roman" w:hAnsi="Times New Roman" w:eastAsia="宋体" w:cs="Times New Roman"/>
                <w:spacing w:val="6"/>
                <w:sz w:val="24"/>
                <w:szCs w:val="24"/>
                <w:u w:val="single"/>
              </w:rPr>
              <w:t xml:space="preserve"> )、蛇床</w:t>
            </w:r>
            <w:r>
              <w:rPr>
                <w:rFonts w:hint="eastAsia" w:ascii="Times New Roman" w:hAnsi="Times New Roman" w:eastAsia="宋体" w:cs="Times New Roman"/>
                <w:spacing w:val="6"/>
                <w:sz w:val="24"/>
                <w:szCs w:val="24"/>
                <w:u w:val="single"/>
              </w:rPr>
              <w:t>（</w:t>
            </w:r>
            <w:r>
              <w:rPr>
                <w:rFonts w:ascii="Times New Roman" w:hAnsi="Times New Roman" w:eastAsia="宋体" w:cs="Times New Roman"/>
                <w:i/>
                <w:iCs/>
                <w:sz w:val="24"/>
                <w:szCs w:val="24"/>
                <w:u w:val="single"/>
              </w:rPr>
              <w:t>Cnidium</w:t>
            </w:r>
            <w:r>
              <w:rPr>
                <w:rFonts w:ascii="Times New Roman" w:hAnsi="Times New Roman" w:eastAsia="宋体" w:cs="Times New Roman"/>
                <w:spacing w:val="6"/>
                <w:sz w:val="24"/>
                <w:szCs w:val="24"/>
                <w:u w:val="single"/>
              </w:rPr>
              <w:t xml:space="preserve"> </w:t>
            </w:r>
            <w:r>
              <w:rPr>
                <w:rFonts w:ascii="Times New Roman" w:hAnsi="Times New Roman" w:eastAsia="宋体" w:cs="Times New Roman"/>
                <w:i/>
                <w:iCs/>
                <w:sz w:val="24"/>
                <w:szCs w:val="24"/>
                <w:u w:val="single"/>
              </w:rPr>
              <w:t>monnieri</w:t>
            </w:r>
            <w:r>
              <w:rPr>
                <w:rFonts w:ascii="Times New Roman" w:hAnsi="Times New Roman" w:eastAsia="宋体" w:cs="Times New Roman"/>
                <w:spacing w:val="6"/>
                <w:sz w:val="24"/>
                <w:szCs w:val="24"/>
                <w:u w:val="single"/>
              </w:rPr>
              <w:t>)、皱</w:t>
            </w:r>
            <w:r>
              <w:rPr>
                <w:rFonts w:ascii="Times New Roman" w:hAnsi="Times New Roman" w:eastAsia="宋体" w:cs="Times New Roman"/>
                <w:spacing w:val="3"/>
                <w:sz w:val="24"/>
                <w:szCs w:val="24"/>
                <w:u w:val="single"/>
              </w:rPr>
              <w:t>叶酸模</w:t>
            </w:r>
            <w:r>
              <w:rPr>
                <w:rFonts w:hint="eastAsia" w:ascii="Times New Roman" w:hAnsi="Times New Roman" w:eastAsia="宋体" w:cs="Times New Roman"/>
                <w:spacing w:val="3"/>
                <w:sz w:val="24"/>
                <w:szCs w:val="24"/>
                <w:u w:val="single"/>
              </w:rPr>
              <w:t>（</w:t>
            </w:r>
            <w:r>
              <w:rPr>
                <w:rFonts w:ascii="Times New Roman" w:hAnsi="Times New Roman" w:eastAsia="宋体" w:cs="Times New Roman"/>
                <w:i/>
                <w:iCs/>
                <w:sz w:val="24"/>
                <w:szCs w:val="24"/>
                <w:u w:val="single"/>
              </w:rPr>
              <w:t>Rumex</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i/>
                <w:iCs/>
                <w:sz w:val="24"/>
                <w:szCs w:val="24"/>
                <w:u w:val="single"/>
              </w:rPr>
              <w:t>crispus</w:t>
            </w:r>
            <w:r>
              <w:rPr>
                <w:rFonts w:ascii="Times New Roman" w:hAnsi="Times New Roman" w:eastAsia="宋体" w:cs="Times New Roman"/>
                <w:spacing w:val="3"/>
                <w:sz w:val="24"/>
                <w:szCs w:val="24"/>
                <w:u w:val="single"/>
              </w:rPr>
              <w:t>)、沼生蔊菜</w:t>
            </w:r>
            <w:r>
              <w:rPr>
                <w:rFonts w:hint="eastAsia" w:ascii="Times New Roman" w:hAnsi="Times New Roman" w:eastAsia="宋体" w:cs="Times New Roman"/>
                <w:spacing w:val="3"/>
                <w:sz w:val="24"/>
                <w:szCs w:val="24"/>
                <w:u w:val="single"/>
              </w:rPr>
              <w:t>（</w:t>
            </w:r>
            <w:r>
              <w:rPr>
                <w:rFonts w:ascii="Times New Roman" w:hAnsi="Times New Roman" w:eastAsia="宋体" w:cs="Times New Roman"/>
                <w:i/>
                <w:iCs/>
                <w:sz w:val="24"/>
                <w:szCs w:val="24"/>
                <w:u w:val="single"/>
              </w:rPr>
              <w:t>Rorippa</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i/>
                <w:iCs/>
                <w:sz w:val="24"/>
                <w:szCs w:val="24"/>
                <w:u w:val="single"/>
              </w:rPr>
              <w:t>islandica</w:t>
            </w:r>
            <w:r>
              <w:rPr>
                <w:rFonts w:ascii="Times New Roman" w:hAnsi="Times New Roman" w:eastAsia="宋体" w:cs="Times New Roman"/>
                <w:spacing w:val="3"/>
                <w:sz w:val="24"/>
                <w:szCs w:val="24"/>
                <w:u w:val="single"/>
              </w:rPr>
              <w:t xml:space="preserve"> )、苍耳</w:t>
            </w:r>
            <w:r>
              <w:rPr>
                <w:rFonts w:hint="eastAsia" w:ascii="Times New Roman" w:hAnsi="Times New Roman" w:eastAsia="宋体" w:cs="Times New Roman"/>
                <w:spacing w:val="3"/>
                <w:sz w:val="24"/>
                <w:szCs w:val="24"/>
                <w:u w:val="single"/>
              </w:rPr>
              <w:t>（</w:t>
            </w:r>
            <w:r>
              <w:rPr>
                <w:rFonts w:ascii="Times New Roman" w:hAnsi="Times New Roman" w:eastAsia="宋体" w:cs="Times New Roman"/>
                <w:i/>
                <w:iCs/>
                <w:sz w:val="24"/>
                <w:szCs w:val="24"/>
                <w:u w:val="single"/>
              </w:rPr>
              <w:t>Xanthium</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i/>
                <w:iCs/>
                <w:sz w:val="24"/>
                <w:szCs w:val="24"/>
                <w:u w:val="single"/>
              </w:rPr>
              <w:t>strumarium</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宋体" w:cs="Times New Roman"/>
                <w:spacing w:val="26"/>
                <w:sz w:val="24"/>
                <w:szCs w:val="24"/>
                <w:u w:val="single"/>
              </w:rPr>
              <w:t>等</w:t>
            </w:r>
            <w:r>
              <w:rPr>
                <w:rFonts w:ascii="Times New Roman" w:hAnsi="Times New Roman" w:eastAsia="宋体" w:cs="Times New Roman"/>
                <w:spacing w:val="25"/>
                <w:sz w:val="24"/>
                <w:szCs w:val="24"/>
                <w:u w:val="single"/>
              </w:rPr>
              <w:t>。</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（2）</w:t>
            </w:r>
            <w:r>
              <w:rPr>
                <w:rFonts w:ascii="Times New Roman" w:hAnsi="Times New Roman" w:eastAsia="宋体" w:cs="Times New Roman"/>
                <w:spacing w:val="20"/>
                <w:sz w:val="24"/>
                <w:szCs w:val="24"/>
                <w:u w:val="single"/>
              </w:rPr>
              <w:t>动物现</w:t>
            </w:r>
            <w:r>
              <w:rPr>
                <w:rFonts w:ascii="Times New Roman" w:hAnsi="Times New Roman" w:eastAsia="宋体" w:cs="Times New Roman"/>
                <w:spacing w:val="19"/>
                <w:sz w:val="24"/>
                <w:szCs w:val="24"/>
                <w:u w:val="single"/>
              </w:rPr>
              <w:t>状</w:t>
            </w:r>
          </w:p>
          <w:p>
            <w:pPr>
              <w:tabs>
                <w:tab w:val="left" w:pos="177"/>
              </w:tabs>
              <w:spacing w:line="360" w:lineRule="auto"/>
              <w:ind w:firstLine="576" w:firstLineChars="200"/>
              <w:rPr>
                <w:rFonts w:ascii="Times New Roman" w:hAnsi="Times New Roman"/>
                <w:sz w:val="24"/>
                <w:u w:val="single"/>
              </w:rPr>
            </w:pPr>
            <w:r>
              <w:rPr>
                <w:rFonts w:ascii="Times New Roman" w:hAnsi="Times New Roman" w:eastAsia="宋体" w:cs="Times New Roman"/>
                <w:spacing w:val="24"/>
                <w:sz w:val="24"/>
                <w:szCs w:val="24"/>
                <w:u w:val="single"/>
              </w:rPr>
              <w:t>规划区域草地生态系统常见的动物主要有中华蟾蜍、饰纹姬蛙、泽陆</w:t>
            </w:r>
            <w:r>
              <w:rPr>
                <w:rFonts w:ascii="Times New Roman" w:hAnsi="Times New Roman" w:eastAsia="宋体" w:cs="Times New Roman"/>
                <w:spacing w:val="21"/>
                <w:sz w:val="24"/>
                <w:szCs w:val="24"/>
                <w:u w:val="single"/>
              </w:rPr>
              <w:t>蛙</w:t>
            </w:r>
            <w:r>
              <w:rPr>
                <w:rFonts w:ascii="Times New Roman" w:hAnsi="Times New Roman" w:eastAsia="宋体" w:cs="Times New Roman"/>
                <w:sz w:val="24"/>
                <w:szCs w:val="24"/>
                <w:u w:val="single"/>
              </w:rPr>
              <w:tab/>
            </w:r>
            <w:r>
              <w:rPr>
                <w:rFonts w:ascii="Times New Roman" w:hAnsi="Times New Roman" w:eastAsia="宋体" w:cs="Times New Roman"/>
                <w:spacing w:val="10"/>
                <w:sz w:val="24"/>
                <w:szCs w:val="24"/>
                <w:u w:val="single"/>
              </w:rPr>
              <w:t>(</w:t>
            </w:r>
            <w:r>
              <w:rPr>
                <w:rFonts w:ascii="Times New Roman" w:hAnsi="Times New Roman" w:eastAsia="宋体" w:cs="Times New Roman"/>
                <w:i/>
                <w:iCs/>
                <w:sz w:val="24"/>
                <w:szCs w:val="24"/>
                <w:u w:val="single"/>
              </w:rPr>
              <w:t>Fejervarya</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i/>
                <w:iCs/>
                <w:sz w:val="24"/>
                <w:szCs w:val="24"/>
                <w:u w:val="single"/>
              </w:rPr>
              <w:t>multistriata</w:t>
            </w:r>
            <w:r>
              <w:rPr>
                <w:rFonts w:ascii="Times New Roman" w:hAnsi="Times New Roman" w:eastAsia="宋体" w:cs="Times New Roman"/>
                <w:spacing w:val="10"/>
                <w:sz w:val="24"/>
                <w:szCs w:val="24"/>
                <w:u w:val="single"/>
              </w:rPr>
              <w:t xml:space="preserve"> )、白鹭、红脚田鸡</w:t>
            </w:r>
            <w:r>
              <w:rPr>
                <w:rFonts w:hint="eastAsia" w:ascii="Times New Roman" w:hAnsi="Times New Roman" w:eastAsia="宋体" w:cs="Times New Roman"/>
                <w:spacing w:val="10"/>
                <w:sz w:val="24"/>
                <w:szCs w:val="24"/>
                <w:u w:val="single"/>
              </w:rPr>
              <w:t>（</w:t>
            </w:r>
            <w:r>
              <w:rPr>
                <w:rFonts w:ascii="Times New Roman" w:hAnsi="Times New Roman" w:eastAsia="宋体" w:cs="Times New Roman"/>
                <w:i/>
                <w:iCs/>
                <w:sz w:val="24"/>
                <w:szCs w:val="24"/>
                <w:u w:val="single"/>
              </w:rPr>
              <w:t>Zapornia</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i/>
                <w:iCs/>
                <w:sz w:val="24"/>
                <w:szCs w:val="24"/>
                <w:u w:val="single"/>
              </w:rPr>
              <w:t>akool</w:t>
            </w:r>
            <w:r>
              <w:rPr>
                <w:rFonts w:ascii="Times New Roman" w:hAnsi="Times New Roman" w:eastAsia="宋体" w:cs="Times New Roman"/>
                <w:spacing w:val="10"/>
                <w:sz w:val="24"/>
                <w:szCs w:val="24"/>
                <w:u w:val="single"/>
              </w:rPr>
              <w:t>) 、丝光椋鸟、珠</w:t>
            </w:r>
            <w:r>
              <w:rPr>
                <w:rFonts w:ascii="Times New Roman" w:hAnsi="Times New Roman" w:eastAsia="宋体" w:cs="Times New Roman"/>
                <w:spacing w:val="9"/>
                <w:sz w:val="24"/>
                <w:szCs w:val="24"/>
                <w:u w:val="single"/>
              </w:rPr>
              <w:t>颈</w:t>
            </w:r>
            <w:r>
              <w:rPr>
                <w:rFonts w:ascii="Times New Roman" w:hAnsi="Times New Roman" w:eastAsia="宋体" w:cs="Times New Roman"/>
                <w:spacing w:val="20"/>
                <w:sz w:val="24"/>
                <w:szCs w:val="24"/>
                <w:u w:val="single"/>
              </w:rPr>
              <w:t>斑鸠</w:t>
            </w:r>
            <w:r>
              <w:rPr>
                <w:rFonts w:hint="eastAsia" w:ascii="Times New Roman" w:hAnsi="Times New Roman" w:eastAsia="宋体" w:cs="Times New Roman"/>
                <w:spacing w:val="20"/>
                <w:sz w:val="24"/>
                <w:szCs w:val="24"/>
                <w:u w:val="single"/>
              </w:rPr>
              <w:t>（</w:t>
            </w:r>
            <w:r>
              <w:rPr>
                <w:rFonts w:ascii="Times New Roman" w:hAnsi="Times New Roman" w:eastAsia="宋体" w:cs="Times New Roman"/>
                <w:i/>
                <w:iCs/>
                <w:sz w:val="24"/>
                <w:szCs w:val="24"/>
                <w:u w:val="single"/>
              </w:rPr>
              <w:t>Streptopelia</w:t>
            </w:r>
            <w:r>
              <w:rPr>
                <w:rFonts w:ascii="Times New Roman" w:hAnsi="Times New Roman" w:eastAsia="宋体" w:cs="Times New Roman"/>
                <w:spacing w:val="20"/>
                <w:sz w:val="24"/>
                <w:szCs w:val="24"/>
                <w:u w:val="single"/>
              </w:rPr>
              <w:t xml:space="preserve"> </w:t>
            </w:r>
            <w:r>
              <w:rPr>
                <w:rFonts w:ascii="Times New Roman" w:hAnsi="Times New Roman" w:eastAsia="宋体" w:cs="Times New Roman"/>
                <w:i/>
                <w:iCs/>
                <w:sz w:val="24"/>
                <w:szCs w:val="24"/>
                <w:u w:val="single"/>
              </w:rPr>
              <w:t>chinensis</w:t>
            </w:r>
            <w:r>
              <w:rPr>
                <w:rFonts w:ascii="Times New Roman" w:hAnsi="Times New Roman" w:eastAsia="宋体" w:cs="Times New Roman"/>
                <w:spacing w:val="20"/>
                <w:sz w:val="24"/>
                <w:szCs w:val="24"/>
                <w:u w:val="single"/>
              </w:rPr>
              <w:t xml:space="preserve"> )、八哥</w:t>
            </w:r>
            <w:r>
              <w:rPr>
                <w:rFonts w:hint="eastAsia" w:ascii="Times New Roman" w:hAnsi="Times New Roman" w:eastAsia="宋体" w:cs="Times New Roman"/>
                <w:spacing w:val="20"/>
                <w:sz w:val="24"/>
                <w:szCs w:val="24"/>
                <w:u w:val="single"/>
              </w:rPr>
              <w:t>（</w:t>
            </w:r>
            <w:r>
              <w:rPr>
                <w:rFonts w:ascii="Times New Roman" w:hAnsi="Times New Roman" w:eastAsia="宋体" w:cs="Times New Roman"/>
                <w:i/>
                <w:iCs/>
                <w:sz w:val="24"/>
                <w:szCs w:val="24"/>
                <w:u w:val="single"/>
              </w:rPr>
              <w:t>Acridotheres</w:t>
            </w:r>
            <w:r>
              <w:rPr>
                <w:rFonts w:ascii="Times New Roman" w:hAnsi="Times New Roman" w:eastAsia="宋体" w:cs="Times New Roman"/>
                <w:spacing w:val="20"/>
                <w:sz w:val="24"/>
                <w:szCs w:val="24"/>
                <w:u w:val="single"/>
              </w:rPr>
              <w:t xml:space="preserve"> </w:t>
            </w:r>
            <w:r>
              <w:rPr>
                <w:rFonts w:ascii="Times New Roman" w:hAnsi="Times New Roman" w:eastAsia="宋体" w:cs="Times New Roman"/>
                <w:i/>
                <w:iCs/>
                <w:sz w:val="24"/>
                <w:szCs w:val="24"/>
                <w:u w:val="single"/>
              </w:rPr>
              <w:t>cristatellus</w:t>
            </w:r>
            <w:r>
              <w:rPr>
                <w:rFonts w:ascii="Times New Roman" w:hAnsi="Times New Roman" w:eastAsia="宋体" w:cs="Times New Roman"/>
                <w:spacing w:val="20"/>
                <w:sz w:val="24"/>
                <w:szCs w:val="24"/>
                <w:u w:val="single"/>
              </w:rPr>
              <w:t xml:space="preserve"> )、乌鸫</w:t>
            </w:r>
            <w:r>
              <w:rPr>
                <w:rFonts w:hint="eastAsia" w:ascii="Times New Roman" w:hAnsi="Times New Roman" w:eastAsia="宋体" w:cs="Times New Roman"/>
                <w:spacing w:val="20"/>
                <w:sz w:val="24"/>
                <w:szCs w:val="24"/>
                <w:u w:val="single"/>
              </w:rPr>
              <w:t>（</w:t>
            </w:r>
            <w:r>
              <w:rPr>
                <w:rFonts w:ascii="Times New Roman" w:hAnsi="Times New Roman" w:eastAsia="宋体" w:cs="Times New Roman"/>
                <w:spacing w:val="18"/>
                <w:sz w:val="24"/>
                <w:szCs w:val="24"/>
                <w:u w:val="single"/>
              </w:rPr>
              <w:t xml:space="preserve"> </w:t>
            </w:r>
            <w:r>
              <w:rPr>
                <w:rFonts w:ascii="Times New Roman" w:hAnsi="Times New Roman" w:eastAsia="宋体" w:cs="Times New Roman"/>
                <w:i/>
                <w:iCs/>
                <w:sz w:val="24"/>
                <w:szCs w:val="24"/>
                <w:u w:val="single"/>
              </w:rPr>
              <w:t>Turdus</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mandarinus</w:t>
            </w:r>
            <w:r>
              <w:rPr>
                <w:rFonts w:ascii="Times New Roman" w:hAnsi="Times New Roman" w:eastAsia="宋体" w:cs="Times New Roman"/>
                <w:spacing w:val="8"/>
                <w:sz w:val="24"/>
                <w:szCs w:val="24"/>
                <w:u w:val="single"/>
              </w:rPr>
              <w:t>)</w:t>
            </w:r>
            <w:r>
              <w:rPr>
                <w:rFonts w:ascii="Times New Roman" w:hAnsi="Times New Roman" w:eastAsia="宋体" w:cs="Times New Roman"/>
                <w:spacing w:val="6"/>
                <w:sz w:val="24"/>
                <w:szCs w:val="24"/>
                <w:u w:val="single"/>
              </w:rPr>
              <w:t>、</w:t>
            </w:r>
            <w:r>
              <w:rPr>
                <w:rFonts w:ascii="Times New Roman" w:hAnsi="Times New Roman" w:eastAsia="宋体" w:cs="Times New Roman"/>
                <w:spacing w:val="4"/>
                <w:sz w:val="24"/>
                <w:szCs w:val="24"/>
                <w:u w:val="single"/>
              </w:rPr>
              <w:t>戴胜</w:t>
            </w:r>
            <w:r>
              <w:rPr>
                <w:rFonts w:hint="eastAsia" w:ascii="Times New Roman" w:hAnsi="Times New Roman" w:eastAsia="宋体" w:cs="Times New Roman"/>
                <w:spacing w:val="4"/>
                <w:sz w:val="24"/>
                <w:szCs w:val="24"/>
                <w:u w:val="single"/>
              </w:rPr>
              <w:t>（</w:t>
            </w:r>
            <w:r>
              <w:rPr>
                <w:rFonts w:ascii="Times New Roman" w:hAnsi="Times New Roman" w:eastAsia="宋体" w:cs="Times New Roman"/>
                <w:i/>
                <w:iCs/>
                <w:sz w:val="24"/>
                <w:szCs w:val="24"/>
                <w:u w:val="single"/>
              </w:rPr>
              <w:t>Upupa</w:t>
            </w:r>
            <w:r>
              <w:rPr>
                <w:rFonts w:ascii="Times New Roman" w:hAnsi="Times New Roman" w:eastAsia="宋体" w:cs="Times New Roman"/>
                <w:spacing w:val="4"/>
                <w:sz w:val="24"/>
                <w:szCs w:val="24"/>
                <w:u w:val="single"/>
              </w:rPr>
              <w:t xml:space="preserve"> </w:t>
            </w:r>
            <w:r>
              <w:rPr>
                <w:rFonts w:ascii="Times New Roman" w:hAnsi="Times New Roman" w:eastAsia="宋体" w:cs="Times New Roman"/>
                <w:i/>
                <w:iCs/>
                <w:sz w:val="24"/>
                <w:szCs w:val="24"/>
                <w:u w:val="single"/>
              </w:rPr>
              <w:t>epops</w:t>
            </w:r>
            <w:r>
              <w:rPr>
                <w:rFonts w:ascii="Times New Roman" w:hAnsi="Times New Roman" w:eastAsia="宋体" w:cs="Times New Roman"/>
                <w:spacing w:val="4"/>
                <w:sz w:val="24"/>
                <w:szCs w:val="24"/>
                <w:u w:val="single"/>
              </w:rPr>
              <w:t>)、斑文鸟</w:t>
            </w:r>
            <w:r>
              <w:rPr>
                <w:rFonts w:hint="eastAsia" w:ascii="Times New Roman" w:hAnsi="Times New Roman" w:eastAsia="宋体" w:cs="Times New Roman"/>
                <w:spacing w:val="4"/>
                <w:sz w:val="24"/>
                <w:szCs w:val="24"/>
                <w:u w:val="single"/>
              </w:rPr>
              <w:t>（</w:t>
            </w:r>
            <w:r>
              <w:rPr>
                <w:rFonts w:ascii="Times New Roman" w:hAnsi="Times New Roman" w:eastAsia="宋体" w:cs="Times New Roman"/>
                <w:i/>
                <w:iCs/>
                <w:sz w:val="24"/>
                <w:szCs w:val="24"/>
                <w:u w:val="single"/>
              </w:rPr>
              <w:t>Lonchura</w:t>
            </w:r>
            <w:r>
              <w:rPr>
                <w:rFonts w:ascii="Times New Roman" w:hAnsi="Times New Roman" w:eastAsia="宋体" w:cs="Times New Roman"/>
                <w:spacing w:val="4"/>
                <w:sz w:val="24"/>
                <w:szCs w:val="24"/>
                <w:u w:val="single"/>
              </w:rPr>
              <w:t xml:space="preserve"> </w:t>
            </w:r>
            <w:r>
              <w:rPr>
                <w:rFonts w:ascii="Times New Roman" w:hAnsi="Times New Roman" w:eastAsia="宋体" w:cs="Times New Roman"/>
                <w:i/>
                <w:iCs/>
                <w:sz w:val="24"/>
                <w:szCs w:val="24"/>
                <w:u w:val="single"/>
              </w:rPr>
              <w:t>punctulata</w:t>
            </w:r>
            <w:r>
              <w:rPr>
                <w:rFonts w:ascii="Times New Roman" w:hAnsi="Times New Roman" w:eastAsia="宋体" w:cs="Times New Roman"/>
                <w:spacing w:val="4"/>
                <w:sz w:val="24"/>
                <w:szCs w:val="24"/>
                <w:u w:val="single"/>
              </w:rPr>
              <w:t xml:space="preserve"> )、白鹡鸰</w:t>
            </w:r>
            <w:r>
              <w:rPr>
                <w:rFonts w:hint="eastAsia" w:ascii="Times New Roman" w:hAnsi="Times New Roman" w:eastAsia="宋体" w:cs="Times New Roman"/>
                <w:spacing w:val="4"/>
                <w:sz w:val="24"/>
                <w:szCs w:val="24"/>
                <w:u w:val="single"/>
              </w:rPr>
              <w:t>（</w:t>
            </w:r>
            <w:r>
              <w:rPr>
                <w:rFonts w:ascii="Times New Roman" w:hAnsi="Times New Roman" w:eastAsia="宋体" w:cs="Times New Roman"/>
                <w:i/>
                <w:iCs/>
                <w:sz w:val="24"/>
                <w:szCs w:val="24"/>
                <w:u w:val="single"/>
              </w:rPr>
              <w:t>Motacilla</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alba</w:t>
            </w:r>
            <w:r>
              <w:rPr>
                <w:rFonts w:ascii="Times New Roman" w:hAnsi="Times New Roman" w:eastAsia="宋体" w:cs="Times New Roman"/>
                <w:spacing w:val="10"/>
                <w:sz w:val="24"/>
                <w:szCs w:val="24"/>
                <w:u w:val="single"/>
              </w:rPr>
              <w:t xml:space="preserve"> )</w:t>
            </w:r>
            <w:r>
              <w:rPr>
                <w:rFonts w:ascii="Times New Roman" w:hAnsi="Times New Roman" w:eastAsia="宋体" w:cs="Times New Roman"/>
                <w:spacing w:val="5"/>
                <w:sz w:val="24"/>
                <w:szCs w:val="24"/>
                <w:u w:val="single"/>
              </w:rPr>
              <w:t>、鹊鸲</w:t>
            </w:r>
            <w:r>
              <w:rPr>
                <w:rFonts w:hint="eastAsia" w:ascii="Times New Roman" w:hAnsi="Times New Roman" w:eastAsia="宋体" w:cs="Times New Roman"/>
                <w:spacing w:val="5"/>
                <w:sz w:val="24"/>
                <w:szCs w:val="24"/>
                <w:u w:val="single"/>
              </w:rPr>
              <w:t>（</w:t>
            </w:r>
            <w:r>
              <w:rPr>
                <w:rFonts w:ascii="Times New Roman" w:hAnsi="Times New Roman" w:eastAsia="宋体" w:cs="Times New Roman"/>
                <w:i/>
                <w:iCs/>
                <w:sz w:val="24"/>
                <w:szCs w:val="24"/>
                <w:u w:val="single"/>
              </w:rPr>
              <w:t>Copsychus</w:t>
            </w:r>
            <w:r>
              <w:rPr>
                <w:rFonts w:ascii="Times New Roman" w:hAnsi="Times New Roman" w:eastAsia="宋体" w:cs="Times New Roman"/>
                <w:spacing w:val="5"/>
                <w:sz w:val="24"/>
                <w:szCs w:val="24"/>
                <w:u w:val="single"/>
              </w:rPr>
              <w:t xml:space="preserve"> </w:t>
            </w:r>
            <w:r>
              <w:rPr>
                <w:rFonts w:ascii="Times New Roman" w:hAnsi="Times New Roman" w:eastAsia="宋体" w:cs="Times New Roman"/>
                <w:i/>
                <w:iCs/>
                <w:sz w:val="24"/>
                <w:szCs w:val="24"/>
                <w:u w:val="single"/>
              </w:rPr>
              <w:t>saularis</w:t>
            </w:r>
            <w:r>
              <w:rPr>
                <w:rFonts w:ascii="Times New Roman" w:hAnsi="Times New Roman" w:eastAsia="宋体" w:cs="Times New Roman"/>
                <w:spacing w:val="5"/>
                <w:sz w:val="24"/>
                <w:szCs w:val="24"/>
                <w:u w:val="single"/>
              </w:rPr>
              <w:t xml:space="preserve"> )、棕头鸦雀、麻雀等。</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position w:val="1"/>
                <w:sz w:val="24"/>
                <w:szCs w:val="24"/>
                <w:u w:val="single"/>
              </w:rPr>
              <w:t>二</w:t>
            </w:r>
            <w:r>
              <w:rPr>
                <w:rFonts w:ascii="Times New Roman" w:hAnsi="Times New Roman" w:eastAsia="宋体" w:cs="Times New Roman"/>
                <w:spacing w:val="8"/>
                <w:position w:val="1"/>
                <w:sz w:val="24"/>
                <w:szCs w:val="24"/>
                <w:u w:val="single"/>
              </w:rPr>
              <w:t>、生态系统功能</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草地</w:t>
            </w:r>
            <w:r>
              <w:rPr>
                <w:rFonts w:ascii="Times New Roman" w:hAnsi="Times New Roman" w:eastAsia="宋体" w:cs="Times New Roman"/>
                <w:spacing w:val="13"/>
                <w:sz w:val="24"/>
                <w:szCs w:val="24"/>
                <w:u w:val="single"/>
              </w:rPr>
              <w:t>生</w:t>
            </w:r>
            <w:r>
              <w:rPr>
                <w:rFonts w:ascii="Times New Roman" w:hAnsi="Times New Roman" w:eastAsia="宋体" w:cs="Times New Roman"/>
                <w:spacing w:val="9"/>
                <w:sz w:val="24"/>
                <w:szCs w:val="24"/>
                <w:u w:val="single"/>
              </w:rPr>
              <w:t>态系统在植被组成上来看，以草丛为主，为森林破坏后的次生类型。草</w:t>
            </w:r>
            <w:r>
              <w:rPr>
                <w:rFonts w:ascii="Times New Roman" w:hAnsi="Times New Roman" w:eastAsia="宋体" w:cs="Times New Roman"/>
                <w:spacing w:val="18"/>
                <w:sz w:val="24"/>
                <w:szCs w:val="24"/>
                <w:u w:val="single"/>
              </w:rPr>
              <w:t>地生</w:t>
            </w:r>
            <w:r>
              <w:rPr>
                <w:rFonts w:ascii="Times New Roman" w:hAnsi="Times New Roman" w:eastAsia="宋体" w:cs="Times New Roman"/>
                <w:spacing w:val="17"/>
                <w:sz w:val="24"/>
                <w:szCs w:val="24"/>
                <w:u w:val="single"/>
              </w:rPr>
              <w:t>态</w:t>
            </w:r>
            <w:r>
              <w:rPr>
                <w:rFonts w:ascii="Times New Roman" w:hAnsi="Times New Roman" w:eastAsia="宋体" w:cs="Times New Roman"/>
                <w:spacing w:val="9"/>
                <w:sz w:val="24"/>
                <w:szCs w:val="24"/>
                <w:u w:val="single"/>
              </w:rPr>
              <w:t>系统相比森林生态系统的空间结构和营养链式结构简单，其生态服务功能主</w:t>
            </w:r>
            <w:r>
              <w:rPr>
                <w:rFonts w:ascii="Times New Roman" w:hAnsi="Times New Roman" w:eastAsia="宋体" w:cs="Times New Roman"/>
                <w:spacing w:val="16"/>
                <w:sz w:val="24"/>
                <w:szCs w:val="24"/>
                <w:u w:val="single"/>
              </w:rPr>
              <w:t>要</w:t>
            </w:r>
            <w:r>
              <w:rPr>
                <w:rFonts w:ascii="Times New Roman" w:hAnsi="Times New Roman" w:eastAsia="宋体" w:cs="Times New Roman"/>
                <w:spacing w:val="9"/>
                <w:sz w:val="24"/>
                <w:szCs w:val="24"/>
                <w:u w:val="single"/>
              </w:rPr>
              <w:t>有</w:t>
            </w:r>
            <w:r>
              <w:rPr>
                <w:rFonts w:ascii="Times New Roman" w:hAnsi="Times New Roman" w:eastAsia="宋体" w:cs="Times New Roman"/>
                <w:spacing w:val="8"/>
                <w:sz w:val="24"/>
                <w:szCs w:val="24"/>
                <w:u w:val="single"/>
              </w:rPr>
              <w:t>保育土壤、净化空气等功能。</w:t>
            </w:r>
          </w:p>
          <w:p>
            <w:pPr>
              <w:spacing w:line="360" w:lineRule="auto"/>
              <w:ind w:firstLine="480" w:firstLineChars="200"/>
              <w:rPr>
                <w:rFonts w:ascii="Times New Roman" w:hAnsi="Times New Roman"/>
                <w:b/>
                <w:bCs/>
                <w:sz w:val="24"/>
                <w:u w:val="single"/>
              </w:rPr>
            </w:pPr>
            <w:r>
              <w:rPr>
                <w:rFonts w:hint="eastAsia" w:ascii="Times New Roman" w:hAnsi="Times New Roman" w:cs="Times New Roman"/>
                <w:b/>
                <w:bCs/>
                <w:sz w:val="24"/>
                <w:szCs w:val="24"/>
                <w:u w:val="single"/>
              </w:rPr>
              <w:t>1.1.4、</w:t>
            </w:r>
            <w:r>
              <w:rPr>
                <w:rFonts w:ascii="Times New Roman" w:hAnsi="Times New Roman" w:cs="Times New Roman"/>
                <w:b/>
                <w:bCs/>
                <w:sz w:val="24"/>
                <w:szCs w:val="24"/>
                <w:u w:val="single"/>
              </w:rPr>
              <w:t>湿地生态系统</w:t>
            </w:r>
          </w:p>
          <w:p>
            <w:pPr>
              <w:spacing w:line="360" w:lineRule="auto"/>
              <w:ind w:firstLine="488" w:firstLineChars="200"/>
              <w:rPr>
                <w:rFonts w:ascii="Times New Roman" w:hAnsi="Times New Roman"/>
                <w:sz w:val="24"/>
                <w:u w:val="single"/>
              </w:rPr>
            </w:pPr>
            <w:r>
              <w:rPr>
                <w:rFonts w:ascii="Times New Roman" w:hAnsi="Times New Roman" w:eastAsia="宋体" w:cs="Times New Roman"/>
                <w:spacing w:val="2"/>
                <w:sz w:val="24"/>
                <w:szCs w:val="24"/>
                <w:u w:val="single"/>
              </w:rPr>
              <w:t xml:space="preserve">根据卫片解译，评价区湿地生态系统面积为1446 </w:t>
            </w:r>
            <w:r>
              <w:rPr>
                <w:rFonts w:ascii="Times New Roman" w:hAnsi="Times New Roman" w:eastAsia="宋体" w:cs="Times New Roman"/>
                <w:sz w:val="24"/>
                <w:szCs w:val="24"/>
                <w:u w:val="single"/>
              </w:rPr>
              <w:t>hm</w:t>
            </w:r>
            <w:r>
              <w:rPr>
                <w:rFonts w:hint="eastAsia" w:ascii="Times New Roman" w:hAnsi="Times New Roman" w:eastAsia="宋体" w:cs="Times New Roman"/>
                <w:sz w:val="24"/>
                <w:szCs w:val="24"/>
                <w:u w:val="single"/>
                <w:vertAlign w:val="superscript"/>
              </w:rPr>
              <w:t>2</w:t>
            </w:r>
            <w:r>
              <w:rPr>
                <w:rFonts w:ascii="Times New Roman" w:hAnsi="Times New Roman" w:eastAsia="宋体" w:cs="Times New Roman"/>
                <w:spacing w:val="2"/>
                <w:sz w:val="24"/>
                <w:szCs w:val="24"/>
                <w:u w:val="single"/>
              </w:rPr>
              <w:t>，占总面积的 44.5</w:t>
            </w:r>
            <w:r>
              <w:rPr>
                <w:rFonts w:ascii="Times New Roman" w:hAnsi="Times New Roman" w:eastAsia="宋体" w:cs="Times New Roman"/>
                <w:spacing w:val="1"/>
                <w:sz w:val="24"/>
                <w:szCs w:val="24"/>
                <w:u w:val="single"/>
              </w:rPr>
              <w:t>9</w:t>
            </w:r>
            <w:r>
              <w:rPr>
                <w:rFonts w:ascii="Times New Roman" w:hAnsi="Times New Roman" w:eastAsia="宋体" w:cs="Times New Roman"/>
                <w:sz w:val="24"/>
                <w:szCs w:val="24"/>
                <w:u w:val="single"/>
              </w:rPr>
              <w:t>%，在</w:t>
            </w:r>
            <w:r>
              <w:rPr>
                <w:rFonts w:ascii="Times New Roman" w:hAnsi="Times New Roman" w:eastAsia="宋体" w:cs="Times New Roman"/>
                <w:spacing w:val="16"/>
                <w:sz w:val="24"/>
                <w:szCs w:val="24"/>
                <w:u w:val="single"/>
              </w:rPr>
              <w:t>所</w:t>
            </w:r>
            <w:r>
              <w:rPr>
                <w:rFonts w:ascii="Times New Roman" w:hAnsi="Times New Roman" w:eastAsia="宋体" w:cs="Times New Roman"/>
                <w:spacing w:val="8"/>
                <w:sz w:val="24"/>
                <w:szCs w:val="24"/>
                <w:u w:val="single"/>
              </w:rPr>
              <w:t>有生态系统中面积占比最大。</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position w:val="2"/>
                <w:sz w:val="24"/>
                <w:szCs w:val="24"/>
                <w:u w:val="single"/>
              </w:rPr>
              <w:t>一</w:t>
            </w:r>
            <w:r>
              <w:rPr>
                <w:rFonts w:ascii="Times New Roman" w:hAnsi="Times New Roman" w:eastAsia="宋体" w:cs="Times New Roman"/>
                <w:spacing w:val="8"/>
                <w:position w:val="2"/>
                <w:sz w:val="24"/>
                <w:szCs w:val="24"/>
                <w:u w:val="single"/>
              </w:rPr>
              <w:t>、生态系统结构</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（1）</w:t>
            </w:r>
            <w:r>
              <w:rPr>
                <w:rFonts w:ascii="Times New Roman" w:hAnsi="Times New Roman" w:eastAsia="宋体" w:cs="Times New Roman"/>
                <w:spacing w:val="20"/>
                <w:sz w:val="24"/>
                <w:szCs w:val="24"/>
                <w:u w:val="single"/>
              </w:rPr>
              <w:t>植被现</w:t>
            </w:r>
            <w:r>
              <w:rPr>
                <w:rFonts w:ascii="Times New Roman" w:hAnsi="Times New Roman" w:eastAsia="宋体" w:cs="Times New Roman"/>
                <w:spacing w:val="19"/>
                <w:sz w:val="24"/>
                <w:szCs w:val="24"/>
                <w:u w:val="single"/>
              </w:rPr>
              <w:t>状</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评价</w:t>
            </w:r>
            <w:r>
              <w:rPr>
                <w:rFonts w:ascii="Times New Roman" w:hAnsi="Times New Roman" w:eastAsia="宋体" w:cs="Times New Roman"/>
                <w:spacing w:val="16"/>
                <w:sz w:val="24"/>
                <w:szCs w:val="24"/>
                <w:u w:val="single"/>
              </w:rPr>
              <w:t>区</w:t>
            </w:r>
            <w:r>
              <w:rPr>
                <w:rFonts w:ascii="Times New Roman" w:hAnsi="Times New Roman" w:eastAsia="宋体" w:cs="Times New Roman"/>
                <w:spacing w:val="9"/>
                <w:sz w:val="24"/>
                <w:szCs w:val="24"/>
                <w:u w:val="single"/>
              </w:rPr>
              <w:t>湿地生态系统内植被以沼泽和水生植被为主，其多分布于</w:t>
            </w:r>
            <w:r>
              <w:rPr>
                <w:rFonts w:hint="eastAsia" w:ascii="Times New Roman" w:hAnsi="Times New Roman" w:eastAsia="宋体" w:cs="Times New Roman"/>
                <w:spacing w:val="9"/>
                <w:sz w:val="24"/>
                <w:szCs w:val="24"/>
                <w:u w:val="single"/>
              </w:rPr>
              <w:t>鼻湖中</w:t>
            </w:r>
            <w:r>
              <w:rPr>
                <w:rFonts w:ascii="Times New Roman" w:hAnsi="Times New Roman" w:eastAsia="宋体" w:cs="Times New Roman"/>
                <w:spacing w:val="9"/>
                <w:sz w:val="24"/>
                <w:szCs w:val="24"/>
                <w:u w:val="single"/>
              </w:rPr>
              <w:t>及</w:t>
            </w:r>
            <w:r>
              <w:rPr>
                <w:rFonts w:ascii="Times New Roman" w:hAnsi="Times New Roman" w:eastAsia="宋体" w:cs="Times New Roman"/>
                <w:spacing w:val="3"/>
                <w:sz w:val="24"/>
                <w:szCs w:val="24"/>
                <w:u w:val="single"/>
              </w:rPr>
              <w:t>周边水域，常见的群系有芦苇群系</w:t>
            </w:r>
            <w:r>
              <w:rPr>
                <w:rFonts w:hint="eastAsia" w:ascii="Times New Roman" w:hAnsi="Times New Roman" w:eastAsia="宋体" w:cs="Times New Roman"/>
                <w:spacing w:val="3"/>
                <w:sz w:val="24"/>
                <w:szCs w:val="24"/>
                <w:u w:val="single"/>
              </w:rPr>
              <w:t>（</w:t>
            </w:r>
            <w:r>
              <w:rPr>
                <w:rFonts w:ascii="Times New Roman" w:hAnsi="Times New Roman" w:eastAsia="宋体" w:cs="Times New Roman"/>
                <w:sz w:val="24"/>
                <w:szCs w:val="24"/>
                <w:u w:val="single"/>
              </w:rPr>
              <w:t>Form</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i/>
                <w:iCs/>
                <w:sz w:val="24"/>
                <w:szCs w:val="24"/>
                <w:u w:val="single"/>
              </w:rPr>
              <w:t>Phragmites</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i/>
                <w:iCs/>
                <w:sz w:val="24"/>
                <w:szCs w:val="24"/>
                <w:u w:val="single"/>
              </w:rPr>
              <w:t>australis</w:t>
            </w:r>
            <w:r>
              <w:rPr>
                <w:rFonts w:ascii="Times New Roman" w:hAnsi="Times New Roman" w:eastAsia="宋体" w:cs="Times New Roman"/>
                <w:spacing w:val="3"/>
                <w:sz w:val="24"/>
                <w:szCs w:val="24"/>
                <w:u w:val="single"/>
              </w:rPr>
              <w:t xml:space="preserve">)、凤眼蓝群系 </w:t>
            </w:r>
            <w:r>
              <w:rPr>
                <w:rFonts w:ascii="Times New Roman" w:hAnsi="Times New Roman" w:eastAsia="宋体" w:cs="Times New Roman"/>
                <w:sz w:val="24"/>
                <w:szCs w:val="24"/>
                <w:u w:val="single"/>
              </w:rPr>
              <w:t xml:space="preserve">(Form. </w:t>
            </w:r>
            <w:r>
              <w:rPr>
                <w:rFonts w:ascii="Times New Roman" w:hAnsi="Times New Roman" w:eastAsia="宋体" w:cs="Times New Roman"/>
                <w:i/>
                <w:iCs/>
                <w:sz w:val="24"/>
                <w:szCs w:val="24"/>
                <w:u w:val="single"/>
              </w:rPr>
              <w:t>Eichhornia</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crassipes</w:t>
            </w:r>
            <w:r>
              <w:rPr>
                <w:rFonts w:ascii="Times New Roman" w:hAnsi="Times New Roman" w:eastAsia="宋体" w:cs="Times New Roman"/>
                <w:spacing w:val="7"/>
                <w:sz w:val="24"/>
                <w:szCs w:val="24"/>
                <w:u w:val="single"/>
              </w:rPr>
              <w:t>)</w:t>
            </w:r>
            <w:r>
              <w:rPr>
                <w:rFonts w:ascii="Times New Roman" w:hAnsi="Times New Roman" w:eastAsia="宋体" w:cs="Times New Roman"/>
                <w:spacing w:val="4"/>
                <w:sz w:val="24"/>
                <w:szCs w:val="24"/>
                <w:u w:val="single"/>
              </w:rPr>
              <w:t>、荻群系</w:t>
            </w:r>
            <w:r>
              <w:rPr>
                <w:rFonts w:hint="eastAsia" w:ascii="Times New Roman" w:hAnsi="Times New Roman" w:eastAsia="宋体" w:cs="Times New Roman"/>
                <w:spacing w:val="4"/>
                <w:sz w:val="24"/>
                <w:szCs w:val="24"/>
                <w:u w:val="single"/>
              </w:rPr>
              <w:t>（</w:t>
            </w:r>
            <w:r>
              <w:rPr>
                <w:rFonts w:ascii="Times New Roman" w:hAnsi="Times New Roman" w:eastAsia="宋体" w:cs="Times New Roman"/>
                <w:sz w:val="24"/>
                <w:szCs w:val="24"/>
                <w:u w:val="single"/>
              </w:rPr>
              <w:t>Form</w:t>
            </w:r>
            <w:r>
              <w:rPr>
                <w:rFonts w:ascii="Times New Roman" w:hAnsi="Times New Roman" w:eastAsia="宋体" w:cs="Times New Roman"/>
                <w:spacing w:val="4"/>
                <w:sz w:val="24"/>
                <w:szCs w:val="24"/>
                <w:u w:val="single"/>
              </w:rPr>
              <w:t xml:space="preserve">. </w:t>
            </w:r>
            <w:r>
              <w:rPr>
                <w:rFonts w:ascii="Times New Roman" w:hAnsi="Times New Roman" w:eastAsia="宋体" w:cs="Times New Roman"/>
                <w:i/>
                <w:iCs/>
                <w:sz w:val="24"/>
                <w:szCs w:val="24"/>
                <w:u w:val="single"/>
              </w:rPr>
              <w:t>Triarrhena</w:t>
            </w:r>
            <w:r>
              <w:rPr>
                <w:rFonts w:ascii="Times New Roman" w:hAnsi="Times New Roman" w:eastAsia="宋体" w:cs="Times New Roman"/>
                <w:spacing w:val="4"/>
                <w:sz w:val="24"/>
                <w:szCs w:val="24"/>
                <w:u w:val="single"/>
              </w:rPr>
              <w:t xml:space="preserve"> </w:t>
            </w:r>
            <w:r>
              <w:rPr>
                <w:rFonts w:ascii="Times New Roman" w:hAnsi="Times New Roman" w:eastAsia="宋体" w:cs="Times New Roman"/>
                <w:i/>
                <w:iCs/>
                <w:sz w:val="24"/>
                <w:szCs w:val="24"/>
                <w:u w:val="single"/>
              </w:rPr>
              <w:t>sacchariflora</w:t>
            </w:r>
            <w:r>
              <w:rPr>
                <w:rFonts w:ascii="Times New Roman" w:hAnsi="Times New Roman" w:eastAsia="宋体" w:cs="Times New Roman"/>
                <w:spacing w:val="4"/>
                <w:sz w:val="24"/>
                <w:szCs w:val="24"/>
                <w:u w:val="single"/>
              </w:rPr>
              <w:t xml:space="preserve"> </w:t>
            </w:r>
            <w:r>
              <w:rPr>
                <w:rFonts w:hint="eastAsia" w:ascii="Times New Roman" w:hAnsi="Times New Roman" w:eastAsia="宋体" w:cs="Times New Roman"/>
                <w:spacing w:val="4"/>
                <w:sz w:val="24"/>
                <w:szCs w:val="24"/>
                <w:u w:val="single"/>
              </w:rPr>
              <w:t>）</w:t>
            </w:r>
            <w:r>
              <w:rPr>
                <w:rFonts w:ascii="Times New Roman" w:hAnsi="Times New Roman" w:eastAsia="宋体" w:cs="Times New Roman"/>
                <w:spacing w:val="4"/>
                <w:sz w:val="24"/>
                <w:szCs w:val="24"/>
                <w:u w:val="single"/>
              </w:rPr>
              <w:t>等，伴生有浮萍</w:t>
            </w:r>
            <w:r>
              <w:rPr>
                <w:rFonts w:hint="eastAsia" w:ascii="Times New Roman" w:hAnsi="Times New Roman" w:eastAsia="宋体" w:cs="Times New Roman"/>
                <w:spacing w:val="4"/>
                <w:sz w:val="24"/>
                <w:szCs w:val="24"/>
                <w:u w:val="single"/>
              </w:rPr>
              <w:t>（</w:t>
            </w:r>
            <w:r>
              <w:rPr>
                <w:rFonts w:ascii="Times New Roman" w:hAnsi="Times New Roman" w:eastAsia="宋体" w:cs="Times New Roman"/>
                <w:i/>
                <w:iCs/>
                <w:sz w:val="24"/>
                <w:szCs w:val="24"/>
                <w:u w:val="single"/>
              </w:rPr>
              <w:t>Lemna</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minor</w:t>
            </w:r>
            <w:r>
              <w:rPr>
                <w:rFonts w:ascii="Times New Roman" w:hAnsi="Times New Roman" w:eastAsia="宋体" w:cs="Times New Roman"/>
                <w:spacing w:val="26"/>
                <w:sz w:val="24"/>
                <w:szCs w:val="24"/>
                <w:u w:val="single"/>
              </w:rPr>
              <w:t xml:space="preserve"> </w:t>
            </w:r>
            <w:r>
              <w:rPr>
                <w:rFonts w:ascii="Times New Roman" w:hAnsi="Times New Roman" w:eastAsia="宋体" w:cs="Times New Roman"/>
                <w:spacing w:val="16"/>
                <w:sz w:val="24"/>
                <w:szCs w:val="24"/>
                <w:u w:val="single"/>
              </w:rPr>
              <w:t>)、喜旱莲子草</w:t>
            </w:r>
            <w:r>
              <w:rPr>
                <w:rFonts w:hint="eastAsia" w:ascii="Times New Roman" w:hAnsi="Times New Roman" w:eastAsia="宋体" w:cs="Times New Roman"/>
                <w:spacing w:val="16"/>
                <w:sz w:val="24"/>
                <w:szCs w:val="24"/>
                <w:u w:val="single"/>
              </w:rPr>
              <w:t>（</w:t>
            </w:r>
            <w:r>
              <w:rPr>
                <w:rFonts w:ascii="Times New Roman" w:hAnsi="Times New Roman" w:eastAsia="宋体" w:cs="Times New Roman"/>
                <w:i/>
                <w:iCs/>
                <w:sz w:val="24"/>
                <w:szCs w:val="24"/>
                <w:u w:val="single"/>
              </w:rPr>
              <w:t>Alternanthera</w:t>
            </w:r>
            <w:r>
              <w:rPr>
                <w:rFonts w:ascii="Times New Roman" w:hAnsi="Times New Roman" w:eastAsia="宋体" w:cs="Times New Roman"/>
                <w:spacing w:val="16"/>
                <w:sz w:val="24"/>
                <w:szCs w:val="24"/>
                <w:u w:val="single"/>
              </w:rPr>
              <w:t xml:space="preserve"> </w:t>
            </w:r>
            <w:r>
              <w:rPr>
                <w:rFonts w:ascii="Times New Roman" w:hAnsi="Times New Roman" w:eastAsia="宋体" w:cs="Times New Roman"/>
                <w:i/>
                <w:iCs/>
                <w:sz w:val="24"/>
                <w:szCs w:val="24"/>
                <w:u w:val="single"/>
              </w:rPr>
              <w:t>philoxeroides</w:t>
            </w:r>
            <w:r>
              <w:rPr>
                <w:rFonts w:hint="eastAsia" w:ascii="Times New Roman" w:hAnsi="Times New Roman" w:eastAsia="宋体" w:cs="Times New Roman"/>
                <w:i/>
                <w:iCs/>
                <w:sz w:val="24"/>
                <w:szCs w:val="24"/>
                <w:u w:val="single"/>
              </w:rPr>
              <w:t>）</w:t>
            </w:r>
            <w:r>
              <w:rPr>
                <w:rFonts w:ascii="Times New Roman" w:hAnsi="Times New Roman" w:eastAsia="宋体" w:cs="Times New Roman"/>
                <w:spacing w:val="16"/>
                <w:sz w:val="24"/>
                <w:szCs w:val="24"/>
                <w:u w:val="single"/>
              </w:rPr>
              <w:t>等</w:t>
            </w:r>
            <w:r>
              <w:rPr>
                <w:rFonts w:hint="eastAsia" w:ascii="Times New Roman" w:hAnsi="Times New Roman" w:eastAsia="宋体" w:cs="Times New Roman"/>
                <w:spacing w:val="16"/>
                <w:sz w:val="24"/>
                <w:szCs w:val="24"/>
                <w:u w:val="single"/>
              </w:rPr>
              <w:t>，</w:t>
            </w:r>
            <w:r>
              <w:rPr>
                <w:rFonts w:ascii="Times New Roman" w:hAnsi="Times New Roman" w:eastAsia="宋体" w:cs="Times New Roman"/>
                <w:spacing w:val="16"/>
                <w:sz w:val="24"/>
                <w:szCs w:val="24"/>
                <w:u w:val="single"/>
              </w:rPr>
              <w:t>有人工种植莲</w:t>
            </w:r>
            <w:r>
              <w:rPr>
                <w:rFonts w:hint="eastAsia" w:ascii="Times New Roman" w:hAnsi="Times New Roman" w:eastAsia="宋体" w:cs="Times New Roman"/>
                <w:spacing w:val="16"/>
                <w:sz w:val="24"/>
                <w:szCs w:val="24"/>
                <w:u w:val="single"/>
              </w:rPr>
              <w:t>（</w:t>
            </w:r>
            <w:r>
              <w:rPr>
                <w:rFonts w:ascii="Times New Roman" w:hAnsi="Times New Roman" w:eastAsia="宋体" w:cs="Times New Roman"/>
                <w:i/>
                <w:iCs/>
                <w:sz w:val="24"/>
                <w:szCs w:val="24"/>
                <w:u w:val="single"/>
              </w:rPr>
              <w:t>Nelumbo</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nucifera</w:t>
            </w:r>
            <w:r>
              <w:rPr>
                <w:rFonts w:ascii="Times New Roman" w:hAnsi="Times New Roman" w:eastAsia="宋体" w:cs="Times New Roman"/>
                <w:spacing w:val="12"/>
                <w:sz w:val="24"/>
                <w:szCs w:val="24"/>
                <w:u w:val="single"/>
              </w:rPr>
              <w:t>)</w:t>
            </w:r>
            <w:r>
              <w:rPr>
                <w:rFonts w:ascii="Times New Roman" w:hAnsi="Times New Roman" w:eastAsia="宋体" w:cs="Times New Roman"/>
                <w:spacing w:val="7"/>
                <w:sz w:val="24"/>
                <w:szCs w:val="24"/>
                <w:u w:val="single"/>
              </w:rPr>
              <w:t>、</w:t>
            </w:r>
            <w:r>
              <w:rPr>
                <w:rFonts w:ascii="Times New Roman" w:hAnsi="Times New Roman" w:eastAsia="宋体" w:cs="Times New Roman"/>
                <w:spacing w:val="6"/>
                <w:sz w:val="24"/>
                <w:szCs w:val="24"/>
                <w:u w:val="single"/>
              </w:rPr>
              <w:t>芡实 (</w:t>
            </w:r>
            <w:r>
              <w:rPr>
                <w:rFonts w:ascii="Times New Roman" w:hAnsi="Times New Roman" w:eastAsia="宋体" w:cs="Times New Roman"/>
                <w:i/>
                <w:iCs/>
                <w:sz w:val="24"/>
                <w:szCs w:val="24"/>
                <w:u w:val="single"/>
              </w:rPr>
              <w:t>Euryaleferox</w:t>
            </w:r>
            <w:r>
              <w:rPr>
                <w:rFonts w:ascii="Times New Roman" w:hAnsi="Times New Roman" w:eastAsia="宋体" w:cs="Times New Roman"/>
                <w:spacing w:val="6"/>
                <w:sz w:val="24"/>
                <w:szCs w:val="24"/>
                <w:u w:val="single"/>
              </w:rPr>
              <w:t xml:space="preserve"> )、菰</w:t>
            </w:r>
            <w:r>
              <w:rPr>
                <w:rFonts w:hint="eastAsia" w:ascii="Times New Roman" w:hAnsi="Times New Roman" w:eastAsia="宋体" w:cs="Times New Roman"/>
                <w:spacing w:val="6"/>
                <w:sz w:val="24"/>
                <w:szCs w:val="24"/>
                <w:u w:val="single"/>
              </w:rPr>
              <w:t>（</w:t>
            </w:r>
            <w:r>
              <w:rPr>
                <w:rFonts w:ascii="Times New Roman" w:hAnsi="Times New Roman" w:eastAsia="宋体" w:cs="Times New Roman"/>
                <w:i/>
                <w:iCs/>
                <w:sz w:val="24"/>
                <w:szCs w:val="24"/>
                <w:u w:val="single"/>
              </w:rPr>
              <w:t>Zizania</w:t>
            </w:r>
            <w:r>
              <w:rPr>
                <w:rFonts w:ascii="Times New Roman" w:hAnsi="Times New Roman" w:eastAsia="宋体" w:cs="Times New Roman"/>
                <w:spacing w:val="6"/>
                <w:sz w:val="24"/>
                <w:szCs w:val="24"/>
                <w:u w:val="single"/>
              </w:rPr>
              <w:t xml:space="preserve"> </w:t>
            </w:r>
            <w:r>
              <w:rPr>
                <w:rFonts w:ascii="Times New Roman" w:hAnsi="Times New Roman" w:eastAsia="宋体" w:cs="Times New Roman"/>
                <w:i/>
                <w:iCs/>
                <w:sz w:val="24"/>
                <w:szCs w:val="24"/>
                <w:u w:val="single"/>
              </w:rPr>
              <w:t>latifolia</w:t>
            </w:r>
            <w:r>
              <w:rPr>
                <w:rFonts w:ascii="Times New Roman" w:hAnsi="Times New Roman" w:eastAsia="宋体" w:cs="Times New Roman"/>
                <w:spacing w:val="6"/>
                <w:sz w:val="24"/>
                <w:szCs w:val="24"/>
                <w:u w:val="single"/>
              </w:rPr>
              <w:t xml:space="preserve"> </w:t>
            </w:r>
            <w:r>
              <w:rPr>
                <w:rFonts w:hint="eastAsia" w:ascii="Times New Roman" w:hAnsi="Times New Roman" w:eastAsia="宋体" w:cs="Times New Roman"/>
                <w:spacing w:val="6"/>
                <w:sz w:val="24"/>
                <w:szCs w:val="24"/>
                <w:u w:val="single"/>
              </w:rPr>
              <w:t>）</w:t>
            </w:r>
            <w:r>
              <w:rPr>
                <w:rFonts w:ascii="Times New Roman" w:hAnsi="Times New Roman" w:eastAsia="宋体" w:cs="Times New Roman"/>
                <w:spacing w:val="6"/>
                <w:sz w:val="24"/>
                <w:szCs w:val="24"/>
                <w:u w:val="single"/>
              </w:rPr>
              <w:t>等；河湖泊及沟渠两岸主</w:t>
            </w:r>
            <w:r>
              <w:rPr>
                <w:rFonts w:ascii="Times New Roman" w:hAnsi="Times New Roman" w:eastAsia="宋体" w:cs="Times New Roman"/>
                <w:spacing w:val="16"/>
                <w:sz w:val="24"/>
                <w:szCs w:val="24"/>
                <w:u w:val="single"/>
              </w:rPr>
              <w:t>要</w:t>
            </w:r>
            <w:r>
              <w:rPr>
                <w:rFonts w:ascii="Times New Roman" w:hAnsi="Times New Roman" w:eastAsia="宋体" w:cs="Times New Roman"/>
                <w:spacing w:val="8"/>
                <w:sz w:val="24"/>
                <w:szCs w:val="24"/>
                <w:u w:val="single"/>
              </w:rPr>
              <w:t>有构树、响叶杨</w:t>
            </w:r>
            <w:r>
              <w:rPr>
                <w:rFonts w:hint="eastAsia" w:ascii="Times New Roman" w:hAnsi="Times New Roman" w:eastAsia="宋体" w:cs="Times New Roman"/>
                <w:spacing w:val="8"/>
                <w:sz w:val="24"/>
                <w:szCs w:val="24"/>
                <w:u w:val="single"/>
              </w:rPr>
              <w:t>（</w:t>
            </w:r>
            <w:r>
              <w:rPr>
                <w:rFonts w:ascii="Times New Roman" w:hAnsi="Times New Roman" w:eastAsia="宋体" w:cs="Times New Roman"/>
                <w:i/>
                <w:iCs/>
                <w:sz w:val="24"/>
                <w:szCs w:val="24"/>
                <w:u w:val="single"/>
              </w:rPr>
              <w:t>Populus</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adenopoda</w:t>
            </w:r>
            <w:r>
              <w:rPr>
                <w:rFonts w:ascii="Times New Roman" w:hAnsi="Times New Roman" w:eastAsia="宋体" w:cs="Times New Roman"/>
                <w:spacing w:val="8"/>
                <w:sz w:val="24"/>
                <w:szCs w:val="24"/>
                <w:u w:val="single"/>
              </w:rPr>
              <w:t xml:space="preserve"> </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等。</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（2）</w:t>
            </w:r>
            <w:r>
              <w:rPr>
                <w:rFonts w:ascii="Times New Roman" w:hAnsi="Times New Roman" w:eastAsia="宋体" w:cs="Times New Roman"/>
                <w:spacing w:val="20"/>
                <w:sz w:val="24"/>
                <w:szCs w:val="24"/>
                <w:u w:val="single"/>
              </w:rPr>
              <w:t>动物现</w:t>
            </w:r>
            <w:r>
              <w:rPr>
                <w:rFonts w:ascii="Times New Roman" w:hAnsi="Times New Roman" w:eastAsia="宋体" w:cs="Times New Roman"/>
                <w:spacing w:val="19"/>
                <w:sz w:val="24"/>
                <w:szCs w:val="24"/>
                <w:u w:val="single"/>
              </w:rPr>
              <w:t>状</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规划</w:t>
            </w:r>
            <w:r>
              <w:rPr>
                <w:rFonts w:ascii="Times New Roman" w:hAnsi="Times New Roman" w:eastAsia="宋体" w:cs="Times New Roman"/>
                <w:spacing w:val="14"/>
                <w:sz w:val="24"/>
                <w:szCs w:val="24"/>
                <w:u w:val="single"/>
              </w:rPr>
              <w:t>区</w:t>
            </w:r>
            <w:r>
              <w:rPr>
                <w:rFonts w:ascii="Times New Roman" w:hAnsi="Times New Roman" w:eastAsia="宋体" w:cs="Times New Roman"/>
                <w:spacing w:val="9"/>
                <w:sz w:val="24"/>
                <w:szCs w:val="24"/>
                <w:u w:val="single"/>
              </w:rPr>
              <w:t>域的湿地生态系统是动物的主要活动场所，常见的两栖类有静水型的黑斑侧褶蛙</w:t>
            </w:r>
            <w:r>
              <w:rPr>
                <w:rFonts w:hint="eastAsia" w:ascii="Times New Roman" w:hAnsi="Times New Roman" w:eastAsia="宋体" w:cs="Times New Roman"/>
                <w:spacing w:val="9"/>
                <w:sz w:val="24"/>
                <w:szCs w:val="24"/>
                <w:u w:val="single"/>
              </w:rPr>
              <w:t>（</w:t>
            </w:r>
            <w:r>
              <w:rPr>
                <w:rFonts w:ascii="Times New Roman" w:hAnsi="Times New Roman" w:eastAsia="宋体" w:cs="Times New Roman"/>
                <w:i/>
                <w:iCs/>
                <w:sz w:val="24"/>
                <w:szCs w:val="24"/>
                <w:u w:val="single"/>
              </w:rPr>
              <w:t>Pelophylax</w:t>
            </w:r>
            <w:r>
              <w:rPr>
                <w:rFonts w:ascii="Times New Roman" w:hAnsi="Times New Roman" w:eastAsia="宋体" w:cs="Times New Roman"/>
                <w:spacing w:val="9"/>
                <w:sz w:val="24"/>
                <w:szCs w:val="24"/>
                <w:u w:val="single"/>
              </w:rPr>
              <w:t xml:space="preserve"> </w:t>
            </w:r>
            <w:r>
              <w:rPr>
                <w:rFonts w:ascii="Times New Roman" w:hAnsi="Times New Roman" w:eastAsia="宋体" w:cs="Times New Roman"/>
                <w:i/>
                <w:iCs/>
                <w:sz w:val="24"/>
                <w:szCs w:val="24"/>
                <w:u w:val="single"/>
              </w:rPr>
              <w:t>nigromaculata</w:t>
            </w:r>
            <w:r>
              <w:rPr>
                <w:rFonts w:ascii="Times New Roman" w:hAnsi="Times New Roman" w:eastAsia="宋体" w:cs="Times New Roman"/>
                <w:spacing w:val="9"/>
                <w:sz w:val="24"/>
                <w:szCs w:val="24"/>
                <w:u w:val="single"/>
              </w:rPr>
              <w:t xml:space="preserve"> )、沼蛙</w:t>
            </w:r>
            <w:r>
              <w:rPr>
                <w:rFonts w:hint="eastAsia" w:ascii="Times New Roman" w:hAnsi="Times New Roman" w:eastAsia="宋体" w:cs="Times New Roman"/>
                <w:spacing w:val="9"/>
                <w:sz w:val="24"/>
                <w:szCs w:val="24"/>
                <w:u w:val="single"/>
              </w:rPr>
              <w:t>（</w:t>
            </w:r>
            <w:r>
              <w:rPr>
                <w:rFonts w:ascii="Times New Roman" w:hAnsi="Times New Roman" w:eastAsia="宋体" w:cs="Times New Roman"/>
                <w:i/>
                <w:iCs/>
                <w:sz w:val="24"/>
                <w:szCs w:val="24"/>
                <w:u w:val="single"/>
              </w:rPr>
              <w:t>Boulengerana</w:t>
            </w:r>
            <w:r>
              <w:rPr>
                <w:rFonts w:ascii="Times New Roman" w:hAnsi="Times New Roman" w:eastAsia="宋体" w:cs="Times New Roman"/>
                <w:spacing w:val="9"/>
                <w:sz w:val="24"/>
                <w:szCs w:val="24"/>
                <w:u w:val="single"/>
              </w:rPr>
              <w:t xml:space="preserve"> </w:t>
            </w:r>
            <w:r>
              <w:rPr>
                <w:rFonts w:ascii="Times New Roman" w:hAnsi="Times New Roman" w:eastAsia="宋体" w:cs="Times New Roman"/>
                <w:i/>
                <w:iCs/>
                <w:sz w:val="24"/>
                <w:szCs w:val="24"/>
                <w:u w:val="single"/>
              </w:rPr>
              <w:t>guentheri</w:t>
            </w:r>
            <w:r>
              <w:rPr>
                <w:rFonts w:ascii="Times New Roman" w:hAnsi="Times New Roman" w:eastAsia="宋体" w:cs="Times New Roman"/>
                <w:spacing w:val="9"/>
                <w:sz w:val="24"/>
                <w:szCs w:val="24"/>
                <w:u w:val="single"/>
              </w:rPr>
              <w:t>) 等，繁殖</w:t>
            </w:r>
            <w:r>
              <w:rPr>
                <w:rFonts w:ascii="Times New Roman" w:hAnsi="Times New Roman" w:eastAsia="宋体" w:cs="Times New Roman"/>
                <w:spacing w:val="6"/>
                <w:sz w:val="24"/>
                <w:szCs w:val="24"/>
                <w:u w:val="single"/>
              </w:rPr>
              <w:t>期</w:t>
            </w:r>
            <w:r>
              <w:rPr>
                <w:rFonts w:ascii="Times New Roman" w:hAnsi="Times New Roman" w:eastAsia="宋体" w:cs="Times New Roman"/>
                <w:spacing w:val="18"/>
                <w:sz w:val="24"/>
                <w:szCs w:val="24"/>
                <w:u w:val="single"/>
              </w:rPr>
              <w:t>一些</w:t>
            </w:r>
            <w:r>
              <w:rPr>
                <w:rFonts w:ascii="Times New Roman" w:hAnsi="Times New Roman" w:eastAsia="宋体" w:cs="Times New Roman"/>
                <w:spacing w:val="17"/>
                <w:sz w:val="24"/>
                <w:szCs w:val="24"/>
                <w:u w:val="single"/>
              </w:rPr>
              <w:t>陆</w:t>
            </w:r>
            <w:r>
              <w:rPr>
                <w:rFonts w:ascii="Times New Roman" w:hAnsi="Times New Roman" w:eastAsia="宋体" w:cs="Times New Roman"/>
                <w:spacing w:val="9"/>
                <w:sz w:val="24"/>
                <w:szCs w:val="24"/>
                <w:u w:val="single"/>
              </w:rPr>
              <w:t>栖型的中华蟾蜍、泽陆蛙等也依赖湿地生态系统的静水环境；爬行类主要有</w:t>
            </w:r>
            <w:r>
              <w:rPr>
                <w:rFonts w:ascii="Times New Roman" w:hAnsi="Times New Roman" w:eastAsia="宋体" w:cs="Times New Roman"/>
                <w:spacing w:val="42"/>
                <w:sz w:val="24"/>
                <w:szCs w:val="24"/>
                <w:u w:val="single"/>
              </w:rPr>
              <w:t>水</w:t>
            </w:r>
            <w:r>
              <w:rPr>
                <w:rFonts w:ascii="Times New Roman" w:hAnsi="Times New Roman" w:eastAsia="宋体" w:cs="Times New Roman"/>
                <w:spacing w:val="27"/>
                <w:sz w:val="24"/>
                <w:szCs w:val="24"/>
                <w:u w:val="single"/>
              </w:rPr>
              <w:t>栖型的中华鳖</w:t>
            </w:r>
            <w:r>
              <w:rPr>
                <w:rFonts w:hint="eastAsia" w:ascii="Times New Roman" w:hAnsi="Times New Roman" w:eastAsia="宋体" w:cs="Times New Roman"/>
                <w:spacing w:val="27"/>
                <w:sz w:val="24"/>
                <w:szCs w:val="24"/>
                <w:u w:val="single"/>
              </w:rPr>
              <w:t>（</w:t>
            </w:r>
            <w:r>
              <w:rPr>
                <w:rFonts w:ascii="Times New Roman" w:hAnsi="Times New Roman" w:eastAsia="宋体" w:cs="Times New Roman"/>
                <w:i/>
                <w:iCs/>
                <w:sz w:val="24"/>
                <w:szCs w:val="24"/>
                <w:u w:val="single"/>
              </w:rPr>
              <w:t>Pelodiscus</w:t>
            </w:r>
            <w:r>
              <w:rPr>
                <w:rFonts w:ascii="Times New Roman" w:hAnsi="Times New Roman" w:eastAsia="宋体" w:cs="Times New Roman"/>
                <w:spacing w:val="27"/>
                <w:sz w:val="24"/>
                <w:szCs w:val="24"/>
                <w:u w:val="single"/>
              </w:rPr>
              <w:t xml:space="preserve"> </w:t>
            </w:r>
            <w:r>
              <w:rPr>
                <w:rFonts w:ascii="Times New Roman" w:hAnsi="Times New Roman" w:eastAsia="宋体" w:cs="Times New Roman"/>
                <w:i/>
                <w:iCs/>
                <w:sz w:val="24"/>
                <w:szCs w:val="24"/>
                <w:u w:val="single"/>
              </w:rPr>
              <w:t>sinensis</w:t>
            </w:r>
            <w:r>
              <w:rPr>
                <w:rFonts w:ascii="Times New Roman" w:hAnsi="Times New Roman" w:eastAsia="宋体" w:cs="Times New Roman"/>
                <w:spacing w:val="27"/>
                <w:sz w:val="24"/>
                <w:szCs w:val="24"/>
                <w:u w:val="single"/>
              </w:rPr>
              <w:t xml:space="preserve"> </w:t>
            </w:r>
            <w:r>
              <w:rPr>
                <w:rFonts w:hint="eastAsia" w:ascii="Times New Roman" w:hAnsi="Times New Roman" w:eastAsia="宋体" w:cs="Times New Roman"/>
                <w:spacing w:val="27"/>
                <w:sz w:val="24"/>
                <w:szCs w:val="24"/>
                <w:u w:val="single"/>
              </w:rPr>
              <w:t>）</w:t>
            </w:r>
            <w:r>
              <w:rPr>
                <w:rFonts w:ascii="Times New Roman" w:hAnsi="Times New Roman" w:eastAsia="宋体" w:cs="Times New Roman"/>
                <w:spacing w:val="27"/>
                <w:sz w:val="24"/>
                <w:szCs w:val="24"/>
                <w:u w:val="single"/>
              </w:rPr>
              <w:t>和半水栖型的红纹滞卵蛇</w:t>
            </w:r>
            <w:r>
              <w:rPr>
                <w:rFonts w:hint="eastAsia" w:ascii="Times New Roman" w:hAnsi="Times New Roman" w:eastAsia="宋体" w:cs="Times New Roman"/>
                <w:spacing w:val="27"/>
                <w:sz w:val="24"/>
                <w:szCs w:val="24"/>
                <w:u w:val="single"/>
              </w:rPr>
              <w:t>（</w:t>
            </w:r>
            <w:r>
              <w:rPr>
                <w:rFonts w:ascii="Times New Roman" w:hAnsi="Times New Roman" w:eastAsia="宋体" w:cs="Times New Roman"/>
                <w:spacing w:val="27"/>
                <w:sz w:val="24"/>
                <w:szCs w:val="24"/>
                <w:u w:val="single"/>
              </w:rPr>
              <w:t xml:space="preserve"> </w:t>
            </w:r>
            <w:r>
              <w:rPr>
                <w:rFonts w:ascii="Times New Roman" w:hAnsi="Times New Roman" w:eastAsia="宋体" w:cs="Times New Roman"/>
                <w:i/>
                <w:iCs/>
                <w:sz w:val="24"/>
                <w:szCs w:val="24"/>
                <w:u w:val="single"/>
              </w:rPr>
              <w:t>Oocatochusrufodorsatus</w:t>
            </w:r>
            <w:r>
              <w:rPr>
                <w:rFonts w:ascii="Times New Roman" w:hAnsi="Times New Roman" w:eastAsia="宋体" w:cs="Times New Roman"/>
                <w:spacing w:val="19"/>
                <w:sz w:val="24"/>
                <w:szCs w:val="24"/>
                <w:u w:val="single"/>
              </w:rPr>
              <w:t>)</w:t>
            </w:r>
            <w:r>
              <w:rPr>
                <w:rFonts w:ascii="Times New Roman" w:hAnsi="Times New Roman" w:eastAsia="宋体" w:cs="Times New Roman"/>
                <w:spacing w:val="10"/>
                <w:sz w:val="24"/>
                <w:szCs w:val="24"/>
                <w:u w:val="single"/>
              </w:rPr>
              <w:t>，林栖傍水型的蛇类也偶在湿地附近活动；鸟类主要是游禽和涉禽以</w:t>
            </w:r>
            <w:r>
              <w:rPr>
                <w:rFonts w:ascii="Times New Roman" w:hAnsi="Times New Roman" w:eastAsia="宋体" w:cs="Times New Roman"/>
                <w:spacing w:val="18"/>
                <w:sz w:val="24"/>
                <w:szCs w:val="24"/>
                <w:u w:val="single"/>
              </w:rPr>
              <w:t>及喜水</w:t>
            </w:r>
            <w:r>
              <w:rPr>
                <w:rFonts w:ascii="Times New Roman" w:hAnsi="Times New Roman" w:eastAsia="宋体" w:cs="Times New Roman"/>
                <w:spacing w:val="9"/>
                <w:sz w:val="24"/>
                <w:szCs w:val="24"/>
                <w:u w:val="single"/>
              </w:rPr>
              <w:t>边生活的鸟类，如游禽中雁形目鸭科、鸊鷉目鸊鷉科、鸻形目鸥科、鲣鸟目</w:t>
            </w:r>
            <w:r>
              <w:rPr>
                <w:rFonts w:ascii="Times New Roman" w:hAnsi="Times New Roman" w:eastAsia="宋体" w:cs="Times New Roman"/>
                <w:spacing w:val="18"/>
                <w:sz w:val="24"/>
                <w:szCs w:val="24"/>
                <w:u w:val="single"/>
              </w:rPr>
              <w:t>鸬</w:t>
            </w:r>
            <w:r>
              <w:rPr>
                <w:rFonts w:ascii="Times New Roman" w:hAnsi="Times New Roman" w:eastAsia="宋体" w:cs="Times New Roman"/>
                <w:spacing w:val="9"/>
                <w:sz w:val="24"/>
                <w:szCs w:val="24"/>
                <w:u w:val="single"/>
              </w:rPr>
              <w:t>鹚科的种类，涉禽中鹤形目、鸻形目</w:t>
            </w:r>
            <w:r>
              <w:rPr>
                <w:rFonts w:hint="eastAsia" w:ascii="Times New Roman" w:hAnsi="Times New Roman" w:eastAsia="宋体" w:cs="Times New Roman"/>
                <w:spacing w:val="9"/>
                <w:sz w:val="24"/>
                <w:szCs w:val="24"/>
                <w:u w:val="single"/>
              </w:rPr>
              <w:t>（</w:t>
            </w:r>
            <w:r>
              <w:rPr>
                <w:rFonts w:ascii="Times New Roman" w:hAnsi="Times New Roman" w:eastAsia="宋体" w:cs="Times New Roman"/>
                <w:spacing w:val="9"/>
                <w:sz w:val="24"/>
                <w:szCs w:val="24"/>
                <w:u w:val="single"/>
              </w:rPr>
              <w:t>不包括鸥科</w:t>
            </w:r>
            <w:r>
              <w:rPr>
                <w:rFonts w:hint="eastAsia" w:ascii="Times New Roman" w:hAnsi="Times New Roman" w:eastAsia="宋体" w:cs="Times New Roman"/>
                <w:spacing w:val="9"/>
                <w:sz w:val="24"/>
                <w:szCs w:val="24"/>
                <w:u w:val="single"/>
              </w:rPr>
              <w:t>）</w:t>
            </w:r>
            <w:r>
              <w:rPr>
                <w:rFonts w:ascii="Times New Roman" w:hAnsi="Times New Roman" w:eastAsia="宋体" w:cs="Times New Roman"/>
                <w:spacing w:val="9"/>
                <w:sz w:val="24"/>
                <w:szCs w:val="24"/>
                <w:u w:val="single"/>
              </w:rPr>
              <w:t xml:space="preserve"> 、鹈形目的种类，以及近水</w:t>
            </w:r>
            <w:r>
              <w:rPr>
                <w:rFonts w:ascii="Times New Roman" w:hAnsi="Times New Roman" w:eastAsia="宋体" w:cs="Times New Roman"/>
                <w:spacing w:val="10"/>
                <w:sz w:val="24"/>
                <w:szCs w:val="24"/>
                <w:u w:val="single"/>
              </w:rPr>
              <w:t>生活的</w:t>
            </w:r>
            <w:r>
              <w:rPr>
                <w:rFonts w:ascii="Times New Roman" w:hAnsi="Times New Roman" w:eastAsia="宋体" w:cs="Times New Roman"/>
                <w:spacing w:val="5"/>
                <w:sz w:val="24"/>
                <w:szCs w:val="24"/>
                <w:u w:val="single"/>
              </w:rPr>
              <w:t>攀禽如普通翠鸟 (</w:t>
            </w:r>
            <w:r>
              <w:rPr>
                <w:rFonts w:ascii="Times New Roman" w:hAnsi="Times New Roman" w:eastAsia="宋体" w:cs="Times New Roman"/>
                <w:i/>
                <w:iCs/>
                <w:sz w:val="24"/>
                <w:szCs w:val="24"/>
                <w:u w:val="single"/>
              </w:rPr>
              <w:t>Alcedo</w:t>
            </w:r>
            <w:r>
              <w:rPr>
                <w:rFonts w:ascii="Times New Roman" w:hAnsi="Times New Roman" w:eastAsia="宋体" w:cs="Times New Roman"/>
                <w:spacing w:val="5"/>
                <w:sz w:val="24"/>
                <w:szCs w:val="24"/>
                <w:u w:val="single"/>
              </w:rPr>
              <w:t xml:space="preserve"> </w:t>
            </w:r>
            <w:r>
              <w:rPr>
                <w:rFonts w:ascii="Times New Roman" w:hAnsi="Times New Roman" w:eastAsia="宋体" w:cs="Times New Roman"/>
                <w:i/>
                <w:iCs/>
                <w:sz w:val="24"/>
                <w:szCs w:val="24"/>
                <w:u w:val="single"/>
              </w:rPr>
              <w:t>atthis</w:t>
            </w:r>
            <w:r>
              <w:rPr>
                <w:rFonts w:ascii="Times New Roman" w:hAnsi="Times New Roman" w:eastAsia="宋体" w:cs="Times New Roman"/>
                <w:spacing w:val="5"/>
                <w:sz w:val="24"/>
                <w:szCs w:val="24"/>
                <w:u w:val="single"/>
              </w:rPr>
              <w:t xml:space="preserve"> ) 、斑鱼狗 (</w:t>
            </w:r>
            <w:r>
              <w:rPr>
                <w:rFonts w:ascii="Times New Roman" w:hAnsi="Times New Roman" w:eastAsia="宋体" w:cs="Times New Roman"/>
                <w:i/>
                <w:iCs/>
                <w:sz w:val="24"/>
                <w:szCs w:val="24"/>
                <w:u w:val="single"/>
              </w:rPr>
              <w:t>Ceryle</w:t>
            </w:r>
            <w:r>
              <w:rPr>
                <w:rFonts w:ascii="Times New Roman" w:hAnsi="Times New Roman" w:eastAsia="宋体" w:cs="Times New Roman"/>
                <w:spacing w:val="5"/>
                <w:sz w:val="24"/>
                <w:szCs w:val="24"/>
                <w:u w:val="single"/>
              </w:rPr>
              <w:t xml:space="preserve"> </w:t>
            </w:r>
            <w:r>
              <w:rPr>
                <w:rFonts w:ascii="Times New Roman" w:hAnsi="Times New Roman" w:eastAsia="宋体" w:cs="Times New Roman"/>
                <w:i/>
                <w:iCs/>
                <w:sz w:val="24"/>
                <w:szCs w:val="24"/>
                <w:u w:val="single"/>
              </w:rPr>
              <w:t>rudis</w:t>
            </w:r>
            <w:r>
              <w:rPr>
                <w:rFonts w:ascii="Times New Roman" w:hAnsi="Times New Roman" w:eastAsia="宋体" w:cs="Times New Roman"/>
                <w:spacing w:val="5"/>
                <w:sz w:val="24"/>
                <w:szCs w:val="24"/>
                <w:u w:val="single"/>
              </w:rPr>
              <w:t xml:space="preserve"> ) 等；兽类常见的主</w:t>
            </w:r>
            <w:r>
              <w:rPr>
                <w:rFonts w:ascii="Times New Roman" w:hAnsi="Times New Roman" w:eastAsia="宋体" w:cs="Times New Roman"/>
                <w:spacing w:val="9"/>
                <w:sz w:val="24"/>
                <w:szCs w:val="24"/>
                <w:u w:val="single"/>
              </w:rPr>
              <w:t>要是在水域附近活动的啮齿目鼠科动物</w:t>
            </w:r>
            <w:r>
              <w:rPr>
                <w:rFonts w:ascii="Times New Roman" w:hAnsi="Times New Roman" w:eastAsia="宋体" w:cs="Times New Roman"/>
                <w:spacing w:val="6"/>
                <w:sz w:val="24"/>
                <w:szCs w:val="24"/>
                <w:u w:val="single"/>
              </w:rPr>
              <w:t>。</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position w:val="1"/>
                <w:sz w:val="24"/>
                <w:szCs w:val="24"/>
                <w:u w:val="single"/>
              </w:rPr>
              <w:t>二</w:t>
            </w:r>
            <w:r>
              <w:rPr>
                <w:rFonts w:ascii="Times New Roman" w:hAnsi="Times New Roman" w:eastAsia="宋体" w:cs="Times New Roman"/>
                <w:spacing w:val="8"/>
                <w:position w:val="1"/>
                <w:sz w:val="24"/>
                <w:szCs w:val="24"/>
                <w:u w:val="single"/>
              </w:rPr>
              <w:t>、生态系统功能</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湿地</w:t>
            </w:r>
            <w:r>
              <w:rPr>
                <w:rFonts w:ascii="Times New Roman" w:hAnsi="Times New Roman" w:eastAsia="宋体" w:cs="Times New Roman"/>
                <w:spacing w:val="15"/>
                <w:sz w:val="24"/>
                <w:szCs w:val="24"/>
                <w:u w:val="single"/>
              </w:rPr>
              <w:t>生</w:t>
            </w:r>
            <w:r>
              <w:rPr>
                <w:rFonts w:ascii="Times New Roman" w:hAnsi="Times New Roman" w:eastAsia="宋体" w:cs="Times New Roman"/>
                <w:spacing w:val="9"/>
                <w:sz w:val="24"/>
                <w:szCs w:val="24"/>
                <w:u w:val="single"/>
              </w:rPr>
              <w:t>态系统服务功能不仅包括提供大量资源产品，而且具有大的环境调节功</w:t>
            </w:r>
            <w:r>
              <w:rPr>
                <w:rFonts w:ascii="Times New Roman" w:hAnsi="Times New Roman" w:eastAsia="宋体" w:cs="Times New Roman"/>
                <w:spacing w:val="8"/>
                <w:sz w:val="24"/>
                <w:szCs w:val="24"/>
                <w:u w:val="single"/>
              </w:rPr>
              <w:t>能和环境效益</w:t>
            </w:r>
            <w:r>
              <w:rPr>
                <w:rFonts w:ascii="Times New Roman" w:hAnsi="Times New Roman" w:eastAsia="宋体" w:cs="Times New Roman"/>
                <w:spacing w:val="6"/>
                <w:sz w:val="24"/>
                <w:szCs w:val="24"/>
                <w:u w:val="single"/>
              </w:rPr>
              <w:t>，</w:t>
            </w:r>
            <w:r>
              <w:rPr>
                <w:rFonts w:ascii="Times New Roman" w:hAnsi="Times New Roman" w:eastAsia="宋体" w:cs="Times New Roman"/>
                <w:spacing w:val="4"/>
                <w:sz w:val="24"/>
                <w:szCs w:val="24"/>
                <w:u w:val="single"/>
              </w:rPr>
              <w:t>在调蓄洪水、调节气候、控制土壤等多方面发挥着重要作用。同时，</w:t>
            </w:r>
            <w:r>
              <w:rPr>
                <w:rFonts w:ascii="Times New Roman" w:hAnsi="Times New Roman" w:eastAsia="宋体" w:cs="Times New Roman"/>
                <w:spacing w:val="18"/>
                <w:sz w:val="24"/>
                <w:szCs w:val="24"/>
                <w:u w:val="single"/>
              </w:rPr>
              <w:t>湿</w:t>
            </w:r>
            <w:r>
              <w:rPr>
                <w:rFonts w:ascii="Times New Roman" w:hAnsi="Times New Roman" w:eastAsia="宋体" w:cs="Times New Roman"/>
                <w:spacing w:val="11"/>
                <w:sz w:val="24"/>
                <w:szCs w:val="24"/>
                <w:u w:val="single"/>
              </w:rPr>
              <w:t>地</w:t>
            </w:r>
            <w:r>
              <w:rPr>
                <w:rFonts w:ascii="Times New Roman" w:hAnsi="Times New Roman" w:eastAsia="宋体" w:cs="Times New Roman"/>
                <w:spacing w:val="9"/>
                <w:sz w:val="24"/>
                <w:szCs w:val="24"/>
                <w:u w:val="single"/>
              </w:rPr>
              <w:t>还是重要的遗传基因库，拥有丰富的动植物群落和珍稀濒危物种。</w:t>
            </w:r>
          </w:p>
          <w:p>
            <w:pPr>
              <w:spacing w:line="360" w:lineRule="auto"/>
              <w:rPr>
                <w:rFonts w:ascii="Times New Roman" w:hAnsi="Times New Roman"/>
                <w:b/>
                <w:bCs/>
                <w:sz w:val="24"/>
                <w:u w:val="single"/>
              </w:rPr>
            </w:pPr>
            <w:r>
              <w:rPr>
                <w:rFonts w:hint="eastAsia" w:ascii="Times New Roman" w:hAnsi="Times New Roman" w:cs="Times New Roman"/>
                <w:b/>
                <w:bCs/>
                <w:sz w:val="24"/>
                <w:szCs w:val="24"/>
                <w:u w:val="single"/>
              </w:rPr>
              <w:t>1.1.5、</w:t>
            </w:r>
            <w:r>
              <w:rPr>
                <w:rFonts w:ascii="Times New Roman" w:hAnsi="Times New Roman" w:cs="Times New Roman"/>
                <w:b/>
                <w:bCs/>
                <w:sz w:val="24"/>
                <w:szCs w:val="24"/>
                <w:u w:val="single"/>
              </w:rPr>
              <w:t>农田生态系统</w:t>
            </w:r>
          </w:p>
          <w:p>
            <w:pPr>
              <w:spacing w:line="360" w:lineRule="auto"/>
              <w:ind w:firstLine="488" w:firstLineChars="200"/>
              <w:rPr>
                <w:rFonts w:ascii="Times New Roman" w:hAnsi="Times New Roman"/>
                <w:sz w:val="24"/>
                <w:u w:val="single"/>
              </w:rPr>
            </w:pPr>
            <w:r>
              <w:rPr>
                <w:rFonts w:ascii="Times New Roman" w:hAnsi="Times New Roman" w:eastAsia="宋体" w:cs="Times New Roman"/>
                <w:spacing w:val="2"/>
                <w:sz w:val="24"/>
                <w:szCs w:val="24"/>
                <w:u w:val="single"/>
              </w:rPr>
              <w:t xml:space="preserve">根据卫片解译，评价区农田生态系统面积为1218.22 </w:t>
            </w:r>
            <w:r>
              <w:rPr>
                <w:rFonts w:ascii="Times New Roman" w:hAnsi="Times New Roman" w:eastAsia="宋体" w:cs="Times New Roman"/>
                <w:sz w:val="24"/>
                <w:szCs w:val="24"/>
                <w:u w:val="single"/>
              </w:rPr>
              <w:t>hm</w:t>
            </w:r>
            <w:r>
              <w:rPr>
                <w:rFonts w:hint="eastAsia" w:ascii="Times New Roman" w:hAnsi="Times New Roman" w:eastAsia="宋体" w:cs="Times New Roman"/>
                <w:sz w:val="24"/>
                <w:szCs w:val="24"/>
                <w:u w:val="single"/>
                <w:vertAlign w:val="superscript"/>
              </w:rPr>
              <w:t>2</w:t>
            </w:r>
            <w:r>
              <w:rPr>
                <w:rFonts w:ascii="Times New Roman" w:hAnsi="Times New Roman" w:eastAsia="宋体" w:cs="Times New Roman"/>
                <w:spacing w:val="2"/>
                <w:sz w:val="24"/>
                <w:szCs w:val="24"/>
                <w:u w:val="single"/>
              </w:rPr>
              <w:t>，占总面积的 37.5</w:t>
            </w:r>
            <w:r>
              <w:rPr>
                <w:rFonts w:ascii="Times New Roman" w:hAnsi="Times New Roman" w:eastAsia="宋体" w:cs="Times New Roman"/>
                <w:spacing w:val="1"/>
                <w:sz w:val="24"/>
                <w:szCs w:val="24"/>
                <w:u w:val="single"/>
              </w:rPr>
              <w:t>6</w:t>
            </w:r>
            <w:r>
              <w:rPr>
                <w:rFonts w:ascii="Times New Roman" w:hAnsi="Times New Roman" w:eastAsia="宋体" w:cs="Times New Roman"/>
                <w:sz w:val="24"/>
                <w:szCs w:val="24"/>
                <w:u w:val="single"/>
              </w:rPr>
              <w:t>%，</w:t>
            </w:r>
            <w:r>
              <w:rPr>
                <w:rFonts w:ascii="Times New Roman" w:hAnsi="Times New Roman" w:eastAsia="宋体" w:cs="Times New Roman"/>
                <w:spacing w:val="12"/>
                <w:sz w:val="24"/>
                <w:szCs w:val="24"/>
                <w:u w:val="single"/>
              </w:rPr>
              <w:t>在</w:t>
            </w:r>
            <w:r>
              <w:rPr>
                <w:rFonts w:ascii="Times New Roman" w:hAnsi="Times New Roman" w:eastAsia="宋体" w:cs="Times New Roman"/>
                <w:spacing w:val="9"/>
                <w:sz w:val="24"/>
                <w:szCs w:val="24"/>
                <w:u w:val="single"/>
              </w:rPr>
              <w:t>所有生态系统中面积占比仅次于湿地生态系统。</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position w:val="2"/>
                <w:sz w:val="24"/>
                <w:szCs w:val="24"/>
                <w:u w:val="single"/>
              </w:rPr>
              <w:t>一</w:t>
            </w:r>
            <w:r>
              <w:rPr>
                <w:rFonts w:ascii="Times New Roman" w:hAnsi="Times New Roman" w:eastAsia="宋体" w:cs="Times New Roman"/>
                <w:spacing w:val="8"/>
                <w:position w:val="2"/>
                <w:sz w:val="24"/>
                <w:szCs w:val="24"/>
                <w:u w:val="single"/>
              </w:rPr>
              <w:t>、生态系统结构</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（1）</w:t>
            </w:r>
            <w:r>
              <w:rPr>
                <w:rFonts w:ascii="Times New Roman" w:hAnsi="Times New Roman" w:eastAsia="宋体" w:cs="Times New Roman"/>
                <w:spacing w:val="20"/>
                <w:sz w:val="24"/>
                <w:szCs w:val="24"/>
                <w:u w:val="single"/>
              </w:rPr>
              <w:t>植被现</w:t>
            </w:r>
            <w:r>
              <w:rPr>
                <w:rFonts w:ascii="Times New Roman" w:hAnsi="Times New Roman" w:eastAsia="宋体" w:cs="Times New Roman"/>
                <w:spacing w:val="19"/>
                <w:sz w:val="24"/>
                <w:szCs w:val="24"/>
                <w:u w:val="single"/>
              </w:rPr>
              <w:t>状</w:t>
            </w:r>
          </w:p>
          <w:p>
            <w:pPr>
              <w:tabs>
                <w:tab w:val="left" w:pos="247"/>
              </w:tabs>
              <w:spacing w:line="360" w:lineRule="auto"/>
              <w:ind w:firstLine="520" w:firstLineChars="200"/>
              <w:rPr>
                <w:rFonts w:ascii="Times New Roman" w:hAnsi="Times New Roman"/>
                <w:sz w:val="24"/>
                <w:u w:val="single"/>
              </w:rPr>
            </w:pPr>
            <w:r>
              <w:rPr>
                <w:rFonts w:ascii="Times New Roman" w:hAnsi="Times New Roman" w:eastAsia="宋体" w:cs="Times New Roman"/>
                <w:spacing w:val="10"/>
                <w:sz w:val="24"/>
                <w:szCs w:val="24"/>
                <w:u w:val="single"/>
              </w:rPr>
              <w:t>评</w:t>
            </w:r>
            <w:r>
              <w:rPr>
                <w:rFonts w:ascii="Times New Roman" w:hAnsi="Times New Roman" w:eastAsia="宋体" w:cs="Times New Roman"/>
                <w:spacing w:val="6"/>
                <w:sz w:val="24"/>
                <w:szCs w:val="24"/>
                <w:u w:val="single"/>
              </w:rPr>
              <w:t>价</w:t>
            </w:r>
            <w:r>
              <w:rPr>
                <w:rFonts w:ascii="Times New Roman" w:hAnsi="Times New Roman" w:eastAsia="宋体" w:cs="Times New Roman"/>
                <w:spacing w:val="5"/>
                <w:sz w:val="24"/>
                <w:szCs w:val="24"/>
                <w:u w:val="single"/>
              </w:rPr>
              <w:t>区农田生态系统内植被以人工中种植的稻为主，其多在评价区内广泛分布，</w:t>
            </w:r>
            <w:r>
              <w:rPr>
                <w:rFonts w:ascii="Times New Roman" w:hAnsi="Times New Roman" w:eastAsia="宋体" w:cs="Times New Roman"/>
                <w:spacing w:val="2"/>
                <w:sz w:val="24"/>
                <w:szCs w:val="24"/>
                <w:u w:val="single"/>
              </w:rPr>
              <w:t>尤其</w:t>
            </w:r>
            <w:r>
              <w:rPr>
                <w:rFonts w:ascii="Times New Roman" w:hAnsi="Times New Roman" w:eastAsia="宋体" w:cs="Times New Roman"/>
                <w:spacing w:val="1"/>
                <w:sz w:val="24"/>
                <w:szCs w:val="24"/>
                <w:u w:val="single"/>
              </w:rPr>
              <w:t>常见于</w:t>
            </w:r>
            <w:r>
              <w:rPr>
                <w:rFonts w:hint="eastAsia" w:ascii="Times New Roman" w:hAnsi="Times New Roman" w:eastAsia="宋体" w:cs="Times New Roman"/>
                <w:spacing w:val="1"/>
                <w:sz w:val="24"/>
                <w:szCs w:val="24"/>
                <w:u w:val="single"/>
              </w:rPr>
              <w:t>鼻湖</w:t>
            </w:r>
            <w:r>
              <w:rPr>
                <w:rFonts w:ascii="Times New Roman" w:hAnsi="Times New Roman" w:eastAsia="宋体" w:cs="Times New Roman"/>
                <w:spacing w:val="1"/>
                <w:sz w:val="24"/>
                <w:szCs w:val="24"/>
                <w:u w:val="single"/>
              </w:rPr>
              <w:t>一带。见的农作物有稻</w:t>
            </w:r>
            <w:r>
              <w:rPr>
                <w:rFonts w:hint="eastAsia" w:ascii="Times New Roman" w:hAnsi="Times New Roman" w:eastAsia="宋体" w:cs="Times New Roman"/>
                <w:spacing w:val="1"/>
                <w:sz w:val="24"/>
                <w:szCs w:val="24"/>
                <w:u w:val="single"/>
              </w:rPr>
              <w:t>（</w:t>
            </w:r>
            <w:r>
              <w:rPr>
                <w:rFonts w:ascii="Times New Roman" w:hAnsi="Times New Roman" w:eastAsia="宋体" w:cs="Times New Roman"/>
                <w:i/>
                <w:iCs/>
                <w:sz w:val="24"/>
                <w:szCs w:val="24"/>
                <w:u w:val="single"/>
              </w:rPr>
              <w:t>Oryza</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z w:val="24"/>
                <w:szCs w:val="24"/>
                <w:u w:val="single"/>
              </w:rPr>
              <w:t>sativa</w:t>
            </w:r>
            <w:r>
              <w:rPr>
                <w:rFonts w:ascii="Times New Roman" w:hAnsi="Times New Roman" w:eastAsia="宋体" w:cs="Times New Roman"/>
                <w:spacing w:val="1"/>
                <w:sz w:val="24"/>
                <w:szCs w:val="24"/>
                <w:u w:val="single"/>
              </w:rPr>
              <w:t xml:space="preserve"> )、南瓜</w:t>
            </w:r>
            <w:r>
              <w:rPr>
                <w:rFonts w:hint="eastAsia" w:ascii="Times New Roman" w:hAnsi="Times New Roman" w:eastAsia="宋体" w:cs="Times New Roman"/>
                <w:spacing w:val="1"/>
                <w:sz w:val="24"/>
                <w:szCs w:val="24"/>
                <w:u w:val="single"/>
              </w:rPr>
              <w:t>（</w:t>
            </w:r>
            <w:r>
              <w:rPr>
                <w:rFonts w:ascii="Times New Roman" w:hAnsi="Times New Roman" w:eastAsia="宋体" w:cs="Times New Roman"/>
                <w:i/>
                <w:iCs/>
                <w:sz w:val="24"/>
                <w:szCs w:val="24"/>
                <w:u w:val="single"/>
              </w:rPr>
              <w:t>Cucurbita</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z w:val="24"/>
                <w:szCs w:val="24"/>
                <w:u w:val="single"/>
              </w:rPr>
              <w:t>moschata</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6"/>
                <w:sz w:val="24"/>
                <w:szCs w:val="24"/>
                <w:u w:val="single"/>
              </w:rPr>
              <w:t>丝</w:t>
            </w:r>
            <w:r>
              <w:rPr>
                <w:rFonts w:ascii="Times New Roman" w:hAnsi="Times New Roman" w:eastAsia="宋体" w:cs="Times New Roman"/>
                <w:spacing w:val="11"/>
                <w:sz w:val="24"/>
                <w:szCs w:val="24"/>
                <w:u w:val="single"/>
              </w:rPr>
              <w:t>瓜</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Lu</w:t>
            </w:r>
            <w:r>
              <w:rPr>
                <w:rFonts w:ascii="Times New Roman" w:hAnsi="Times New Roman" w:eastAsia="宋体" w:cs="Times New Roman"/>
                <w:b/>
                <w:bCs/>
                <w:i/>
                <w:iCs/>
                <w:sz w:val="24"/>
                <w:szCs w:val="24"/>
                <w:u w:val="single"/>
              </w:rPr>
              <w:t>f</w:t>
            </w:r>
            <w:r>
              <w:rPr>
                <w:rFonts w:ascii="Times New Roman" w:hAnsi="Times New Roman" w:eastAsia="宋体" w:cs="Times New Roman"/>
                <w:i/>
                <w:iCs/>
                <w:sz w:val="24"/>
                <w:szCs w:val="24"/>
                <w:u w:val="single"/>
              </w:rPr>
              <w:t>a</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cylindrica</w:t>
            </w:r>
            <w:r>
              <w:rPr>
                <w:rFonts w:ascii="Times New Roman" w:hAnsi="Times New Roman" w:eastAsia="宋体" w:cs="Times New Roman"/>
                <w:spacing w:val="8"/>
                <w:sz w:val="24"/>
                <w:szCs w:val="24"/>
                <w:u w:val="single"/>
              </w:rPr>
              <w:t xml:space="preserve"> )、番薯</w:t>
            </w:r>
            <w:r>
              <w:rPr>
                <w:rFonts w:hint="eastAsia" w:ascii="Times New Roman" w:hAnsi="Times New Roman" w:eastAsia="宋体" w:cs="Times New Roman"/>
                <w:spacing w:val="8"/>
                <w:sz w:val="24"/>
                <w:szCs w:val="24"/>
                <w:u w:val="single"/>
              </w:rPr>
              <w:t>（</w:t>
            </w:r>
            <w:r>
              <w:rPr>
                <w:rFonts w:ascii="Times New Roman" w:hAnsi="Times New Roman" w:eastAsia="宋体" w:cs="Times New Roman"/>
                <w:i/>
                <w:iCs/>
                <w:sz w:val="24"/>
                <w:szCs w:val="24"/>
                <w:u w:val="single"/>
              </w:rPr>
              <w:t>Ipomoea</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batatas</w:t>
            </w:r>
            <w:r>
              <w:rPr>
                <w:rFonts w:ascii="Times New Roman" w:hAnsi="Times New Roman" w:eastAsia="宋体" w:cs="Times New Roman"/>
                <w:spacing w:val="8"/>
                <w:sz w:val="24"/>
                <w:szCs w:val="24"/>
                <w:u w:val="single"/>
              </w:rPr>
              <w:t xml:space="preserve"> </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等，田边常见植物有构树、马唐</w:t>
            </w:r>
            <w:r>
              <w:rPr>
                <w:rFonts w:hint="eastAsia" w:ascii="Times New Roman" w:hAnsi="Times New Roman" w:eastAsia="宋体" w:cs="Times New Roman"/>
                <w:spacing w:val="8"/>
                <w:sz w:val="24"/>
                <w:szCs w:val="24"/>
                <w:u w:val="single"/>
              </w:rPr>
              <w:t>（</w:t>
            </w:r>
            <w:r>
              <w:rPr>
                <w:rFonts w:ascii="Times New Roman" w:hAnsi="Times New Roman" w:eastAsia="宋体" w:cs="Times New Roman"/>
                <w:i/>
                <w:iCs/>
                <w:sz w:val="24"/>
                <w:szCs w:val="24"/>
                <w:u w:val="single"/>
              </w:rPr>
              <w:t>Digitaria</w:t>
            </w:r>
            <w:r>
              <w:rPr>
                <w:rFonts w:ascii="Times New Roman" w:hAnsi="Times New Roman" w:eastAsia="宋体" w:cs="Times New Roman"/>
                <w:spacing w:val="7"/>
                <w:sz w:val="24"/>
                <w:szCs w:val="24"/>
                <w:u w:val="single"/>
              </w:rPr>
              <w:t xml:space="preserve"> </w:t>
            </w:r>
            <w:r>
              <w:rPr>
                <w:rFonts w:ascii="Times New Roman" w:hAnsi="Times New Roman" w:eastAsia="宋体" w:cs="Times New Roman"/>
                <w:i/>
                <w:iCs/>
                <w:sz w:val="24"/>
                <w:szCs w:val="24"/>
                <w:u w:val="single"/>
              </w:rPr>
              <w:t>sanguinalis</w:t>
            </w:r>
            <w:r>
              <w:rPr>
                <w:rFonts w:ascii="Times New Roman" w:hAnsi="Times New Roman" w:eastAsia="宋体" w:cs="Times New Roman"/>
                <w:spacing w:val="7"/>
                <w:sz w:val="24"/>
                <w:szCs w:val="24"/>
                <w:u w:val="single"/>
              </w:rPr>
              <w:t xml:space="preserve"> )、喜旱莲子草等。</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（2）</w:t>
            </w:r>
            <w:r>
              <w:rPr>
                <w:rFonts w:ascii="Times New Roman" w:hAnsi="Times New Roman" w:eastAsia="宋体" w:cs="Times New Roman"/>
                <w:spacing w:val="20"/>
                <w:sz w:val="24"/>
                <w:szCs w:val="24"/>
                <w:u w:val="single"/>
              </w:rPr>
              <w:t>动物现</w:t>
            </w:r>
            <w:r>
              <w:rPr>
                <w:rFonts w:ascii="Times New Roman" w:hAnsi="Times New Roman" w:eastAsia="宋体" w:cs="Times New Roman"/>
                <w:spacing w:val="19"/>
                <w:sz w:val="24"/>
                <w:szCs w:val="24"/>
                <w:u w:val="single"/>
              </w:rPr>
              <w:t>状</w:t>
            </w:r>
          </w:p>
          <w:p>
            <w:pPr>
              <w:spacing w:line="360" w:lineRule="auto"/>
              <w:ind w:firstLine="504" w:firstLineChars="200"/>
              <w:rPr>
                <w:rFonts w:ascii="Times New Roman" w:hAnsi="Times New Roman"/>
                <w:sz w:val="24"/>
                <w:u w:val="single"/>
              </w:rPr>
            </w:pPr>
            <w:r>
              <w:rPr>
                <w:rFonts w:ascii="Times New Roman" w:hAnsi="Times New Roman" w:eastAsia="宋体" w:cs="Times New Roman"/>
                <w:spacing w:val="6"/>
                <w:sz w:val="24"/>
                <w:szCs w:val="24"/>
                <w:u w:val="single"/>
              </w:rPr>
              <w:t>规划区域的农田生态系统主要是水田及旱地，水田中常见的动物主要有泽陆蛙</w:t>
            </w:r>
            <w:r>
              <w:rPr>
                <w:rFonts w:ascii="Times New Roman" w:hAnsi="Times New Roman" w:eastAsia="宋体" w:cs="Times New Roman"/>
                <w:spacing w:val="5"/>
                <w:sz w:val="24"/>
                <w:szCs w:val="24"/>
                <w:u w:val="single"/>
              </w:rPr>
              <w:t>、</w:t>
            </w:r>
            <w:r>
              <w:rPr>
                <w:rFonts w:ascii="Times New Roman" w:hAnsi="Times New Roman" w:eastAsia="宋体" w:cs="Times New Roman"/>
                <w:spacing w:val="-5"/>
                <w:sz w:val="24"/>
                <w:szCs w:val="24"/>
                <w:u w:val="single"/>
              </w:rPr>
              <w:t>沼蛙、白鹭、牛背鹭 (</w:t>
            </w:r>
            <w:r>
              <w:rPr>
                <w:rFonts w:ascii="Times New Roman" w:hAnsi="Times New Roman" w:eastAsia="宋体" w:cs="Times New Roman"/>
                <w:i/>
                <w:iCs/>
                <w:spacing w:val="-5"/>
                <w:sz w:val="24"/>
                <w:szCs w:val="24"/>
                <w:u w:val="single"/>
              </w:rPr>
              <w:t>Bubulcus</w:t>
            </w:r>
            <w:r>
              <w:rPr>
                <w:rFonts w:ascii="Times New Roman" w:hAnsi="Times New Roman" w:eastAsia="宋体" w:cs="Times New Roman"/>
                <w:spacing w:val="-5"/>
                <w:sz w:val="24"/>
                <w:szCs w:val="24"/>
                <w:u w:val="single"/>
              </w:rPr>
              <w:t xml:space="preserve"> </w:t>
            </w:r>
            <w:r>
              <w:rPr>
                <w:rFonts w:ascii="Times New Roman" w:hAnsi="Times New Roman" w:eastAsia="宋体" w:cs="Times New Roman"/>
                <w:i/>
                <w:iCs/>
                <w:spacing w:val="-5"/>
                <w:sz w:val="24"/>
                <w:szCs w:val="24"/>
                <w:u w:val="single"/>
              </w:rPr>
              <w:t>ibis</w:t>
            </w:r>
            <w:r>
              <w:rPr>
                <w:rFonts w:ascii="Times New Roman" w:hAnsi="Times New Roman" w:eastAsia="宋体" w:cs="Times New Roman"/>
                <w:spacing w:val="-5"/>
                <w:sz w:val="24"/>
                <w:szCs w:val="24"/>
                <w:u w:val="single"/>
              </w:rPr>
              <w:t xml:space="preserve"> ) 、金翅雀、斑文鸟、白腰文鸟 (</w:t>
            </w:r>
            <w:r>
              <w:rPr>
                <w:rFonts w:ascii="Times New Roman" w:hAnsi="Times New Roman" w:eastAsia="宋体" w:cs="Times New Roman"/>
                <w:i/>
                <w:iCs/>
                <w:spacing w:val="-5"/>
                <w:sz w:val="24"/>
                <w:szCs w:val="24"/>
                <w:u w:val="single"/>
              </w:rPr>
              <w:t>Lonchura</w:t>
            </w:r>
            <w:r>
              <w:rPr>
                <w:rFonts w:ascii="Times New Roman" w:hAnsi="Times New Roman" w:eastAsia="宋体" w:cs="Times New Roman"/>
                <w:spacing w:val="-5"/>
                <w:sz w:val="24"/>
                <w:szCs w:val="24"/>
                <w:u w:val="single"/>
              </w:rPr>
              <w:t xml:space="preserve"> </w:t>
            </w:r>
            <w:r>
              <w:rPr>
                <w:rFonts w:ascii="Times New Roman" w:hAnsi="Times New Roman" w:eastAsia="宋体" w:cs="Times New Roman"/>
                <w:i/>
                <w:iCs/>
                <w:spacing w:val="-5"/>
                <w:sz w:val="24"/>
                <w:szCs w:val="24"/>
                <w:u w:val="single"/>
              </w:rPr>
              <w:t>striat</w:t>
            </w:r>
            <w:r>
              <w:rPr>
                <w:rFonts w:ascii="Times New Roman" w:hAnsi="Times New Roman" w:eastAsia="宋体" w:cs="Times New Roman"/>
                <w:i/>
                <w:iCs/>
                <w:spacing w:val="-3"/>
                <w:sz w:val="24"/>
                <w:szCs w:val="24"/>
                <w:u w:val="single"/>
              </w:rPr>
              <w:t>a</w:t>
            </w:r>
            <w:r>
              <w:rPr>
                <w:rFonts w:ascii="Times New Roman" w:hAnsi="Times New Roman" w:eastAsia="宋体" w:cs="Times New Roman"/>
                <w:spacing w:val="-5"/>
                <w:sz w:val="24"/>
                <w:szCs w:val="24"/>
                <w:u w:val="single"/>
              </w:rPr>
              <w:t xml:space="preserve"> )、</w:t>
            </w:r>
            <w:r>
              <w:rPr>
                <w:rFonts w:ascii="Times New Roman" w:hAnsi="Times New Roman" w:eastAsia="宋体" w:cs="Times New Roman"/>
                <w:spacing w:val="16"/>
                <w:sz w:val="24"/>
                <w:szCs w:val="24"/>
                <w:u w:val="single"/>
              </w:rPr>
              <w:t>麻雀</w:t>
            </w:r>
            <w:r>
              <w:rPr>
                <w:rFonts w:ascii="Times New Roman" w:hAnsi="Times New Roman" w:eastAsia="宋体" w:cs="Times New Roman"/>
                <w:spacing w:val="11"/>
                <w:sz w:val="24"/>
                <w:szCs w:val="24"/>
                <w:u w:val="single"/>
              </w:rPr>
              <w:t>、</w:t>
            </w:r>
            <w:r>
              <w:rPr>
                <w:rFonts w:ascii="Times New Roman" w:hAnsi="Times New Roman" w:eastAsia="宋体" w:cs="Times New Roman"/>
                <w:spacing w:val="8"/>
                <w:sz w:val="24"/>
                <w:szCs w:val="24"/>
                <w:u w:val="single"/>
              </w:rPr>
              <w:t>丝光椋鸟、凤头麦鸡</w:t>
            </w:r>
            <w:r>
              <w:rPr>
                <w:rFonts w:hint="eastAsia" w:ascii="Times New Roman" w:hAnsi="Times New Roman" w:eastAsia="宋体" w:cs="Times New Roman"/>
                <w:spacing w:val="8"/>
                <w:sz w:val="24"/>
                <w:szCs w:val="24"/>
                <w:u w:val="single"/>
              </w:rPr>
              <w:t>（</w:t>
            </w:r>
            <w:r>
              <w:rPr>
                <w:rFonts w:ascii="Times New Roman" w:hAnsi="Times New Roman" w:eastAsia="宋体" w:cs="Times New Roman"/>
                <w:i/>
                <w:iCs/>
                <w:sz w:val="24"/>
                <w:szCs w:val="24"/>
                <w:u w:val="single"/>
              </w:rPr>
              <w:t>Vanellus</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vanellus</w:t>
            </w:r>
            <w:r>
              <w:rPr>
                <w:rFonts w:ascii="Times New Roman" w:hAnsi="Times New Roman" w:eastAsia="宋体" w:cs="Times New Roman"/>
                <w:spacing w:val="8"/>
                <w:sz w:val="24"/>
                <w:szCs w:val="24"/>
                <w:u w:val="single"/>
              </w:rPr>
              <w:t xml:space="preserve"> </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等，旱地常见的动物有铜蜓蜥、北</w:t>
            </w:r>
            <w:r>
              <w:rPr>
                <w:rFonts w:ascii="Times New Roman" w:hAnsi="Times New Roman" w:eastAsia="宋体" w:cs="Times New Roman"/>
                <w:spacing w:val="-3"/>
                <w:sz w:val="24"/>
                <w:szCs w:val="24"/>
                <w:u w:val="single"/>
              </w:rPr>
              <w:t>草蜥、乌鸫</w:t>
            </w:r>
            <w:r>
              <w:rPr>
                <w:rFonts w:hint="eastAsia" w:ascii="Times New Roman" w:hAnsi="Times New Roman" w:eastAsia="宋体" w:cs="Times New Roman"/>
                <w:spacing w:val="-3"/>
                <w:sz w:val="24"/>
                <w:szCs w:val="24"/>
                <w:u w:val="single"/>
              </w:rPr>
              <w:t>（</w:t>
            </w:r>
            <w:r>
              <w:rPr>
                <w:rFonts w:ascii="Times New Roman" w:hAnsi="Times New Roman" w:eastAsia="宋体" w:cs="Times New Roman"/>
                <w:i/>
                <w:iCs/>
                <w:spacing w:val="-3"/>
                <w:sz w:val="24"/>
                <w:szCs w:val="24"/>
                <w:u w:val="single"/>
              </w:rPr>
              <w:t>Turdus</w:t>
            </w:r>
            <w:r>
              <w:rPr>
                <w:rFonts w:ascii="Times New Roman" w:hAnsi="Times New Roman" w:eastAsia="宋体" w:cs="Times New Roman"/>
                <w:spacing w:val="-3"/>
                <w:sz w:val="24"/>
                <w:szCs w:val="24"/>
                <w:u w:val="single"/>
              </w:rPr>
              <w:t xml:space="preserve"> </w:t>
            </w:r>
            <w:r>
              <w:rPr>
                <w:rFonts w:ascii="Times New Roman" w:hAnsi="Times New Roman" w:eastAsia="宋体" w:cs="Times New Roman"/>
                <w:i/>
                <w:iCs/>
                <w:spacing w:val="-3"/>
                <w:sz w:val="24"/>
                <w:szCs w:val="24"/>
                <w:u w:val="single"/>
              </w:rPr>
              <w:t>mandarinus</w:t>
            </w:r>
            <w:r>
              <w:rPr>
                <w:rFonts w:ascii="Times New Roman" w:hAnsi="Times New Roman" w:eastAsia="宋体" w:cs="Times New Roman"/>
                <w:spacing w:val="-3"/>
                <w:sz w:val="24"/>
                <w:szCs w:val="24"/>
                <w:u w:val="single"/>
              </w:rPr>
              <w:t xml:space="preserve"> )、八哥、鹊鸲、珠颈斑鸠、金翅雀、白头鹎</w:t>
            </w:r>
            <w:r>
              <w:rPr>
                <w:rFonts w:hint="eastAsia" w:ascii="Times New Roman" w:hAnsi="Times New Roman" w:eastAsia="宋体" w:cs="Times New Roman"/>
                <w:spacing w:val="-3"/>
                <w:sz w:val="24"/>
                <w:szCs w:val="24"/>
                <w:u w:val="single"/>
              </w:rPr>
              <w:t>（</w:t>
            </w:r>
            <w:r>
              <w:rPr>
                <w:rFonts w:ascii="Times New Roman" w:hAnsi="Times New Roman" w:eastAsia="宋体" w:cs="Times New Roman"/>
                <w:i/>
                <w:iCs/>
                <w:spacing w:val="-3"/>
                <w:sz w:val="24"/>
                <w:szCs w:val="24"/>
                <w:u w:val="single"/>
              </w:rPr>
              <w:t>Pyconotus</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sinensis</w:t>
            </w:r>
            <w:r>
              <w:rPr>
                <w:rFonts w:ascii="Times New Roman" w:hAnsi="Times New Roman" w:eastAsia="宋体" w:cs="Times New Roman"/>
                <w:spacing w:val="8"/>
                <w:sz w:val="24"/>
                <w:szCs w:val="24"/>
                <w:u w:val="single"/>
              </w:rPr>
              <w:t xml:space="preserve"> </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等，兽类中啮齿目鼠科动物如褐家鼠</w:t>
            </w:r>
            <w:r>
              <w:rPr>
                <w:rFonts w:hint="eastAsia" w:ascii="Times New Roman" w:hAnsi="Times New Roman" w:eastAsia="宋体" w:cs="Times New Roman"/>
                <w:spacing w:val="8"/>
                <w:sz w:val="24"/>
                <w:szCs w:val="24"/>
                <w:u w:val="single"/>
              </w:rPr>
              <w:t>（</w:t>
            </w:r>
            <w:r>
              <w:rPr>
                <w:rFonts w:ascii="Times New Roman" w:hAnsi="Times New Roman" w:eastAsia="宋体" w:cs="Times New Roman"/>
                <w:i/>
                <w:iCs/>
                <w:sz w:val="24"/>
                <w:szCs w:val="24"/>
                <w:u w:val="single"/>
              </w:rPr>
              <w:t>Rattus</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novegicus</w:t>
            </w:r>
            <w:r>
              <w:rPr>
                <w:rFonts w:ascii="Times New Roman" w:hAnsi="Times New Roman" w:eastAsia="宋体" w:cs="Times New Roman"/>
                <w:spacing w:val="8"/>
                <w:sz w:val="24"/>
                <w:szCs w:val="24"/>
                <w:u w:val="single"/>
              </w:rPr>
              <w:t xml:space="preserve"> </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和小家鼠等也</w:t>
            </w:r>
            <w:r>
              <w:rPr>
                <w:rFonts w:ascii="Times New Roman" w:hAnsi="Times New Roman" w:eastAsia="宋体" w:cs="Times New Roman"/>
                <w:spacing w:val="5"/>
                <w:sz w:val="24"/>
                <w:szCs w:val="24"/>
                <w:u w:val="single"/>
              </w:rPr>
              <w:t>常</w:t>
            </w:r>
            <w:r>
              <w:rPr>
                <w:rFonts w:ascii="Times New Roman" w:hAnsi="Times New Roman" w:eastAsia="宋体" w:cs="Times New Roman"/>
                <w:spacing w:val="10"/>
                <w:sz w:val="24"/>
                <w:szCs w:val="24"/>
                <w:u w:val="single"/>
              </w:rPr>
              <w:t>出</w:t>
            </w:r>
            <w:r>
              <w:rPr>
                <w:rFonts w:ascii="Times New Roman" w:hAnsi="Times New Roman" w:eastAsia="宋体" w:cs="Times New Roman"/>
                <w:spacing w:val="9"/>
                <w:sz w:val="24"/>
                <w:szCs w:val="24"/>
                <w:u w:val="single"/>
              </w:rPr>
              <w:t>现在农田生态系统。</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position w:val="1"/>
                <w:sz w:val="24"/>
                <w:szCs w:val="24"/>
                <w:u w:val="single"/>
              </w:rPr>
              <w:t>二</w:t>
            </w:r>
            <w:r>
              <w:rPr>
                <w:rFonts w:ascii="Times New Roman" w:hAnsi="Times New Roman" w:eastAsia="宋体" w:cs="Times New Roman"/>
                <w:spacing w:val="8"/>
                <w:position w:val="1"/>
                <w:sz w:val="24"/>
                <w:szCs w:val="24"/>
                <w:u w:val="single"/>
              </w:rPr>
              <w:t>、生态系统功能</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农田</w:t>
            </w:r>
            <w:r>
              <w:rPr>
                <w:rFonts w:ascii="Times New Roman" w:hAnsi="Times New Roman" w:eastAsia="宋体" w:cs="Times New Roman"/>
                <w:spacing w:val="15"/>
                <w:sz w:val="24"/>
                <w:szCs w:val="24"/>
                <w:u w:val="single"/>
              </w:rPr>
              <w:t>生</w:t>
            </w:r>
            <w:r>
              <w:rPr>
                <w:rFonts w:ascii="Times New Roman" w:hAnsi="Times New Roman" w:eastAsia="宋体" w:cs="Times New Roman"/>
                <w:spacing w:val="9"/>
                <w:sz w:val="24"/>
                <w:szCs w:val="24"/>
                <w:u w:val="single"/>
              </w:rPr>
              <w:t>态系统由一定农业地域内相互作用的生物因素和非生物因素构成的功能</w:t>
            </w:r>
            <w:r>
              <w:rPr>
                <w:rFonts w:ascii="Times New Roman" w:hAnsi="Times New Roman" w:eastAsia="宋体" w:cs="Times New Roman"/>
                <w:spacing w:val="18"/>
                <w:sz w:val="24"/>
                <w:szCs w:val="24"/>
                <w:u w:val="single"/>
              </w:rPr>
              <w:t>整体，</w:t>
            </w:r>
            <w:r>
              <w:rPr>
                <w:rFonts w:ascii="Times New Roman" w:hAnsi="Times New Roman" w:eastAsia="宋体" w:cs="Times New Roman"/>
                <w:spacing w:val="9"/>
                <w:sz w:val="24"/>
                <w:szCs w:val="24"/>
                <w:u w:val="single"/>
              </w:rPr>
              <w:t>人类生产活动干预下形成的人工生态系统。农田生态系统的主要生态功能体</w:t>
            </w:r>
            <w:r>
              <w:rPr>
                <w:rFonts w:ascii="Times New Roman" w:hAnsi="Times New Roman" w:eastAsia="宋体" w:cs="Times New Roman"/>
                <w:spacing w:val="18"/>
                <w:sz w:val="24"/>
                <w:szCs w:val="24"/>
                <w:u w:val="single"/>
              </w:rPr>
              <w:t>现在农</w:t>
            </w:r>
            <w:r>
              <w:rPr>
                <w:rFonts w:ascii="Times New Roman" w:hAnsi="Times New Roman" w:eastAsia="宋体" w:cs="Times New Roman"/>
                <w:spacing w:val="9"/>
                <w:sz w:val="24"/>
                <w:szCs w:val="24"/>
                <w:u w:val="single"/>
              </w:rPr>
              <w:t>产品及副产品生产，包括为人们提供农产品，为现代工业提供加工原料，以</w:t>
            </w:r>
            <w:r>
              <w:rPr>
                <w:rFonts w:ascii="Times New Roman" w:hAnsi="Times New Roman" w:eastAsia="宋体" w:cs="Times New Roman"/>
                <w:spacing w:val="18"/>
                <w:sz w:val="24"/>
                <w:szCs w:val="24"/>
                <w:u w:val="single"/>
              </w:rPr>
              <w:t>及提供</w:t>
            </w:r>
            <w:r>
              <w:rPr>
                <w:rFonts w:ascii="Times New Roman" w:hAnsi="Times New Roman" w:eastAsia="宋体" w:cs="Times New Roman"/>
                <w:spacing w:val="9"/>
                <w:sz w:val="24"/>
                <w:szCs w:val="24"/>
                <w:u w:val="single"/>
              </w:rPr>
              <w:t>生物生源等。同时，农田生态系统也具有大气调节、土壤保持、养分循环、</w:t>
            </w:r>
            <w:r>
              <w:rPr>
                <w:rFonts w:ascii="Times New Roman" w:hAnsi="Times New Roman" w:eastAsia="宋体" w:cs="Times New Roman"/>
                <w:spacing w:val="12"/>
                <w:sz w:val="24"/>
                <w:szCs w:val="24"/>
                <w:u w:val="single"/>
              </w:rPr>
              <w:t>水</w:t>
            </w:r>
            <w:r>
              <w:rPr>
                <w:rFonts w:ascii="Times New Roman" w:hAnsi="Times New Roman" w:eastAsia="宋体" w:cs="Times New Roman"/>
                <w:spacing w:val="7"/>
                <w:sz w:val="24"/>
                <w:szCs w:val="24"/>
                <w:u w:val="single"/>
              </w:rPr>
              <w:t>分调节等功能。</w:t>
            </w:r>
          </w:p>
          <w:p>
            <w:pPr>
              <w:spacing w:line="360" w:lineRule="auto"/>
              <w:rPr>
                <w:rFonts w:ascii="Times New Roman" w:hAnsi="Times New Roman"/>
                <w:b/>
                <w:bCs/>
                <w:sz w:val="24"/>
                <w:u w:val="single"/>
              </w:rPr>
            </w:pPr>
            <w:r>
              <w:rPr>
                <w:rFonts w:hint="eastAsia" w:ascii="Times New Roman" w:hAnsi="Times New Roman" w:cs="Times New Roman"/>
                <w:b/>
                <w:bCs/>
                <w:sz w:val="24"/>
                <w:szCs w:val="24"/>
                <w:u w:val="single"/>
              </w:rPr>
              <w:t>1.1.6、</w:t>
            </w:r>
            <w:r>
              <w:rPr>
                <w:rFonts w:ascii="Times New Roman" w:hAnsi="Times New Roman" w:cs="Times New Roman"/>
                <w:b/>
                <w:bCs/>
                <w:sz w:val="24"/>
                <w:szCs w:val="24"/>
                <w:u w:val="single"/>
              </w:rPr>
              <w:t>城镇生态系统</w:t>
            </w:r>
          </w:p>
          <w:p>
            <w:pPr>
              <w:spacing w:line="360" w:lineRule="auto"/>
              <w:ind w:firstLine="488" w:firstLineChars="200"/>
              <w:rPr>
                <w:rFonts w:ascii="Times New Roman" w:hAnsi="Times New Roman"/>
                <w:sz w:val="24"/>
                <w:u w:val="single"/>
              </w:rPr>
            </w:pPr>
            <w:r>
              <w:rPr>
                <w:rFonts w:ascii="Times New Roman" w:hAnsi="Times New Roman" w:eastAsia="宋体" w:cs="Times New Roman"/>
                <w:spacing w:val="2"/>
                <w:sz w:val="24"/>
                <w:szCs w:val="24"/>
                <w:u w:val="single"/>
              </w:rPr>
              <w:t>根据卫片解译，评价区城镇生态系统面积为288.62</w:t>
            </w:r>
            <w:r>
              <w:rPr>
                <w:rFonts w:ascii="Times New Roman" w:hAnsi="Times New Roman" w:eastAsia="宋体" w:cs="Times New Roman"/>
                <w:sz w:val="24"/>
                <w:szCs w:val="24"/>
                <w:u w:val="single"/>
              </w:rPr>
              <w:t>hm</w:t>
            </w:r>
            <w:r>
              <w:rPr>
                <w:rFonts w:hint="eastAsia" w:ascii="Times New Roman" w:hAnsi="Times New Roman" w:eastAsia="宋体" w:cs="Times New Roman"/>
                <w:sz w:val="24"/>
                <w:szCs w:val="24"/>
                <w:u w:val="single"/>
                <w:vertAlign w:val="superscript"/>
              </w:rPr>
              <w:t>2</w:t>
            </w:r>
            <w:r>
              <w:rPr>
                <w:rFonts w:ascii="Times New Roman" w:hAnsi="Times New Roman" w:eastAsia="宋体" w:cs="Times New Roman"/>
                <w:spacing w:val="2"/>
                <w:sz w:val="24"/>
                <w:szCs w:val="24"/>
                <w:u w:val="single"/>
              </w:rPr>
              <w:t>，占总面积的 8.</w:t>
            </w:r>
            <w:r>
              <w:rPr>
                <w:rFonts w:ascii="Times New Roman" w:hAnsi="Times New Roman" w:eastAsia="宋体" w:cs="Times New Roman"/>
                <w:sz w:val="24"/>
                <w:szCs w:val="24"/>
                <w:u w:val="single"/>
              </w:rPr>
              <w:t>90%，</w:t>
            </w:r>
            <w:r>
              <w:rPr>
                <w:rFonts w:ascii="Times New Roman" w:hAnsi="Times New Roman" w:eastAsia="宋体" w:cs="Times New Roman"/>
                <w:spacing w:val="16"/>
                <w:sz w:val="24"/>
                <w:szCs w:val="24"/>
                <w:u w:val="single"/>
              </w:rPr>
              <w:t>在</w:t>
            </w:r>
            <w:r>
              <w:rPr>
                <w:rFonts w:ascii="Times New Roman" w:hAnsi="Times New Roman" w:eastAsia="宋体" w:cs="Times New Roman"/>
                <w:spacing w:val="11"/>
                <w:sz w:val="24"/>
                <w:szCs w:val="24"/>
                <w:u w:val="single"/>
              </w:rPr>
              <w:t>所</w:t>
            </w:r>
            <w:r>
              <w:rPr>
                <w:rFonts w:ascii="Times New Roman" w:hAnsi="Times New Roman" w:eastAsia="宋体" w:cs="Times New Roman"/>
                <w:spacing w:val="8"/>
                <w:sz w:val="24"/>
                <w:szCs w:val="24"/>
                <w:u w:val="single"/>
              </w:rPr>
              <w:t>有生态系统中面积占比较小。</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position w:val="2"/>
                <w:sz w:val="24"/>
                <w:szCs w:val="24"/>
                <w:u w:val="single"/>
              </w:rPr>
              <w:t>一</w:t>
            </w:r>
            <w:r>
              <w:rPr>
                <w:rFonts w:ascii="Times New Roman" w:hAnsi="Times New Roman" w:eastAsia="宋体" w:cs="Times New Roman"/>
                <w:spacing w:val="8"/>
                <w:position w:val="2"/>
                <w:sz w:val="24"/>
                <w:szCs w:val="24"/>
                <w:u w:val="single"/>
              </w:rPr>
              <w:t>、生态系统结构</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（1）</w:t>
            </w:r>
            <w:r>
              <w:rPr>
                <w:rFonts w:ascii="Times New Roman" w:hAnsi="Times New Roman" w:eastAsia="宋体" w:cs="Times New Roman"/>
                <w:spacing w:val="20"/>
                <w:sz w:val="24"/>
                <w:szCs w:val="24"/>
                <w:u w:val="single"/>
              </w:rPr>
              <w:t>植被现</w:t>
            </w:r>
            <w:r>
              <w:rPr>
                <w:rFonts w:ascii="Times New Roman" w:hAnsi="Times New Roman" w:eastAsia="宋体" w:cs="Times New Roman"/>
                <w:spacing w:val="19"/>
                <w:sz w:val="24"/>
                <w:szCs w:val="24"/>
                <w:u w:val="single"/>
              </w:rPr>
              <w:t>状</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评价</w:t>
            </w:r>
            <w:r>
              <w:rPr>
                <w:rFonts w:ascii="Times New Roman" w:hAnsi="Times New Roman" w:eastAsia="宋体" w:cs="Times New Roman"/>
                <w:spacing w:val="16"/>
                <w:sz w:val="24"/>
                <w:szCs w:val="24"/>
                <w:u w:val="single"/>
              </w:rPr>
              <w:t>区</w:t>
            </w:r>
            <w:r>
              <w:rPr>
                <w:rFonts w:ascii="Times New Roman" w:hAnsi="Times New Roman" w:eastAsia="宋体" w:cs="Times New Roman"/>
                <w:spacing w:val="9"/>
                <w:sz w:val="24"/>
                <w:szCs w:val="24"/>
                <w:u w:val="single"/>
              </w:rPr>
              <w:t>城镇生态系统内植被以阔叶林、灌丛、灌草丛为主，常见的群系有樟群</w:t>
            </w:r>
            <w:r>
              <w:rPr>
                <w:rFonts w:ascii="Times New Roman" w:hAnsi="Times New Roman" w:eastAsia="宋体" w:cs="Times New Roman"/>
                <w:spacing w:val="1"/>
                <w:sz w:val="24"/>
                <w:szCs w:val="24"/>
                <w:u w:val="single"/>
              </w:rPr>
              <w:t>系、楝群系、淡竹群系、构树群系、狗尾</w:t>
            </w:r>
            <w:r>
              <w:rPr>
                <w:rFonts w:ascii="Times New Roman" w:hAnsi="Times New Roman" w:eastAsia="宋体" w:cs="Times New Roman"/>
                <w:sz w:val="24"/>
                <w:szCs w:val="24"/>
                <w:u w:val="single"/>
              </w:rPr>
              <w:t>草群系等，伴生有毛竹、杉木</w:t>
            </w:r>
            <w:r>
              <w:rPr>
                <w:rFonts w:hint="eastAsia" w:ascii="Times New Roman" w:hAnsi="Times New Roman" w:eastAsia="宋体" w:cs="Times New Roman"/>
                <w:sz w:val="24"/>
                <w:szCs w:val="24"/>
                <w:u w:val="single"/>
              </w:rPr>
              <w:t>（</w:t>
            </w:r>
            <w:r>
              <w:rPr>
                <w:rFonts w:ascii="Times New Roman" w:hAnsi="Times New Roman" w:eastAsia="宋体" w:cs="Times New Roman"/>
                <w:i/>
                <w:iCs/>
                <w:sz w:val="24"/>
                <w:szCs w:val="24"/>
                <w:u w:val="single"/>
              </w:rPr>
              <w:t>Cunninghamia</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lanceolata</w:t>
            </w:r>
            <w:r>
              <w:rPr>
                <w:rFonts w:ascii="Times New Roman" w:hAnsi="Times New Roman" w:eastAsia="宋体" w:cs="Times New Roman"/>
                <w:spacing w:val="2"/>
                <w:sz w:val="24"/>
                <w:szCs w:val="24"/>
                <w:u w:val="single"/>
              </w:rPr>
              <w:t xml:space="preserve"> )、乌</w:t>
            </w:r>
            <w:r>
              <w:rPr>
                <w:rFonts w:ascii="Times New Roman" w:hAnsi="Times New Roman" w:eastAsia="宋体" w:cs="Times New Roman"/>
                <w:spacing w:val="1"/>
                <w:sz w:val="24"/>
                <w:szCs w:val="24"/>
                <w:u w:val="single"/>
              </w:rPr>
              <w:t>桕、盐肤木、野蔷薇、寒莓、芦苇、五节芒</w:t>
            </w:r>
            <w:r>
              <w:rPr>
                <w:rFonts w:hint="eastAsia" w:ascii="Times New Roman" w:hAnsi="Times New Roman" w:eastAsia="宋体" w:cs="Times New Roman"/>
                <w:spacing w:val="1"/>
                <w:sz w:val="24"/>
                <w:szCs w:val="24"/>
                <w:u w:val="single"/>
              </w:rPr>
              <w:t>（</w:t>
            </w:r>
            <w:r>
              <w:rPr>
                <w:rFonts w:ascii="Times New Roman" w:hAnsi="Times New Roman" w:eastAsia="宋体" w:cs="Times New Roman"/>
                <w:i/>
                <w:iCs/>
                <w:sz w:val="24"/>
                <w:szCs w:val="24"/>
                <w:u w:val="single"/>
              </w:rPr>
              <w:t>Miscanthusfloridulus</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u w:val="single"/>
              </w:rPr>
              <w:t>芒</w:t>
            </w:r>
            <w:r>
              <w:rPr>
                <w:rFonts w:hint="eastAsia" w:ascii="Times New Roman" w:hAnsi="Times New Roman" w:eastAsia="宋体" w:cs="Times New Roman"/>
                <w:spacing w:val="-1"/>
                <w:sz w:val="24"/>
                <w:szCs w:val="24"/>
                <w:u w:val="single"/>
              </w:rPr>
              <w:t>（</w:t>
            </w:r>
            <w:r>
              <w:rPr>
                <w:rFonts w:ascii="Times New Roman" w:hAnsi="Times New Roman" w:eastAsia="宋体" w:cs="Times New Roman"/>
                <w:i/>
                <w:iCs/>
                <w:spacing w:val="-1"/>
                <w:sz w:val="24"/>
                <w:szCs w:val="24"/>
                <w:u w:val="single"/>
              </w:rPr>
              <w:t>Misca</w:t>
            </w:r>
            <w:r>
              <w:rPr>
                <w:rFonts w:ascii="Times New Roman" w:hAnsi="Times New Roman" w:eastAsia="宋体" w:cs="Times New Roman"/>
                <w:i/>
                <w:iCs/>
                <w:sz w:val="24"/>
                <w:szCs w:val="24"/>
                <w:u w:val="single"/>
              </w:rPr>
              <w:t>nthus</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z w:val="24"/>
                <w:szCs w:val="24"/>
                <w:u w:val="single"/>
              </w:rPr>
              <w:t>sinensis</w:t>
            </w:r>
            <w:r>
              <w:rPr>
                <w:rFonts w:ascii="Times New Roman" w:hAnsi="Times New Roman" w:eastAsia="宋体" w:cs="Times New Roman"/>
                <w:spacing w:val="-1"/>
                <w:sz w:val="24"/>
                <w:szCs w:val="24"/>
                <w:u w:val="single"/>
              </w:rPr>
              <w:t xml:space="preserve"> </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等，有人工种植植物有柑橘 (</w:t>
            </w:r>
            <w:r>
              <w:rPr>
                <w:rFonts w:ascii="Times New Roman" w:hAnsi="Times New Roman" w:eastAsia="宋体" w:cs="Times New Roman"/>
                <w:i/>
                <w:iCs/>
                <w:sz w:val="24"/>
                <w:szCs w:val="24"/>
                <w:u w:val="single"/>
              </w:rPr>
              <w:t>Citrus</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i/>
                <w:iCs/>
                <w:sz w:val="24"/>
                <w:szCs w:val="24"/>
                <w:u w:val="single"/>
              </w:rPr>
              <w:t>reticulata</w:t>
            </w:r>
            <w:r>
              <w:rPr>
                <w:rFonts w:ascii="Times New Roman" w:hAnsi="Times New Roman" w:eastAsia="宋体" w:cs="Times New Roman"/>
                <w:spacing w:val="-1"/>
                <w:sz w:val="24"/>
                <w:szCs w:val="24"/>
                <w:u w:val="single"/>
              </w:rPr>
              <w:t xml:space="preserve"> )、柚 (</w:t>
            </w:r>
            <w:r>
              <w:rPr>
                <w:rFonts w:ascii="Times New Roman" w:hAnsi="Times New Roman" w:eastAsia="宋体" w:cs="Times New Roman"/>
                <w:i/>
                <w:iCs/>
                <w:sz w:val="24"/>
                <w:szCs w:val="24"/>
                <w:u w:val="single"/>
              </w:rPr>
              <w:t>Citrus</w:t>
            </w:r>
            <w:r>
              <w:rPr>
                <w:rFonts w:ascii="Times New Roman" w:hAnsi="Times New Roman" w:eastAsia="宋体" w:cs="Times New Roman"/>
                <w:i/>
                <w:iCs/>
                <w:spacing w:val="-1"/>
                <w:position w:val="1"/>
                <w:sz w:val="24"/>
                <w:szCs w:val="24"/>
                <w:u w:val="single"/>
              </w:rPr>
              <w:t>maxima</w:t>
            </w:r>
            <w:r>
              <w:rPr>
                <w:rFonts w:ascii="Times New Roman" w:hAnsi="Times New Roman" w:eastAsia="宋体" w:cs="Times New Roman"/>
                <w:spacing w:val="-2"/>
                <w:position w:val="1"/>
                <w:sz w:val="24"/>
                <w:szCs w:val="24"/>
                <w:u w:val="single"/>
              </w:rPr>
              <w:t xml:space="preserve"> </w:t>
            </w:r>
            <w:r>
              <w:rPr>
                <w:rFonts w:ascii="Times New Roman" w:hAnsi="Times New Roman" w:eastAsia="宋体" w:cs="Times New Roman"/>
                <w:spacing w:val="-1"/>
                <w:position w:val="1"/>
                <w:sz w:val="24"/>
                <w:szCs w:val="24"/>
                <w:u w:val="single"/>
              </w:rPr>
              <w:t>) 等。</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（2）</w:t>
            </w:r>
            <w:r>
              <w:rPr>
                <w:rFonts w:ascii="Times New Roman" w:hAnsi="Times New Roman" w:eastAsia="宋体" w:cs="Times New Roman"/>
                <w:spacing w:val="20"/>
                <w:sz w:val="24"/>
                <w:szCs w:val="24"/>
                <w:u w:val="single"/>
              </w:rPr>
              <w:t>动物现</w:t>
            </w:r>
            <w:r>
              <w:rPr>
                <w:rFonts w:ascii="Times New Roman" w:hAnsi="Times New Roman" w:eastAsia="宋体" w:cs="Times New Roman"/>
                <w:spacing w:val="19"/>
                <w:sz w:val="24"/>
                <w:szCs w:val="24"/>
                <w:u w:val="single"/>
              </w:rPr>
              <w:t>状</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规划</w:t>
            </w:r>
            <w:r>
              <w:rPr>
                <w:rFonts w:ascii="Times New Roman" w:hAnsi="Times New Roman" w:eastAsia="宋体" w:cs="Times New Roman"/>
                <w:spacing w:val="14"/>
                <w:sz w:val="24"/>
                <w:szCs w:val="24"/>
                <w:u w:val="single"/>
              </w:rPr>
              <w:t>区</w:t>
            </w:r>
            <w:r>
              <w:rPr>
                <w:rFonts w:ascii="Times New Roman" w:hAnsi="Times New Roman" w:eastAsia="宋体" w:cs="Times New Roman"/>
                <w:spacing w:val="9"/>
                <w:sz w:val="24"/>
                <w:szCs w:val="24"/>
                <w:u w:val="single"/>
              </w:rPr>
              <w:t>域内的城市生态系统主要是居民建筑，人群集中活动的区域，该区域的</w:t>
            </w:r>
            <w:r>
              <w:rPr>
                <w:rFonts w:ascii="Times New Roman" w:hAnsi="Times New Roman" w:eastAsia="宋体" w:cs="Times New Roman"/>
                <w:spacing w:val="18"/>
                <w:sz w:val="24"/>
                <w:szCs w:val="24"/>
                <w:u w:val="single"/>
              </w:rPr>
              <w:t>动物</w:t>
            </w:r>
            <w:r>
              <w:rPr>
                <w:rFonts w:ascii="Times New Roman" w:hAnsi="Times New Roman" w:eastAsia="宋体" w:cs="Times New Roman"/>
                <w:spacing w:val="17"/>
                <w:sz w:val="24"/>
                <w:szCs w:val="24"/>
                <w:u w:val="single"/>
              </w:rPr>
              <w:t>种</w:t>
            </w:r>
            <w:r>
              <w:rPr>
                <w:rFonts w:ascii="Times New Roman" w:hAnsi="Times New Roman" w:eastAsia="宋体" w:cs="Times New Roman"/>
                <w:spacing w:val="9"/>
                <w:sz w:val="24"/>
                <w:szCs w:val="24"/>
                <w:u w:val="single"/>
              </w:rPr>
              <w:t>类和数量均较少，主要有抗人类活动干扰能力强的物种，如两栖类的中华蟾</w:t>
            </w:r>
            <w:r>
              <w:rPr>
                <w:rFonts w:ascii="Times New Roman" w:hAnsi="Times New Roman" w:eastAsia="宋体" w:cs="Times New Roman"/>
                <w:spacing w:val="11"/>
                <w:sz w:val="24"/>
                <w:szCs w:val="24"/>
                <w:u w:val="single"/>
              </w:rPr>
              <w:t>蜍，喜在房屋建筑物活动的多疣壁虎</w:t>
            </w:r>
            <w:r>
              <w:rPr>
                <w:rFonts w:hint="eastAsia" w:ascii="Times New Roman" w:hAnsi="Times New Roman" w:eastAsia="宋体" w:cs="Times New Roman"/>
                <w:spacing w:val="11"/>
                <w:sz w:val="24"/>
                <w:szCs w:val="24"/>
                <w:u w:val="single"/>
              </w:rPr>
              <w:t>（</w:t>
            </w:r>
            <w:r>
              <w:rPr>
                <w:rFonts w:ascii="Times New Roman" w:hAnsi="Times New Roman" w:eastAsia="宋体" w:cs="Times New Roman"/>
                <w:i/>
                <w:iCs/>
                <w:sz w:val="24"/>
                <w:szCs w:val="24"/>
                <w:u w:val="single"/>
              </w:rPr>
              <w:t>Gekko</w:t>
            </w:r>
            <w:r>
              <w:rPr>
                <w:rFonts w:ascii="Times New Roman" w:hAnsi="Times New Roman" w:eastAsia="宋体" w:cs="Times New Roman"/>
                <w:spacing w:val="11"/>
                <w:sz w:val="24"/>
                <w:szCs w:val="24"/>
                <w:u w:val="single"/>
              </w:rPr>
              <w:t xml:space="preserve"> </w:t>
            </w:r>
            <w:r>
              <w:rPr>
                <w:rFonts w:ascii="Times New Roman" w:hAnsi="Times New Roman" w:eastAsia="宋体" w:cs="Times New Roman"/>
                <w:i/>
                <w:iCs/>
                <w:sz w:val="24"/>
                <w:szCs w:val="24"/>
                <w:u w:val="single"/>
              </w:rPr>
              <w:t>japonicus</w:t>
            </w:r>
            <w:r>
              <w:rPr>
                <w:rFonts w:ascii="Times New Roman" w:hAnsi="Times New Roman" w:eastAsia="宋体" w:cs="Times New Roman"/>
                <w:spacing w:val="11"/>
                <w:sz w:val="24"/>
                <w:szCs w:val="24"/>
                <w:u w:val="single"/>
              </w:rPr>
              <w:t xml:space="preserve"> )，鸟类中的鹊鸲、麻雀、</w:t>
            </w:r>
            <w:r>
              <w:rPr>
                <w:rFonts w:ascii="Times New Roman" w:hAnsi="Times New Roman" w:eastAsia="宋体" w:cs="Times New Roman"/>
                <w:spacing w:val="9"/>
                <w:sz w:val="24"/>
                <w:szCs w:val="24"/>
                <w:u w:val="single"/>
              </w:rPr>
              <w:t>家</w:t>
            </w:r>
            <w:r>
              <w:rPr>
                <w:rFonts w:ascii="Times New Roman" w:hAnsi="Times New Roman" w:eastAsia="宋体" w:cs="Times New Roman"/>
                <w:spacing w:val="7"/>
                <w:sz w:val="24"/>
                <w:szCs w:val="24"/>
                <w:u w:val="single"/>
              </w:rPr>
              <w:t>燕</w:t>
            </w:r>
            <w:r>
              <w:rPr>
                <w:rFonts w:hint="eastAsia" w:ascii="Times New Roman" w:hAnsi="Times New Roman" w:eastAsia="宋体" w:cs="Times New Roman"/>
                <w:spacing w:val="7"/>
                <w:sz w:val="24"/>
                <w:szCs w:val="24"/>
                <w:u w:val="single"/>
              </w:rPr>
              <w:t>（</w:t>
            </w:r>
            <w:r>
              <w:rPr>
                <w:rFonts w:ascii="Times New Roman" w:hAnsi="Times New Roman" w:eastAsia="宋体" w:cs="Times New Roman"/>
                <w:i/>
                <w:iCs/>
                <w:sz w:val="24"/>
                <w:szCs w:val="24"/>
                <w:u w:val="single"/>
              </w:rPr>
              <w:t>Hirundo</w:t>
            </w:r>
            <w:r>
              <w:rPr>
                <w:rFonts w:ascii="Times New Roman" w:hAnsi="Times New Roman" w:eastAsia="宋体" w:cs="Times New Roman"/>
                <w:spacing w:val="7"/>
                <w:sz w:val="24"/>
                <w:szCs w:val="24"/>
                <w:u w:val="single"/>
              </w:rPr>
              <w:t xml:space="preserve"> </w:t>
            </w:r>
            <w:r>
              <w:rPr>
                <w:rFonts w:ascii="Times New Roman" w:hAnsi="Times New Roman" w:eastAsia="宋体" w:cs="Times New Roman"/>
                <w:i/>
                <w:iCs/>
                <w:sz w:val="24"/>
                <w:szCs w:val="24"/>
                <w:u w:val="single"/>
              </w:rPr>
              <w:t>rustica</w:t>
            </w:r>
            <w:r>
              <w:rPr>
                <w:rFonts w:ascii="Times New Roman" w:hAnsi="Times New Roman" w:eastAsia="宋体" w:cs="Times New Roman"/>
                <w:spacing w:val="7"/>
                <w:sz w:val="24"/>
                <w:szCs w:val="24"/>
                <w:u w:val="single"/>
              </w:rPr>
              <w:t xml:space="preserve"> )、金腰燕</w:t>
            </w:r>
            <w:r>
              <w:rPr>
                <w:rFonts w:hint="eastAsia" w:ascii="Times New Roman" w:hAnsi="Times New Roman" w:eastAsia="宋体" w:cs="Times New Roman"/>
                <w:spacing w:val="7"/>
                <w:sz w:val="24"/>
                <w:szCs w:val="24"/>
                <w:u w:val="single"/>
              </w:rPr>
              <w:t>（</w:t>
            </w:r>
            <w:r>
              <w:rPr>
                <w:rFonts w:ascii="Times New Roman" w:hAnsi="Times New Roman" w:eastAsia="宋体" w:cs="Times New Roman"/>
                <w:i/>
                <w:iCs/>
                <w:sz w:val="24"/>
                <w:szCs w:val="24"/>
                <w:u w:val="single"/>
              </w:rPr>
              <w:t>Hirundo</w:t>
            </w:r>
            <w:r>
              <w:rPr>
                <w:rFonts w:ascii="Times New Roman" w:hAnsi="Times New Roman" w:eastAsia="宋体" w:cs="Times New Roman"/>
                <w:spacing w:val="7"/>
                <w:sz w:val="24"/>
                <w:szCs w:val="24"/>
                <w:u w:val="single"/>
              </w:rPr>
              <w:t xml:space="preserve"> </w:t>
            </w:r>
            <w:r>
              <w:rPr>
                <w:rFonts w:ascii="Times New Roman" w:hAnsi="Times New Roman" w:eastAsia="宋体" w:cs="Times New Roman"/>
                <w:i/>
                <w:iCs/>
                <w:sz w:val="24"/>
                <w:szCs w:val="24"/>
                <w:u w:val="single"/>
              </w:rPr>
              <w:t>daurica</w:t>
            </w:r>
            <w:r>
              <w:rPr>
                <w:rFonts w:ascii="Times New Roman" w:hAnsi="Times New Roman" w:eastAsia="宋体" w:cs="Times New Roman"/>
                <w:spacing w:val="7"/>
                <w:sz w:val="24"/>
                <w:szCs w:val="24"/>
                <w:u w:val="single"/>
              </w:rPr>
              <w:t xml:space="preserve"> </w:t>
            </w:r>
            <w:r>
              <w:rPr>
                <w:rFonts w:hint="eastAsia" w:ascii="Times New Roman" w:hAnsi="Times New Roman" w:eastAsia="宋体" w:cs="Times New Roman"/>
                <w:spacing w:val="7"/>
                <w:sz w:val="24"/>
                <w:szCs w:val="24"/>
                <w:u w:val="single"/>
              </w:rPr>
              <w:t>）</w:t>
            </w:r>
            <w:r>
              <w:rPr>
                <w:rFonts w:ascii="Times New Roman" w:hAnsi="Times New Roman" w:eastAsia="宋体" w:cs="Times New Roman"/>
                <w:spacing w:val="7"/>
                <w:sz w:val="24"/>
                <w:szCs w:val="24"/>
                <w:u w:val="single"/>
              </w:rPr>
              <w:t>及兽类中的小家鼠等。</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position w:val="1"/>
                <w:sz w:val="24"/>
                <w:szCs w:val="24"/>
                <w:u w:val="single"/>
              </w:rPr>
              <w:t>二</w:t>
            </w:r>
            <w:r>
              <w:rPr>
                <w:rFonts w:ascii="Times New Roman" w:hAnsi="Times New Roman" w:eastAsia="宋体" w:cs="Times New Roman"/>
                <w:spacing w:val="8"/>
                <w:position w:val="1"/>
                <w:sz w:val="24"/>
                <w:szCs w:val="24"/>
                <w:u w:val="single"/>
              </w:rPr>
              <w:t>、生态系统功能</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城镇</w:t>
            </w:r>
            <w:r>
              <w:rPr>
                <w:rFonts w:ascii="Times New Roman" w:hAnsi="Times New Roman" w:eastAsia="宋体" w:cs="Times New Roman"/>
                <w:spacing w:val="15"/>
                <w:sz w:val="24"/>
                <w:szCs w:val="24"/>
                <w:u w:val="single"/>
              </w:rPr>
              <w:t>是</w:t>
            </w:r>
            <w:r>
              <w:rPr>
                <w:rFonts w:ascii="Times New Roman" w:hAnsi="Times New Roman" w:eastAsia="宋体" w:cs="Times New Roman"/>
                <w:spacing w:val="9"/>
                <w:sz w:val="24"/>
                <w:szCs w:val="24"/>
                <w:u w:val="single"/>
              </w:rPr>
              <w:t>一个高度复合的人工化生态系统，与自然生态系统在结构和功能上都存</w:t>
            </w:r>
            <w:r>
              <w:rPr>
                <w:rFonts w:ascii="Times New Roman" w:hAnsi="Times New Roman" w:eastAsia="宋体" w:cs="Times New Roman"/>
                <w:spacing w:val="18"/>
                <w:sz w:val="24"/>
                <w:szCs w:val="24"/>
                <w:u w:val="single"/>
              </w:rPr>
              <w:t>在明显</w:t>
            </w:r>
            <w:r>
              <w:rPr>
                <w:rFonts w:ascii="Times New Roman" w:hAnsi="Times New Roman" w:eastAsia="宋体" w:cs="Times New Roman"/>
                <w:spacing w:val="9"/>
                <w:sz w:val="24"/>
                <w:szCs w:val="24"/>
                <w:u w:val="single"/>
              </w:rPr>
              <w:t>差别。城镇生态系统的服务功能主要包括三大类：①提供生活和生产物质的</w:t>
            </w:r>
            <w:r>
              <w:rPr>
                <w:rFonts w:ascii="Times New Roman" w:hAnsi="Times New Roman" w:eastAsia="宋体" w:cs="Times New Roman"/>
                <w:spacing w:val="18"/>
                <w:sz w:val="24"/>
                <w:szCs w:val="24"/>
                <w:u w:val="single"/>
              </w:rPr>
              <w:t>功能，</w:t>
            </w:r>
            <w:r>
              <w:rPr>
                <w:rFonts w:ascii="Times New Roman" w:hAnsi="Times New Roman" w:eastAsia="宋体" w:cs="Times New Roman"/>
                <w:spacing w:val="9"/>
                <w:sz w:val="24"/>
                <w:szCs w:val="24"/>
                <w:u w:val="single"/>
              </w:rPr>
              <w:t>包括食物生产、原材料生产；②与人类日常生活和身心健康相关的生命支持</w:t>
            </w:r>
            <w:r>
              <w:rPr>
                <w:rFonts w:ascii="Times New Roman" w:hAnsi="Times New Roman" w:eastAsia="宋体" w:cs="Times New Roman"/>
                <w:spacing w:val="18"/>
                <w:sz w:val="24"/>
                <w:szCs w:val="24"/>
                <w:u w:val="single"/>
              </w:rPr>
              <w:t>的功能</w:t>
            </w:r>
            <w:r>
              <w:rPr>
                <w:rFonts w:ascii="Times New Roman" w:hAnsi="Times New Roman" w:eastAsia="宋体" w:cs="Times New Roman"/>
                <w:spacing w:val="9"/>
                <w:sz w:val="24"/>
                <w:szCs w:val="24"/>
                <w:u w:val="single"/>
              </w:rPr>
              <w:t>，包括：气候调节、水源涵养、土壤形成与保护、净化空气、生物多样性保</w:t>
            </w:r>
            <w:r>
              <w:rPr>
                <w:rFonts w:ascii="Times New Roman" w:hAnsi="Times New Roman" w:eastAsia="宋体" w:cs="Times New Roman"/>
                <w:spacing w:val="18"/>
                <w:sz w:val="24"/>
                <w:szCs w:val="24"/>
                <w:u w:val="single"/>
              </w:rPr>
              <w:t>护</w:t>
            </w:r>
            <w:r>
              <w:rPr>
                <w:rFonts w:ascii="Times New Roman" w:hAnsi="Times New Roman" w:eastAsia="宋体" w:cs="Times New Roman"/>
                <w:spacing w:val="10"/>
                <w:sz w:val="24"/>
                <w:szCs w:val="24"/>
                <w:u w:val="single"/>
              </w:rPr>
              <w:t>、</w:t>
            </w:r>
            <w:r>
              <w:rPr>
                <w:rFonts w:ascii="Times New Roman" w:hAnsi="Times New Roman" w:eastAsia="宋体" w:cs="Times New Roman"/>
                <w:spacing w:val="9"/>
                <w:sz w:val="24"/>
                <w:szCs w:val="24"/>
                <w:u w:val="single"/>
              </w:rPr>
              <w:t>减轻噪声；③满足人类精神生活需求的功能，包括娱乐文化。</w:t>
            </w:r>
          </w:p>
          <w:p>
            <w:pPr>
              <w:spacing w:line="360" w:lineRule="auto"/>
              <w:rPr>
                <w:rFonts w:ascii="Times New Roman" w:hAnsi="Times New Roman"/>
                <w:b/>
                <w:bCs/>
                <w:sz w:val="24"/>
                <w:u w:val="single"/>
              </w:rPr>
            </w:pPr>
            <w:r>
              <w:rPr>
                <w:rFonts w:hint="eastAsia" w:ascii="Times New Roman" w:hAnsi="Times New Roman" w:cs="Times New Roman"/>
                <w:b/>
                <w:bCs/>
                <w:sz w:val="24"/>
                <w:szCs w:val="24"/>
                <w:u w:val="single"/>
              </w:rPr>
              <w:t>1.2、</w:t>
            </w:r>
            <w:r>
              <w:rPr>
                <w:rFonts w:ascii="Times New Roman" w:hAnsi="Times New Roman" w:cs="Times New Roman"/>
                <w:b/>
                <w:bCs/>
                <w:sz w:val="24"/>
                <w:szCs w:val="24"/>
                <w:u w:val="single"/>
              </w:rPr>
              <w:t>陆生生态现状调查</w:t>
            </w:r>
          </w:p>
          <w:p>
            <w:pPr>
              <w:spacing w:line="360" w:lineRule="auto"/>
              <w:rPr>
                <w:rFonts w:ascii="Times New Roman" w:hAnsi="Times New Roman"/>
                <w:b/>
                <w:bCs/>
                <w:sz w:val="24"/>
                <w:u w:val="single"/>
              </w:rPr>
            </w:pPr>
            <w:r>
              <w:rPr>
                <w:rFonts w:hint="eastAsia" w:ascii="Times New Roman" w:hAnsi="Times New Roman" w:cs="Times New Roman"/>
                <w:b/>
                <w:bCs/>
                <w:sz w:val="24"/>
                <w:szCs w:val="24"/>
                <w:u w:val="single"/>
              </w:rPr>
              <w:t>1.2.1、</w:t>
            </w:r>
            <w:r>
              <w:rPr>
                <w:rFonts w:ascii="Times New Roman" w:hAnsi="Times New Roman" w:cs="Times New Roman"/>
                <w:b/>
                <w:bCs/>
                <w:sz w:val="24"/>
                <w:szCs w:val="24"/>
                <w:u w:val="single"/>
              </w:rPr>
              <w:t>陆生植物</w:t>
            </w:r>
          </w:p>
          <w:p>
            <w:pPr>
              <w:spacing w:line="360" w:lineRule="auto"/>
              <w:rPr>
                <w:rFonts w:ascii="Times New Roman" w:hAnsi="Times New Roman"/>
                <w:b/>
                <w:bCs/>
                <w:sz w:val="24"/>
                <w:u w:val="single"/>
              </w:rPr>
            </w:pPr>
            <w:r>
              <w:rPr>
                <w:rFonts w:hint="eastAsia" w:ascii="Times New Roman" w:hAnsi="Times New Roman" w:cs="Times New Roman"/>
                <w:b/>
                <w:bCs/>
                <w:sz w:val="24"/>
                <w:szCs w:val="24"/>
                <w:u w:val="single"/>
              </w:rPr>
              <w:t>1.2.1.1、</w:t>
            </w:r>
            <w:r>
              <w:rPr>
                <w:rFonts w:ascii="Times New Roman" w:hAnsi="Times New Roman" w:cs="Times New Roman"/>
                <w:b/>
                <w:bCs/>
                <w:sz w:val="24"/>
                <w:szCs w:val="24"/>
                <w:u w:val="single"/>
              </w:rPr>
              <w:t>植物区系</w:t>
            </w:r>
          </w:p>
          <w:p>
            <w:pPr>
              <w:spacing w:line="360" w:lineRule="auto"/>
              <w:ind w:firstLine="572" w:firstLineChars="200"/>
              <w:rPr>
                <w:rFonts w:ascii="Times New Roman" w:hAnsi="Times New Roman"/>
                <w:sz w:val="24"/>
                <w:u w:val="single"/>
              </w:rPr>
            </w:pPr>
            <w:r>
              <w:rPr>
                <w:rFonts w:hint="eastAsia" w:ascii="Times New Roman" w:hAnsi="Times New Roman" w:eastAsia="宋体" w:cs="Times New Roman"/>
                <w:spacing w:val="23"/>
                <w:sz w:val="24"/>
                <w:szCs w:val="24"/>
                <w:u w:val="single"/>
              </w:rPr>
              <w:t>（1）</w:t>
            </w:r>
            <w:r>
              <w:rPr>
                <w:rFonts w:ascii="Times New Roman" w:hAnsi="Times New Roman" w:eastAsia="宋体" w:cs="Times New Roman"/>
                <w:spacing w:val="16"/>
                <w:sz w:val="24"/>
                <w:szCs w:val="24"/>
                <w:u w:val="single"/>
              </w:rPr>
              <w:t>植物区系基本组成</w:t>
            </w:r>
          </w:p>
          <w:p>
            <w:pPr>
              <w:spacing w:line="360" w:lineRule="auto"/>
              <w:ind w:firstLine="496" w:firstLineChars="200"/>
              <w:rPr>
                <w:rFonts w:ascii="Times New Roman" w:hAnsi="Times New Roman"/>
                <w:sz w:val="24"/>
                <w:u w:val="single"/>
              </w:rPr>
            </w:pPr>
            <w:r>
              <w:rPr>
                <w:rFonts w:ascii="Times New Roman" w:hAnsi="Times New Roman" w:eastAsia="宋体" w:cs="Times New Roman"/>
                <w:spacing w:val="4"/>
                <w:sz w:val="24"/>
                <w:szCs w:val="24"/>
                <w:u w:val="single"/>
              </w:rPr>
              <w:t>根据《中国种子植物区系地理</w:t>
            </w:r>
            <w:r>
              <w:rPr>
                <w:rFonts w:ascii="Times New Roman" w:hAnsi="Times New Roman" w:eastAsia="宋体" w:cs="Times New Roman"/>
                <w:spacing w:val="2"/>
                <w:sz w:val="24"/>
                <w:szCs w:val="24"/>
                <w:u w:val="single"/>
              </w:rPr>
              <w:t>》</w:t>
            </w:r>
            <w:r>
              <w:rPr>
                <w:rFonts w:hint="eastAsia" w:ascii="Times New Roman" w:hAnsi="Times New Roman" w:eastAsia="宋体" w:cs="Times New Roman"/>
                <w:spacing w:val="2"/>
                <w:sz w:val="24"/>
                <w:szCs w:val="24"/>
                <w:u w:val="single"/>
              </w:rPr>
              <w:t>（</w:t>
            </w:r>
            <w:r>
              <w:rPr>
                <w:rFonts w:ascii="Times New Roman" w:hAnsi="Times New Roman" w:eastAsia="宋体" w:cs="Times New Roman"/>
                <w:spacing w:val="2"/>
                <w:sz w:val="24"/>
                <w:szCs w:val="24"/>
                <w:u w:val="single"/>
              </w:rPr>
              <w:t>吴征镒等，2011年</w:t>
            </w:r>
            <w:r>
              <w:rPr>
                <w:rFonts w:hint="eastAsia" w:ascii="Times New Roman" w:hAnsi="Times New Roman" w:eastAsia="宋体" w:cs="Times New Roman"/>
                <w:spacing w:val="2"/>
                <w:sz w:val="24"/>
                <w:szCs w:val="24"/>
                <w:u w:val="single"/>
              </w:rPr>
              <w:t>）</w:t>
            </w:r>
            <w:r>
              <w:rPr>
                <w:rFonts w:ascii="Times New Roman" w:hAnsi="Times New Roman" w:eastAsia="宋体" w:cs="Times New Roman"/>
                <w:spacing w:val="2"/>
                <w:sz w:val="24"/>
                <w:szCs w:val="24"/>
                <w:u w:val="single"/>
              </w:rPr>
              <w:t>对中国植物区系的分区，</w:t>
            </w:r>
            <w:r>
              <w:rPr>
                <w:rFonts w:ascii="Times New Roman" w:hAnsi="Times New Roman" w:eastAsia="宋体" w:cs="Times New Roman"/>
                <w:spacing w:val="8"/>
                <w:sz w:val="24"/>
                <w:szCs w:val="24"/>
                <w:u w:val="single"/>
              </w:rPr>
              <w:t>评价区植物区系组成上属东亚植物区</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中国</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日本森林植物亚区</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华东地区</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赣南</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12"/>
                <w:sz w:val="24"/>
                <w:szCs w:val="24"/>
                <w:u w:val="single"/>
              </w:rPr>
              <w:t>湘</w:t>
            </w:r>
            <w:r>
              <w:rPr>
                <w:rFonts w:ascii="Times New Roman" w:hAnsi="Times New Roman" w:eastAsia="宋体" w:cs="Times New Roman"/>
                <w:spacing w:val="7"/>
                <w:sz w:val="24"/>
                <w:szCs w:val="24"/>
                <w:u w:val="single"/>
              </w:rPr>
              <w:t>东丘陵亚地区。</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通过</w:t>
            </w:r>
            <w:r>
              <w:rPr>
                <w:rFonts w:ascii="Times New Roman" w:hAnsi="Times New Roman" w:eastAsia="宋体" w:cs="Times New Roman"/>
                <w:spacing w:val="15"/>
                <w:sz w:val="24"/>
                <w:szCs w:val="24"/>
                <w:u w:val="single"/>
              </w:rPr>
              <w:t>对</w:t>
            </w:r>
            <w:r>
              <w:rPr>
                <w:rFonts w:ascii="Times New Roman" w:hAnsi="Times New Roman" w:eastAsia="宋体" w:cs="Times New Roman"/>
                <w:spacing w:val="9"/>
                <w:sz w:val="24"/>
                <w:szCs w:val="24"/>
                <w:u w:val="single"/>
              </w:rPr>
              <w:t>评价区现场考察采集的植物标本鉴定，以及对历年积累的植物区系资料</w:t>
            </w:r>
            <w:r>
              <w:rPr>
                <w:rFonts w:ascii="Times New Roman" w:hAnsi="Times New Roman" w:eastAsia="宋体" w:cs="Times New Roman"/>
                <w:spacing w:val="18"/>
                <w:sz w:val="24"/>
                <w:szCs w:val="24"/>
                <w:u w:val="single"/>
              </w:rPr>
              <w:t>系统</w:t>
            </w:r>
            <w:r>
              <w:rPr>
                <w:rFonts w:ascii="Times New Roman" w:hAnsi="Times New Roman" w:eastAsia="宋体" w:cs="Times New Roman"/>
                <w:spacing w:val="17"/>
                <w:sz w:val="24"/>
                <w:szCs w:val="24"/>
                <w:u w:val="single"/>
              </w:rPr>
              <w:t>的</w:t>
            </w:r>
            <w:r>
              <w:rPr>
                <w:rFonts w:ascii="Times New Roman" w:hAnsi="Times New Roman" w:eastAsia="宋体" w:cs="Times New Roman"/>
                <w:spacing w:val="9"/>
                <w:sz w:val="24"/>
                <w:szCs w:val="24"/>
                <w:u w:val="single"/>
              </w:rPr>
              <w:t>整理，蕨类植物分类参照秦仁昌系统，裸子植物分类参照郑万钧系统，被子</w:t>
            </w:r>
            <w:r>
              <w:rPr>
                <w:rFonts w:ascii="Times New Roman" w:hAnsi="Times New Roman" w:eastAsia="宋体" w:cs="Times New Roman"/>
                <w:spacing w:val="7"/>
                <w:sz w:val="24"/>
                <w:szCs w:val="24"/>
                <w:u w:val="single"/>
              </w:rPr>
              <w:t xml:space="preserve">植物分类参照哈钦松系统，得出评价区内有维管植物共有 97 科，230 属，347 </w:t>
            </w:r>
            <w:r>
              <w:rPr>
                <w:rFonts w:ascii="Times New Roman" w:hAnsi="Times New Roman" w:eastAsia="宋体" w:cs="Times New Roman"/>
                <w:spacing w:val="6"/>
                <w:sz w:val="24"/>
                <w:szCs w:val="24"/>
                <w:u w:val="single"/>
              </w:rPr>
              <w:t>种</w:t>
            </w:r>
            <w:r>
              <w:rPr>
                <w:rFonts w:ascii="Times New Roman" w:hAnsi="Times New Roman" w:eastAsia="宋体" w:cs="Times New Roman"/>
                <w:sz w:val="24"/>
                <w:szCs w:val="24"/>
                <w:u w:val="single"/>
              </w:rPr>
              <w:t>，</w:t>
            </w:r>
            <w:r>
              <w:rPr>
                <w:rFonts w:ascii="Times New Roman" w:hAnsi="Times New Roman" w:eastAsia="宋体" w:cs="Times New Roman"/>
                <w:spacing w:val="-6"/>
                <w:sz w:val="24"/>
                <w:szCs w:val="24"/>
                <w:u w:val="single"/>
              </w:rPr>
              <w:t>其中蕨类植物 11 科 11 属 12 种；裸子植物 5 科 8 属 8 种，被子植物 81 科 211 属 3</w:t>
            </w:r>
            <w:r>
              <w:rPr>
                <w:rFonts w:ascii="Times New Roman" w:hAnsi="Times New Roman" w:eastAsia="宋体" w:cs="Times New Roman"/>
                <w:spacing w:val="-4"/>
                <w:sz w:val="24"/>
                <w:szCs w:val="24"/>
                <w:u w:val="single"/>
              </w:rPr>
              <w:t>2</w:t>
            </w:r>
            <w:r>
              <w:rPr>
                <w:rFonts w:ascii="Times New Roman" w:hAnsi="Times New Roman" w:eastAsia="宋体" w:cs="Times New Roman"/>
                <w:sz w:val="24"/>
                <w:szCs w:val="24"/>
                <w:u w:val="single"/>
              </w:rPr>
              <w:t>7 种。</w:t>
            </w:r>
          </w:p>
          <w:p>
            <w:pPr>
              <w:spacing w:line="360" w:lineRule="auto"/>
              <w:ind w:firstLine="552" w:firstLineChars="200"/>
              <w:rPr>
                <w:rFonts w:ascii="Times New Roman" w:hAnsi="Times New Roman"/>
                <w:sz w:val="24"/>
                <w:u w:val="single"/>
              </w:rPr>
            </w:pPr>
            <w:r>
              <w:rPr>
                <w:rFonts w:hint="eastAsia" w:ascii="Times New Roman" w:hAnsi="Times New Roman" w:eastAsia="宋体" w:cs="Times New Roman"/>
                <w:spacing w:val="18"/>
                <w:sz w:val="24"/>
                <w:szCs w:val="24"/>
                <w:u w:val="single"/>
              </w:rPr>
              <w:t>（2）</w:t>
            </w:r>
            <w:r>
              <w:rPr>
                <w:rFonts w:ascii="Times New Roman" w:hAnsi="Times New Roman" w:eastAsia="宋体" w:cs="Times New Roman"/>
                <w:spacing w:val="18"/>
                <w:sz w:val="24"/>
                <w:szCs w:val="24"/>
                <w:u w:val="single"/>
              </w:rPr>
              <w:t>植物区系特</w:t>
            </w:r>
            <w:r>
              <w:rPr>
                <w:rFonts w:ascii="Times New Roman" w:hAnsi="Times New Roman" w:eastAsia="宋体" w:cs="Times New Roman"/>
                <w:spacing w:val="17"/>
                <w:sz w:val="24"/>
                <w:szCs w:val="24"/>
                <w:u w:val="single"/>
              </w:rPr>
              <w:t>征</w:t>
            </w:r>
          </w:p>
          <w:p>
            <w:pPr>
              <w:spacing w:line="360" w:lineRule="auto"/>
              <w:ind w:firstLine="536" w:firstLineChars="200"/>
              <w:rPr>
                <w:rFonts w:ascii="Times New Roman" w:hAnsi="Times New Roman"/>
                <w:sz w:val="24"/>
                <w:u w:val="single"/>
              </w:rPr>
            </w:pPr>
            <w:r>
              <w:rPr>
                <w:rFonts w:ascii="Times New Roman" w:hAnsi="Times New Roman" w:eastAsia="宋体" w:cs="Times New Roman"/>
                <w:spacing w:val="14"/>
                <w:sz w:val="24"/>
                <w:szCs w:val="24"/>
                <w:u w:val="single"/>
              </w:rPr>
              <w:t>1</w:t>
            </w:r>
            <w:r>
              <w:rPr>
                <w:rFonts w:ascii="Times New Roman" w:hAnsi="Times New Roman" w:eastAsia="宋体" w:cs="Times New Roman"/>
                <w:spacing w:val="10"/>
                <w:sz w:val="24"/>
                <w:szCs w:val="24"/>
                <w:u w:val="single"/>
              </w:rPr>
              <w:t>)</w:t>
            </w:r>
            <w:r>
              <w:rPr>
                <w:rFonts w:ascii="Times New Roman" w:hAnsi="Times New Roman" w:eastAsia="宋体" w:cs="Times New Roman"/>
                <w:spacing w:val="7"/>
                <w:sz w:val="24"/>
                <w:szCs w:val="24"/>
                <w:u w:val="single"/>
              </w:rPr>
              <w:t xml:space="preserve"> 植物种类相对简单，优势科属明显</w:t>
            </w:r>
          </w:p>
          <w:p>
            <w:pPr>
              <w:spacing w:line="360" w:lineRule="auto"/>
              <w:ind w:firstLine="500" w:firstLineChars="200"/>
              <w:rPr>
                <w:rFonts w:ascii="Times New Roman" w:hAnsi="Times New Roman"/>
                <w:sz w:val="24"/>
                <w:u w:val="single"/>
              </w:rPr>
            </w:pPr>
            <w:r>
              <w:rPr>
                <w:rFonts w:hint="eastAsia" w:ascii="Times New Roman" w:hAnsi="Times New Roman" w:eastAsia="宋体" w:cs="Times New Roman"/>
                <w:spacing w:val="5"/>
                <w:sz w:val="24"/>
                <w:szCs w:val="24"/>
                <w:u w:val="single"/>
              </w:rPr>
              <w:t>鼻湖</w:t>
            </w:r>
            <w:r>
              <w:rPr>
                <w:rFonts w:ascii="Times New Roman" w:hAnsi="Times New Roman" w:eastAsia="宋体" w:cs="Times New Roman"/>
                <w:spacing w:val="5"/>
                <w:sz w:val="24"/>
                <w:szCs w:val="24"/>
                <w:u w:val="single"/>
              </w:rPr>
              <w:t xml:space="preserve">周边1 </w:t>
            </w:r>
            <w:r>
              <w:rPr>
                <w:rFonts w:ascii="Times New Roman" w:hAnsi="Times New Roman" w:eastAsia="宋体" w:cs="Times New Roman"/>
                <w:sz w:val="24"/>
                <w:szCs w:val="24"/>
                <w:u w:val="single"/>
              </w:rPr>
              <w:t>km</w:t>
            </w:r>
            <w:r>
              <w:rPr>
                <w:rFonts w:ascii="Times New Roman" w:hAnsi="Times New Roman" w:eastAsia="宋体" w:cs="Times New Roman"/>
                <w:spacing w:val="5"/>
                <w:sz w:val="24"/>
                <w:szCs w:val="24"/>
                <w:u w:val="single"/>
              </w:rPr>
              <w:t>以农田生态系统及城镇生态系统为主，</w:t>
            </w:r>
            <w:r>
              <w:rPr>
                <w:rFonts w:ascii="Times New Roman" w:hAnsi="Times New Roman" w:eastAsia="宋体" w:cs="Times New Roman"/>
                <w:spacing w:val="14"/>
                <w:sz w:val="24"/>
                <w:szCs w:val="24"/>
                <w:u w:val="single"/>
              </w:rPr>
              <w:t>植</w:t>
            </w:r>
            <w:r>
              <w:rPr>
                <w:rFonts w:ascii="Times New Roman" w:hAnsi="Times New Roman" w:eastAsia="宋体" w:cs="Times New Roman"/>
                <w:spacing w:val="9"/>
                <w:sz w:val="24"/>
                <w:szCs w:val="24"/>
                <w:u w:val="single"/>
              </w:rPr>
              <w:t>被类型简单，单科优势明显，以禾本科、菊科等科为主。</w:t>
            </w:r>
          </w:p>
          <w:p>
            <w:pPr>
              <w:spacing w:line="360" w:lineRule="auto"/>
              <w:ind w:firstLine="536" w:firstLineChars="200"/>
              <w:rPr>
                <w:rFonts w:ascii="Times New Roman" w:hAnsi="Times New Roman"/>
                <w:spacing w:val="14"/>
                <w:sz w:val="24"/>
                <w:u w:val="single"/>
              </w:rPr>
            </w:pPr>
            <w:r>
              <w:rPr>
                <w:rFonts w:ascii="Times New Roman" w:hAnsi="Times New Roman" w:eastAsia="宋体" w:cs="Times New Roman"/>
                <w:spacing w:val="14"/>
                <w:sz w:val="24"/>
                <w:szCs w:val="24"/>
                <w:u w:val="single"/>
              </w:rPr>
              <w:t>2) 国家重点保护植物较为匮乏</w:t>
            </w:r>
          </w:p>
          <w:p>
            <w:pPr>
              <w:spacing w:line="360" w:lineRule="auto"/>
              <w:ind w:firstLine="536" w:firstLineChars="200"/>
              <w:rPr>
                <w:rFonts w:ascii="Times New Roman" w:hAnsi="Times New Roman"/>
                <w:spacing w:val="14"/>
                <w:sz w:val="24"/>
                <w:u w:val="single"/>
              </w:rPr>
            </w:pPr>
            <w:r>
              <w:rPr>
                <w:rFonts w:ascii="Times New Roman" w:hAnsi="Times New Roman" w:eastAsia="宋体" w:cs="Times New Roman"/>
                <w:spacing w:val="14"/>
                <w:sz w:val="24"/>
                <w:szCs w:val="24"/>
                <w:u w:val="single"/>
              </w:rPr>
              <w:t>评级区人为活动频繁，干扰影响较大，森林保存较少，特别是原生性常绿针</w:t>
            </w:r>
            <w:r>
              <w:rPr>
                <w:rFonts w:hint="eastAsia" w:ascii="Times New Roman" w:hAnsi="Times New Roman" w:eastAsia="宋体" w:cs="Times New Roman"/>
                <w:spacing w:val="14"/>
                <w:sz w:val="24"/>
                <w:szCs w:val="24"/>
                <w:u w:val="single"/>
              </w:rPr>
              <w:t>叶</w:t>
            </w:r>
            <w:r>
              <w:rPr>
                <w:rFonts w:ascii="Times New Roman" w:hAnsi="Times New Roman" w:eastAsia="宋体" w:cs="Times New Roman"/>
                <w:spacing w:val="14"/>
                <w:sz w:val="24"/>
                <w:szCs w:val="24"/>
                <w:u w:val="single"/>
              </w:rPr>
              <w:t>林几乎不再留存。调查未发现国家保护野生植物、湖南省保护野生植物种类，无古树分布。</w:t>
            </w:r>
          </w:p>
          <w:p>
            <w:pPr>
              <w:spacing w:line="360" w:lineRule="auto"/>
              <w:rPr>
                <w:rFonts w:ascii="Times New Roman" w:hAnsi="Times New Roman"/>
                <w:b/>
                <w:bCs/>
                <w:sz w:val="24"/>
                <w:u w:val="single"/>
              </w:rPr>
            </w:pPr>
            <w:r>
              <w:rPr>
                <w:rFonts w:hint="eastAsia" w:ascii="Times New Roman" w:hAnsi="Times New Roman" w:cs="Times New Roman"/>
                <w:b/>
                <w:bCs/>
                <w:sz w:val="24"/>
                <w:szCs w:val="24"/>
                <w:u w:val="single"/>
              </w:rPr>
              <w:t>1.2.1.2、</w:t>
            </w:r>
            <w:r>
              <w:rPr>
                <w:rFonts w:ascii="Times New Roman" w:hAnsi="Times New Roman" w:cs="Times New Roman"/>
                <w:b/>
                <w:bCs/>
                <w:sz w:val="24"/>
                <w:szCs w:val="24"/>
                <w:u w:val="single"/>
              </w:rPr>
              <w:t>植被现状</w:t>
            </w:r>
          </w:p>
          <w:p>
            <w:pPr>
              <w:spacing w:line="360" w:lineRule="auto"/>
              <w:ind w:firstLine="560" w:firstLineChars="200"/>
              <w:rPr>
                <w:rFonts w:ascii="Times New Roman" w:hAnsi="Times New Roman"/>
                <w:sz w:val="24"/>
                <w:u w:val="single"/>
              </w:rPr>
            </w:pPr>
            <w:r>
              <w:rPr>
                <w:rFonts w:hint="eastAsia" w:ascii="Times New Roman" w:hAnsi="Times New Roman" w:eastAsia="宋体" w:cs="Times New Roman"/>
                <w:spacing w:val="20"/>
                <w:sz w:val="24"/>
                <w:szCs w:val="24"/>
                <w:u w:val="single"/>
              </w:rPr>
              <w:t>（1）</w:t>
            </w:r>
            <w:r>
              <w:rPr>
                <w:rFonts w:ascii="Times New Roman" w:hAnsi="Times New Roman" w:eastAsia="宋体" w:cs="Times New Roman"/>
                <w:spacing w:val="20"/>
                <w:sz w:val="24"/>
                <w:szCs w:val="24"/>
                <w:u w:val="single"/>
              </w:rPr>
              <w:t>植被区</w:t>
            </w:r>
            <w:r>
              <w:rPr>
                <w:rFonts w:ascii="Times New Roman" w:hAnsi="Times New Roman" w:eastAsia="宋体" w:cs="Times New Roman"/>
                <w:spacing w:val="19"/>
                <w:sz w:val="24"/>
                <w:szCs w:val="24"/>
                <w:u w:val="single"/>
              </w:rPr>
              <w:t>划</w:t>
            </w:r>
          </w:p>
          <w:p>
            <w:pPr>
              <w:spacing w:line="360" w:lineRule="auto"/>
              <w:ind w:firstLine="512" w:firstLineChars="200"/>
              <w:rPr>
                <w:rFonts w:ascii="Times New Roman" w:hAnsi="Times New Roman"/>
                <w:sz w:val="24"/>
                <w:u w:val="single"/>
              </w:rPr>
            </w:pPr>
            <w:r>
              <w:rPr>
                <w:rFonts w:ascii="Times New Roman" w:hAnsi="Times New Roman" w:eastAsia="宋体" w:cs="Times New Roman"/>
                <w:spacing w:val="8"/>
                <w:sz w:val="24"/>
                <w:szCs w:val="24"/>
                <w:u w:val="single"/>
              </w:rPr>
              <w:t>根据《湖南植被》的分区系统，评价范围属于亚热带常绿阔叶林区域</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中亚</w:t>
            </w:r>
            <w:r>
              <w:rPr>
                <w:rFonts w:ascii="Times New Roman" w:hAnsi="Times New Roman" w:eastAsia="宋体" w:cs="Times New Roman"/>
                <w:spacing w:val="1"/>
                <w:sz w:val="24"/>
                <w:szCs w:val="24"/>
                <w:u w:val="single"/>
              </w:rPr>
              <w:t>热</w:t>
            </w:r>
            <w:r>
              <w:rPr>
                <w:rFonts w:ascii="Times New Roman" w:hAnsi="Times New Roman" w:eastAsia="宋体" w:cs="Times New Roman"/>
                <w:spacing w:val="18"/>
                <w:sz w:val="24"/>
                <w:szCs w:val="24"/>
                <w:u w:val="single"/>
              </w:rPr>
              <w:t>带常</w:t>
            </w:r>
            <w:r>
              <w:rPr>
                <w:rFonts w:ascii="Times New Roman" w:hAnsi="Times New Roman" w:eastAsia="宋体" w:cs="Times New Roman"/>
                <w:spacing w:val="14"/>
                <w:sz w:val="24"/>
                <w:szCs w:val="24"/>
                <w:u w:val="single"/>
              </w:rPr>
              <w:t>绿</w:t>
            </w:r>
            <w:r>
              <w:rPr>
                <w:rFonts w:ascii="Times New Roman" w:hAnsi="Times New Roman" w:eastAsia="宋体" w:cs="Times New Roman"/>
                <w:spacing w:val="9"/>
                <w:sz w:val="24"/>
                <w:szCs w:val="24"/>
                <w:u w:val="single"/>
              </w:rPr>
              <w:t>阔叶林地带</w:t>
            </w:r>
            <w:r>
              <w:rPr>
                <w:rFonts w:hint="eastAsia" w:ascii="Times New Roman" w:hAnsi="Times New Roman" w:eastAsia="宋体" w:cs="Times New Roman"/>
                <w:spacing w:val="9"/>
                <w:sz w:val="24"/>
                <w:szCs w:val="24"/>
                <w:u w:val="single"/>
              </w:rPr>
              <w:t>——</w:t>
            </w:r>
            <w:r>
              <w:rPr>
                <w:rFonts w:ascii="Times New Roman" w:hAnsi="Times New Roman" w:eastAsia="宋体" w:cs="Times New Roman"/>
                <w:spacing w:val="9"/>
                <w:sz w:val="24"/>
                <w:szCs w:val="24"/>
                <w:u w:val="single"/>
              </w:rPr>
              <w:t>湘北滨湖平原栲栎林、旱柳林、桑树林、湖漫滩草甸、沼泽、</w:t>
            </w:r>
            <w:r>
              <w:rPr>
                <w:rFonts w:ascii="Times New Roman" w:hAnsi="Times New Roman" w:eastAsia="宋体" w:cs="Times New Roman"/>
                <w:spacing w:val="10"/>
                <w:sz w:val="24"/>
                <w:szCs w:val="24"/>
                <w:u w:val="single"/>
              </w:rPr>
              <w:t>水</w:t>
            </w:r>
            <w:r>
              <w:rPr>
                <w:rFonts w:ascii="Times New Roman" w:hAnsi="Times New Roman" w:eastAsia="宋体" w:cs="Times New Roman"/>
                <w:spacing w:val="9"/>
                <w:sz w:val="24"/>
                <w:szCs w:val="24"/>
                <w:u w:val="single"/>
              </w:rPr>
              <w:t>生植被及农田植被区</w:t>
            </w:r>
            <w:r>
              <w:rPr>
                <w:rFonts w:hint="eastAsia" w:ascii="Times New Roman" w:hAnsi="Times New Roman" w:eastAsia="宋体" w:cs="Times New Roman"/>
                <w:spacing w:val="9"/>
                <w:sz w:val="24"/>
                <w:szCs w:val="24"/>
                <w:u w:val="single"/>
              </w:rPr>
              <w:t>——</w:t>
            </w:r>
            <w:r>
              <w:rPr>
                <w:rFonts w:ascii="Times New Roman" w:hAnsi="Times New Roman" w:eastAsia="宋体" w:cs="Times New Roman"/>
                <w:spacing w:val="9"/>
                <w:sz w:val="24"/>
                <w:szCs w:val="24"/>
                <w:u w:val="single"/>
              </w:rPr>
              <w:t>洞庭湖平原及湖泊植被小区。</w:t>
            </w:r>
          </w:p>
          <w:p>
            <w:pPr>
              <w:spacing w:line="360" w:lineRule="auto"/>
              <w:ind w:firstLine="552" w:firstLineChars="200"/>
              <w:rPr>
                <w:rFonts w:ascii="Times New Roman" w:hAnsi="Times New Roman"/>
                <w:sz w:val="24"/>
                <w:u w:val="single"/>
              </w:rPr>
            </w:pPr>
            <w:r>
              <w:rPr>
                <w:rFonts w:hint="eastAsia" w:ascii="Times New Roman" w:hAnsi="Times New Roman" w:eastAsia="宋体" w:cs="Times New Roman"/>
                <w:spacing w:val="18"/>
                <w:sz w:val="24"/>
                <w:szCs w:val="24"/>
                <w:u w:val="single"/>
              </w:rPr>
              <w:t>（2）</w:t>
            </w:r>
            <w:r>
              <w:rPr>
                <w:rFonts w:ascii="Times New Roman" w:hAnsi="Times New Roman" w:eastAsia="宋体" w:cs="Times New Roman"/>
                <w:spacing w:val="18"/>
                <w:sz w:val="24"/>
                <w:szCs w:val="24"/>
                <w:u w:val="single"/>
              </w:rPr>
              <w:t>主要植被类</w:t>
            </w:r>
            <w:r>
              <w:rPr>
                <w:rFonts w:ascii="Times New Roman" w:hAnsi="Times New Roman" w:eastAsia="宋体" w:cs="Times New Roman"/>
                <w:spacing w:val="17"/>
                <w:sz w:val="24"/>
                <w:szCs w:val="24"/>
                <w:u w:val="single"/>
              </w:rPr>
              <w:t>型</w:t>
            </w:r>
          </w:p>
          <w:p>
            <w:pPr>
              <w:spacing w:line="360" w:lineRule="auto"/>
              <w:ind w:firstLine="536" w:firstLineChars="200"/>
              <w:rPr>
                <w:rFonts w:ascii="Times New Roman" w:hAnsi="Times New Roman"/>
                <w:sz w:val="24"/>
                <w:u w:val="single"/>
              </w:rPr>
            </w:pPr>
            <w:r>
              <w:rPr>
                <w:rFonts w:ascii="Times New Roman" w:hAnsi="Times New Roman" w:eastAsia="宋体" w:cs="Times New Roman"/>
                <w:spacing w:val="14"/>
                <w:sz w:val="24"/>
                <w:szCs w:val="24"/>
                <w:u w:val="single"/>
              </w:rPr>
              <w:t>经</w:t>
            </w:r>
            <w:r>
              <w:rPr>
                <w:rFonts w:ascii="Times New Roman" w:hAnsi="Times New Roman" w:eastAsia="宋体" w:cs="Times New Roman"/>
                <w:spacing w:val="10"/>
                <w:sz w:val="24"/>
                <w:szCs w:val="24"/>
                <w:u w:val="single"/>
              </w:rPr>
              <w:t>过实地考察与参考相关林业调查资料，根据群落的特征，将各种植物群落，</w:t>
            </w:r>
            <w:r>
              <w:rPr>
                <w:rFonts w:ascii="Times New Roman" w:hAnsi="Times New Roman" w:eastAsia="宋体" w:cs="Times New Roman"/>
                <w:spacing w:val="18"/>
                <w:sz w:val="24"/>
                <w:szCs w:val="24"/>
                <w:u w:val="single"/>
              </w:rPr>
              <w:t>通过</w:t>
            </w:r>
            <w:r>
              <w:rPr>
                <w:rFonts w:ascii="Times New Roman" w:hAnsi="Times New Roman" w:eastAsia="宋体" w:cs="Times New Roman"/>
                <w:spacing w:val="17"/>
                <w:sz w:val="24"/>
                <w:szCs w:val="24"/>
                <w:u w:val="single"/>
              </w:rPr>
              <w:t>比</w:t>
            </w:r>
            <w:r>
              <w:rPr>
                <w:rFonts w:ascii="Times New Roman" w:hAnsi="Times New Roman" w:eastAsia="宋体" w:cs="Times New Roman"/>
                <w:spacing w:val="9"/>
                <w:sz w:val="24"/>
                <w:szCs w:val="24"/>
                <w:u w:val="single"/>
              </w:rPr>
              <w:t>较它们之间的异同点，根据《中国植被》分类系统，参考湖南省植被类型及</w:t>
            </w:r>
            <w:r>
              <w:rPr>
                <w:rFonts w:ascii="Times New Roman" w:hAnsi="Times New Roman" w:eastAsia="宋体" w:cs="Times New Roman"/>
                <w:spacing w:val="5"/>
                <w:sz w:val="24"/>
                <w:szCs w:val="24"/>
                <w:u w:val="single"/>
              </w:rPr>
              <w:t>植被图等资料，结合评价区实际情况将该处植被划分为3个植被型组、7个植被型、</w:t>
            </w:r>
            <w:r>
              <w:rPr>
                <w:rFonts w:ascii="Times New Roman" w:hAnsi="Times New Roman" w:eastAsia="宋体" w:cs="Times New Roman"/>
                <w:spacing w:val="6"/>
                <w:sz w:val="24"/>
                <w:szCs w:val="24"/>
                <w:u w:val="single"/>
              </w:rPr>
              <w:t>12个群系</w:t>
            </w:r>
            <w:r>
              <w:rPr>
                <w:rFonts w:ascii="Times New Roman" w:hAnsi="Times New Roman" w:eastAsia="宋体" w:cs="Times New Roman"/>
                <w:spacing w:val="2"/>
                <w:sz w:val="24"/>
                <w:szCs w:val="24"/>
                <w:u w:val="single"/>
              </w:rPr>
              <w:t>。</w:t>
            </w:r>
          </w:p>
          <w:p>
            <w:pPr>
              <w:spacing w:line="360" w:lineRule="auto"/>
              <w:ind w:firstLine="544" w:firstLineChars="200"/>
              <w:rPr>
                <w:rFonts w:ascii="Times New Roman" w:hAnsi="Times New Roman"/>
                <w:sz w:val="24"/>
                <w:u w:val="single"/>
              </w:rPr>
            </w:pPr>
            <w:r>
              <w:rPr>
                <w:rFonts w:hint="eastAsia" w:ascii="Times New Roman" w:hAnsi="Times New Roman" w:eastAsia="宋体" w:cs="Times New Roman"/>
                <w:spacing w:val="16"/>
                <w:sz w:val="24"/>
                <w:szCs w:val="24"/>
                <w:u w:val="single"/>
              </w:rPr>
              <w:t>（3）</w:t>
            </w:r>
            <w:r>
              <w:rPr>
                <w:rFonts w:ascii="Times New Roman" w:hAnsi="Times New Roman" w:eastAsia="宋体" w:cs="Times New Roman"/>
                <w:spacing w:val="16"/>
                <w:sz w:val="24"/>
                <w:szCs w:val="24"/>
                <w:u w:val="single"/>
              </w:rPr>
              <w:t>主要植被类型描述</w:t>
            </w:r>
            <w:r>
              <w:rPr>
                <w:rFonts w:ascii="Times New Roman" w:hAnsi="Times New Roman" w:eastAsia="宋体" w:cs="Times New Roman"/>
                <w:sz w:val="24"/>
                <w:szCs w:val="24"/>
                <w:u w:val="single"/>
              </w:rPr>
              <w:t xml:space="preserve"> </w:t>
            </w:r>
          </w:p>
          <w:p>
            <w:pPr>
              <w:spacing w:line="360" w:lineRule="auto"/>
              <w:ind w:firstLine="470" w:firstLineChars="200"/>
              <w:rPr>
                <w:rFonts w:ascii="Times New Roman" w:hAnsi="Times New Roman"/>
                <w:b/>
                <w:bCs/>
                <w:sz w:val="24"/>
                <w:u w:val="single"/>
              </w:rPr>
            </w:pPr>
            <w:r>
              <w:rPr>
                <w:rFonts w:ascii="Times New Roman" w:hAnsi="Times New Roman" w:eastAsia="宋体" w:cs="Times New Roman"/>
                <w:b/>
                <w:bCs/>
                <w:spacing w:val="-3"/>
                <w:sz w:val="24"/>
                <w:szCs w:val="24"/>
                <w:u w:val="single"/>
              </w:rPr>
              <w:t>自</w:t>
            </w:r>
            <w:r>
              <w:rPr>
                <w:rFonts w:ascii="Times New Roman" w:hAnsi="Times New Roman" w:eastAsia="宋体" w:cs="Times New Roman"/>
                <w:b/>
                <w:bCs/>
                <w:spacing w:val="-2"/>
                <w:sz w:val="24"/>
                <w:szCs w:val="24"/>
                <w:u w:val="single"/>
              </w:rPr>
              <w:t>然植被</w:t>
            </w:r>
          </w:p>
          <w:p>
            <w:pPr>
              <w:numPr>
                <w:ilvl w:val="0"/>
                <w:numId w:val="1"/>
              </w:numPr>
              <w:spacing w:line="360" w:lineRule="auto"/>
              <w:ind w:firstLine="440" w:firstLineChars="200"/>
              <w:rPr>
                <w:rFonts w:ascii="Times New Roman" w:hAnsi="Times New Roman"/>
                <w:sz w:val="24"/>
                <w:u w:val="single"/>
              </w:rPr>
            </w:pPr>
            <w:r>
              <w:rPr>
                <w:rFonts w:ascii="Times New Roman" w:hAnsi="Times New Roman" w:eastAsia="宋体" w:cs="Times New Roman"/>
                <w:spacing w:val="-10"/>
                <w:sz w:val="24"/>
                <w:szCs w:val="24"/>
                <w:u w:val="single"/>
              </w:rPr>
              <w:t>阔叶林</w:t>
            </w:r>
            <w:r>
              <w:rPr>
                <w:rFonts w:ascii="Times New Roman" w:hAnsi="Times New Roman" w:eastAsia="宋体" w:cs="Times New Roman"/>
                <w:sz w:val="24"/>
                <w:szCs w:val="24"/>
                <w:u w:val="single"/>
              </w:rPr>
              <w:t xml:space="preserve"> </w:t>
            </w:r>
          </w:p>
          <w:p>
            <w:pPr>
              <w:spacing w:line="360" w:lineRule="auto"/>
              <w:ind w:left="420" w:leftChars="200"/>
              <w:rPr>
                <w:rFonts w:ascii="Times New Roman" w:hAnsi="Times New Roman"/>
                <w:sz w:val="24"/>
                <w:u w:val="single"/>
              </w:rPr>
            </w:pPr>
            <w:r>
              <w:rPr>
                <w:rFonts w:ascii="Times New Roman" w:hAnsi="Times New Roman" w:eastAsia="宋体" w:cs="Times New Roman"/>
                <w:sz w:val="24"/>
                <w:szCs w:val="24"/>
                <w:u w:val="single"/>
              </w:rPr>
              <w:t>I</w:t>
            </w:r>
            <w:r>
              <w:rPr>
                <w:rFonts w:hint="eastAsia" w:ascii="Times New Roman" w:hAnsi="Times New Roman" w:eastAsia="宋体" w:cs="Times New Roman"/>
                <w:sz w:val="24"/>
                <w:szCs w:val="24"/>
                <w:u w:val="single"/>
              </w:rPr>
              <w:t>.</w:t>
            </w:r>
            <w:r>
              <w:rPr>
                <w:rFonts w:ascii="Times New Roman" w:hAnsi="Times New Roman" w:eastAsia="宋体" w:cs="Times New Roman"/>
                <w:sz w:val="24"/>
                <w:szCs w:val="24"/>
                <w:u w:val="single"/>
              </w:rPr>
              <w:t>常绿阔叶林</w:t>
            </w:r>
          </w:p>
          <w:p>
            <w:pPr>
              <w:spacing w:line="360" w:lineRule="auto"/>
              <w:ind w:firstLine="476" w:firstLineChars="200"/>
              <w:rPr>
                <w:rFonts w:ascii="Times New Roman" w:hAnsi="Times New Roman"/>
                <w:sz w:val="24"/>
                <w:u w:val="single"/>
              </w:rPr>
            </w:pPr>
            <w:r>
              <w:rPr>
                <w:rFonts w:ascii="Times New Roman" w:hAnsi="Times New Roman" w:eastAsia="宋体" w:cs="Times New Roman"/>
                <w:spacing w:val="-1"/>
                <w:position w:val="2"/>
                <w:sz w:val="24"/>
                <w:szCs w:val="24"/>
                <w:u w:val="single"/>
              </w:rPr>
              <w:t>1</w:t>
            </w:r>
            <w:r>
              <w:rPr>
                <w:rFonts w:ascii="Times New Roman" w:hAnsi="Times New Roman" w:eastAsia="宋体" w:cs="Times New Roman"/>
                <w:position w:val="2"/>
                <w:sz w:val="24"/>
                <w:szCs w:val="24"/>
                <w:u w:val="single"/>
              </w:rPr>
              <w:t>、典型常绿阔叶林</w:t>
            </w:r>
          </w:p>
          <w:p>
            <w:pPr>
              <w:spacing w:line="360" w:lineRule="auto"/>
              <w:ind w:firstLine="524" w:firstLineChars="200"/>
              <w:rPr>
                <w:rFonts w:ascii="Times New Roman" w:hAnsi="Times New Roman"/>
                <w:sz w:val="24"/>
                <w:u w:val="single"/>
              </w:rPr>
            </w:pPr>
            <w:r>
              <w:rPr>
                <w:rFonts w:ascii="Times New Roman" w:hAnsi="Times New Roman" w:eastAsia="宋体" w:cs="Times New Roman"/>
                <w:spacing w:val="11"/>
                <w:position w:val="3"/>
                <w:sz w:val="24"/>
                <w:szCs w:val="24"/>
                <w:u w:val="single"/>
              </w:rPr>
              <w:t>1</w:t>
            </w:r>
            <w:r>
              <w:rPr>
                <w:rFonts w:ascii="Times New Roman" w:hAnsi="Times New Roman" w:eastAsia="宋体" w:cs="Times New Roman"/>
                <w:spacing w:val="10"/>
                <w:position w:val="3"/>
                <w:sz w:val="24"/>
                <w:szCs w:val="24"/>
                <w:u w:val="single"/>
              </w:rPr>
              <w:t>) 樟群系</w:t>
            </w:r>
            <w:r>
              <w:rPr>
                <w:rFonts w:ascii="Times New Roman" w:hAnsi="Times New Roman" w:eastAsia="宋体" w:cs="Times New Roman"/>
                <w:position w:val="3"/>
                <w:sz w:val="24"/>
                <w:szCs w:val="24"/>
                <w:u w:val="single"/>
              </w:rPr>
              <w:t>From</w:t>
            </w:r>
            <w:r>
              <w:rPr>
                <w:rFonts w:ascii="Times New Roman" w:hAnsi="Times New Roman" w:eastAsia="宋体" w:cs="Times New Roman"/>
                <w:spacing w:val="10"/>
                <w:position w:val="3"/>
                <w:sz w:val="24"/>
                <w:szCs w:val="24"/>
                <w:u w:val="single"/>
              </w:rPr>
              <w:t>.</w:t>
            </w:r>
            <w:r>
              <w:rPr>
                <w:rFonts w:ascii="Times New Roman" w:hAnsi="Times New Roman" w:eastAsia="宋体" w:cs="Times New Roman"/>
                <w:i/>
                <w:iCs/>
                <w:position w:val="3"/>
                <w:sz w:val="24"/>
                <w:szCs w:val="24"/>
                <w:u w:val="single"/>
              </w:rPr>
              <w:t>Cinnamomumcamphora</w:t>
            </w:r>
          </w:p>
          <w:p>
            <w:pPr>
              <w:spacing w:line="360" w:lineRule="auto"/>
              <w:ind w:firstLine="544" w:firstLineChars="200"/>
              <w:rPr>
                <w:rFonts w:ascii="Times New Roman" w:hAnsi="Times New Roman"/>
                <w:sz w:val="24"/>
                <w:u w:val="single"/>
              </w:rPr>
            </w:pPr>
            <w:r>
              <w:rPr>
                <w:rFonts w:ascii="Times New Roman" w:hAnsi="Times New Roman" w:eastAsia="宋体" w:cs="Times New Roman"/>
                <w:spacing w:val="16"/>
                <w:sz w:val="24"/>
                <w:szCs w:val="24"/>
                <w:u w:val="single"/>
              </w:rPr>
              <w:t>樟树是江南民间及寺庙喜种的传统风水树和景观树，古时即有“前樟后朴</w:t>
            </w:r>
            <w:r>
              <w:rPr>
                <w:rFonts w:ascii="Times New Roman" w:hAnsi="Times New Roman" w:eastAsia="宋体" w:cs="Times New Roman"/>
                <w:spacing w:val="15"/>
                <w:sz w:val="24"/>
                <w:szCs w:val="24"/>
                <w:u w:val="single"/>
              </w:rPr>
              <w:t>”</w:t>
            </w:r>
            <w:r>
              <w:rPr>
                <w:rFonts w:ascii="Times New Roman" w:hAnsi="Times New Roman" w:eastAsia="宋体" w:cs="Times New Roman"/>
                <w:spacing w:val="7"/>
                <w:sz w:val="24"/>
                <w:szCs w:val="24"/>
                <w:u w:val="single"/>
              </w:rPr>
              <w:t>之种植习俗；同时，樟树木材为造船、橱箱和建筑等用材。樟树是当地的常见</w:t>
            </w:r>
            <w:r>
              <w:rPr>
                <w:rFonts w:ascii="Times New Roman" w:hAnsi="Times New Roman" w:eastAsia="宋体" w:cs="Times New Roman"/>
                <w:spacing w:val="4"/>
                <w:sz w:val="24"/>
                <w:szCs w:val="24"/>
                <w:u w:val="single"/>
              </w:rPr>
              <w:t>植</w:t>
            </w:r>
            <w:r>
              <w:rPr>
                <w:rFonts w:ascii="Times New Roman" w:hAnsi="Times New Roman" w:eastAsia="宋体" w:cs="Times New Roman"/>
                <w:spacing w:val="7"/>
                <w:sz w:val="24"/>
                <w:szCs w:val="24"/>
                <w:u w:val="single"/>
              </w:rPr>
              <w:t>被，为自然植被，群落外貌深绿色、整齐，群落结构及种类组成较简单。樟林</w:t>
            </w:r>
            <w:r>
              <w:rPr>
                <w:rFonts w:ascii="Times New Roman" w:hAnsi="Times New Roman" w:eastAsia="宋体" w:cs="Times New Roman"/>
                <w:spacing w:val="4"/>
                <w:sz w:val="24"/>
                <w:szCs w:val="24"/>
                <w:u w:val="single"/>
              </w:rPr>
              <w:t>主</w:t>
            </w:r>
            <w:r>
              <w:rPr>
                <w:rFonts w:ascii="Times New Roman" w:hAnsi="Times New Roman" w:eastAsia="宋体" w:cs="Times New Roman"/>
                <w:spacing w:val="8"/>
                <w:sz w:val="24"/>
                <w:szCs w:val="24"/>
                <w:u w:val="single"/>
              </w:rPr>
              <w:t>要分布于居民区附近</w:t>
            </w:r>
            <w:r>
              <w:rPr>
                <w:rFonts w:ascii="Times New Roman" w:hAnsi="Times New Roman" w:eastAsia="宋体" w:cs="Times New Roman"/>
                <w:spacing w:val="7"/>
                <w:sz w:val="24"/>
                <w:szCs w:val="24"/>
                <w:u w:val="single"/>
              </w:rPr>
              <w:t>。</w:t>
            </w:r>
          </w:p>
          <w:p>
            <w:pPr>
              <w:spacing w:line="360" w:lineRule="auto"/>
              <w:ind w:firstLine="480" w:firstLineChars="200"/>
              <w:rPr>
                <w:rFonts w:ascii="Times New Roman" w:hAnsi="Times New Roman"/>
                <w:sz w:val="24"/>
                <w:u w:val="single"/>
              </w:rPr>
            </w:pPr>
            <w:r>
              <w:rPr>
                <w:rFonts w:ascii="Times New Roman" w:hAnsi="Times New Roman" w:eastAsia="宋体" w:cs="Times New Roman"/>
                <w:position w:val="2"/>
                <w:sz w:val="24"/>
                <w:szCs w:val="24"/>
                <w:u w:val="single"/>
              </w:rPr>
              <w:t>II、落叶阔叶林</w:t>
            </w:r>
          </w:p>
          <w:p>
            <w:pPr>
              <w:spacing w:line="360" w:lineRule="auto"/>
              <w:ind w:firstLine="496" w:firstLineChars="200"/>
              <w:rPr>
                <w:rFonts w:ascii="Times New Roman" w:hAnsi="Times New Roman"/>
                <w:sz w:val="24"/>
                <w:u w:val="single"/>
              </w:rPr>
            </w:pPr>
            <w:r>
              <w:rPr>
                <w:rFonts w:ascii="Times New Roman" w:hAnsi="Times New Roman" w:eastAsia="宋体" w:cs="Times New Roman"/>
                <w:spacing w:val="4"/>
                <w:position w:val="2"/>
                <w:sz w:val="24"/>
                <w:szCs w:val="24"/>
                <w:u w:val="single"/>
              </w:rPr>
              <w:t>2</w:t>
            </w:r>
            <w:r>
              <w:rPr>
                <w:rFonts w:ascii="Times New Roman" w:hAnsi="Times New Roman" w:eastAsia="宋体" w:cs="Times New Roman"/>
                <w:spacing w:val="2"/>
                <w:position w:val="2"/>
                <w:sz w:val="24"/>
                <w:szCs w:val="24"/>
                <w:u w:val="single"/>
              </w:rPr>
              <w:t>、典型落叶阔叶林</w:t>
            </w:r>
          </w:p>
          <w:p>
            <w:pPr>
              <w:spacing w:line="360" w:lineRule="auto"/>
              <w:ind w:firstLine="516" w:firstLineChars="200"/>
              <w:rPr>
                <w:rFonts w:ascii="Times New Roman" w:hAnsi="Times New Roman"/>
                <w:sz w:val="24"/>
                <w:u w:val="single"/>
              </w:rPr>
            </w:pPr>
            <w:r>
              <w:rPr>
                <w:rFonts w:ascii="Times New Roman" w:hAnsi="Times New Roman" w:eastAsia="宋体" w:cs="Times New Roman"/>
                <w:spacing w:val="9"/>
                <w:position w:val="1"/>
                <w:sz w:val="24"/>
                <w:szCs w:val="24"/>
                <w:u w:val="single"/>
              </w:rPr>
              <w:t>2) 楝群系</w:t>
            </w:r>
            <w:r>
              <w:rPr>
                <w:rFonts w:ascii="Times New Roman" w:hAnsi="Times New Roman" w:eastAsia="宋体" w:cs="Times New Roman"/>
                <w:position w:val="1"/>
                <w:sz w:val="24"/>
                <w:szCs w:val="24"/>
                <w:u w:val="single"/>
              </w:rPr>
              <w:t>From</w:t>
            </w:r>
            <w:r>
              <w:rPr>
                <w:rFonts w:ascii="Times New Roman" w:hAnsi="Times New Roman" w:eastAsia="宋体" w:cs="Times New Roman"/>
                <w:spacing w:val="9"/>
                <w:position w:val="1"/>
                <w:sz w:val="24"/>
                <w:szCs w:val="24"/>
                <w:u w:val="single"/>
              </w:rPr>
              <w:t>.</w:t>
            </w:r>
            <w:r>
              <w:rPr>
                <w:rFonts w:ascii="Times New Roman" w:hAnsi="Times New Roman" w:eastAsia="宋体" w:cs="Times New Roman"/>
                <w:i/>
                <w:iCs/>
                <w:position w:val="1"/>
                <w:sz w:val="24"/>
                <w:szCs w:val="24"/>
                <w:u w:val="single"/>
              </w:rPr>
              <w:t>Meliaazedarach</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楝是平原</w:t>
            </w:r>
            <w:r>
              <w:rPr>
                <w:rFonts w:ascii="Times New Roman" w:hAnsi="Times New Roman" w:eastAsia="宋体" w:cs="Times New Roman"/>
                <w:spacing w:val="6"/>
                <w:sz w:val="24"/>
                <w:szCs w:val="24"/>
                <w:u w:val="single"/>
              </w:rPr>
              <w:t>及低海拔丘陵区的良好造林树种，在村边路旁种植更为适宜。是</w:t>
            </w:r>
            <w:r>
              <w:rPr>
                <w:rFonts w:ascii="Times New Roman" w:hAnsi="Times New Roman" w:eastAsia="宋体" w:cs="Times New Roman"/>
                <w:spacing w:val="15"/>
                <w:sz w:val="24"/>
                <w:szCs w:val="24"/>
                <w:u w:val="single"/>
              </w:rPr>
              <w:t>家</w:t>
            </w:r>
            <w:r>
              <w:rPr>
                <w:rFonts w:ascii="Times New Roman" w:hAnsi="Times New Roman" w:eastAsia="宋体" w:cs="Times New Roman"/>
                <w:spacing w:val="9"/>
                <w:sz w:val="24"/>
                <w:szCs w:val="24"/>
                <w:u w:val="single"/>
              </w:rPr>
              <w:t>具、建筑、农具、舟车、乐器等良好用材。楝树耐烟尘，抗二氧化硫能力强，</w:t>
            </w:r>
            <w:r>
              <w:rPr>
                <w:rFonts w:ascii="Times New Roman" w:hAnsi="Times New Roman" w:eastAsia="宋体" w:cs="Times New Roman"/>
                <w:spacing w:val="7"/>
                <w:sz w:val="24"/>
                <w:szCs w:val="24"/>
                <w:u w:val="single"/>
              </w:rPr>
              <w:t>并能杀菌，适宜作庭荫树和行道树，是良好的城市及矿区绿化树种。樟树是当</w:t>
            </w:r>
            <w:r>
              <w:rPr>
                <w:rFonts w:ascii="Times New Roman" w:hAnsi="Times New Roman" w:eastAsia="宋体" w:cs="Times New Roman"/>
                <w:spacing w:val="2"/>
                <w:sz w:val="24"/>
                <w:szCs w:val="24"/>
                <w:u w:val="single"/>
              </w:rPr>
              <w:t>地</w:t>
            </w:r>
            <w:r>
              <w:rPr>
                <w:rFonts w:ascii="Times New Roman" w:hAnsi="Times New Roman" w:eastAsia="宋体" w:cs="Times New Roman"/>
                <w:spacing w:val="4"/>
                <w:sz w:val="24"/>
                <w:szCs w:val="24"/>
                <w:u w:val="single"/>
              </w:rPr>
              <w:t>的常见植被，为自然</w:t>
            </w:r>
            <w:r>
              <w:rPr>
                <w:rFonts w:ascii="Times New Roman" w:hAnsi="Times New Roman" w:eastAsia="宋体" w:cs="Times New Roman"/>
                <w:spacing w:val="3"/>
                <w:sz w:val="24"/>
                <w:szCs w:val="24"/>
                <w:u w:val="single"/>
              </w:rPr>
              <w:t>植</w:t>
            </w:r>
            <w:r>
              <w:rPr>
                <w:rFonts w:ascii="Times New Roman" w:hAnsi="Times New Roman" w:eastAsia="宋体" w:cs="Times New Roman"/>
                <w:spacing w:val="2"/>
                <w:sz w:val="24"/>
                <w:szCs w:val="24"/>
                <w:u w:val="single"/>
              </w:rPr>
              <w:t>被，群落外貌深绿色、整齐，群落结构及种类组成较简单。</w:t>
            </w:r>
          </w:p>
          <w:p>
            <w:pPr>
              <w:spacing w:line="360" w:lineRule="auto"/>
              <w:ind w:firstLine="540" w:firstLineChars="200"/>
              <w:rPr>
                <w:rFonts w:ascii="Times New Roman" w:hAnsi="Times New Roman"/>
                <w:sz w:val="24"/>
                <w:u w:val="single"/>
              </w:rPr>
            </w:pPr>
            <w:r>
              <w:rPr>
                <w:rFonts w:ascii="Times New Roman" w:hAnsi="Times New Roman" w:eastAsia="宋体" w:cs="Times New Roman"/>
                <w:spacing w:val="15"/>
                <w:sz w:val="24"/>
                <w:szCs w:val="24"/>
                <w:u w:val="single"/>
              </w:rPr>
              <w:t>楝</w:t>
            </w:r>
            <w:r>
              <w:rPr>
                <w:rFonts w:ascii="Times New Roman" w:hAnsi="Times New Roman" w:eastAsia="宋体" w:cs="Times New Roman"/>
                <w:spacing w:val="9"/>
                <w:sz w:val="24"/>
                <w:szCs w:val="24"/>
                <w:u w:val="single"/>
              </w:rPr>
              <w:t>林主要分布于</w:t>
            </w:r>
            <w:r>
              <w:rPr>
                <w:rFonts w:hint="eastAsia" w:ascii="Times New Roman" w:hAnsi="Times New Roman" w:eastAsia="宋体" w:cs="Times New Roman"/>
                <w:spacing w:val="9"/>
                <w:sz w:val="24"/>
                <w:szCs w:val="24"/>
                <w:u w:val="single"/>
              </w:rPr>
              <w:t>鼻湖</w:t>
            </w:r>
            <w:r>
              <w:rPr>
                <w:rFonts w:ascii="Times New Roman" w:hAnsi="Times New Roman" w:eastAsia="宋体" w:cs="Times New Roman"/>
                <w:spacing w:val="9"/>
                <w:sz w:val="24"/>
                <w:szCs w:val="24"/>
                <w:u w:val="single"/>
              </w:rPr>
              <w:t>周边及居民区附近。</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III</w:t>
            </w:r>
            <w:r>
              <w:rPr>
                <w:rFonts w:hint="eastAsia" w:ascii="Times New Roman" w:hAnsi="Times New Roman" w:eastAsia="宋体" w:cs="Times New Roman"/>
                <w:spacing w:val="9"/>
                <w:position w:val="1"/>
                <w:sz w:val="24"/>
                <w:szCs w:val="24"/>
                <w:u w:val="single"/>
              </w:rPr>
              <w:t>、</w:t>
            </w:r>
            <w:r>
              <w:rPr>
                <w:rFonts w:ascii="Times New Roman" w:hAnsi="Times New Roman" w:eastAsia="宋体" w:cs="Times New Roman"/>
                <w:spacing w:val="9"/>
                <w:position w:val="1"/>
                <w:sz w:val="24"/>
                <w:szCs w:val="24"/>
                <w:u w:val="single"/>
              </w:rPr>
              <w:t>竹林</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3</w:t>
            </w:r>
            <w:r>
              <w:rPr>
                <w:rFonts w:hint="eastAsia" w:ascii="Times New Roman" w:hAnsi="Times New Roman" w:eastAsia="宋体" w:cs="Times New Roman"/>
                <w:spacing w:val="9"/>
                <w:position w:val="1"/>
                <w:sz w:val="24"/>
                <w:szCs w:val="24"/>
                <w:u w:val="single"/>
              </w:rPr>
              <w:t>、</w:t>
            </w:r>
            <w:r>
              <w:rPr>
                <w:rFonts w:ascii="Times New Roman" w:hAnsi="Times New Roman" w:eastAsia="宋体" w:cs="Times New Roman"/>
                <w:spacing w:val="9"/>
                <w:position w:val="1"/>
                <w:sz w:val="24"/>
                <w:szCs w:val="24"/>
                <w:u w:val="single"/>
              </w:rPr>
              <w:t>暖性竹林</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3) 淡竹群系 From.Phyllostachysglauca</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淡竹耐寒耐旱性较强，常见于平原地、低山坡地及河滩上。竹竿坚韧，生长旺盛，产黄河流域至长江流域各地，是常见的栽培竹种之一。评价区内，淡竹分布广泛。</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二、灌丛和灌草丛</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IV</w:t>
            </w:r>
            <w:r>
              <w:rPr>
                <w:rFonts w:hint="eastAsia" w:ascii="Times New Roman" w:hAnsi="Times New Roman" w:eastAsia="宋体" w:cs="Times New Roman"/>
                <w:spacing w:val="9"/>
                <w:position w:val="1"/>
                <w:sz w:val="24"/>
                <w:szCs w:val="24"/>
                <w:u w:val="single"/>
              </w:rPr>
              <w:t>、</w:t>
            </w:r>
            <w:r>
              <w:rPr>
                <w:rFonts w:ascii="Times New Roman" w:hAnsi="Times New Roman" w:eastAsia="宋体" w:cs="Times New Roman"/>
                <w:spacing w:val="9"/>
                <w:position w:val="1"/>
                <w:sz w:val="24"/>
                <w:szCs w:val="24"/>
                <w:u w:val="single"/>
              </w:rPr>
              <w:t>灌丛</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4、典型落叶阔叶灌丛</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4) 构树群系From.Broussonetia papyrifera</w:t>
            </w:r>
          </w:p>
          <w:p>
            <w:pPr>
              <w:spacing w:line="360" w:lineRule="auto"/>
              <w:ind w:firstLine="516" w:firstLineChars="200"/>
              <w:rPr>
                <w:rFonts w:ascii="Times New Roman" w:hAnsi="Times New Roman"/>
                <w:sz w:val="24"/>
                <w:u w:val="single"/>
              </w:rPr>
            </w:pPr>
            <w:r>
              <w:rPr>
                <w:rFonts w:ascii="Times New Roman" w:hAnsi="Times New Roman" w:eastAsia="宋体" w:cs="Times New Roman"/>
                <w:spacing w:val="9"/>
                <w:position w:val="1"/>
                <w:sz w:val="24"/>
                <w:szCs w:val="24"/>
                <w:u w:val="single"/>
              </w:rPr>
              <w:t>构树具有速生、适应性强、分布广、易繁殖、热量高、轮伐期短的特点。其根系浅，侧根分布很广，生长快，萌芽力和分蘖力强，耐修剪。抗污染性强。在</w:t>
            </w:r>
            <w:r>
              <w:rPr>
                <w:rFonts w:ascii="Times New Roman" w:hAnsi="Times New Roman" w:eastAsia="宋体" w:cs="Times New Roman"/>
                <w:spacing w:val="12"/>
                <w:sz w:val="24"/>
                <w:szCs w:val="24"/>
                <w:u w:val="single"/>
              </w:rPr>
              <w:t>中</w:t>
            </w:r>
            <w:r>
              <w:rPr>
                <w:rFonts w:ascii="Times New Roman" w:hAnsi="Times New Roman" w:eastAsia="宋体" w:cs="Times New Roman"/>
                <w:spacing w:val="9"/>
                <w:sz w:val="24"/>
                <w:szCs w:val="24"/>
                <w:u w:val="single"/>
              </w:rPr>
              <w:t>国</w:t>
            </w:r>
            <w:r>
              <w:rPr>
                <w:rFonts w:ascii="Times New Roman" w:hAnsi="Times New Roman" w:eastAsia="宋体" w:cs="Times New Roman"/>
                <w:spacing w:val="6"/>
                <w:sz w:val="24"/>
                <w:szCs w:val="24"/>
                <w:u w:val="single"/>
              </w:rPr>
              <w:t>的温带、热带均有分布，不论平原、丘陵或山地都能生长，其叶是很好的猪</w:t>
            </w:r>
            <w:r>
              <w:rPr>
                <w:rFonts w:ascii="Times New Roman" w:hAnsi="Times New Roman" w:eastAsia="宋体" w:cs="Times New Roman"/>
                <w:spacing w:val="7"/>
                <w:sz w:val="24"/>
                <w:szCs w:val="24"/>
                <w:u w:val="single"/>
              </w:rPr>
              <w:t>饲料，其韧皮纤维是造纸的高级原料，材质洁白，其根和种子均可入药，树液</w:t>
            </w:r>
            <w:r>
              <w:rPr>
                <w:rFonts w:ascii="Times New Roman" w:hAnsi="Times New Roman" w:eastAsia="宋体" w:cs="Times New Roman"/>
                <w:spacing w:val="5"/>
                <w:sz w:val="24"/>
                <w:szCs w:val="24"/>
                <w:u w:val="single"/>
              </w:rPr>
              <w:t>可</w:t>
            </w:r>
            <w:r>
              <w:rPr>
                <w:rFonts w:ascii="Times New Roman" w:hAnsi="Times New Roman" w:eastAsia="宋体" w:cs="Times New Roman"/>
                <w:spacing w:val="4"/>
                <w:sz w:val="24"/>
                <w:szCs w:val="24"/>
                <w:u w:val="single"/>
              </w:rPr>
              <w:t>治皮肤病，经济价值很高</w:t>
            </w:r>
            <w:r>
              <w:rPr>
                <w:rFonts w:ascii="Times New Roman" w:hAnsi="Times New Roman" w:eastAsia="宋体" w:cs="Times New Roman"/>
                <w:spacing w:val="2"/>
                <w:sz w:val="24"/>
                <w:szCs w:val="24"/>
                <w:u w:val="single"/>
              </w:rPr>
              <w:t>。构树在评价区内广泛分布，是评价区内主要优势植物。</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V</w:t>
            </w:r>
            <w:r>
              <w:rPr>
                <w:rFonts w:hint="eastAsia" w:ascii="Times New Roman" w:hAnsi="Times New Roman" w:eastAsia="宋体" w:cs="Times New Roman"/>
                <w:spacing w:val="9"/>
                <w:position w:val="1"/>
                <w:sz w:val="24"/>
                <w:szCs w:val="24"/>
                <w:u w:val="single"/>
              </w:rPr>
              <w:t>.</w:t>
            </w:r>
            <w:r>
              <w:rPr>
                <w:rFonts w:ascii="Times New Roman" w:hAnsi="Times New Roman" w:eastAsia="宋体" w:cs="Times New Roman"/>
                <w:spacing w:val="9"/>
                <w:position w:val="1"/>
                <w:sz w:val="24"/>
                <w:szCs w:val="24"/>
                <w:u w:val="single"/>
              </w:rPr>
              <w:t>灌草丛</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5、暖性灌草丛</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5) 菊叶香藜群系From.Dysphania schraderiana</w:t>
            </w:r>
          </w:p>
          <w:p>
            <w:pPr>
              <w:spacing w:line="360" w:lineRule="auto"/>
              <w:ind w:firstLine="516" w:firstLineChars="200"/>
              <w:rPr>
                <w:rFonts w:ascii="Times New Roman" w:hAnsi="Times New Roman"/>
                <w:spacing w:val="9"/>
                <w:position w:val="1"/>
                <w:sz w:val="24"/>
                <w:u w:val="single"/>
              </w:rPr>
            </w:pPr>
            <w:r>
              <w:rPr>
                <w:rFonts w:ascii="Times New Roman" w:hAnsi="Times New Roman" w:eastAsia="宋体" w:cs="Times New Roman"/>
                <w:spacing w:val="9"/>
                <w:position w:val="1"/>
                <w:sz w:val="24"/>
                <w:szCs w:val="24"/>
                <w:u w:val="single"/>
              </w:rPr>
              <w:t>草本层盖度70%</w:t>
            </w:r>
            <w:r>
              <w:rPr>
                <w:rFonts w:hint="eastAsia" w:ascii="Times New Roman" w:hAnsi="Times New Roman" w:eastAsia="宋体" w:cs="Times New Roman"/>
                <w:spacing w:val="9"/>
                <w:position w:val="1"/>
                <w:sz w:val="24"/>
                <w:szCs w:val="24"/>
                <w:u w:val="single"/>
              </w:rPr>
              <w:t>～</w:t>
            </w:r>
            <w:r>
              <w:rPr>
                <w:rFonts w:ascii="Times New Roman" w:hAnsi="Times New Roman" w:eastAsia="宋体" w:cs="Times New Roman"/>
                <w:spacing w:val="9"/>
                <w:position w:val="1"/>
                <w:sz w:val="24"/>
                <w:szCs w:val="24"/>
                <w:u w:val="single"/>
              </w:rPr>
              <w:t>95%，层高1.0m</w:t>
            </w:r>
            <w:r>
              <w:rPr>
                <w:rFonts w:hint="eastAsia" w:ascii="Times New Roman" w:hAnsi="Times New Roman" w:eastAsia="宋体" w:cs="Times New Roman"/>
                <w:spacing w:val="9"/>
                <w:position w:val="1"/>
                <w:sz w:val="24"/>
                <w:szCs w:val="24"/>
                <w:u w:val="single"/>
              </w:rPr>
              <w:t>～</w:t>
            </w:r>
            <w:r>
              <w:rPr>
                <w:rFonts w:ascii="Times New Roman" w:hAnsi="Times New Roman" w:eastAsia="宋体" w:cs="Times New Roman"/>
                <w:spacing w:val="9"/>
                <w:position w:val="1"/>
                <w:sz w:val="24"/>
                <w:szCs w:val="24"/>
                <w:u w:val="single"/>
              </w:rPr>
              <w:t>1.4m。菊叶香藜盖度为 60%</w:t>
            </w:r>
            <w:r>
              <w:rPr>
                <w:rFonts w:hint="eastAsia" w:ascii="Times New Roman" w:hAnsi="Times New Roman" w:eastAsia="宋体" w:cs="Times New Roman"/>
                <w:spacing w:val="9"/>
                <w:position w:val="1"/>
                <w:sz w:val="24"/>
                <w:szCs w:val="24"/>
                <w:u w:val="single"/>
              </w:rPr>
              <w:t>～</w:t>
            </w:r>
            <w:r>
              <w:rPr>
                <w:rFonts w:ascii="Times New Roman" w:hAnsi="Times New Roman" w:eastAsia="宋体" w:cs="Times New Roman"/>
                <w:spacing w:val="9"/>
                <w:position w:val="1"/>
                <w:sz w:val="24"/>
                <w:szCs w:val="24"/>
                <w:u w:val="single"/>
              </w:rPr>
              <w:t>90%，高1.2m</w:t>
            </w:r>
            <w:r>
              <w:rPr>
                <w:rFonts w:hint="eastAsia" w:ascii="Times New Roman" w:hAnsi="Times New Roman" w:eastAsia="宋体" w:cs="Times New Roman"/>
                <w:spacing w:val="9"/>
                <w:position w:val="1"/>
                <w:sz w:val="24"/>
                <w:szCs w:val="24"/>
                <w:u w:val="single"/>
              </w:rPr>
              <w:t>～</w:t>
            </w:r>
            <w:r>
              <w:rPr>
                <w:rFonts w:ascii="Times New Roman" w:hAnsi="Times New Roman" w:eastAsia="宋体" w:cs="Times New Roman"/>
                <w:spacing w:val="9"/>
                <w:position w:val="1"/>
                <w:sz w:val="24"/>
                <w:szCs w:val="24"/>
                <w:u w:val="single"/>
              </w:rPr>
              <w:t>1.6m，伴生种生有小蓬草、酢浆草、铁苋菜、一点红、广州蔊菜、鳞花草、狗尾草、十字薹草、篱栏网、狗牙根、禾本科等。</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position w:val="1"/>
                <w:sz w:val="24"/>
                <w:szCs w:val="24"/>
                <w:u w:val="single"/>
              </w:rPr>
              <w:t>6</w:t>
            </w:r>
            <w:r>
              <w:rPr>
                <w:rFonts w:ascii="Times New Roman" w:hAnsi="Times New Roman" w:eastAsia="宋体" w:cs="Times New Roman"/>
                <w:spacing w:val="7"/>
                <w:position w:val="1"/>
                <w:sz w:val="24"/>
                <w:szCs w:val="24"/>
                <w:u w:val="single"/>
              </w:rPr>
              <w:t>) 狗尾草群系</w:t>
            </w:r>
            <w:r>
              <w:rPr>
                <w:rFonts w:ascii="Times New Roman" w:hAnsi="Times New Roman" w:eastAsia="宋体" w:cs="Times New Roman"/>
                <w:position w:val="1"/>
                <w:sz w:val="24"/>
                <w:szCs w:val="24"/>
                <w:u w:val="single"/>
              </w:rPr>
              <w:t>From</w:t>
            </w:r>
            <w:r>
              <w:rPr>
                <w:rFonts w:ascii="Times New Roman" w:hAnsi="Times New Roman" w:eastAsia="宋体" w:cs="Times New Roman"/>
                <w:spacing w:val="7"/>
                <w:position w:val="1"/>
                <w:sz w:val="24"/>
                <w:szCs w:val="24"/>
                <w:u w:val="single"/>
              </w:rPr>
              <w:t>.</w:t>
            </w:r>
            <w:r>
              <w:rPr>
                <w:rFonts w:ascii="Times New Roman" w:hAnsi="Times New Roman" w:eastAsia="宋体" w:cs="Times New Roman"/>
                <w:i/>
                <w:iCs/>
                <w:position w:val="1"/>
                <w:sz w:val="24"/>
                <w:szCs w:val="24"/>
                <w:u w:val="single"/>
              </w:rPr>
              <w:t>Setaria</w:t>
            </w:r>
            <w:r>
              <w:rPr>
                <w:rFonts w:ascii="Times New Roman" w:hAnsi="Times New Roman" w:eastAsia="宋体" w:cs="Times New Roman"/>
                <w:spacing w:val="7"/>
                <w:position w:val="1"/>
                <w:sz w:val="24"/>
                <w:szCs w:val="24"/>
                <w:u w:val="single"/>
              </w:rPr>
              <w:t xml:space="preserve"> </w:t>
            </w:r>
            <w:r>
              <w:rPr>
                <w:rFonts w:ascii="Times New Roman" w:hAnsi="Times New Roman" w:eastAsia="宋体" w:cs="Times New Roman"/>
                <w:i/>
                <w:iCs/>
                <w:position w:val="1"/>
                <w:sz w:val="24"/>
                <w:szCs w:val="24"/>
                <w:u w:val="single"/>
              </w:rPr>
              <w:t>viridis</w:t>
            </w:r>
          </w:p>
          <w:p>
            <w:pPr>
              <w:spacing w:line="360" w:lineRule="auto"/>
              <w:ind w:firstLine="536" w:firstLineChars="200"/>
              <w:rPr>
                <w:rFonts w:ascii="Times New Roman" w:hAnsi="Times New Roman"/>
                <w:sz w:val="24"/>
                <w:u w:val="single"/>
              </w:rPr>
            </w:pPr>
            <w:r>
              <w:rPr>
                <w:rFonts w:ascii="Times New Roman" w:hAnsi="Times New Roman" w:eastAsia="宋体" w:cs="Times New Roman"/>
                <w:spacing w:val="14"/>
                <w:sz w:val="24"/>
                <w:szCs w:val="24"/>
                <w:u w:val="single"/>
              </w:rPr>
              <w:t>灌木层</w:t>
            </w:r>
            <w:r>
              <w:rPr>
                <w:rFonts w:ascii="Times New Roman" w:hAnsi="Times New Roman" w:eastAsia="宋体" w:cs="Times New Roman"/>
                <w:spacing w:val="7"/>
                <w:sz w:val="24"/>
                <w:szCs w:val="24"/>
                <w:u w:val="single"/>
              </w:rPr>
              <w:t>盖度5%</w:t>
            </w:r>
            <w:r>
              <w:rPr>
                <w:rFonts w:hint="eastAsia" w:ascii="Times New Roman" w:hAnsi="Times New Roman" w:eastAsia="宋体" w:cs="Times New Roman"/>
                <w:spacing w:val="7"/>
                <w:sz w:val="24"/>
                <w:szCs w:val="24"/>
                <w:u w:val="single"/>
              </w:rPr>
              <w:t>～</w:t>
            </w:r>
            <w:r>
              <w:rPr>
                <w:rFonts w:ascii="Times New Roman" w:hAnsi="Times New Roman" w:eastAsia="宋体" w:cs="Times New Roman"/>
                <w:spacing w:val="7"/>
                <w:sz w:val="24"/>
                <w:szCs w:val="24"/>
                <w:u w:val="single"/>
              </w:rPr>
              <w:t>6%，层高约0.4</w:t>
            </w:r>
            <w:r>
              <w:rPr>
                <w:rFonts w:ascii="Times New Roman" w:hAnsi="Times New Roman" w:eastAsia="宋体" w:cs="Times New Roman"/>
                <w:sz w:val="24"/>
                <w:szCs w:val="24"/>
                <w:u w:val="single"/>
              </w:rPr>
              <w:t>m</w:t>
            </w:r>
            <w:r>
              <w:rPr>
                <w:rFonts w:ascii="Times New Roman" w:hAnsi="Times New Roman" w:eastAsia="宋体" w:cs="Times New Roman"/>
                <w:spacing w:val="7"/>
                <w:sz w:val="24"/>
                <w:szCs w:val="24"/>
                <w:u w:val="single"/>
              </w:rPr>
              <w:t>，种类有寒莓、野蔷薇等。草本层盖度</w:t>
            </w:r>
            <w:r>
              <w:rPr>
                <w:rFonts w:ascii="Times New Roman" w:hAnsi="Times New Roman" w:eastAsia="宋体" w:cs="Times New Roman"/>
                <w:spacing w:val="8"/>
                <w:sz w:val="24"/>
                <w:szCs w:val="24"/>
                <w:u w:val="single"/>
              </w:rPr>
              <w:t>73%</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83%，高约0.4</w:t>
            </w:r>
            <w:r>
              <w:rPr>
                <w:rFonts w:ascii="Times New Roman" w:hAnsi="Times New Roman" w:eastAsia="宋体" w:cs="Times New Roman"/>
                <w:sz w:val="24"/>
                <w:szCs w:val="24"/>
                <w:u w:val="single"/>
              </w:rPr>
              <w:t>m</w:t>
            </w:r>
            <w:r>
              <w:rPr>
                <w:rFonts w:ascii="Times New Roman" w:hAnsi="Times New Roman" w:eastAsia="宋体" w:cs="Times New Roman"/>
                <w:spacing w:val="8"/>
                <w:sz w:val="24"/>
                <w:szCs w:val="24"/>
                <w:u w:val="single"/>
              </w:rPr>
              <w:t>，狗尾草盖度为68%</w:t>
            </w:r>
            <w:r>
              <w:rPr>
                <w:rFonts w:hint="eastAsia" w:ascii="Times New Roman" w:hAnsi="Times New Roman" w:eastAsia="宋体" w:cs="Times New Roman"/>
                <w:spacing w:val="8"/>
                <w:sz w:val="24"/>
                <w:szCs w:val="24"/>
                <w:u w:val="single"/>
              </w:rPr>
              <w:t>～</w:t>
            </w:r>
            <w:r>
              <w:rPr>
                <w:rFonts w:ascii="Times New Roman" w:hAnsi="Times New Roman" w:eastAsia="宋体" w:cs="Times New Roman"/>
                <w:spacing w:val="8"/>
                <w:sz w:val="24"/>
                <w:szCs w:val="24"/>
                <w:u w:val="single"/>
              </w:rPr>
              <w:t>75%，高0.4</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rPr>
              <w:t>～</w:t>
            </w:r>
            <w:r>
              <w:rPr>
                <w:rFonts w:ascii="Times New Roman" w:hAnsi="Times New Roman" w:eastAsia="宋体" w:cs="Times New Roman"/>
                <w:spacing w:val="8"/>
                <w:sz w:val="24"/>
                <w:szCs w:val="24"/>
                <w:u w:val="single"/>
              </w:rPr>
              <w:t>0.5</w:t>
            </w:r>
            <w:r>
              <w:rPr>
                <w:rFonts w:ascii="Times New Roman" w:hAnsi="Times New Roman" w:eastAsia="宋体" w:cs="Times New Roman"/>
                <w:sz w:val="24"/>
                <w:szCs w:val="24"/>
                <w:u w:val="single"/>
              </w:rPr>
              <w:t>m</w:t>
            </w:r>
            <w:r>
              <w:rPr>
                <w:rFonts w:ascii="Times New Roman" w:hAnsi="Times New Roman" w:eastAsia="宋体" w:cs="Times New Roman"/>
                <w:spacing w:val="8"/>
                <w:sz w:val="24"/>
                <w:szCs w:val="24"/>
                <w:u w:val="single"/>
              </w:rPr>
              <w:t>，伴生</w:t>
            </w:r>
            <w:r>
              <w:rPr>
                <w:rFonts w:ascii="Times New Roman" w:hAnsi="Times New Roman" w:eastAsia="宋体" w:cs="Times New Roman"/>
                <w:spacing w:val="6"/>
                <w:sz w:val="24"/>
                <w:szCs w:val="24"/>
                <w:u w:val="single"/>
              </w:rPr>
              <w:t>种</w:t>
            </w:r>
            <w:r>
              <w:rPr>
                <w:rFonts w:ascii="Times New Roman" w:hAnsi="Times New Roman" w:eastAsia="宋体" w:cs="Times New Roman"/>
                <w:sz w:val="24"/>
                <w:szCs w:val="24"/>
                <w:u w:val="single"/>
              </w:rPr>
              <w:t>有</w:t>
            </w:r>
            <w:r>
              <w:rPr>
                <w:rFonts w:ascii="Times New Roman" w:hAnsi="Times New Roman" w:eastAsia="宋体" w:cs="Times New Roman"/>
                <w:spacing w:val="9"/>
                <w:sz w:val="24"/>
                <w:szCs w:val="24"/>
                <w:u w:val="single"/>
              </w:rPr>
              <w:t>狗牙根、菊科、菊叶香藜、酢浆草等</w:t>
            </w:r>
            <w:r>
              <w:rPr>
                <w:rFonts w:ascii="Times New Roman" w:hAnsi="Times New Roman" w:eastAsia="宋体" w:cs="Times New Roman"/>
                <w:spacing w:val="6"/>
                <w:sz w:val="24"/>
                <w:szCs w:val="24"/>
                <w:u w:val="single"/>
              </w:rPr>
              <w:t>。</w:t>
            </w:r>
          </w:p>
          <w:p>
            <w:pPr>
              <w:spacing w:line="360" w:lineRule="auto"/>
              <w:ind w:firstLine="516" w:firstLineChars="200"/>
              <w:rPr>
                <w:rFonts w:ascii="Times New Roman" w:hAnsi="Times New Roman"/>
                <w:sz w:val="24"/>
                <w:u w:val="single"/>
              </w:rPr>
            </w:pPr>
            <w:r>
              <w:rPr>
                <w:rFonts w:ascii="Times New Roman" w:hAnsi="Times New Roman" w:eastAsia="宋体" w:cs="Times New Roman"/>
                <w:spacing w:val="9"/>
                <w:position w:val="3"/>
                <w:sz w:val="24"/>
                <w:szCs w:val="24"/>
                <w:u w:val="single"/>
              </w:rPr>
              <w:t>7) 狗牙根群系</w:t>
            </w:r>
            <w:r>
              <w:rPr>
                <w:rFonts w:ascii="Times New Roman" w:hAnsi="Times New Roman" w:eastAsia="宋体" w:cs="Times New Roman"/>
                <w:position w:val="3"/>
                <w:sz w:val="24"/>
                <w:szCs w:val="24"/>
                <w:u w:val="single"/>
              </w:rPr>
              <w:t>From</w:t>
            </w:r>
            <w:r>
              <w:rPr>
                <w:rFonts w:ascii="Times New Roman" w:hAnsi="Times New Roman" w:eastAsia="宋体" w:cs="Times New Roman"/>
                <w:spacing w:val="9"/>
                <w:position w:val="3"/>
                <w:sz w:val="24"/>
                <w:szCs w:val="24"/>
                <w:u w:val="single"/>
              </w:rPr>
              <w:t>.</w:t>
            </w:r>
            <w:r>
              <w:rPr>
                <w:rFonts w:ascii="Times New Roman" w:hAnsi="Times New Roman" w:eastAsia="宋体" w:cs="Times New Roman"/>
                <w:i/>
                <w:iCs/>
                <w:position w:val="3"/>
                <w:sz w:val="24"/>
                <w:szCs w:val="24"/>
                <w:u w:val="single"/>
              </w:rPr>
              <w:t>Cynodon</w:t>
            </w:r>
            <w:r>
              <w:rPr>
                <w:rFonts w:ascii="Times New Roman" w:hAnsi="Times New Roman" w:eastAsia="宋体" w:cs="Times New Roman"/>
                <w:spacing w:val="8"/>
                <w:position w:val="3"/>
                <w:sz w:val="24"/>
                <w:szCs w:val="24"/>
                <w:u w:val="single"/>
              </w:rPr>
              <w:t xml:space="preserve"> </w:t>
            </w:r>
            <w:r>
              <w:rPr>
                <w:rFonts w:ascii="Times New Roman" w:hAnsi="Times New Roman" w:eastAsia="宋体" w:cs="Times New Roman"/>
                <w:i/>
                <w:iCs/>
                <w:position w:val="3"/>
                <w:sz w:val="24"/>
                <w:szCs w:val="24"/>
                <w:u w:val="single"/>
              </w:rPr>
              <w:t>dactylon</w:t>
            </w:r>
          </w:p>
          <w:p>
            <w:pPr>
              <w:spacing w:line="360" w:lineRule="auto"/>
              <w:ind w:firstLine="532" w:firstLineChars="200"/>
              <w:rPr>
                <w:rFonts w:ascii="Times New Roman" w:hAnsi="Times New Roman"/>
                <w:sz w:val="24"/>
                <w:u w:val="single"/>
              </w:rPr>
            </w:pPr>
            <w:r>
              <w:rPr>
                <w:rFonts w:ascii="Times New Roman" w:hAnsi="Times New Roman" w:eastAsia="宋体" w:cs="Times New Roman"/>
                <w:spacing w:val="13"/>
                <w:sz w:val="24"/>
                <w:szCs w:val="24"/>
                <w:u w:val="single"/>
              </w:rPr>
              <w:t>草</w:t>
            </w:r>
            <w:r>
              <w:rPr>
                <w:rFonts w:ascii="Times New Roman" w:hAnsi="Times New Roman" w:eastAsia="宋体" w:cs="Times New Roman"/>
                <w:spacing w:val="9"/>
                <w:sz w:val="24"/>
                <w:szCs w:val="24"/>
                <w:u w:val="single"/>
              </w:rPr>
              <w:t>本层盖度90%</w:t>
            </w:r>
            <w:r>
              <w:rPr>
                <w:rFonts w:hint="eastAsia" w:ascii="Times New Roman" w:hAnsi="Times New Roman" w:eastAsia="宋体" w:cs="Times New Roman"/>
                <w:spacing w:val="9"/>
                <w:sz w:val="24"/>
                <w:szCs w:val="24"/>
                <w:u w:val="single"/>
              </w:rPr>
              <w:t>～</w:t>
            </w:r>
            <w:r>
              <w:rPr>
                <w:rFonts w:ascii="Times New Roman" w:hAnsi="Times New Roman" w:eastAsia="宋体" w:cs="Times New Roman"/>
                <w:spacing w:val="9"/>
                <w:sz w:val="24"/>
                <w:szCs w:val="24"/>
                <w:u w:val="single"/>
              </w:rPr>
              <w:t>95%，高0.1</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rPr>
              <w:t>～</w:t>
            </w:r>
            <w:r>
              <w:rPr>
                <w:rFonts w:ascii="Times New Roman" w:hAnsi="Times New Roman" w:eastAsia="宋体" w:cs="Times New Roman"/>
                <w:spacing w:val="9"/>
                <w:sz w:val="24"/>
                <w:szCs w:val="24"/>
                <w:u w:val="single"/>
              </w:rPr>
              <w:t>0.15</w:t>
            </w:r>
            <w:r>
              <w:rPr>
                <w:rFonts w:ascii="Times New Roman" w:hAnsi="Times New Roman" w:eastAsia="宋体" w:cs="Times New Roman"/>
                <w:sz w:val="24"/>
                <w:szCs w:val="24"/>
                <w:u w:val="single"/>
              </w:rPr>
              <w:t>m</w:t>
            </w:r>
            <w:r>
              <w:rPr>
                <w:rFonts w:ascii="Times New Roman" w:hAnsi="Times New Roman" w:eastAsia="宋体" w:cs="Times New Roman"/>
                <w:spacing w:val="9"/>
                <w:sz w:val="24"/>
                <w:szCs w:val="24"/>
                <w:u w:val="single"/>
              </w:rPr>
              <w:t>，狗牙根盖度为68%</w:t>
            </w:r>
            <w:r>
              <w:rPr>
                <w:rFonts w:hint="eastAsia" w:ascii="Times New Roman" w:hAnsi="Times New Roman" w:eastAsia="宋体" w:cs="Times New Roman"/>
                <w:spacing w:val="9"/>
                <w:sz w:val="24"/>
                <w:szCs w:val="24"/>
                <w:u w:val="single"/>
              </w:rPr>
              <w:t>～</w:t>
            </w:r>
            <w:r>
              <w:rPr>
                <w:rFonts w:ascii="Times New Roman" w:hAnsi="Times New Roman" w:eastAsia="宋体" w:cs="Times New Roman"/>
                <w:spacing w:val="9"/>
                <w:sz w:val="24"/>
                <w:szCs w:val="24"/>
                <w:u w:val="single"/>
              </w:rPr>
              <w:t>95%，高</w:t>
            </w:r>
            <w:r>
              <w:rPr>
                <w:rFonts w:ascii="Times New Roman" w:hAnsi="Times New Roman" w:eastAsia="宋体" w:cs="Times New Roman"/>
                <w:spacing w:val="10"/>
                <w:sz w:val="24"/>
                <w:szCs w:val="24"/>
                <w:u w:val="single"/>
              </w:rPr>
              <w:t>0.</w:t>
            </w:r>
            <w:r>
              <w:rPr>
                <w:rFonts w:ascii="Times New Roman" w:hAnsi="Times New Roman" w:eastAsia="宋体" w:cs="Times New Roman"/>
                <w:spacing w:val="5"/>
                <w:sz w:val="24"/>
                <w:szCs w:val="24"/>
                <w:u w:val="single"/>
              </w:rPr>
              <w:t>1</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rPr>
              <w:t>～</w:t>
            </w:r>
            <w:r>
              <w:rPr>
                <w:rFonts w:ascii="Times New Roman" w:hAnsi="Times New Roman" w:eastAsia="宋体" w:cs="Times New Roman"/>
                <w:spacing w:val="5"/>
                <w:sz w:val="24"/>
                <w:szCs w:val="24"/>
                <w:u w:val="single"/>
              </w:rPr>
              <w:t>0.15</w:t>
            </w:r>
            <w:r>
              <w:rPr>
                <w:rFonts w:ascii="Times New Roman" w:hAnsi="Times New Roman" w:eastAsia="宋体" w:cs="Times New Roman"/>
                <w:sz w:val="24"/>
                <w:szCs w:val="24"/>
                <w:u w:val="single"/>
              </w:rPr>
              <w:t>m</w:t>
            </w:r>
            <w:r>
              <w:rPr>
                <w:rFonts w:ascii="Times New Roman" w:hAnsi="Times New Roman" w:eastAsia="宋体" w:cs="Times New Roman"/>
                <w:spacing w:val="5"/>
                <w:sz w:val="24"/>
                <w:szCs w:val="24"/>
                <w:u w:val="single"/>
              </w:rPr>
              <w:t>，伴生种有习见蓼、狗尾草、莎草科等。</w:t>
            </w:r>
          </w:p>
          <w:p>
            <w:pPr>
              <w:spacing w:line="360" w:lineRule="auto"/>
              <w:ind w:firstLine="536" w:firstLineChars="200"/>
              <w:rPr>
                <w:rFonts w:ascii="Times New Roman" w:hAnsi="Times New Roman"/>
                <w:sz w:val="24"/>
                <w:u w:val="single"/>
              </w:rPr>
            </w:pPr>
            <w:r>
              <w:rPr>
                <w:rFonts w:ascii="Times New Roman" w:hAnsi="Times New Roman" w:eastAsia="宋体" w:cs="Times New Roman"/>
                <w:spacing w:val="14"/>
                <w:position w:val="3"/>
                <w:sz w:val="24"/>
                <w:szCs w:val="24"/>
                <w:u w:val="single"/>
              </w:rPr>
              <w:t>8</w:t>
            </w:r>
            <w:r>
              <w:rPr>
                <w:rFonts w:ascii="Times New Roman" w:hAnsi="Times New Roman" w:eastAsia="宋体" w:cs="Times New Roman"/>
                <w:spacing w:val="9"/>
                <w:position w:val="3"/>
                <w:sz w:val="24"/>
                <w:szCs w:val="24"/>
                <w:u w:val="single"/>
              </w:rPr>
              <w:t xml:space="preserve">) 广州蔊菜群系 </w:t>
            </w:r>
            <w:r>
              <w:rPr>
                <w:rFonts w:ascii="Times New Roman" w:hAnsi="Times New Roman" w:eastAsia="宋体" w:cs="Times New Roman"/>
                <w:position w:val="3"/>
                <w:sz w:val="24"/>
                <w:szCs w:val="24"/>
                <w:u w:val="single"/>
              </w:rPr>
              <w:t>From</w:t>
            </w:r>
            <w:r>
              <w:rPr>
                <w:rFonts w:ascii="Times New Roman" w:hAnsi="Times New Roman" w:eastAsia="宋体" w:cs="Times New Roman"/>
                <w:spacing w:val="9"/>
                <w:position w:val="3"/>
                <w:sz w:val="24"/>
                <w:szCs w:val="24"/>
                <w:u w:val="single"/>
              </w:rPr>
              <w:t>.</w:t>
            </w:r>
            <w:r>
              <w:rPr>
                <w:rFonts w:ascii="Times New Roman" w:hAnsi="Times New Roman" w:eastAsia="宋体" w:cs="Times New Roman"/>
                <w:i/>
                <w:iCs/>
                <w:position w:val="3"/>
                <w:sz w:val="24"/>
                <w:szCs w:val="24"/>
                <w:u w:val="single"/>
              </w:rPr>
              <w:t>Rorippa</w:t>
            </w:r>
            <w:r>
              <w:rPr>
                <w:rFonts w:ascii="Times New Roman" w:hAnsi="Times New Roman" w:eastAsia="宋体" w:cs="Times New Roman"/>
                <w:spacing w:val="9"/>
                <w:position w:val="3"/>
                <w:sz w:val="24"/>
                <w:szCs w:val="24"/>
                <w:u w:val="single"/>
              </w:rPr>
              <w:t xml:space="preserve"> </w:t>
            </w:r>
            <w:r>
              <w:rPr>
                <w:rFonts w:ascii="Times New Roman" w:hAnsi="Times New Roman" w:eastAsia="宋体" w:cs="Times New Roman"/>
                <w:i/>
                <w:iCs/>
                <w:position w:val="3"/>
                <w:sz w:val="24"/>
                <w:szCs w:val="24"/>
                <w:u w:val="single"/>
              </w:rPr>
              <w:t>cantoniensis</w:t>
            </w:r>
          </w:p>
          <w:p>
            <w:pPr>
              <w:spacing w:line="360" w:lineRule="auto"/>
              <w:ind w:firstLine="536" w:firstLineChars="200"/>
              <w:rPr>
                <w:rFonts w:ascii="Times New Roman" w:hAnsi="Times New Roman"/>
                <w:spacing w:val="14"/>
                <w:position w:val="3"/>
                <w:sz w:val="24"/>
                <w:u w:val="single"/>
              </w:rPr>
            </w:pPr>
            <w:r>
              <w:rPr>
                <w:rFonts w:ascii="Times New Roman" w:hAnsi="Times New Roman" w:eastAsia="宋体" w:cs="Times New Roman"/>
                <w:spacing w:val="14"/>
                <w:position w:val="3"/>
                <w:sz w:val="24"/>
                <w:szCs w:val="24"/>
                <w:u w:val="single"/>
              </w:rPr>
              <w:t>草本层盖度60%</w:t>
            </w:r>
            <w:r>
              <w:rPr>
                <w:rFonts w:hint="eastAsia" w:ascii="Times New Roman" w:hAnsi="Times New Roman" w:eastAsia="宋体" w:cs="Times New Roman"/>
                <w:spacing w:val="14"/>
                <w:position w:val="3"/>
                <w:sz w:val="24"/>
                <w:szCs w:val="24"/>
                <w:u w:val="single"/>
              </w:rPr>
              <w:t>～</w:t>
            </w:r>
            <w:r>
              <w:rPr>
                <w:rFonts w:ascii="Times New Roman" w:hAnsi="Times New Roman" w:eastAsia="宋体" w:cs="Times New Roman"/>
                <w:spacing w:val="14"/>
                <w:position w:val="3"/>
                <w:sz w:val="24"/>
                <w:szCs w:val="24"/>
                <w:u w:val="single"/>
              </w:rPr>
              <w:t>96%，高0.1m</w:t>
            </w:r>
            <w:r>
              <w:rPr>
                <w:rFonts w:hint="eastAsia" w:ascii="Times New Roman" w:hAnsi="Times New Roman" w:eastAsia="宋体" w:cs="Times New Roman"/>
                <w:spacing w:val="14"/>
                <w:position w:val="3"/>
                <w:sz w:val="24"/>
                <w:szCs w:val="24"/>
                <w:u w:val="single"/>
              </w:rPr>
              <w:t>～</w:t>
            </w:r>
            <w:r>
              <w:rPr>
                <w:rFonts w:ascii="Times New Roman" w:hAnsi="Times New Roman" w:eastAsia="宋体" w:cs="Times New Roman"/>
                <w:spacing w:val="14"/>
                <w:position w:val="3"/>
                <w:sz w:val="24"/>
                <w:szCs w:val="24"/>
                <w:u w:val="single"/>
              </w:rPr>
              <w:t>0.2m，广州蔊菜盖度为60%</w:t>
            </w:r>
            <w:r>
              <w:rPr>
                <w:rFonts w:hint="eastAsia" w:ascii="Times New Roman" w:hAnsi="Times New Roman" w:eastAsia="宋体" w:cs="Times New Roman"/>
                <w:spacing w:val="14"/>
                <w:position w:val="3"/>
                <w:sz w:val="24"/>
                <w:szCs w:val="24"/>
                <w:u w:val="single"/>
              </w:rPr>
              <w:t>～</w:t>
            </w:r>
            <w:r>
              <w:rPr>
                <w:rFonts w:ascii="Times New Roman" w:hAnsi="Times New Roman" w:eastAsia="宋体" w:cs="Times New Roman"/>
                <w:spacing w:val="14"/>
                <w:position w:val="3"/>
                <w:sz w:val="24"/>
                <w:szCs w:val="24"/>
                <w:u w:val="single"/>
              </w:rPr>
              <w:t>90%，高0.1m</w:t>
            </w:r>
            <w:r>
              <w:rPr>
                <w:rFonts w:hint="eastAsia" w:ascii="Times New Roman" w:hAnsi="Times New Roman" w:eastAsia="宋体" w:cs="Times New Roman"/>
                <w:spacing w:val="14"/>
                <w:position w:val="3"/>
                <w:sz w:val="24"/>
                <w:szCs w:val="24"/>
                <w:u w:val="single"/>
              </w:rPr>
              <w:t>～</w:t>
            </w:r>
            <w:r>
              <w:rPr>
                <w:rFonts w:ascii="Times New Roman" w:hAnsi="Times New Roman" w:eastAsia="宋体" w:cs="Times New Roman"/>
                <w:spacing w:val="14"/>
                <w:position w:val="3"/>
                <w:sz w:val="24"/>
                <w:szCs w:val="24"/>
                <w:u w:val="single"/>
              </w:rPr>
              <w:t>0.15m，伴生种有皱叶酸模、蛇床、沼生蔊菜等。</w:t>
            </w:r>
          </w:p>
          <w:p>
            <w:pPr>
              <w:numPr>
                <w:ilvl w:val="0"/>
                <w:numId w:val="1"/>
              </w:numPr>
              <w:spacing w:line="360" w:lineRule="auto"/>
              <w:ind w:firstLine="468" w:firstLineChars="200"/>
              <w:rPr>
                <w:rFonts w:ascii="Times New Roman" w:hAnsi="Times New Roman"/>
                <w:sz w:val="24"/>
                <w:u w:val="single"/>
              </w:rPr>
            </w:pPr>
            <w:r>
              <w:rPr>
                <w:rFonts w:ascii="Times New Roman" w:hAnsi="Times New Roman" w:eastAsia="宋体" w:cs="Times New Roman"/>
                <w:spacing w:val="-3"/>
                <w:sz w:val="24"/>
                <w:szCs w:val="24"/>
                <w:u w:val="single"/>
              </w:rPr>
              <w:t>沼泽和水生植被</w:t>
            </w:r>
            <w:r>
              <w:rPr>
                <w:rFonts w:ascii="Times New Roman" w:hAnsi="Times New Roman" w:eastAsia="宋体" w:cs="Times New Roman"/>
                <w:sz w:val="24"/>
                <w:szCs w:val="24"/>
                <w:u w:val="single"/>
              </w:rPr>
              <w:t xml:space="preserve"> </w:t>
            </w:r>
          </w:p>
          <w:p>
            <w:pPr>
              <w:spacing w:line="360" w:lineRule="auto"/>
              <w:ind w:left="420" w:leftChars="200"/>
              <w:rPr>
                <w:rFonts w:ascii="Times New Roman" w:hAnsi="Times New Roman"/>
                <w:sz w:val="24"/>
                <w:u w:val="single"/>
              </w:rPr>
            </w:pPr>
            <w:r>
              <w:rPr>
                <w:rFonts w:ascii="Times New Roman" w:hAnsi="Times New Roman" w:eastAsia="宋体" w:cs="Times New Roman"/>
                <w:sz w:val="24"/>
                <w:szCs w:val="24"/>
                <w:u w:val="single"/>
              </w:rPr>
              <w:t>VI</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0"/>
                <w:sz w:val="24"/>
                <w:szCs w:val="24"/>
                <w:u w:val="single"/>
              </w:rPr>
              <w:t>沼泽</w:t>
            </w:r>
          </w:p>
          <w:p>
            <w:pPr>
              <w:spacing w:line="360" w:lineRule="auto"/>
              <w:ind w:firstLine="472" w:firstLineChars="200"/>
              <w:rPr>
                <w:rFonts w:ascii="Times New Roman" w:hAnsi="Times New Roman"/>
                <w:sz w:val="24"/>
                <w:u w:val="single"/>
              </w:rPr>
            </w:pPr>
            <w:r>
              <w:rPr>
                <w:rFonts w:ascii="Times New Roman" w:hAnsi="Times New Roman" w:eastAsia="宋体" w:cs="Times New Roman"/>
                <w:spacing w:val="-2"/>
                <w:position w:val="2"/>
                <w:sz w:val="24"/>
                <w:szCs w:val="24"/>
                <w:u w:val="single"/>
              </w:rPr>
              <w:t>6</w:t>
            </w:r>
            <w:r>
              <w:rPr>
                <w:rFonts w:hint="eastAsia" w:ascii="Times New Roman" w:hAnsi="Times New Roman" w:eastAsia="宋体" w:cs="Times New Roman"/>
                <w:spacing w:val="-2"/>
                <w:position w:val="2"/>
                <w:sz w:val="24"/>
                <w:szCs w:val="24"/>
                <w:u w:val="single"/>
              </w:rPr>
              <w:t>、</w:t>
            </w:r>
            <w:r>
              <w:rPr>
                <w:rFonts w:ascii="Times New Roman" w:hAnsi="Times New Roman" w:eastAsia="宋体" w:cs="Times New Roman"/>
                <w:spacing w:val="-2"/>
                <w:position w:val="2"/>
                <w:sz w:val="24"/>
                <w:szCs w:val="24"/>
                <w:u w:val="single"/>
              </w:rPr>
              <w:t>禾本沼</w:t>
            </w:r>
            <w:r>
              <w:rPr>
                <w:rFonts w:ascii="Times New Roman" w:hAnsi="Times New Roman" w:eastAsia="宋体" w:cs="Times New Roman"/>
                <w:spacing w:val="-1"/>
                <w:position w:val="2"/>
                <w:sz w:val="24"/>
                <w:szCs w:val="24"/>
                <w:u w:val="single"/>
              </w:rPr>
              <w:t>泽</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position w:val="3"/>
                <w:sz w:val="24"/>
                <w:szCs w:val="24"/>
                <w:u w:val="single"/>
              </w:rPr>
              <w:t>9</w:t>
            </w:r>
            <w:r>
              <w:rPr>
                <w:rFonts w:hint="eastAsia" w:ascii="Times New Roman" w:hAnsi="Times New Roman" w:eastAsia="宋体" w:cs="Times New Roman"/>
                <w:spacing w:val="10"/>
                <w:position w:val="3"/>
                <w:sz w:val="24"/>
                <w:szCs w:val="24"/>
                <w:u w:val="single"/>
              </w:rPr>
              <w:t>）</w:t>
            </w:r>
            <w:r>
              <w:rPr>
                <w:rFonts w:ascii="Times New Roman" w:hAnsi="Times New Roman" w:eastAsia="宋体" w:cs="Times New Roman"/>
                <w:spacing w:val="10"/>
                <w:position w:val="3"/>
                <w:sz w:val="24"/>
                <w:szCs w:val="24"/>
                <w:u w:val="single"/>
              </w:rPr>
              <w:t xml:space="preserve">芦苇群系 </w:t>
            </w:r>
            <w:r>
              <w:rPr>
                <w:rFonts w:ascii="Times New Roman" w:hAnsi="Times New Roman" w:eastAsia="宋体" w:cs="Times New Roman"/>
                <w:position w:val="3"/>
                <w:sz w:val="24"/>
                <w:szCs w:val="24"/>
                <w:u w:val="single"/>
              </w:rPr>
              <w:t>From</w:t>
            </w:r>
            <w:r>
              <w:rPr>
                <w:rFonts w:ascii="Times New Roman" w:hAnsi="Times New Roman" w:eastAsia="宋体" w:cs="Times New Roman"/>
                <w:spacing w:val="10"/>
                <w:position w:val="3"/>
                <w:sz w:val="24"/>
                <w:szCs w:val="24"/>
                <w:u w:val="single"/>
              </w:rPr>
              <w:t>.</w:t>
            </w:r>
            <w:r>
              <w:rPr>
                <w:rFonts w:ascii="Times New Roman" w:hAnsi="Times New Roman" w:eastAsia="宋体" w:cs="Times New Roman"/>
                <w:i/>
                <w:iCs/>
                <w:position w:val="3"/>
                <w:sz w:val="24"/>
                <w:szCs w:val="24"/>
                <w:u w:val="single"/>
              </w:rPr>
              <w:t>Phragmites</w:t>
            </w:r>
            <w:r>
              <w:rPr>
                <w:rFonts w:ascii="Times New Roman" w:hAnsi="Times New Roman" w:eastAsia="宋体" w:cs="Times New Roman"/>
                <w:spacing w:val="8"/>
                <w:position w:val="3"/>
                <w:sz w:val="24"/>
                <w:szCs w:val="24"/>
                <w:u w:val="single"/>
              </w:rPr>
              <w:t xml:space="preserve"> </w:t>
            </w:r>
            <w:r>
              <w:rPr>
                <w:rFonts w:ascii="Times New Roman" w:hAnsi="Times New Roman" w:eastAsia="宋体" w:cs="Times New Roman"/>
                <w:i/>
                <w:iCs/>
                <w:position w:val="3"/>
                <w:sz w:val="24"/>
                <w:szCs w:val="24"/>
                <w:u w:val="single"/>
              </w:rPr>
              <w:t>australis</w:t>
            </w:r>
          </w:p>
          <w:p>
            <w:pPr>
              <w:spacing w:line="360" w:lineRule="auto"/>
              <w:ind w:firstLine="472" w:firstLineChars="200"/>
              <w:rPr>
                <w:rFonts w:ascii="Times New Roman" w:hAnsi="Times New Roman"/>
                <w:sz w:val="24"/>
                <w:u w:val="single"/>
              </w:rPr>
            </w:pPr>
            <w:r>
              <w:rPr>
                <w:rFonts w:ascii="Times New Roman" w:hAnsi="Times New Roman" w:eastAsia="宋体" w:cs="Times New Roman"/>
                <w:spacing w:val="-2"/>
                <w:sz w:val="24"/>
                <w:szCs w:val="24"/>
                <w:u w:val="single"/>
              </w:rPr>
              <w:t>灌木层盖度25%，高0.6</w:t>
            </w:r>
            <w:r>
              <w:rPr>
                <w:rFonts w:ascii="Times New Roman" w:hAnsi="Times New Roman" w:eastAsia="宋体" w:cs="Times New Roman"/>
                <w:spacing w:val="-1"/>
                <w:sz w:val="24"/>
                <w:szCs w:val="24"/>
                <w:u w:val="single"/>
              </w:rPr>
              <w:t>m</w:t>
            </w:r>
            <w:r>
              <w:rPr>
                <w:rFonts w:ascii="Times New Roman" w:hAnsi="Times New Roman" w:eastAsia="宋体" w:cs="Times New Roman"/>
                <w:spacing w:val="-2"/>
                <w:sz w:val="24"/>
                <w:szCs w:val="24"/>
                <w:u w:val="single"/>
              </w:rPr>
              <w:t>，为构树。草本层盖度65%</w:t>
            </w:r>
            <w:r>
              <w:rPr>
                <w:rFonts w:hint="eastAsia" w:ascii="Times New Roman" w:hAnsi="Times New Roman" w:eastAsia="宋体" w:cs="Times New Roman"/>
                <w:spacing w:val="-2"/>
                <w:sz w:val="24"/>
                <w:szCs w:val="24"/>
                <w:u w:val="single"/>
              </w:rPr>
              <w:t>～</w:t>
            </w:r>
            <w:r>
              <w:rPr>
                <w:rFonts w:ascii="Times New Roman" w:hAnsi="Times New Roman" w:eastAsia="宋体" w:cs="Times New Roman"/>
                <w:spacing w:val="-2"/>
                <w:sz w:val="24"/>
                <w:szCs w:val="24"/>
                <w:u w:val="single"/>
              </w:rPr>
              <w:t>93%，高</w:t>
            </w:r>
            <w:r>
              <w:rPr>
                <w:rFonts w:ascii="Times New Roman" w:hAnsi="Times New Roman" w:eastAsia="宋体" w:cs="Times New Roman"/>
                <w:spacing w:val="-1"/>
                <w:sz w:val="24"/>
                <w:szCs w:val="24"/>
                <w:u w:val="single"/>
              </w:rPr>
              <w:t xml:space="preserve"> 2.0m</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2.3m，</w:t>
            </w:r>
            <w:r>
              <w:rPr>
                <w:rFonts w:ascii="Times New Roman" w:hAnsi="Times New Roman" w:eastAsia="宋体" w:cs="Times New Roman"/>
                <w:sz w:val="24"/>
                <w:szCs w:val="24"/>
                <w:u w:val="single"/>
              </w:rPr>
              <w:t xml:space="preserve"> </w:t>
            </w:r>
            <w:r>
              <w:rPr>
                <w:rFonts w:ascii="Times New Roman" w:hAnsi="Times New Roman" w:eastAsia="宋体" w:cs="Times New Roman"/>
                <w:spacing w:val="14"/>
                <w:sz w:val="24"/>
                <w:szCs w:val="24"/>
                <w:u w:val="single"/>
              </w:rPr>
              <w:t>芦苇盖</w:t>
            </w:r>
            <w:r>
              <w:rPr>
                <w:rFonts w:ascii="Times New Roman" w:hAnsi="Times New Roman" w:eastAsia="宋体" w:cs="Times New Roman"/>
                <w:spacing w:val="7"/>
                <w:sz w:val="24"/>
                <w:szCs w:val="24"/>
                <w:u w:val="single"/>
              </w:rPr>
              <w:t>度为60%</w:t>
            </w:r>
            <w:r>
              <w:rPr>
                <w:rFonts w:hint="eastAsia" w:ascii="Times New Roman" w:hAnsi="Times New Roman" w:eastAsia="宋体" w:cs="Times New Roman"/>
                <w:spacing w:val="7"/>
                <w:sz w:val="24"/>
                <w:szCs w:val="24"/>
                <w:u w:val="single"/>
              </w:rPr>
              <w:t>～</w:t>
            </w:r>
            <w:r>
              <w:rPr>
                <w:rFonts w:ascii="Times New Roman" w:hAnsi="Times New Roman" w:eastAsia="宋体" w:cs="Times New Roman"/>
                <w:spacing w:val="7"/>
                <w:sz w:val="24"/>
                <w:szCs w:val="24"/>
                <w:u w:val="single"/>
              </w:rPr>
              <w:t>85%，高约2.5</w:t>
            </w:r>
            <w:r>
              <w:rPr>
                <w:rFonts w:ascii="Times New Roman" w:hAnsi="Times New Roman" w:eastAsia="宋体" w:cs="Times New Roman"/>
                <w:sz w:val="24"/>
                <w:szCs w:val="24"/>
                <w:u w:val="single"/>
              </w:rPr>
              <w:t>m</w:t>
            </w:r>
            <w:r>
              <w:rPr>
                <w:rFonts w:ascii="Times New Roman" w:hAnsi="Times New Roman" w:eastAsia="宋体" w:cs="Times New Roman"/>
                <w:spacing w:val="7"/>
                <w:sz w:val="24"/>
                <w:szCs w:val="24"/>
                <w:u w:val="single"/>
              </w:rPr>
              <w:t>，伴生种有蛇葡萄、菰、喜旱莲子草、酢浆</w:t>
            </w:r>
            <w:r>
              <w:rPr>
                <w:rFonts w:ascii="Times New Roman" w:hAnsi="Times New Roman" w:eastAsia="宋体" w:cs="Times New Roman"/>
                <w:spacing w:val="9"/>
                <w:sz w:val="24"/>
                <w:szCs w:val="24"/>
                <w:u w:val="single"/>
              </w:rPr>
              <w:t>草、菊叶香藜、禾本科、加拿大一枝黄花等</w:t>
            </w:r>
            <w:r>
              <w:rPr>
                <w:rFonts w:ascii="Times New Roman" w:hAnsi="Times New Roman" w:eastAsia="宋体" w:cs="Times New Roman"/>
                <w:spacing w:val="7"/>
                <w:sz w:val="24"/>
                <w:szCs w:val="24"/>
                <w:u w:val="single"/>
              </w:rPr>
              <w:t>。</w:t>
            </w:r>
          </w:p>
          <w:p>
            <w:pPr>
              <w:spacing w:line="360" w:lineRule="auto"/>
              <w:ind w:firstLine="524" w:firstLineChars="200"/>
              <w:rPr>
                <w:rFonts w:ascii="Times New Roman" w:hAnsi="Times New Roman"/>
                <w:sz w:val="24"/>
                <w:u w:val="single"/>
              </w:rPr>
            </w:pPr>
            <w:r>
              <w:rPr>
                <w:rFonts w:ascii="Times New Roman" w:hAnsi="Times New Roman" w:eastAsia="宋体" w:cs="Times New Roman"/>
                <w:spacing w:val="11"/>
                <w:position w:val="3"/>
                <w:sz w:val="24"/>
                <w:szCs w:val="24"/>
                <w:u w:val="single"/>
              </w:rPr>
              <w:t>1</w:t>
            </w:r>
            <w:r>
              <w:rPr>
                <w:rFonts w:ascii="Times New Roman" w:hAnsi="Times New Roman" w:eastAsia="宋体" w:cs="Times New Roman"/>
                <w:spacing w:val="7"/>
                <w:position w:val="3"/>
                <w:sz w:val="24"/>
                <w:szCs w:val="24"/>
                <w:u w:val="single"/>
              </w:rPr>
              <w:t>0</w:t>
            </w:r>
            <w:r>
              <w:rPr>
                <w:rFonts w:hint="eastAsia" w:ascii="Times New Roman" w:hAnsi="Times New Roman" w:eastAsia="宋体" w:cs="Times New Roman"/>
                <w:spacing w:val="7"/>
                <w:position w:val="3"/>
                <w:sz w:val="24"/>
                <w:szCs w:val="24"/>
                <w:u w:val="single"/>
              </w:rPr>
              <w:t>）</w:t>
            </w:r>
            <w:r>
              <w:rPr>
                <w:rFonts w:ascii="Times New Roman" w:hAnsi="Times New Roman" w:eastAsia="宋体" w:cs="Times New Roman"/>
                <w:spacing w:val="7"/>
                <w:position w:val="3"/>
                <w:sz w:val="24"/>
                <w:szCs w:val="24"/>
                <w:u w:val="single"/>
              </w:rPr>
              <w:t xml:space="preserve">荻群系 </w:t>
            </w:r>
            <w:r>
              <w:rPr>
                <w:rFonts w:ascii="Times New Roman" w:hAnsi="Times New Roman" w:eastAsia="宋体" w:cs="Times New Roman"/>
                <w:position w:val="3"/>
                <w:sz w:val="24"/>
                <w:szCs w:val="24"/>
                <w:u w:val="single"/>
              </w:rPr>
              <w:t>From</w:t>
            </w:r>
            <w:r>
              <w:rPr>
                <w:rFonts w:ascii="Times New Roman" w:hAnsi="Times New Roman" w:eastAsia="宋体" w:cs="Times New Roman"/>
                <w:spacing w:val="7"/>
                <w:position w:val="3"/>
                <w:sz w:val="24"/>
                <w:szCs w:val="24"/>
                <w:u w:val="single"/>
              </w:rPr>
              <w:t>.</w:t>
            </w:r>
            <w:r>
              <w:rPr>
                <w:rFonts w:ascii="Times New Roman" w:hAnsi="Times New Roman" w:eastAsia="宋体" w:cs="Times New Roman"/>
                <w:i/>
                <w:iCs/>
                <w:position w:val="3"/>
                <w:sz w:val="24"/>
                <w:szCs w:val="24"/>
                <w:u w:val="single"/>
              </w:rPr>
              <w:t>Triarrhena</w:t>
            </w:r>
            <w:r>
              <w:rPr>
                <w:rFonts w:ascii="Times New Roman" w:hAnsi="Times New Roman" w:eastAsia="宋体" w:cs="Times New Roman"/>
                <w:spacing w:val="7"/>
                <w:position w:val="3"/>
                <w:sz w:val="24"/>
                <w:szCs w:val="24"/>
                <w:u w:val="single"/>
              </w:rPr>
              <w:t xml:space="preserve"> </w:t>
            </w:r>
            <w:r>
              <w:rPr>
                <w:rFonts w:ascii="Times New Roman" w:hAnsi="Times New Roman" w:eastAsia="宋体" w:cs="Times New Roman"/>
                <w:i/>
                <w:iCs/>
                <w:position w:val="3"/>
                <w:sz w:val="24"/>
                <w:szCs w:val="24"/>
                <w:u w:val="single"/>
              </w:rPr>
              <w:t>sacchariflora</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sz w:val="24"/>
                <w:szCs w:val="24"/>
                <w:u w:val="single"/>
              </w:rPr>
              <w:t>灌木层盖度13%</w:t>
            </w:r>
            <w:r>
              <w:rPr>
                <w:rFonts w:hint="eastAsia" w:ascii="Times New Roman" w:hAnsi="Times New Roman" w:eastAsia="宋体" w:cs="Times New Roman"/>
                <w:spacing w:val="10"/>
                <w:sz w:val="24"/>
                <w:szCs w:val="24"/>
                <w:u w:val="single"/>
              </w:rPr>
              <w:t>～</w:t>
            </w:r>
            <w:r>
              <w:rPr>
                <w:rFonts w:ascii="Times New Roman" w:hAnsi="Times New Roman" w:eastAsia="宋体" w:cs="Times New Roman"/>
                <w:spacing w:val="10"/>
                <w:sz w:val="24"/>
                <w:szCs w:val="24"/>
                <w:u w:val="single"/>
              </w:rPr>
              <w:t>20%，层均高1.0</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rPr>
              <w:t>～</w:t>
            </w:r>
            <w:r>
              <w:rPr>
                <w:rFonts w:ascii="Times New Roman" w:hAnsi="Times New Roman" w:eastAsia="宋体" w:cs="Times New Roman"/>
                <w:spacing w:val="10"/>
                <w:sz w:val="24"/>
                <w:szCs w:val="24"/>
                <w:u w:val="single"/>
              </w:rPr>
              <w:t>1.5</w:t>
            </w:r>
            <w:r>
              <w:rPr>
                <w:rFonts w:ascii="Times New Roman" w:hAnsi="Times New Roman" w:eastAsia="宋体" w:cs="Times New Roman"/>
                <w:sz w:val="24"/>
                <w:szCs w:val="24"/>
                <w:u w:val="single"/>
              </w:rPr>
              <w:t>m</w:t>
            </w:r>
            <w:r>
              <w:rPr>
                <w:rFonts w:ascii="Times New Roman" w:hAnsi="Times New Roman" w:eastAsia="宋体" w:cs="Times New Roman"/>
                <w:spacing w:val="10"/>
                <w:sz w:val="24"/>
                <w:szCs w:val="24"/>
                <w:u w:val="single"/>
              </w:rPr>
              <w:t>，常见植物为构树、桑、乌</w:t>
            </w:r>
            <w:r>
              <w:rPr>
                <w:rFonts w:ascii="Times New Roman" w:hAnsi="Times New Roman" w:eastAsia="宋体" w:cs="Times New Roman"/>
                <w:spacing w:val="5"/>
                <w:sz w:val="24"/>
                <w:szCs w:val="24"/>
                <w:u w:val="single"/>
              </w:rPr>
              <w:t>桕</w:t>
            </w:r>
            <w:r>
              <w:rPr>
                <w:rFonts w:ascii="Times New Roman" w:hAnsi="Times New Roman" w:eastAsia="宋体" w:cs="Times New Roman"/>
                <w:spacing w:val="14"/>
                <w:sz w:val="24"/>
                <w:szCs w:val="24"/>
                <w:u w:val="single"/>
              </w:rPr>
              <w:t>等。草本</w:t>
            </w:r>
            <w:r>
              <w:rPr>
                <w:rFonts w:ascii="Times New Roman" w:hAnsi="Times New Roman" w:eastAsia="宋体" w:cs="Times New Roman"/>
                <w:spacing w:val="12"/>
                <w:sz w:val="24"/>
                <w:szCs w:val="24"/>
                <w:u w:val="single"/>
              </w:rPr>
              <w:t>层</w:t>
            </w:r>
            <w:r>
              <w:rPr>
                <w:rFonts w:ascii="Times New Roman" w:hAnsi="Times New Roman" w:eastAsia="宋体" w:cs="Times New Roman"/>
                <w:spacing w:val="7"/>
                <w:sz w:val="24"/>
                <w:szCs w:val="24"/>
                <w:u w:val="single"/>
              </w:rPr>
              <w:t>盖度 75%</w:t>
            </w:r>
            <w:r>
              <w:rPr>
                <w:rFonts w:hint="eastAsia" w:ascii="Times New Roman" w:hAnsi="Times New Roman" w:eastAsia="宋体" w:cs="Times New Roman"/>
                <w:spacing w:val="7"/>
                <w:sz w:val="24"/>
                <w:szCs w:val="24"/>
                <w:u w:val="single"/>
              </w:rPr>
              <w:t>～</w:t>
            </w:r>
            <w:r>
              <w:rPr>
                <w:rFonts w:ascii="Times New Roman" w:hAnsi="Times New Roman" w:eastAsia="宋体" w:cs="Times New Roman"/>
                <w:spacing w:val="7"/>
                <w:sz w:val="24"/>
                <w:szCs w:val="24"/>
                <w:u w:val="single"/>
              </w:rPr>
              <w:t>94%，高1.5</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rPr>
              <w:t>～</w:t>
            </w:r>
            <w:r>
              <w:rPr>
                <w:rFonts w:ascii="Times New Roman" w:hAnsi="Times New Roman" w:eastAsia="宋体" w:cs="Times New Roman"/>
                <w:spacing w:val="7"/>
                <w:sz w:val="24"/>
                <w:szCs w:val="24"/>
                <w:u w:val="single"/>
              </w:rPr>
              <w:t>1.8</w:t>
            </w:r>
            <w:r>
              <w:rPr>
                <w:rFonts w:ascii="Times New Roman" w:hAnsi="Times New Roman" w:eastAsia="宋体" w:cs="Times New Roman"/>
                <w:sz w:val="24"/>
                <w:szCs w:val="24"/>
                <w:u w:val="single"/>
              </w:rPr>
              <w:t>m</w:t>
            </w:r>
            <w:r>
              <w:rPr>
                <w:rFonts w:ascii="Times New Roman" w:hAnsi="Times New Roman" w:eastAsia="宋体" w:cs="Times New Roman"/>
                <w:spacing w:val="7"/>
                <w:sz w:val="24"/>
                <w:szCs w:val="24"/>
                <w:u w:val="single"/>
              </w:rPr>
              <w:t>。荻盖度为70%</w:t>
            </w:r>
            <w:r>
              <w:rPr>
                <w:rFonts w:hint="eastAsia" w:ascii="Times New Roman" w:hAnsi="Times New Roman" w:eastAsia="宋体" w:cs="Times New Roman"/>
                <w:spacing w:val="7"/>
                <w:sz w:val="24"/>
                <w:szCs w:val="24"/>
                <w:u w:val="single"/>
              </w:rPr>
              <w:t>～</w:t>
            </w:r>
            <w:r>
              <w:rPr>
                <w:rFonts w:ascii="Times New Roman" w:hAnsi="Times New Roman" w:eastAsia="宋体" w:cs="Times New Roman"/>
                <w:spacing w:val="7"/>
                <w:sz w:val="24"/>
                <w:szCs w:val="24"/>
                <w:u w:val="single"/>
              </w:rPr>
              <w:t>80%，高约1.7</w:t>
            </w:r>
            <w:r>
              <w:rPr>
                <w:rFonts w:ascii="Times New Roman" w:hAnsi="Times New Roman" w:eastAsia="宋体" w:cs="Times New Roman"/>
                <w:sz w:val="24"/>
                <w:szCs w:val="24"/>
                <w:u w:val="single"/>
              </w:rPr>
              <w:t>m</w:t>
            </w:r>
            <w:r>
              <w:rPr>
                <w:rFonts w:ascii="Times New Roman" w:hAnsi="Times New Roman" w:eastAsia="宋体" w:cs="Times New Roman"/>
                <w:spacing w:val="7"/>
                <w:sz w:val="24"/>
                <w:szCs w:val="24"/>
                <w:u w:val="single"/>
              </w:rPr>
              <w:t>~</w:t>
            </w:r>
            <w:r>
              <w:rPr>
                <w:rFonts w:ascii="Times New Roman" w:hAnsi="Times New Roman" w:eastAsia="宋体" w:cs="Times New Roman"/>
                <w:sz w:val="24"/>
                <w:szCs w:val="24"/>
                <w:u w:val="single"/>
              </w:rPr>
              <w:t xml:space="preserve"> </w:t>
            </w:r>
            <w:r>
              <w:rPr>
                <w:rFonts w:ascii="Times New Roman" w:hAnsi="Times New Roman" w:eastAsia="宋体" w:cs="Times New Roman"/>
                <w:spacing w:val="6"/>
                <w:sz w:val="24"/>
                <w:szCs w:val="24"/>
                <w:u w:val="single"/>
              </w:rPr>
              <w:t>1.8</w:t>
            </w:r>
            <w:r>
              <w:rPr>
                <w:rFonts w:ascii="Times New Roman" w:hAnsi="Times New Roman" w:eastAsia="宋体" w:cs="Times New Roman"/>
                <w:sz w:val="24"/>
                <w:szCs w:val="24"/>
                <w:u w:val="single"/>
              </w:rPr>
              <w:t>m</w:t>
            </w:r>
            <w:r>
              <w:rPr>
                <w:rFonts w:ascii="Times New Roman" w:hAnsi="Times New Roman" w:eastAsia="宋体" w:cs="Times New Roman"/>
                <w:spacing w:val="6"/>
                <w:sz w:val="24"/>
                <w:szCs w:val="24"/>
                <w:u w:val="single"/>
              </w:rPr>
              <w:t>，伴生种</w:t>
            </w:r>
            <w:r>
              <w:rPr>
                <w:rFonts w:ascii="Times New Roman" w:hAnsi="Times New Roman" w:eastAsia="宋体" w:cs="Times New Roman"/>
                <w:spacing w:val="5"/>
                <w:sz w:val="24"/>
                <w:szCs w:val="24"/>
                <w:u w:val="single"/>
              </w:rPr>
              <w:t>有</w:t>
            </w:r>
            <w:r>
              <w:rPr>
                <w:rFonts w:ascii="Times New Roman" w:hAnsi="Times New Roman" w:eastAsia="宋体" w:cs="Times New Roman"/>
                <w:spacing w:val="3"/>
                <w:sz w:val="24"/>
                <w:szCs w:val="24"/>
                <w:u w:val="single"/>
              </w:rPr>
              <w:t>喜旱莲子草、狗尾草、野菊、双穗雀稗等。层间植物盖度约5%</w:t>
            </w:r>
            <w:r>
              <w:rPr>
                <w:rFonts w:hint="eastAsia" w:ascii="Times New Roman" w:hAnsi="Times New Roman" w:eastAsia="宋体" w:cs="Times New Roman"/>
                <w:spacing w:val="3"/>
                <w:sz w:val="24"/>
                <w:szCs w:val="24"/>
                <w:u w:val="single"/>
              </w:rPr>
              <w:t>～</w:t>
            </w:r>
            <w:r>
              <w:rPr>
                <w:rFonts w:ascii="Times New Roman" w:hAnsi="Times New Roman" w:eastAsia="宋体" w:cs="Times New Roman"/>
                <w:spacing w:val="10"/>
                <w:sz w:val="24"/>
                <w:szCs w:val="24"/>
                <w:u w:val="single"/>
              </w:rPr>
              <w:t>7</w:t>
            </w:r>
            <w:r>
              <w:rPr>
                <w:rFonts w:ascii="Times New Roman" w:hAnsi="Times New Roman" w:eastAsia="宋体" w:cs="Times New Roman"/>
                <w:spacing w:val="5"/>
                <w:sz w:val="24"/>
                <w:szCs w:val="24"/>
                <w:u w:val="single"/>
              </w:rPr>
              <w:t>%，高度约0.4</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rPr>
              <w:t>～</w:t>
            </w:r>
            <w:r>
              <w:rPr>
                <w:rFonts w:ascii="Times New Roman" w:hAnsi="Times New Roman" w:eastAsia="宋体" w:cs="Times New Roman"/>
                <w:spacing w:val="5"/>
                <w:sz w:val="24"/>
                <w:szCs w:val="24"/>
                <w:u w:val="single"/>
              </w:rPr>
              <w:t>0.8</w:t>
            </w:r>
            <w:r>
              <w:rPr>
                <w:rFonts w:ascii="Times New Roman" w:hAnsi="Times New Roman" w:eastAsia="宋体" w:cs="Times New Roman"/>
                <w:sz w:val="24"/>
                <w:szCs w:val="24"/>
                <w:u w:val="single"/>
              </w:rPr>
              <w:t>m</w:t>
            </w:r>
            <w:r>
              <w:rPr>
                <w:rFonts w:ascii="Times New Roman" w:hAnsi="Times New Roman" w:eastAsia="宋体" w:cs="Times New Roman"/>
                <w:spacing w:val="5"/>
                <w:sz w:val="24"/>
                <w:szCs w:val="24"/>
                <w:u w:val="single"/>
              </w:rPr>
              <w:t>，常见植物为杠板归等。</w:t>
            </w:r>
          </w:p>
          <w:p>
            <w:pPr>
              <w:spacing w:line="360" w:lineRule="auto"/>
              <w:ind w:firstLine="516" w:firstLineChars="200"/>
              <w:rPr>
                <w:rFonts w:ascii="Times New Roman" w:hAnsi="Times New Roman"/>
                <w:sz w:val="24"/>
                <w:u w:val="single"/>
              </w:rPr>
            </w:pPr>
            <w:r>
              <w:rPr>
                <w:rFonts w:ascii="Times New Roman" w:hAnsi="Times New Roman" w:eastAsia="宋体" w:cs="Times New Roman"/>
                <w:spacing w:val="9"/>
                <w:position w:val="3"/>
                <w:sz w:val="24"/>
                <w:szCs w:val="24"/>
                <w:u w:val="single"/>
              </w:rPr>
              <w:t>11</w:t>
            </w:r>
            <w:r>
              <w:rPr>
                <w:rFonts w:hint="eastAsia" w:ascii="Times New Roman" w:hAnsi="Times New Roman" w:eastAsia="宋体" w:cs="Times New Roman"/>
                <w:spacing w:val="9"/>
                <w:position w:val="3"/>
                <w:sz w:val="24"/>
                <w:szCs w:val="24"/>
                <w:u w:val="single"/>
              </w:rPr>
              <w:t>）</w:t>
            </w:r>
            <w:r>
              <w:rPr>
                <w:rFonts w:ascii="Times New Roman" w:hAnsi="Times New Roman" w:eastAsia="宋体" w:cs="Times New Roman"/>
                <w:spacing w:val="9"/>
                <w:position w:val="3"/>
                <w:sz w:val="24"/>
                <w:szCs w:val="24"/>
                <w:u w:val="single"/>
              </w:rPr>
              <w:t>酸模叶蓼群系</w:t>
            </w:r>
            <w:r>
              <w:rPr>
                <w:rFonts w:ascii="Times New Roman" w:hAnsi="Times New Roman" w:eastAsia="宋体" w:cs="Times New Roman"/>
                <w:position w:val="3"/>
                <w:sz w:val="24"/>
                <w:szCs w:val="24"/>
                <w:u w:val="single"/>
              </w:rPr>
              <w:t>From</w:t>
            </w:r>
            <w:r>
              <w:rPr>
                <w:rFonts w:ascii="Times New Roman" w:hAnsi="Times New Roman" w:eastAsia="宋体" w:cs="Times New Roman"/>
                <w:spacing w:val="9"/>
                <w:position w:val="3"/>
                <w:sz w:val="24"/>
                <w:szCs w:val="24"/>
                <w:u w:val="single"/>
              </w:rPr>
              <w:t>.</w:t>
            </w:r>
            <w:r>
              <w:rPr>
                <w:rFonts w:ascii="Times New Roman" w:hAnsi="Times New Roman" w:eastAsia="宋体" w:cs="Times New Roman"/>
                <w:i/>
                <w:iCs/>
                <w:position w:val="3"/>
                <w:sz w:val="24"/>
                <w:szCs w:val="24"/>
                <w:u w:val="single"/>
              </w:rPr>
              <w:t>Polygonum</w:t>
            </w:r>
            <w:r>
              <w:rPr>
                <w:rFonts w:ascii="Times New Roman" w:hAnsi="Times New Roman" w:eastAsia="宋体" w:cs="Times New Roman"/>
                <w:spacing w:val="8"/>
                <w:position w:val="3"/>
                <w:sz w:val="24"/>
                <w:szCs w:val="24"/>
                <w:u w:val="single"/>
              </w:rPr>
              <w:t xml:space="preserve"> </w:t>
            </w:r>
            <w:r>
              <w:rPr>
                <w:rFonts w:ascii="Times New Roman" w:hAnsi="Times New Roman" w:eastAsia="宋体" w:cs="Times New Roman"/>
                <w:i/>
                <w:iCs/>
                <w:position w:val="3"/>
                <w:sz w:val="24"/>
                <w:szCs w:val="24"/>
                <w:u w:val="single"/>
              </w:rPr>
              <w:t>lapathifolium</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sz w:val="24"/>
                <w:szCs w:val="24"/>
                <w:u w:val="single"/>
              </w:rPr>
              <w:t>草本层盖度95%</w:t>
            </w:r>
            <w:r>
              <w:rPr>
                <w:rFonts w:hint="eastAsia" w:ascii="Times New Roman" w:hAnsi="Times New Roman" w:eastAsia="宋体" w:cs="Times New Roman"/>
                <w:spacing w:val="10"/>
                <w:sz w:val="24"/>
                <w:szCs w:val="24"/>
                <w:u w:val="single"/>
              </w:rPr>
              <w:t>～</w:t>
            </w:r>
            <w:r>
              <w:rPr>
                <w:rFonts w:ascii="Times New Roman" w:hAnsi="Times New Roman" w:eastAsia="宋体" w:cs="Times New Roman"/>
                <w:spacing w:val="10"/>
                <w:sz w:val="24"/>
                <w:szCs w:val="24"/>
                <w:u w:val="single"/>
              </w:rPr>
              <w:t>96%，层高0.4</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rPr>
              <w:t>～</w:t>
            </w:r>
            <w:r>
              <w:rPr>
                <w:rFonts w:ascii="Times New Roman" w:hAnsi="Times New Roman" w:eastAsia="宋体" w:cs="Times New Roman"/>
                <w:spacing w:val="10"/>
                <w:sz w:val="24"/>
                <w:szCs w:val="24"/>
                <w:u w:val="single"/>
              </w:rPr>
              <w:t>0.6</w:t>
            </w:r>
            <w:r>
              <w:rPr>
                <w:rFonts w:ascii="Times New Roman" w:hAnsi="Times New Roman" w:eastAsia="宋体" w:cs="Times New Roman"/>
                <w:sz w:val="24"/>
                <w:szCs w:val="24"/>
                <w:u w:val="single"/>
              </w:rPr>
              <w:t>m</w:t>
            </w:r>
            <w:r>
              <w:rPr>
                <w:rFonts w:ascii="Times New Roman" w:hAnsi="Times New Roman" w:eastAsia="宋体" w:cs="Times New Roman"/>
                <w:spacing w:val="10"/>
                <w:sz w:val="24"/>
                <w:szCs w:val="24"/>
                <w:u w:val="single"/>
              </w:rPr>
              <w:t>。酸模叶蓼盖度为 80%</w:t>
            </w:r>
            <w:r>
              <w:rPr>
                <w:rFonts w:hint="eastAsia" w:ascii="Times New Roman" w:hAnsi="Times New Roman" w:eastAsia="宋体" w:cs="Times New Roman"/>
                <w:spacing w:val="10"/>
                <w:sz w:val="24"/>
                <w:szCs w:val="24"/>
                <w:u w:val="single"/>
              </w:rPr>
              <w:t>～</w:t>
            </w:r>
            <w:r>
              <w:rPr>
                <w:rFonts w:ascii="Times New Roman" w:hAnsi="Times New Roman" w:eastAsia="宋体" w:cs="Times New Roman"/>
                <w:spacing w:val="10"/>
                <w:sz w:val="24"/>
                <w:szCs w:val="24"/>
                <w:u w:val="single"/>
              </w:rPr>
              <w:t>95%</w:t>
            </w:r>
            <w:r>
              <w:rPr>
                <w:rFonts w:ascii="Times New Roman" w:hAnsi="Times New Roman" w:eastAsia="宋体" w:cs="Times New Roman"/>
                <w:spacing w:val="4"/>
                <w:sz w:val="24"/>
                <w:szCs w:val="24"/>
                <w:u w:val="single"/>
              </w:rPr>
              <w:t>，</w:t>
            </w:r>
            <w:r>
              <w:rPr>
                <w:rFonts w:ascii="Times New Roman" w:hAnsi="Times New Roman" w:eastAsia="宋体" w:cs="Times New Roman"/>
                <w:spacing w:val="12"/>
                <w:sz w:val="24"/>
                <w:szCs w:val="24"/>
                <w:u w:val="single"/>
              </w:rPr>
              <w:t>高</w:t>
            </w:r>
            <w:r>
              <w:rPr>
                <w:rFonts w:ascii="Times New Roman" w:hAnsi="Times New Roman" w:eastAsia="宋体" w:cs="Times New Roman"/>
                <w:spacing w:val="10"/>
                <w:sz w:val="24"/>
                <w:szCs w:val="24"/>
                <w:u w:val="single"/>
              </w:rPr>
              <w:t>0</w:t>
            </w:r>
            <w:r>
              <w:rPr>
                <w:rFonts w:ascii="Times New Roman" w:hAnsi="Times New Roman" w:eastAsia="宋体" w:cs="Times New Roman"/>
                <w:spacing w:val="6"/>
                <w:sz w:val="24"/>
                <w:szCs w:val="24"/>
                <w:u w:val="single"/>
              </w:rPr>
              <w:t>.4</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rPr>
              <w:t>～</w:t>
            </w:r>
            <w:r>
              <w:rPr>
                <w:rFonts w:ascii="Times New Roman" w:hAnsi="Times New Roman" w:eastAsia="宋体" w:cs="Times New Roman"/>
                <w:spacing w:val="6"/>
                <w:sz w:val="24"/>
                <w:szCs w:val="24"/>
                <w:u w:val="single"/>
              </w:rPr>
              <w:t>0.8</w:t>
            </w:r>
            <w:r>
              <w:rPr>
                <w:rFonts w:ascii="Times New Roman" w:hAnsi="Times New Roman" w:eastAsia="宋体" w:cs="Times New Roman"/>
                <w:sz w:val="24"/>
                <w:szCs w:val="24"/>
                <w:u w:val="single"/>
              </w:rPr>
              <w:t>m</w:t>
            </w:r>
            <w:r>
              <w:rPr>
                <w:rFonts w:ascii="Times New Roman" w:hAnsi="Times New Roman" w:eastAsia="宋体" w:cs="Times New Roman"/>
                <w:spacing w:val="6"/>
                <w:sz w:val="24"/>
                <w:szCs w:val="24"/>
                <w:u w:val="single"/>
              </w:rPr>
              <w:t>，伴生种生有蛇床、活血丹、苍耳、喜旱莲子草、禾本科、芦苇、</w:t>
            </w:r>
            <w:r>
              <w:rPr>
                <w:rFonts w:ascii="Times New Roman" w:hAnsi="Times New Roman" w:eastAsia="宋体" w:cs="Times New Roman"/>
                <w:spacing w:val="8"/>
                <w:sz w:val="24"/>
                <w:szCs w:val="24"/>
                <w:u w:val="single"/>
              </w:rPr>
              <w:t>菰</w:t>
            </w:r>
            <w:r>
              <w:rPr>
                <w:rFonts w:ascii="Times New Roman" w:hAnsi="Times New Roman" w:eastAsia="宋体" w:cs="Times New Roman"/>
                <w:spacing w:val="6"/>
                <w:sz w:val="24"/>
                <w:szCs w:val="24"/>
                <w:u w:val="single"/>
              </w:rPr>
              <w:t>、龙葵等。</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VII</w:t>
            </w:r>
            <w:r>
              <w:rPr>
                <w:rFonts w:hint="eastAsia" w:ascii="Times New Roman" w:hAnsi="Times New Roman" w:eastAsia="宋体" w:cs="Times New Roman"/>
                <w:spacing w:val="11"/>
                <w:sz w:val="24"/>
                <w:szCs w:val="24"/>
                <w:u w:val="single"/>
              </w:rPr>
              <w:t>、</w:t>
            </w:r>
            <w:r>
              <w:rPr>
                <w:rFonts w:ascii="Times New Roman" w:hAnsi="Times New Roman" w:eastAsia="宋体" w:cs="Times New Roman"/>
                <w:spacing w:val="11"/>
                <w:sz w:val="24"/>
                <w:szCs w:val="24"/>
                <w:u w:val="single"/>
              </w:rPr>
              <w:t>水生植</w:t>
            </w:r>
            <w:r>
              <w:rPr>
                <w:rFonts w:ascii="Times New Roman" w:hAnsi="Times New Roman" w:eastAsia="宋体" w:cs="Times New Roman"/>
                <w:spacing w:val="10"/>
                <w:sz w:val="24"/>
                <w:szCs w:val="24"/>
                <w:u w:val="single"/>
              </w:rPr>
              <w:t>被</w:t>
            </w:r>
          </w:p>
          <w:p>
            <w:pPr>
              <w:spacing w:line="360" w:lineRule="auto"/>
              <w:ind w:firstLine="484" w:firstLineChars="200"/>
              <w:rPr>
                <w:rFonts w:ascii="Times New Roman" w:hAnsi="Times New Roman"/>
                <w:sz w:val="24"/>
                <w:u w:val="single"/>
              </w:rPr>
            </w:pPr>
            <w:r>
              <w:rPr>
                <w:rFonts w:ascii="Times New Roman" w:hAnsi="Times New Roman" w:eastAsia="宋体" w:cs="Times New Roman"/>
                <w:spacing w:val="1"/>
                <w:position w:val="2"/>
                <w:sz w:val="24"/>
                <w:szCs w:val="24"/>
                <w:u w:val="single"/>
              </w:rPr>
              <w:t>7</w:t>
            </w:r>
            <w:r>
              <w:rPr>
                <w:rFonts w:hint="eastAsia" w:ascii="Times New Roman" w:hAnsi="Times New Roman" w:eastAsia="宋体" w:cs="Times New Roman"/>
                <w:spacing w:val="1"/>
                <w:position w:val="2"/>
                <w:sz w:val="24"/>
                <w:szCs w:val="24"/>
                <w:u w:val="single"/>
              </w:rPr>
              <w:t>、</w:t>
            </w:r>
            <w:r>
              <w:rPr>
                <w:rFonts w:ascii="Times New Roman" w:hAnsi="Times New Roman" w:eastAsia="宋体" w:cs="Times New Roman"/>
                <w:spacing w:val="1"/>
                <w:position w:val="2"/>
                <w:sz w:val="24"/>
                <w:szCs w:val="24"/>
                <w:u w:val="single"/>
              </w:rPr>
              <w:t>浮水水生植</w:t>
            </w:r>
            <w:r>
              <w:rPr>
                <w:rFonts w:ascii="Times New Roman" w:hAnsi="Times New Roman" w:eastAsia="宋体" w:cs="Times New Roman"/>
                <w:position w:val="2"/>
                <w:sz w:val="24"/>
                <w:szCs w:val="24"/>
                <w:u w:val="single"/>
              </w:rPr>
              <w:t>被</w:t>
            </w:r>
          </w:p>
          <w:p>
            <w:pPr>
              <w:spacing w:line="360" w:lineRule="auto"/>
              <w:ind w:firstLine="536" w:firstLineChars="200"/>
              <w:rPr>
                <w:rFonts w:ascii="Times New Roman" w:hAnsi="Times New Roman"/>
                <w:sz w:val="24"/>
                <w:u w:val="single"/>
              </w:rPr>
            </w:pPr>
            <w:r>
              <w:rPr>
                <w:rFonts w:ascii="Times New Roman" w:hAnsi="Times New Roman" w:eastAsia="宋体" w:cs="Times New Roman"/>
                <w:spacing w:val="14"/>
                <w:position w:val="3"/>
                <w:sz w:val="24"/>
                <w:szCs w:val="24"/>
                <w:u w:val="single"/>
              </w:rPr>
              <w:t>1</w:t>
            </w:r>
            <w:r>
              <w:rPr>
                <w:rFonts w:ascii="Times New Roman" w:hAnsi="Times New Roman" w:eastAsia="宋体" w:cs="Times New Roman"/>
                <w:spacing w:val="9"/>
                <w:position w:val="3"/>
                <w:sz w:val="24"/>
                <w:szCs w:val="24"/>
                <w:u w:val="single"/>
              </w:rPr>
              <w:t>2</w:t>
            </w:r>
            <w:r>
              <w:rPr>
                <w:rFonts w:hint="eastAsia" w:ascii="Times New Roman" w:hAnsi="Times New Roman" w:eastAsia="宋体" w:cs="Times New Roman"/>
                <w:spacing w:val="9"/>
                <w:position w:val="3"/>
                <w:sz w:val="24"/>
                <w:szCs w:val="24"/>
                <w:u w:val="single"/>
              </w:rPr>
              <w:t>）</w:t>
            </w:r>
            <w:r>
              <w:rPr>
                <w:rFonts w:ascii="Times New Roman" w:hAnsi="Times New Roman" w:eastAsia="宋体" w:cs="Times New Roman"/>
                <w:spacing w:val="7"/>
                <w:position w:val="3"/>
                <w:sz w:val="24"/>
                <w:szCs w:val="24"/>
                <w:u w:val="single"/>
              </w:rPr>
              <w:t xml:space="preserve">凤眼蓝群系 </w:t>
            </w:r>
            <w:r>
              <w:rPr>
                <w:rFonts w:ascii="Times New Roman" w:hAnsi="Times New Roman" w:eastAsia="宋体" w:cs="Times New Roman"/>
                <w:position w:val="3"/>
                <w:sz w:val="24"/>
                <w:szCs w:val="24"/>
                <w:u w:val="single"/>
              </w:rPr>
              <w:t>From</w:t>
            </w:r>
            <w:r>
              <w:rPr>
                <w:rFonts w:ascii="Times New Roman" w:hAnsi="Times New Roman" w:eastAsia="宋体" w:cs="Times New Roman"/>
                <w:spacing w:val="7"/>
                <w:position w:val="3"/>
                <w:sz w:val="24"/>
                <w:szCs w:val="24"/>
                <w:u w:val="single"/>
              </w:rPr>
              <w:t>.</w:t>
            </w:r>
            <w:r>
              <w:rPr>
                <w:rFonts w:ascii="Times New Roman" w:hAnsi="Times New Roman" w:eastAsia="宋体" w:cs="Times New Roman"/>
                <w:i/>
                <w:iCs/>
                <w:position w:val="3"/>
                <w:sz w:val="24"/>
                <w:szCs w:val="24"/>
                <w:u w:val="single"/>
              </w:rPr>
              <w:t>Eichhornia</w:t>
            </w:r>
            <w:r>
              <w:rPr>
                <w:rFonts w:ascii="Times New Roman" w:hAnsi="Times New Roman" w:eastAsia="宋体" w:cs="Times New Roman"/>
                <w:spacing w:val="7"/>
                <w:position w:val="3"/>
                <w:sz w:val="24"/>
                <w:szCs w:val="24"/>
                <w:u w:val="single"/>
              </w:rPr>
              <w:t xml:space="preserve"> </w:t>
            </w:r>
            <w:r>
              <w:rPr>
                <w:rFonts w:ascii="Times New Roman" w:hAnsi="Times New Roman" w:eastAsia="宋体" w:cs="Times New Roman"/>
                <w:i/>
                <w:iCs/>
                <w:position w:val="3"/>
                <w:sz w:val="24"/>
                <w:szCs w:val="24"/>
                <w:u w:val="single"/>
              </w:rPr>
              <w:t>crassipes</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sz w:val="24"/>
                <w:szCs w:val="24"/>
                <w:u w:val="single"/>
              </w:rPr>
              <w:t>草本层</w:t>
            </w:r>
            <w:r>
              <w:rPr>
                <w:rFonts w:ascii="Times New Roman" w:hAnsi="Times New Roman" w:eastAsia="宋体" w:cs="Times New Roman"/>
                <w:spacing w:val="6"/>
                <w:sz w:val="24"/>
                <w:szCs w:val="24"/>
                <w:u w:val="single"/>
              </w:rPr>
              <w:t>盖</w:t>
            </w:r>
            <w:r>
              <w:rPr>
                <w:rFonts w:ascii="Times New Roman" w:hAnsi="Times New Roman" w:eastAsia="宋体" w:cs="Times New Roman"/>
                <w:spacing w:val="5"/>
                <w:sz w:val="24"/>
                <w:szCs w:val="24"/>
                <w:u w:val="single"/>
              </w:rPr>
              <w:t>度92%</w:t>
            </w:r>
            <w:r>
              <w:rPr>
                <w:rFonts w:hint="eastAsia" w:ascii="Times New Roman" w:hAnsi="Times New Roman" w:eastAsia="宋体" w:cs="Times New Roman"/>
                <w:spacing w:val="5"/>
                <w:sz w:val="24"/>
                <w:szCs w:val="24"/>
                <w:u w:val="single"/>
              </w:rPr>
              <w:t>～</w:t>
            </w:r>
            <w:r>
              <w:rPr>
                <w:rFonts w:ascii="Times New Roman" w:hAnsi="Times New Roman" w:eastAsia="宋体" w:cs="Times New Roman"/>
                <w:spacing w:val="5"/>
                <w:sz w:val="24"/>
                <w:szCs w:val="24"/>
                <w:u w:val="single"/>
              </w:rPr>
              <w:t>95%，高0.15</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rPr>
              <w:t>～</w:t>
            </w:r>
            <w:r>
              <w:rPr>
                <w:rFonts w:ascii="Times New Roman" w:hAnsi="Times New Roman" w:eastAsia="宋体" w:cs="Times New Roman"/>
                <w:spacing w:val="5"/>
                <w:sz w:val="24"/>
                <w:szCs w:val="24"/>
                <w:u w:val="single"/>
              </w:rPr>
              <w:t>0.5</w:t>
            </w:r>
            <w:r>
              <w:rPr>
                <w:rFonts w:ascii="Times New Roman" w:hAnsi="Times New Roman" w:eastAsia="宋体" w:cs="Times New Roman"/>
                <w:sz w:val="24"/>
                <w:szCs w:val="24"/>
                <w:u w:val="single"/>
              </w:rPr>
              <w:t>m</w:t>
            </w:r>
            <w:r>
              <w:rPr>
                <w:rFonts w:ascii="Times New Roman" w:hAnsi="Times New Roman" w:eastAsia="宋体" w:cs="Times New Roman"/>
                <w:spacing w:val="5"/>
                <w:sz w:val="24"/>
                <w:szCs w:val="24"/>
                <w:u w:val="single"/>
              </w:rPr>
              <w:t>，凤眼蓝盖度为85%</w:t>
            </w:r>
            <w:r>
              <w:rPr>
                <w:rFonts w:hint="eastAsia" w:ascii="Times New Roman" w:hAnsi="Times New Roman" w:eastAsia="宋体" w:cs="Times New Roman"/>
                <w:spacing w:val="5"/>
                <w:sz w:val="24"/>
                <w:szCs w:val="24"/>
                <w:u w:val="single"/>
              </w:rPr>
              <w:t>～</w:t>
            </w:r>
            <w:r>
              <w:rPr>
                <w:rFonts w:ascii="Times New Roman" w:hAnsi="Times New Roman" w:eastAsia="宋体" w:cs="Times New Roman"/>
                <w:spacing w:val="5"/>
                <w:sz w:val="24"/>
                <w:szCs w:val="24"/>
                <w:u w:val="single"/>
              </w:rPr>
              <w:t>92%，高约</w:t>
            </w:r>
            <w:r>
              <w:rPr>
                <w:rFonts w:ascii="Times New Roman" w:hAnsi="Times New Roman" w:eastAsia="宋体" w:cs="Times New Roman"/>
                <w:spacing w:val="-2"/>
                <w:sz w:val="24"/>
                <w:szCs w:val="24"/>
                <w:u w:val="single"/>
              </w:rPr>
              <w:t>0.15</w:t>
            </w:r>
            <w:r>
              <w:rPr>
                <w:rFonts w:ascii="Times New Roman" w:hAnsi="Times New Roman" w:eastAsia="宋体" w:cs="Times New Roman"/>
                <w:sz w:val="24"/>
                <w:szCs w:val="24"/>
                <w:u w:val="single"/>
              </w:rPr>
              <w:t>m</w:t>
            </w:r>
            <w:r>
              <w:rPr>
                <w:rFonts w:ascii="Times New Roman" w:hAnsi="Times New Roman" w:eastAsia="宋体" w:cs="Times New Roman"/>
                <w:spacing w:val="-2"/>
                <w:sz w:val="24"/>
                <w:szCs w:val="24"/>
                <w:u w:val="single"/>
              </w:rPr>
              <w:t>，伴生种有莲等。</w:t>
            </w:r>
          </w:p>
          <w:p>
            <w:pPr>
              <w:spacing w:line="360" w:lineRule="auto"/>
              <w:ind w:firstLine="522" w:firstLineChars="200"/>
              <w:rPr>
                <w:rFonts w:ascii="Times New Roman" w:hAnsi="Times New Roman"/>
                <w:b/>
                <w:bCs/>
                <w:spacing w:val="10"/>
                <w:sz w:val="24"/>
                <w:u w:val="single"/>
              </w:rPr>
            </w:pPr>
            <w:r>
              <w:rPr>
                <w:rFonts w:ascii="Times New Roman" w:hAnsi="Times New Roman" w:eastAsia="宋体" w:cs="Times New Roman"/>
                <w:b/>
                <w:bCs/>
                <w:spacing w:val="10"/>
                <w:sz w:val="24"/>
                <w:szCs w:val="24"/>
                <w:u w:val="single"/>
              </w:rPr>
              <w:t>人工植被</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人工林</w:t>
            </w:r>
            <w:r>
              <w:rPr>
                <w:rFonts w:ascii="Times New Roman" w:hAnsi="Times New Roman" w:eastAsia="宋体" w:cs="Times New Roman"/>
                <w:spacing w:val="10"/>
                <w:sz w:val="24"/>
                <w:szCs w:val="24"/>
                <w:u w:val="single"/>
              </w:rPr>
              <w:t>主</w:t>
            </w:r>
            <w:r>
              <w:rPr>
                <w:rFonts w:ascii="Times New Roman" w:hAnsi="Times New Roman" w:eastAsia="宋体" w:cs="Times New Roman"/>
                <w:spacing w:val="6"/>
                <w:sz w:val="24"/>
                <w:szCs w:val="24"/>
                <w:u w:val="single"/>
              </w:rPr>
              <w:t>要为果木林，种植有柑橘、柚等，主要分布在居民点、村落等。农</w:t>
            </w:r>
            <w:r>
              <w:rPr>
                <w:rFonts w:ascii="Times New Roman" w:hAnsi="Times New Roman" w:eastAsia="宋体" w:cs="Times New Roman"/>
                <w:sz w:val="24"/>
                <w:szCs w:val="24"/>
                <w:u w:val="single"/>
              </w:rPr>
              <w:t xml:space="preserve"> </w:t>
            </w:r>
            <w:r>
              <w:rPr>
                <w:rFonts w:ascii="Times New Roman" w:hAnsi="Times New Roman" w:eastAsia="宋体" w:cs="Times New Roman"/>
                <w:spacing w:val="7"/>
                <w:sz w:val="24"/>
                <w:szCs w:val="24"/>
                <w:u w:val="single"/>
              </w:rPr>
              <w:t>作物主要分布在</w:t>
            </w:r>
            <w:r>
              <w:rPr>
                <w:rFonts w:hint="eastAsia" w:ascii="Times New Roman" w:hAnsi="Times New Roman" w:eastAsia="宋体" w:cs="Times New Roman"/>
                <w:spacing w:val="7"/>
                <w:sz w:val="24"/>
                <w:szCs w:val="24"/>
                <w:u w:val="single"/>
              </w:rPr>
              <w:t>鼻湖</w:t>
            </w:r>
            <w:r>
              <w:rPr>
                <w:rFonts w:ascii="Times New Roman" w:hAnsi="Times New Roman" w:eastAsia="宋体" w:cs="Times New Roman"/>
                <w:spacing w:val="7"/>
                <w:sz w:val="24"/>
                <w:szCs w:val="24"/>
                <w:u w:val="single"/>
              </w:rPr>
              <w:t>周边以及村落附近，粮食作物主要</w:t>
            </w:r>
            <w:r>
              <w:rPr>
                <w:rFonts w:ascii="Times New Roman" w:hAnsi="Times New Roman" w:eastAsia="宋体" w:cs="Times New Roman"/>
                <w:spacing w:val="3"/>
                <w:sz w:val="24"/>
                <w:szCs w:val="24"/>
                <w:u w:val="single"/>
              </w:rPr>
              <w:t>为</w:t>
            </w:r>
            <w:r>
              <w:rPr>
                <w:rFonts w:ascii="Times New Roman" w:hAnsi="Times New Roman" w:eastAsia="宋体" w:cs="Times New Roman"/>
                <w:sz w:val="24"/>
                <w:szCs w:val="24"/>
                <w:u w:val="single"/>
              </w:rPr>
              <w:t xml:space="preserve"> </w:t>
            </w:r>
            <w:r>
              <w:rPr>
                <w:rFonts w:ascii="Times New Roman" w:hAnsi="Times New Roman" w:eastAsia="宋体" w:cs="Times New Roman"/>
                <w:spacing w:val="13"/>
                <w:sz w:val="24"/>
                <w:szCs w:val="24"/>
                <w:u w:val="single"/>
              </w:rPr>
              <w:t>水</w:t>
            </w:r>
            <w:r>
              <w:rPr>
                <w:rFonts w:ascii="Times New Roman" w:hAnsi="Times New Roman" w:eastAsia="宋体" w:cs="Times New Roman"/>
                <w:spacing w:val="9"/>
                <w:sz w:val="24"/>
                <w:szCs w:val="24"/>
                <w:u w:val="single"/>
              </w:rPr>
              <w:t>稻、玉米、薯类、豆类，经济作物主要有各类蔬菜等。</w:t>
            </w:r>
          </w:p>
          <w:p>
            <w:pPr>
              <w:spacing w:line="360" w:lineRule="auto"/>
              <w:rPr>
                <w:rFonts w:ascii="Times New Roman" w:hAnsi="Times New Roman"/>
                <w:b/>
                <w:bCs/>
                <w:spacing w:val="10"/>
                <w:sz w:val="24"/>
                <w:u w:val="single"/>
              </w:rPr>
            </w:pPr>
            <w:r>
              <w:rPr>
                <w:rFonts w:hint="eastAsia" w:ascii="Times New Roman" w:hAnsi="Times New Roman" w:cs="Times New Roman"/>
                <w:b/>
                <w:bCs/>
                <w:spacing w:val="10"/>
                <w:sz w:val="24"/>
                <w:szCs w:val="24"/>
                <w:u w:val="single"/>
              </w:rPr>
              <w:t>1.2.1.3、</w:t>
            </w:r>
            <w:r>
              <w:rPr>
                <w:rFonts w:ascii="Times New Roman" w:hAnsi="Times New Roman" w:eastAsia="宋体" w:cs="Times New Roman"/>
                <w:b/>
                <w:bCs/>
                <w:spacing w:val="10"/>
                <w:sz w:val="24"/>
                <w:szCs w:val="24"/>
                <w:u w:val="single"/>
              </w:rPr>
              <w:t>植被分布特征</w:t>
            </w:r>
          </w:p>
          <w:p>
            <w:pPr>
              <w:spacing w:line="360" w:lineRule="auto"/>
              <w:ind w:firstLine="536" w:firstLineChars="200"/>
              <w:rPr>
                <w:rFonts w:ascii="Times New Roman" w:hAnsi="Times New Roman"/>
                <w:sz w:val="24"/>
                <w:u w:val="single"/>
              </w:rPr>
            </w:pPr>
            <w:r>
              <w:rPr>
                <w:rFonts w:ascii="Times New Roman" w:hAnsi="Times New Roman" w:eastAsia="宋体" w:cs="Times New Roman"/>
                <w:spacing w:val="14"/>
                <w:sz w:val="24"/>
                <w:szCs w:val="24"/>
                <w:u w:val="single"/>
              </w:rPr>
              <w:t>评</w:t>
            </w:r>
            <w:r>
              <w:rPr>
                <w:rFonts w:ascii="Times New Roman" w:hAnsi="Times New Roman" w:eastAsia="宋体" w:cs="Times New Roman"/>
                <w:spacing w:val="13"/>
                <w:sz w:val="24"/>
                <w:szCs w:val="24"/>
                <w:u w:val="single"/>
              </w:rPr>
              <w:t>价</w:t>
            </w:r>
            <w:r>
              <w:rPr>
                <w:rFonts w:ascii="Times New Roman" w:hAnsi="Times New Roman" w:eastAsia="宋体" w:cs="Times New Roman"/>
                <w:spacing w:val="7"/>
                <w:sz w:val="24"/>
                <w:szCs w:val="24"/>
                <w:u w:val="single"/>
              </w:rPr>
              <w:t>区地势平坦，区内高程一般在24</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rPr>
              <w:t>～</w:t>
            </w:r>
            <w:r>
              <w:rPr>
                <w:rFonts w:ascii="Times New Roman" w:hAnsi="Times New Roman" w:eastAsia="宋体" w:cs="Times New Roman"/>
                <w:spacing w:val="7"/>
                <w:sz w:val="24"/>
                <w:szCs w:val="24"/>
                <w:u w:val="single"/>
              </w:rPr>
              <w:t>45</w:t>
            </w:r>
            <w:r>
              <w:rPr>
                <w:rFonts w:ascii="Times New Roman" w:hAnsi="Times New Roman" w:eastAsia="宋体" w:cs="Times New Roman"/>
                <w:sz w:val="24"/>
                <w:szCs w:val="24"/>
                <w:u w:val="single"/>
              </w:rPr>
              <w:t>m</w:t>
            </w:r>
            <w:r>
              <w:rPr>
                <w:rFonts w:ascii="Times New Roman" w:hAnsi="Times New Roman" w:eastAsia="宋体" w:cs="Times New Roman"/>
                <w:spacing w:val="7"/>
                <w:sz w:val="24"/>
                <w:szCs w:val="24"/>
                <w:u w:val="single"/>
              </w:rPr>
              <w:t>之间，整体海拔起伏较小，植被的垂直分布差异较小。评价区属于季风湿润气候区，四季分明，光照长，降</w:t>
            </w:r>
            <w:r>
              <w:rPr>
                <w:rFonts w:ascii="Times New Roman" w:hAnsi="Times New Roman" w:eastAsia="宋体" w:cs="Times New Roman"/>
                <w:spacing w:val="4"/>
                <w:sz w:val="24"/>
                <w:szCs w:val="24"/>
                <w:u w:val="single"/>
              </w:rPr>
              <w:t>水集中在春夏暖热季</w:t>
            </w:r>
            <w:r>
              <w:rPr>
                <w:rFonts w:ascii="Times New Roman" w:hAnsi="Times New Roman" w:eastAsia="宋体" w:cs="Times New Roman"/>
                <w:spacing w:val="2"/>
                <w:sz w:val="24"/>
                <w:szCs w:val="24"/>
                <w:u w:val="single"/>
              </w:rPr>
              <w:t>节，年平均气温为17℃。评价区内自然植被以阔叶林、灌丛、</w:t>
            </w:r>
            <w:r>
              <w:rPr>
                <w:rFonts w:ascii="Times New Roman" w:hAnsi="Times New Roman" w:eastAsia="宋体" w:cs="Times New Roman"/>
                <w:sz w:val="24"/>
                <w:szCs w:val="24"/>
                <w:u w:val="single"/>
              </w:rPr>
              <w:t xml:space="preserve"> </w:t>
            </w:r>
            <w:r>
              <w:rPr>
                <w:rFonts w:ascii="Times New Roman" w:hAnsi="Times New Roman" w:eastAsia="宋体" w:cs="Times New Roman"/>
                <w:spacing w:val="16"/>
                <w:sz w:val="24"/>
                <w:szCs w:val="24"/>
                <w:u w:val="single"/>
              </w:rPr>
              <w:t>灌</w:t>
            </w:r>
            <w:r>
              <w:rPr>
                <w:rFonts w:ascii="Times New Roman" w:hAnsi="Times New Roman" w:eastAsia="宋体" w:cs="Times New Roman"/>
                <w:spacing w:val="9"/>
                <w:sz w:val="24"/>
                <w:szCs w:val="24"/>
                <w:u w:val="single"/>
              </w:rPr>
              <w:t>草丛、沼泽及水生植被为主。阔叶林多为樟、楝、淡竹等；灌丛主要为构树，</w:t>
            </w:r>
            <w:r>
              <w:rPr>
                <w:rFonts w:ascii="Times New Roman" w:hAnsi="Times New Roman" w:eastAsia="宋体" w:cs="Times New Roman"/>
                <w:spacing w:val="7"/>
                <w:sz w:val="24"/>
                <w:szCs w:val="24"/>
                <w:u w:val="single"/>
              </w:rPr>
              <w:t>灌草丛主要为菊叶香藜、酸模叶蓼、狗尾草、狗牙根、广州蔊菜等；沼泽植被</w:t>
            </w:r>
            <w:r>
              <w:rPr>
                <w:rFonts w:ascii="Times New Roman" w:hAnsi="Times New Roman" w:eastAsia="宋体" w:cs="Times New Roman"/>
                <w:spacing w:val="4"/>
                <w:sz w:val="24"/>
                <w:szCs w:val="24"/>
                <w:u w:val="single"/>
              </w:rPr>
              <w:t>主</w:t>
            </w:r>
            <w:r>
              <w:rPr>
                <w:rFonts w:ascii="Times New Roman" w:hAnsi="Times New Roman" w:eastAsia="宋体" w:cs="Times New Roman"/>
                <w:spacing w:val="9"/>
                <w:sz w:val="24"/>
                <w:szCs w:val="24"/>
                <w:u w:val="single"/>
              </w:rPr>
              <w:t>要为芦苇、荻等；水生植被主要为凤眼蓝等。</w:t>
            </w:r>
          </w:p>
          <w:p>
            <w:pPr>
              <w:spacing w:line="360" w:lineRule="auto"/>
              <w:ind w:firstLine="520" w:firstLineChars="200"/>
              <w:rPr>
                <w:rFonts w:ascii="Times New Roman" w:hAnsi="Times New Roman"/>
                <w:sz w:val="24"/>
                <w:u w:val="single"/>
              </w:rPr>
            </w:pPr>
            <w:r>
              <w:rPr>
                <w:rFonts w:hint="eastAsia" w:ascii="Times New Roman" w:hAnsi="Times New Roman" w:eastAsia="宋体" w:cs="Times New Roman"/>
                <w:spacing w:val="10"/>
                <w:sz w:val="24"/>
                <w:szCs w:val="24"/>
                <w:u w:val="single"/>
              </w:rPr>
              <w:t>鼻湖</w:t>
            </w:r>
            <w:r>
              <w:rPr>
                <w:rFonts w:ascii="Times New Roman" w:hAnsi="Times New Roman" w:eastAsia="宋体" w:cs="Times New Roman"/>
                <w:spacing w:val="5"/>
                <w:sz w:val="24"/>
                <w:szCs w:val="24"/>
                <w:u w:val="single"/>
              </w:rPr>
              <w:t>周边主要分布有灌丛、灌草丛、沼泽及水</w:t>
            </w:r>
            <w:r>
              <w:rPr>
                <w:rFonts w:ascii="Times New Roman" w:hAnsi="Times New Roman" w:eastAsia="宋体" w:cs="Times New Roman"/>
                <w:spacing w:val="16"/>
                <w:sz w:val="24"/>
                <w:szCs w:val="24"/>
                <w:u w:val="single"/>
              </w:rPr>
              <w:t>生等</w:t>
            </w:r>
            <w:r>
              <w:rPr>
                <w:rFonts w:ascii="Times New Roman" w:hAnsi="Times New Roman" w:eastAsia="宋体" w:cs="Times New Roman"/>
                <w:spacing w:val="11"/>
                <w:sz w:val="24"/>
                <w:szCs w:val="24"/>
                <w:u w:val="single"/>
              </w:rPr>
              <w:t>植</w:t>
            </w:r>
            <w:r>
              <w:rPr>
                <w:rFonts w:ascii="Times New Roman" w:hAnsi="Times New Roman" w:eastAsia="宋体" w:cs="Times New Roman"/>
                <w:spacing w:val="8"/>
                <w:sz w:val="24"/>
                <w:szCs w:val="24"/>
                <w:u w:val="single"/>
              </w:rPr>
              <w:t>被；居民区附近主要分布有阔叶林等，评价区内整体植被分布差异不大。</w:t>
            </w:r>
          </w:p>
          <w:p>
            <w:pPr>
              <w:spacing w:line="360" w:lineRule="auto"/>
              <w:rPr>
                <w:rFonts w:ascii="Times New Roman" w:hAnsi="Times New Roman"/>
                <w:b/>
                <w:bCs/>
                <w:spacing w:val="10"/>
                <w:sz w:val="24"/>
                <w:u w:val="single"/>
              </w:rPr>
            </w:pPr>
            <w:r>
              <w:rPr>
                <w:rFonts w:hint="eastAsia" w:ascii="Times New Roman" w:hAnsi="Times New Roman" w:cs="Times New Roman"/>
                <w:b/>
                <w:bCs/>
                <w:spacing w:val="10"/>
                <w:sz w:val="24"/>
                <w:szCs w:val="24"/>
                <w:u w:val="single"/>
              </w:rPr>
              <w:t>1.2.1.4、</w:t>
            </w:r>
            <w:r>
              <w:rPr>
                <w:rFonts w:ascii="Times New Roman" w:hAnsi="Times New Roman" w:cs="Times New Roman"/>
                <w:b/>
                <w:bCs/>
                <w:spacing w:val="10"/>
                <w:sz w:val="24"/>
                <w:szCs w:val="24"/>
                <w:u w:val="single"/>
              </w:rPr>
              <w:t>珍稀濒危及重点保护植物野生植物</w:t>
            </w:r>
          </w:p>
          <w:p>
            <w:pPr>
              <w:spacing w:line="360" w:lineRule="auto"/>
              <w:ind w:firstLine="536" w:firstLineChars="200"/>
              <w:rPr>
                <w:rFonts w:ascii="Times New Roman" w:hAnsi="Times New Roman"/>
                <w:spacing w:val="14"/>
                <w:sz w:val="24"/>
                <w:u w:val="single"/>
              </w:rPr>
            </w:pPr>
            <w:r>
              <w:rPr>
                <w:rFonts w:hint="eastAsia" w:ascii="Times New Roman" w:hAnsi="Times New Roman" w:eastAsia="宋体" w:cs="Times New Roman"/>
                <w:spacing w:val="14"/>
                <w:sz w:val="24"/>
                <w:szCs w:val="24"/>
                <w:u w:val="single"/>
              </w:rPr>
              <w:t>（1）</w:t>
            </w:r>
            <w:r>
              <w:rPr>
                <w:rFonts w:ascii="Times New Roman" w:hAnsi="Times New Roman" w:eastAsia="宋体" w:cs="Times New Roman"/>
                <w:spacing w:val="14"/>
                <w:sz w:val="24"/>
                <w:szCs w:val="24"/>
                <w:u w:val="single"/>
              </w:rPr>
              <w:t>珍稀濒危野生植物</w:t>
            </w:r>
          </w:p>
          <w:p>
            <w:pPr>
              <w:spacing w:line="360" w:lineRule="auto"/>
              <w:ind w:firstLine="536" w:firstLineChars="200"/>
              <w:rPr>
                <w:rFonts w:ascii="Times New Roman" w:hAnsi="Times New Roman"/>
                <w:sz w:val="24"/>
                <w:u w:val="single"/>
              </w:rPr>
            </w:pPr>
            <w:r>
              <w:rPr>
                <w:rFonts w:ascii="Times New Roman" w:hAnsi="Times New Roman" w:eastAsia="宋体" w:cs="Times New Roman"/>
                <w:spacing w:val="14"/>
                <w:sz w:val="24"/>
                <w:szCs w:val="24"/>
                <w:u w:val="single"/>
              </w:rPr>
              <w:t>根</w:t>
            </w:r>
            <w:r>
              <w:rPr>
                <w:rFonts w:ascii="Times New Roman" w:hAnsi="Times New Roman" w:eastAsia="宋体" w:cs="Times New Roman"/>
                <w:spacing w:val="13"/>
                <w:sz w:val="24"/>
                <w:szCs w:val="24"/>
                <w:u w:val="single"/>
              </w:rPr>
              <w:t>据</w:t>
            </w:r>
            <w:r>
              <w:rPr>
                <w:rFonts w:ascii="Times New Roman" w:hAnsi="Times New Roman" w:eastAsia="宋体" w:cs="Times New Roman"/>
                <w:spacing w:val="7"/>
                <w:sz w:val="24"/>
                <w:szCs w:val="24"/>
                <w:u w:val="single"/>
              </w:rPr>
              <w:t xml:space="preserve">《中国生物多样性红色名录-高等植物卷》  </w:t>
            </w:r>
            <w:r>
              <w:rPr>
                <w:rFonts w:hint="eastAsia" w:ascii="Times New Roman" w:hAnsi="Times New Roman" w:eastAsia="宋体" w:cs="Times New Roman"/>
                <w:spacing w:val="7"/>
                <w:sz w:val="24"/>
                <w:szCs w:val="24"/>
                <w:u w:val="single"/>
              </w:rPr>
              <w:t>（</w:t>
            </w:r>
            <w:r>
              <w:rPr>
                <w:rFonts w:ascii="Times New Roman" w:hAnsi="Times New Roman" w:eastAsia="宋体" w:cs="Times New Roman"/>
                <w:spacing w:val="7"/>
                <w:sz w:val="24"/>
                <w:szCs w:val="24"/>
                <w:u w:val="single"/>
              </w:rPr>
              <w:t>环境保护部中国科学院公</w:t>
            </w:r>
            <w:r>
              <w:rPr>
                <w:rFonts w:ascii="Times New Roman" w:hAnsi="Times New Roman" w:eastAsia="宋体" w:cs="Times New Roman"/>
                <w:spacing w:val="14"/>
                <w:sz w:val="24"/>
                <w:szCs w:val="24"/>
                <w:u w:val="single"/>
              </w:rPr>
              <w:t>告 2</w:t>
            </w:r>
            <w:r>
              <w:rPr>
                <w:rFonts w:ascii="Times New Roman" w:hAnsi="Times New Roman" w:eastAsia="宋体" w:cs="Times New Roman"/>
                <w:spacing w:val="11"/>
                <w:sz w:val="24"/>
                <w:szCs w:val="24"/>
                <w:u w:val="single"/>
              </w:rPr>
              <w:t>0</w:t>
            </w:r>
            <w:r>
              <w:rPr>
                <w:rFonts w:ascii="Times New Roman" w:hAnsi="Times New Roman" w:eastAsia="宋体" w:cs="Times New Roman"/>
                <w:spacing w:val="7"/>
                <w:sz w:val="24"/>
                <w:szCs w:val="24"/>
                <w:u w:val="single"/>
              </w:rPr>
              <w:t>13年第54号</w:t>
            </w:r>
            <w:r>
              <w:rPr>
                <w:rFonts w:hint="eastAsia" w:ascii="Times New Roman" w:hAnsi="Times New Roman" w:eastAsia="宋体" w:cs="Times New Roman"/>
                <w:spacing w:val="7"/>
                <w:sz w:val="24"/>
                <w:szCs w:val="24"/>
                <w:u w:val="single"/>
              </w:rPr>
              <w:t>）</w:t>
            </w:r>
            <w:r>
              <w:rPr>
                <w:rFonts w:ascii="Times New Roman" w:hAnsi="Times New Roman" w:eastAsia="宋体" w:cs="Times New Roman"/>
                <w:spacing w:val="7"/>
                <w:sz w:val="24"/>
                <w:szCs w:val="24"/>
                <w:u w:val="single"/>
              </w:rPr>
              <w:t xml:space="preserve"> ，结合现场调查，评价区内未发现珍稀濒危植物。</w:t>
            </w:r>
          </w:p>
          <w:p>
            <w:pPr>
              <w:spacing w:line="360" w:lineRule="auto"/>
              <w:ind w:firstLine="536" w:firstLineChars="200"/>
              <w:rPr>
                <w:rFonts w:ascii="Times New Roman" w:hAnsi="Times New Roman"/>
                <w:spacing w:val="14"/>
                <w:sz w:val="24"/>
                <w:u w:val="single"/>
              </w:rPr>
            </w:pPr>
            <w:r>
              <w:rPr>
                <w:rFonts w:hint="eastAsia" w:ascii="Times New Roman" w:hAnsi="Times New Roman" w:eastAsia="宋体" w:cs="Times New Roman"/>
                <w:spacing w:val="14"/>
                <w:sz w:val="24"/>
                <w:szCs w:val="24"/>
                <w:u w:val="single"/>
              </w:rPr>
              <w:t>（2）</w:t>
            </w:r>
            <w:r>
              <w:rPr>
                <w:rFonts w:ascii="Times New Roman" w:hAnsi="Times New Roman" w:eastAsia="宋体" w:cs="Times New Roman"/>
                <w:spacing w:val="14"/>
                <w:sz w:val="24"/>
                <w:szCs w:val="24"/>
                <w:u w:val="single"/>
              </w:rPr>
              <w:t>重点保护野生植物</w:t>
            </w:r>
          </w:p>
          <w:p>
            <w:pPr>
              <w:spacing w:line="360" w:lineRule="auto"/>
              <w:ind w:firstLine="492" w:firstLineChars="200"/>
              <w:rPr>
                <w:rFonts w:ascii="Times New Roman" w:hAnsi="Times New Roman"/>
                <w:sz w:val="24"/>
                <w:u w:val="single"/>
              </w:rPr>
            </w:pPr>
            <w:r>
              <w:rPr>
                <w:rFonts w:ascii="Times New Roman" w:hAnsi="Times New Roman" w:eastAsia="宋体" w:cs="Times New Roman"/>
                <w:spacing w:val="3"/>
                <w:sz w:val="24"/>
                <w:szCs w:val="24"/>
                <w:u w:val="single"/>
              </w:rPr>
              <w:t>根据《国家重点保护野生植物名录》</w:t>
            </w:r>
            <w:r>
              <w:rPr>
                <w:rFonts w:hint="eastAsia" w:ascii="Times New Roman" w:hAnsi="Times New Roman" w:eastAsia="宋体" w:cs="Times New Roman"/>
                <w:spacing w:val="3"/>
                <w:sz w:val="24"/>
                <w:szCs w:val="24"/>
                <w:u w:val="single"/>
              </w:rPr>
              <w:t>（</w:t>
            </w:r>
            <w:r>
              <w:rPr>
                <w:rFonts w:ascii="Times New Roman" w:hAnsi="Times New Roman" w:eastAsia="宋体" w:cs="Times New Roman"/>
                <w:spacing w:val="3"/>
                <w:sz w:val="24"/>
                <w:szCs w:val="24"/>
                <w:u w:val="single"/>
              </w:rPr>
              <w:t>国家林业和草原局、农业农村部，202</w:t>
            </w:r>
            <w:r>
              <w:rPr>
                <w:rFonts w:ascii="Times New Roman" w:hAnsi="Times New Roman" w:eastAsia="宋体" w:cs="Times New Roman"/>
                <w:spacing w:val="2"/>
                <w:sz w:val="24"/>
                <w:szCs w:val="24"/>
                <w:u w:val="single"/>
              </w:rPr>
              <w:t>1</w:t>
            </w:r>
            <w:r>
              <w:rPr>
                <w:rFonts w:ascii="Times New Roman" w:hAnsi="Times New Roman" w:eastAsia="宋体" w:cs="Times New Roman"/>
                <w:spacing w:val="3"/>
                <w:sz w:val="24"/>
                <w:szCs w:val="24"/>
                <w:u w:val="single"/>
              </w:rPr>
              <w:t>年第 15 号，2021年9月7日公布、施行</w:t>
            </w:r>
            <w:r>
              <w:rPr>
                <w:rFonts w:hint="eastAsia" w:ascii="Times New Roman" w:hAnsi="Times New Roman" w:eastAsia="宋体" w:cs="Times New Roman"/>
                <w:spacing w:val="3"/>
                <w:sz w:val="24"/>
                <w:szCs w:val="24"/>
                <w:u w:val="single"/>
              </w:rPr>
              <w:t>）</w:t>
            </w:r>
            <w:r>
              <w:rPr>
                <w:rFonts w:ascii="Times New Roman" w:hAnsi="Times New Roman" w:eastAsia="宋体" w:cs="Times New Roman"/>
                <w:spacing w:val="3"/>
                <w:sz w:val="24"/>
                <w:szCs w:val="24"/>
                <w:u w:val="single"/>
              </w:rPr>
              <w:t>，结合现场调查，评价区内未</w:t>
            </w:r>
            <w:r>
              <w:rPr>
                <w:rFonts w:ascii="Times New Roman" w:hAnsi="Times New Roman" w:eastAsia="宋体" w:cs="Times New Roman"/>
                <w:sz w:val="24"/>
                <w:szCs w:val="24"/>
                <w:u w:val="single"/>
              </w:rPr>
              <w:t>发现国</w:t>
            </w:r>
            <w:r>
              <w:rPr>
                <w:rFonts w:ascii="Times New Roman" w:hAnsi="Times New Roman" w:eastAsia="宋体" w:cs="Times New Roman"/>
                <w:spacing w:val="10"/>
                <w:sz w:val="24"/>
                <w:szCs w:val="24"/>
                <w:u w:val="single"/>
              </w:rPr>
              <w:t>家</w:t>
            </w:r>
            <w:r>
              <w:rPr>
                <w:rFonts w:ascii="Times New Roman" w:hAnsi="Times New Roman" w:eastAsia="宋体" w:cs="Times New Roman"/>
                <w:spacing w:val="9"/>
                <w:sz w:val="24"/>
                <w:szCs w:val="24"/>
                <w:u w:val="single"/>
              </w:rPr>
              <w:t>级重点保护野生植物，评价区内分布有湖南省级保护植物种类</w:t>
            </w:r>
            <w:r>
              <w:rPr>
                <w:rFonts w:hint="eastAsia" w:ascii="Times New Roman" w:hAnsi="Times New Roman" w:eastAsia="宋体" w:cs="Times New Roman"/>
                <w:spacing w:val="9"/>
                <w:sz w:val="24"/>
                <w:szCs w:val="24"/>
                <w:u w:val="single"/>
              </w:rPr>
              <w:t>1</w:t>
            </w:r>
            <w:r>
              <w:rPr>
                <w:rFonts w:ascii="Times New Roman" w:hAnsi="Times New Roman" w:eastAsia="宋体" w:cs="Times New Roman"/>
                <w:spacing w:val="9"/>
                <w:sz w:val="24"/>
                <w:szCs w:val="24"/>
                <w:u w:val="single"/>
              </w:rPr>
              <w:t>种，香蒲</w:t>
            </w:r>
            <w:r>
              <w:rPr>
                <w:rFonts w:hint="eastAsia" w:ascii="Times New Roman" w:hAnsi="Times New Roman" w:eastAsia="宋体" w:cs="Times New Roman"/>
                <w:spacing w:val="9"/>
                <w:sz w:val="24"/>
                <w:szCs w:val="24"/>
                <w:u w:val="single"/>
              </w:rPr>
              <w:t>（</w:t>
            </w:r>
            <w:r>
              <w:rPr>
                <w:rFonts w:ascii="Times New Roman" w:hAnsi="Times New Roman" w:eastAsia="宋体" w:cs="Times New Roman"/>
                <w:spacing w:val="9"/>
                <w:sz w:val="24"/>
                <w:szCs w:val="24"/>
                <w:u w:val="single"/>
              </w:rPr>
              <w:t>东</w:t>
            </w:r>
            <w:r>
              <w:rPr>
                <w:rFonts w:hint="eastAsia" w:ascii="Times New Roman" w:hAnsi="Times New Roman" w:eastAsia="宋体" w:cs="Times New Roman"/>
                <w:sz w:val="24"/>
                <w:szCs w:val="24"/>
                <w:u w:val="single"/>
              </w:rPr>
              <w:t>1</w:t>
            </w:r>
            <w:r>
              <w:rPr>
                <w:rFonts w:ascii="Times New Roman" w:hAnsi="Times New Roman" w:eastAsia="宋体" w:cs="Times New Roman"/>
                <w:spacing w:val="9"/>
                <w:sz w:val="24"/>
                <w:szCs w:val="24"/>
                <w:u w:val="single"/>
              </w:rPr>
              <w:t>方</w:t>
            </w:r>
            <w:r>
              <w:rPr>
                <w:rFonts w:ascii="Times New Roman" w:hAnsi="Times New Roman" w:eastAsia="宋体" w:cs="Times New Roman"/>
                <w:spacing w:val="6"/>
                <w:sz w:val="24"/>
                <w:szCs w:val="24"/>
                <w:u w:val="single"/>
              </w:rPr>
              <w:t>香蒲</w:t>
            </w:r>
            <w:r>
              <w:rPr>
                <w:rFonts w:hint="eastAsia" w:ascii="Times New Roman" w:hAnsi="Times New Roman" w:eastAsia="宋体" w:cs="Times New Roman"/>
                <w:spacing w:val="6"/>
                <w:sz w:val="24"/>
                <w:szCs w:val="24"/>
                <w:u w:val="single"/>
              </w:rPr>
              <w:t>）</w:t>
            </w:r>
            <w:r>
              <w:rPr>
                <w:rFonts w:ascii="Times New Roman" w:hAnsi="Times New Roman" w:eastAsia="宋体" w:cs="Times New Roman"/>
                <w:sz w:val="24"/>
                <w:szCs w:val="24"/>
                <w:u w:val="single"/>
              </w:rPr>
              <w:t>Typhaorientalis</w:t>
            </w:r>
            <w:r>
              <w:rPr>
                <w:rFonts w:ascii="Times New Roman" w:hAnsi="Times New Roman" w:eastAsia="宋体" w:cs="Times New Roman"/>
                <w:spacing w:val="6"/>
                <w:sz w:val="24"/>
                <w:szCs w:val="24"/>
                <w:u w:val="single"/>
              </w:rPr>
              <w:t xml:space="preserve"> ，但为人工种植。</w:t>
            </w:r>
          </w:p>
          <w:p>
            <w:pPr>
              <w:spacing w:line="360" w:lineRule="auto"/>
              <w:ind w:firstLine="536" w:firstLineChars="200"/>
              <w:rPr>
                <w:rFonts w:ascii="Times New Roman" w:hAnsi="Times New Roman"/>
                <w:spacing w:val="14"/>
                <w:sz w:val="24"/>
                <w:u w:val="single"/>
              </w:rPr>
            </w:pPr>
            <w:r>
              <w:rPr>
                <w:rFonts w:hint="eastAsia" w:ascii="Times New Roman" w:hAnsi="Times New Roman" w:cs="Times New Roman"/>
                <w:spacing w:val="14"/>
                <w:sz w:val="24"/>
                <w:szCs w:val="24"/>
                <w:u w:val="single"/>
              </w:rPr>
              <w:t>（3）</w:t>
            </w:r>
            <w:r>
              <w:rPr>
                <w:rFonts w:ascii="Times New Roman" w:hAnsi="Times New Roman" w:eastAsia="宋体" w:cs="Times New Roman"/>
                <w:spacing w:val="14"/>
                <w:sz w:val="24"/>
                <w:szCs w:val="24"/>
                <w:u w:val="single"/>
              </w:rPr>
              <w:t>中国特有植物</w:t>
            </w:r>
          </w:p>
          <w:p>
            <w:pPr>
              <w:spacing w:line="360" w:lineRule="auto"/>
              <w:ind w:firstLine="536" w:firstLineChars="200"/>
              <w:rPr>
                <w:rFonts w:ascii="Times New Roman" w:hAnsi="Times New Roman"/>
                <w:sz w:val="24"/>
                <w:u w:val="single"/>
              </w:rPr>
            </w:pPr>
            <w:r>
              <w:rPr>
                <w:rFonts w:ascii="Times New Roman" w:hAnsi="Times New Roman" w:eastAsia="宋体" w:cs="Times New Roman"/>
                <w:spacing w:val="14"/>
                <w:sz w:val="24"/>
                <w:szCs w:val="24"/>
                <w:u w:val="single"/>
              </w:rPr>
              <w:t>根</w:t>
            </w:r>
            <w:r>
              <w:rPr>
                <w:rFonts w:ascii="Times New Roman" w:hAnsi="Times New Roman" w:eastAsia="宋体" w:cs="Times New Roman"/>
                <w:spacing w:val="13"/>
                <w:sz w:val="24"/>
                <w:szCs w:val="24"/>
                <w:u w:val="single"/>
              </w:rPr>
              <w:t>据</w:t>
            </w:r>
            <w:r>
              <w:rPr>
                <w:rFonts w:ascii="Times New Roman" w:hAnsi="Times New Roman" w:eastAsia="宋体" w:cs="Times New Roman"/>
                <w:spacing w:val="7"/>
                <w:sz w:val="24"/>
                <w:szCs w:val="24"/>
                <w:u w:val="single"/>
              </w:rPr>
              <w:t>《中国生物多样性红色名录-高等植物卷》</w:t>
            </w:r>
            <w:r>
              <w:rPr>
                <w:rFonts w:hint="eastAsia" w:ascii="Times New Roman" w:hAnsi="Times New Roman" w:eastAsia="宋体" w:cs="Times New Roman"/>
                <w:spacing w:val="7"/>
                <w:sz w:val="24"/>
                <w:szCs w:val="24"/>
                <w:u w:val="single"/>
              </w:rPr>
              <w:t>（</w:t>
            </w:r>
            <w:r>
              <w:rPr>
                <w:rFonts w:ascii="Times New Roman" w:hAnsi="Times New Roman" w:eastAsia="宋体" w:cs="Times New Roman"/>
                <w:spacing w:val="7"/>
                <w:sz w:val="24"/>
                <w:szCs w:val="24"/>
                <w:u w:val="single"/>
              </w:rPr>
              <w:t>环境保护部中国科学院公</w:t>
            </w:r>
            <w:r>
              <w:rPr>
                <w:rFonts w:ascii="Times New Roman" w:hAnsi="Times New Roman" w:eastAsia="宋体" w:cs="Times New Roman"/>
                <w:spacing w:val="6"/>
                <w:sz w:val="24"/>
                <w:szCs w:val="24"/>
                <w:u w:val="single"/>
              </w:rPr>
              <w:t>告 2013年第54 号</w:t>
            </w:r>
            <w:r>
              <w:rPr>
                <w:rFonts w:hint="eastAsia" w:ascii="Times New Roman" w:hAnsi="Times New Roman" w:eastAsia="宋体" w:cs="Times New Roman"/>
                <w:spacing w:val="6"/>
                <w:sz w:val="24"/>
                <w:szCs w:val="24"/>
                <w:u w:val="single"/>
              </w:rPr>
              <w:t>）</w:t>
            </w:r>
            <w:r>
              <w:rPr>
                <w:rFonts w:ascii="Times New Roman" w:hAnsi="Times New Roman" w:eastAsia="宋体" w:cs="Times New Roman"/>
                <w:spacing w:val="6"/>
                <w:sz w:val="24"/>
                <w:szCs w:val="24"/>
                <w:u w:val="single"/>
              </w:rPr>
              <w:t xml:space="preserve"> ，结合现场调查，评价区分布有中国特有植物 29 种</w:t>
            </w:r>
            <w:r>
              <w:rPr>
                <w:rFonts w:ascii="Times New Roman" w:hAnsi="Times New Roman" w:eastAsia="宋体" w:cs="Times New Roman"/>
                <w:spacing w:val="2"/>
                <w:sz w:val="24"/>
                <w:szCs w:val="24"/>
                <w:u w:val="single"/>
              </w:rPr>
              <w:t>。</w:t>
            </w:r>
          </w:p>
          <w:p>
            <w:pPr>
              <w:spacing w:line="360" w:lineRule="auto"/>
              <w:rPr>
                <w:rFonts w:ascii="Times New Roman" w:hAnsi="Times New Roman"/>
                <w:b/>
                <w:bCs/>
                <w:spacing w:val="10"/>
                <w:sz w:val="24"/>
                <w:u w:val="single"/>
              </w:rPr>
            </w:pPr>
            <w:r>
              <w:rPr>
                <w:rFonts w:hint="eastAsia" w:ascii="Times New Roman" w:hAnsi="Times New Roman" w:cs="Times New Roman"/>
                <w:b/>
                <w:bCs/>
                <w:spacing w:val="10"/>
                <w:sz w:val="24"/>
                <w:szCs w:val="24"/>
                <w:u w:val="single"/>
              </w:rPr>
              <w:t>1.2.1.5、</w:t>
            </w:r>
            <w:r>
              <w:rPr>
                <w:rFonts w:ascii="Times New Roman" w:hAnsi="Times New Roman" w:cs="Times New Roman"/>
                <w:b/>
                <w:bCs/>
                <w:spacing w:val="10"/>
                <w:sz w:val="24"/>
                <w:szCs w:val="24"/>
                <w:u w:val="single"/>
              </w:rPr>
              <w:t>外来入侵植物</w:t>
            </w:r>
          </w:p>
          <w:p>
            <w:pPr>
              <w:spacing w:line="360" w:lineRule="auto"/>
              <w:ind w:firstLine="572" w:firstLineChars="200"/>
              <w:rPr>
                <w:rFonts w:ascii="Times New Roman" w:hAnsi="Times New Roman"/>
                <w:spacing w:val="23"/>
                <w:sz w:val="24"/>
                <w:u w:val="single"/>
              </w:rPr>
            </w:pPr>
            <w:r>
              <w:rPr>
                <w:rFonts w:ascii="Times New Roman" w:hAnsi="Times New Roman" w:eastAsia="宋体" w:cs="Times New Roman"/>
                <w:spacing w:val="23"/>
                <w:sz w:val="24"/>
                <w:szCs w:val="24"/>
                <w:u w:val="single"/>
              </w:rPr>
              <w:t>根据《中国外来入侵物种名单》</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第一批，2003年</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、《中国外来入侵物种名单》</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第二批，2010年</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、《中国外来入侵物种名单》</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第三批，2014年</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 xml:space="preserve">、《中国自然生态系统外来入侵物种名单》  </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第四批，2016年</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，参考本工程所在行政区内关于外来入侵植物的相关资料，通过现场实地调查，评价区最为常见的外来入侵物种有凤眼蓝</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Eichhornia crassipes)、加拿大一枝黄花</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Solidagocanadensis )、小蓬草</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Conyza canadensis )、垂序商陆 (Phytolacca americana )、苏门白酒草</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Conyza sumatrensis )、喜旱莲子草</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 xml:space="preserve">Alternanthera philoxeroides </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等种类。其中凤眼蓝、加拿大一枝黄花入侵分布较广、面积较大，危害程度较大。小蓬草、垂序商陆、苏门白酒草、喜旱莲子草等零星分布，入侵危害较小</w:t>
            </w:r>
            <w:r>
              <w:rPr>
                <w:rFonts w:hint="eastAsia" w:ascii="Times New Roman" w:hAnsi="Times New Roman" w:cs="Times New Roman"/>
                <w:spacing w:val="23"/>
                <w:sz w:val="24"/>
                <w:szCs w:val="24"/>
                <w:u w:val="single"/>
              </w:rPr>
              <w:t>。</w:t>
            </w:r>
          </w:p>
          <w:p>
            <w:pPr>
              <w:spacing w:line="360" w:lineRule="auto"/>
              <w:rPr>
                <w:rFonts w:ascii="Times New Roman" w:hAnsi="Times New Roman"/>
                <w:b/>
                <w:bCs/>
                <w:spacing w:val="23"/>
                <w:sz w:val="24"/>
                <w:u w:val="single"/>
              </w:rPr>
            </w:pPr>
            <w:r>
              <w:rPr>
                <w:rFonts w:hint="eastAsia" w:ascii="Times New Roman" w:hAnsi="Times New Roman" w:cs="Times New Roman"/>
                <w:b/>
                <w:bCs/>
                <w:spacing w:val="23"/>
                <w:sz w:val="24"/>
                <w:szCs w:val="24"/>
                <w:u w:val="single"/>
              </w:rPr>
              <w:t>1.2.2、</w:t>
            </w:r>
            <w:r>
              <w:rPr>
                <w:rFonts w:ascii="Times New Roman" w:hAnsi="Times New Roman" w:eastAsia="宋体" w:cs="Times New Roman"/>
                <w:b/>
                <w:bCs/>
                <w:spacing w:val="23"/>
                <w:sz w:val="24"/>
                <w:szCs w:val="24"/>
                <w:u w:val="single"/>
              </w:rPr>
              <w:t>陆生动物</w:t>
            </w:r>
          </w:p>
          <w:p>
            <w:pPr>
              <w:spacing w:line="360" w:lineRule="auto"/>
              <w:rPr>
                <w:rFonts w:ascii="Times New Roman" w:hAnsi="Times New Roman"/>
                <w:b/>
                <w:bCs/>
                <w:spacing w:val="23"/>
                <w:sz w:val="24"/>
                <w:u w:val="single"/>
              </w:rPr>
            </w:pPr>
            <w:r>
              <w:rPr>
                <w:rFonts w:hint="eastAsia" w:ascii="Times New Roman" w:hAnsi="Times New Roman" w:cs="Times New Roman"/>
                <w:b/>
                <w:bCs/>
                <w:spacing w:val="23"/>
                <w:sz w:val="24"/>
                <w:szCs w:val="24"/>
                <w:u w:val="single"/>
              </w:rPr>
              <w:t>1.2.2.1、</w:t>
            </w:r>
            <w:r>
              <w:rPr>
                <w:rFonts w:ascii="Times New Roman" w:hAnsi="Times New Roman" w:eastAsia="宋体" w:cs="Times New Roman"/>
                <w:b/>
                <w:bCs/>
                <w:spacing w:val="23"/>
                <w:sz w:val="24"/>
                <w:szCs w:val="24"/>
                <w:u w:val="single"/>
              </w:rPr>
              <w:t>动物区系</w:t>
            </w:r>
          </w:p>
          <w:p>
            <w:pPr>
              <w:spacing w:line="360" w:lineRule="auto"/>
              <w:ind w:firstLine="572" w:firstLineChars="200"/>
              <w:rPr>
                <w:rFonts w:ascii="Times New Roman" w:hAnsi="Times New Roman"/>
                <w:spacing w:val="23"/>
                <w:sz w:val="24"/>
                <w:u w:val="single"/>
              </w:rPr>
            </w:pPr>
            <w:r>
              <w:rPr>
                <w:rFonts w:ascii="Times New Roman" w:hAnsi="Times New Roman" w:eastAsia="宋体" w:cs="Times New Roman"/>
                <w:spacing w:val="23"/>
                <w:sz w:val="24"/>
                <w:szCs w:val="24"/>
                <w:u w:val="single"/>
              </w:rPr>
              <w:t>根据《中国动物地理》</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科学出版社，2011)，我国动物地理区划分属于世界动物地理分区的古北界与东洋界。两界在我国境内的分界线西起横断山脉北部，经过川北的岷山与陕南的秦岭，向东至淮河南岸，直抵长江口以北。我国动物区系根据陆栖脊椎动物，特别是哺乳类和鸟类的分布情况，可以分为东北区、华北区、蒙新区、青藏区、西南区、华中区及华南区7个区。其中前 4个区属于古北界；后3个区属于东洋界。</w:t>
            </w:r>
          </w:p>
          <w:p>
            <w:pPr>
              <w:spacing w:line="360" w:lineRule="auto"/>
              <w:ind w:firstLine="572" w:firstLineChars="200"/>
              <w:rPr>
                <w:rFonts w:ascii="Times New Roman" w:hAnsi="Times New Roman"/>
                <w:spacing w:val="23"/>
                <w:sz w:val="24"/>
                <w:u w:val="single"/>
              </w:rPr>
            </w:pPr>
            <w:r>
              <w:rPr>
                <w:rFonts w:ascii="Times New Roman" w:hAnsi="Times New Roman" w:eastAsia="宋体" w:cs="Times New Roman"/>
                <w:spacing w:val="23"/>
                <w:sz w:val="24"/>
                <w:szCs w:val="24"/>
                <w:u w:val="single"/>
              </w:rPr>
              <w:t>规划评价区位于湖南省岳阳市湘阴县，动物区划属于东洋界—华中区— 东部丘陵平原亚区—长江沿岸平原省—农田湿地动物群。</w:t>
            </w:r>
          </w:p>
          <w:p>
            <w:pPr>
              <w:spacing w:line="360" w:lineRule="auto"/>
              <w:rPr>
                <w:rFonts w:ascii="Times New Roman" w:hAnsi="Times New Roman"/>
                <w:b/>
                <w:bCs/>
                <w:spacing w:val="23"/>
                <w:sz w:val="24"/>
                <w:u w:val="single"/>
              </w:rPr>
            </w:pPr>
            <w:r>
              <w:rPr>
                <w:rFonts w:hint="eastAsia" w:ascii="Times New Roman" w:hAnsi="Times New Roman" w:cs="Times New Roman"/>
                <w:b/>
                <w:bCs/>
                <w:spacing w:val="23"/>
                <w:sz w:val="24"/>
                <w:szCs w:val="24"/>
                <w:u w:val="single"/>
              </w:rPr>
              <w:t>1.2.2.2、</w:t>
            </w:r>
            <w:r>
              <w:rPr>
                <w:rFonts w:ascii="Times New Roman" w:hAnsi="Times New Roman" w:eastAsia="宋体" w:cs="Times New Roman"/>
                <w:b/>
                <w:bCs/>
                <w:spacing w:val="23"/>
                <w:sz w:val="24"/>
                <w:szCs w:val="24"/>
                <w:u w:val="single"/>
              </w:rPr>
              <w:t>动物资源</w:t>
            </w:r>
          </w:p>
          <w:p>
            <w:pPr>
              <w:spacing w:line="360" w:lineRule="auto"/>
              <w:ind w:firstLine="572" w:firstLineChars="200"/>
              <w:rPr>
                <w:rFonts w:ascii="Times New Roman" w:hAnsi="Times New Roman"/>
                <w:spacing w:val="23"/>
                <w:sz w:val="24"/>
                <w:u w:val="single"/>
              </w:rPr>
            </w:pPr>
            <w:r>
              <w:rPr>
                <w:rFonts w:ascii="Times New Roman" w:hAnsi="Times New Roman" w:eastAsia="宋体" w:cs="Times New Roman"/>
                <w:spacing w:val="23"/>
                <w:sz w:val="24"/>
                <w:szCs w:val="24"/>
                <w:u w:val="single"/>
              </w:rPr>
              <w:t>根据搜集的资料、访问调查以及实地考察结果综合分析，规划评价区共记录有陆生野生脊椎动物4纲18目46科84种。规划评价区内未发现国家一级重点保护野生动物，记录有国家二级重点保护野生动物2种，分别是鸿雁和水雉，有湖南省级重点保护野生动物61种。根据《中国生物多样性红色名录》，规划评价纳入濒危EN级别4种，纳入易危VU级别1种，纳入近危NT级别</w:t>
            </w:r>
            <w:r>
              <w:rPr>
                <w:rFonts w:hint="eastAsia" w:ascii="Times New Roman" w:hAnsi="Times New Roman" w:cs="Times New Roman"/>
                <w:spacing w:val="23"/>
                <w:sz w:val="24"/>
                <w:szCs w:val="24"/>
                <w:u w:val="single"/>
              </w:rPr>
              <w:t>3</w:t>
            </w:r>
            <w:r>
              <w:rPr>
                <w:rFonts w:ascii="Times New Roman" w:hAnsi="Times New Roman" w:eastAsia="宋体" w:cs="Times New Roman"/>
                <w:spacing w:val="23"/>
                <w:sz w:val="24"/>
                <w:szCs w:val="24"/>
                <w:u w:val="single"/>
              </w:rPr>
              <w:t>种，其余76种均为无危，中国特有种</w:t>
            </w:r>
            <w:r>
              <w:rPr>
                <w:rFonts w:hint="eastAsia" w:ascii="Times New Roman" w:hAnsi="Times New Roman" w:cs="Times New Roman"/>
                <w:spacing w:val="23"/>
                <w:sz w:val="24"/>
                <w:szCs w:val="24"/>
                <w:u w:val="single"/>
              </w:rPr>
              <w:t>1</w:t>
            </w:r>
            <w:r>
              <w:rPr>
                <w:rFonts w:ascii="Times New Roman" w:hAnsi="Times New Roman" w:eastAsia="宋体" w:cs="Times New Roman"/>
                <w:spacing w:val="23"/>
                <w:sz w:val="24"/>
                <w:szCs w:val="24"/>
                <w:u w:val="single"/>
              </w:rPr>
              <w:t>种。</w:t>
            </w:r>
          </w:p>
          <w:p>
            <w:pPr>
              <w:spacing w:line="360" w:lineRule="auto"/>
              <w:rPr>
                <w:rFonts w:ascii="Times New Roman" w:hAnsi="Times New Roman"/>
                <w:b/>
                <w:bCs/>
                <w:spacing w:val="23"/>
                <w:sz w:val="24"/>
                <w:u w:val="single"/>
              </w:rPr>
            </w:pPr>
            <w:r>
              <w:rPr>
                <w:rFonts w:hint="eastAsia" w:ascii="Times New Roman" w:hAnsi="Times New Roman" w:cs="Times New Roman"/>
                <w:b/>
                <w:bCs/>
                <w:spacing w:val="23"/>
                <w:sz w:val="24"/>
                <w:szCs w:val="24"/>
                <w:u w:val="single"/>
              </w:rPr>
              <w:t>1.2.2.3、</w:t>
            </w:r>
            <w:r>
              <w:rPr>
                <w:rFonts w:ascii="Times New Roman" w:hAnsi="Times New Roman" w:eastAsia="宋体" w:cs="Times New Roman"/>
                <w:b/>
                <w:bCs/>
                <w:spacing w:val="23"/>
                <w:sz w:val="24"/>
                <w:szCs w:val="24"/>
                <w:u w:val="single"/>
              </w:rPr>
              <w:t>陆生动物多样性现状</w:t>
            </w:r>
          </w:p>
          <w:p>
            <w:pPr>
              <w:spacing w:line="360" w:lineRule="auto"/>
              <w:ind w:firstLine="528" w:firstLineChars="200"/>
              <w:rPr>
                <w:rFonts w:ascii="Times New Roman" w:hAnsi="Times New Roman"/>
                <w:spacing w:val="12"/>
                <w:sz w:val="24"/>
                <w:u w:val="single"/>
              </w:rPr>
            </w:pP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两栖类</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1</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种类、数量及分布现状</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规划评价区两栖类有</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目</w:t>
            </w:r>
            <w:r>
              <w:rPr>
                <w:rFonts w:hint="eastAsia" w:ascii="Times New Roman" w:hAnsi="Times New Roman" w:eastAsia="宋体" w:cs="Times New Roman"/>
                <w:spacing w:val="12"/>
                <w:sz w:val="24"/>
                <w:szCs w:val="24"/>
                <w:u w:val="single"/>
              </w:rPr>
              <w:t>4</w:t>
            </w:r>
            <w:r>
              <w:rPr>
                <w:rFonts w:ascii="Times New Roman" w:hAnsi="Times New Roman" w:eastAsia="宋体" w:cs="Times New Roman"/>
                <w:spacing w:val="12"/>
                <w:sz w:val="24"/>
                <w:szCs w:val="24"/>
                <w:u w:val="single"/>
              </w:rPr>
              <w:t>科</w:t>
            </w:r>
            <w:r>
              <w:rPr>
                <w:rFonts w:hint="eastAsia" w:ascii="Times New Roman" w:hAnsi="Times New Roman" w:eastAsia="宋体" w:cs="Times New Roman"/>
                <w:spacing w:val="12"/>
                <w:sz w:val="24"/>
                <w:szCs w:val="24"/>
                <w:u w:val="single"/>
              </w:rPr>
              <w:t>5</w:t>
            </w:r>
            <w:r>
              <w:rPr>
                <w:rFonts w:ascii="Times New Roman" w:hAnsi="Times New Roman" w:eastAsia="宋体" w:cs="Times New Roman"/>
                <w:spacing w:val="12"/>
                <w:sz w:val="24"/>
                <w:szCs w:val="24"/>
                <w:u w:val="single"/>
              </w:rPr>
              <w:t>种，分别是中华蟾蜍、黑斑侧褶蛙、沼蛙、泽陆蛙和饰纹姬蛙，根据《中国生物多样性红色名录》，规划区域记录的两栖类中黑斑侧褶蛙为NT近危，其余 4种均为无危，也不属于中国特有种，但均为湖南省重点保护动物。主要在规划区域的湖区及附近的农田、沟渠等活动。</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2</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区系组成</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规划评价区内分布的</w:t>
            </w:r>
            <w:r>
              <w:rPr>
                <w:rFonts w:hint="eastAsia" w:ascii="Times New Roman" w:hAnsi="Times New Roman" w:eastAsia="宋体" w:cs="Times New Roman"/>
                <w:spacing w:val="12"/>
                <w:sz w:val="24"/>
                <w:szCs w:val="24"/>
                <w:u w:val="single"/>
              </w:rPr>
              <w:t>5</w:t>
            </w:r>
            <w:r>
              <w:rPr>
                <w:rFonts w:ascii="Times New Roman" w:hAnsi="Times New Roman" w:eastAsia="宋体" w:cs="Times New Roman"/>
                <w:spacing w:val="12"/>
                <w:sz w:val="24"/>
                <w:szCs w:val="24"/>
                <w:u w:val="single"/>
              </w:rPr>
              <w:t>种两栖类中，有东洋种</w:t>
            </w:r>
            <w:r>
              <w:rPr>
                <w:rFonts w:hint="eastAsia" w:ascii="Times New Roman" w:hAnsi="Times New Roman" w:eastAsia="宋体" w:cs="Times New Roman"/>
                <w:spacing w:val="12"/>
                <w:sz w:val="24"/>
                <w:szCs w:val="24"/>
                <w:u w:val="single"/>
              </w:rPr>
              <w:t>3</w:t>
            </w:r>
            <w:r>
              <w:rPr>
                <w:rFonts w:ascii="Times New Roman" w:hAnsi="Times New Roman" w:eastAsia="宋体" w:cs="Times New Roman"/>
                <w:spacing w:val="12"/>
                <w:sz w:val="24"/>
                <w:szCs w:val="24"/>
                <w:u w:val="single"/>
              </w:rPr>
              <w:t>种，广布种 2种，无古北界种类，这与规划区所属动物地理区划相一致。</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3</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生态类型</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根据生活习性的不同，规划评价区</w:t>
            </w:r>
            <w:r>
              <w:rPr>
                <w:rFonts w:hint="eastAsia" w:ascii="Times New Roman" w:hAnsi="Times New Roman" w:eastAsia="宋体" w:cs="Times New Roman"/>
                <w:spacing w:val="12"/>
                <w:sz w:val="24"/>
                <w:szCs w:val="24"/>
                <w:u w:val="single"/>
              </w:rPr>
              <w:t>5</w:t>
            </w:r>
            <w:r>
              <w:rPr>
                <w:rFonts w:ascii="Times New Roman" w:hAnsi="Times New Roman" w:eastAsia="宋体" w:cs="Times New Roman"/>
                <w:spacing w:val="12"/>
                <w:sz w:val="24"/>
                <w:szCs w:val="24"/>
                <w:u w:val="single"/>
              </w:rPr>
              <w:t>种两栖动物可以分为</w:t>
            </w:r>
            <w:r>
              <w:rPr>
                <w:rFonts w:hint="eastAsia" w:ascii="Times New Roman" w:hAnsi="Times New Roman" w:eastAsia="宋体" w:cs="Times New Roman"/>
                <w:spacing w:val="12"/>
                <w:sz w:val="24"/>
                <w:szCs w:val="24"/>
                <w:u w:val="single"/>
              </w:rPr>
              <w:t>2</w:t>
            </w:r>
            <w:r>
              <w:rPr>
                <w:rFonts w:ascii="Times New Roman" w:hAnsi="Times New Roman" w:eastAsia="宋体" w:cs="Times New Roman"/>
                <w:spacing w:val="12"/>
                <w:sz w:val="24"/>
                <w:szCs w:val="24"/>
                <w:u w:val="single"/>
              </w:rPr>
              <w:t xml:space="preserve"> 种生态类型：</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静水型</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在静水或缓流中觅食</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：有黑斑侧褶蛙和沼蛙</w:t>
            </w:r>
            <w:r>
              <w:rPr>
                <w:rFonts w:hint="eastAsia" w:ascii="Times New Roman" w:hAnsi="Times New Roman" w:eastAsia="宋体" w:cs="Times New Roman"/>
                <w:spacing w:val="12"/>
                <w:sz w:val="24"/>
                <w:szCs w:val="24"/>
                <w:u w:val="single"/>
              </w:rPr>
              <w:t>2</w:t>
            </w:r>
            <w:r>
              <w:rPr>
                <w:rFonts w:ascii="Times New Roman" w:hAnsi="Times New Roman" w:eastAsia="宋体" w:cs="Times New Roman"/>
                <w:spacing w:val="12"/>
                <w:sz w:val="24"/>
                <w:szCs w:val="24"/>
                <w:u w:val="single"/>
              </w:rPr>
              <w:t>种。主要在规划区的湖区及附近的池塘、沟渠、水田等处生活，与人类活动关系较密切。</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陆栖型</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在陆地上活动觅食</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：中华蟾蜍、泽陆蛙和饰纹姬蛙 3种。它们主要在规划区离水源不远处或较潮湿的陆地上活动，常出现在农田及田埂以及池塘附近的草地。</w:t>
            </w:r>
          </w:p>
          <w:p>
            <w:pPr>
              <w:spacing w:line="360" w:lineRule="auto"/>
              <w:ind w:firstLine="528" w:firstLineChars="200"/>
              <w:rPr>
                <w:rFonts w:ascii="Times New Roman" w:hAnsi="Times New Roman"/>
                <w:spacing w:val="12"/>
                <w:sz w:val="24"/>
                <w:u w:val="single"/>
              </w:rPr>
            </w:pPr>
            <w:r>
              <w:rPr>
                <w:rFonts w:hint="eastAsia" w:ascii="Times New Roman" w:hAnsi="Times New Roman" w:eastAsia="宋体" w:cs="Times New Roman"/>
                <w:spacing w:val="12"/>
                <w:sz w:val="24"/>
                <w:szCs w:val="24"/>
                <w:u w:val="single"/>
              </w:rPr>
              <w:t>（2）</w:t>
            </w:r>
            <w:r>
              <w:rPr>
                <w:rFonts w:ascii="Times New Roman" w:hAnsi="Times New Roman" w:eastAsia="宋体" w:cs="Times New Roman"/>
                <w:spacing w:val="12"/>
                <w:sz w:val="24"/>
                <w:szCs w:val="24"/>
                <w:u w:val="single"/>
              </w:rPr>
              <w:t>爬行类</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1</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种类、数量及分布现状</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规划评价区爬行类</w:t>
            </w:r>
            <w:r>
              <w:rPr>
                <w:rFonts w:hint="eastAsia" w:ascii="Times New Roman" w:hAnsi="Times New Roman" w:eastAsia="宋体" w:cs="Times New Roman"/>
                <w:spacing w:val="12"/>
                <w:sz w:val="24"/>
                <w:szCs w:val="24"/>
                <w:u w:val="single"/>
              </w:rPr>
              <w:t>2</w:t>
            </w:r>
            <w:r>
              <w:rPr>
                <w:rFonts w:ascii="Times New Roman" w:hAnsi="Times New Roman" w:eastAsia="宋体" w:cs="Times New Roman"/>
                <w:spacing w:val="12"/>
                <w:sz w:val="24"/>
                <w:szCs w:val="24"/>
                <w:u w:val="single"/>
              </w:rPr>
              <w:t>目</w:t>
            </w:r>
            <w:r>
              <w:rPr>
                <w:rFonts w:hint="eastAsia" w:ascii="Times New Roman" w:hAnsi="Times New Roman" w:eastAsia="宋体" w:cs="Times New Roman"/>
                <w:spacing w:val="12"/>
                <w:sz w:val="24"/>
                <w:szCs w:val="24"/>
                <w:u w:val="single"/>
              </w:rPr>
              <w:t>6</w:t>
            </w:r>
            <w:r>
              <w:rPr>
                <w:rFonts w:ascii="Times New Roman" w:hAnsi="Times New Roman" w:eastAsia="宋体" w:cs="Times New Roman"/>
                <w:spacing w:val="12"/>
                <w:sz w:val="24"/>
                <w:szCs w:val="24"/>
                <w:u w:val="single"/>
              </w:rPr>
              <w:t>科</w:t>
            </w:r>
            <w:r>
              <w:rPr>
                <w:rFonts w:hint="eastAsia" w:ascii="Times New Roman" w:hAnsi="Times New Roman" w:eastAsia="宋体" w:cs="Times New Roman"/>
                <w:spacing w:val="12"/>
                <w:sz w:val="24"/>
                <w:szCs w:val="24"/>
                <w:u w:val="single"/>
              </w:rPr>
              <w:t>10</w:t>
            </w:r>
            <w:r>
              <w:rPr>
                <w:rFonts w:ascii="Times New Roman" w:hAnsi="Times New Roman" w:eastAsia="宋体" w:cs="Times New Roman"/>
                <w:spacing w:val="12"/>
                <w:sz w:val="24"/>
                <w:szCs w:val="24"/>
                <w:u w:val="single"/>
              </w:rPr>
              <w:t>种，其中游蛇科</w:t>
            </w:r>
            <w:r>
              <w:rPr>
                <w:rFonts w:hint="eastAsia" w:ascii="Times New Roman" w:hAnsi="Times New Roman" w:eastAsia="宋体" w:cs="Times New Roman"/>
                <w:spacing w:val="12"/>
                <w:sz w:val="24"/>
                <w:szCs w:val="24"/>
                <w:u w:val="single"/>
              </w:rPr>
              <w:t>5</w:t>
            </w:r>
            <w:r>
              <w:rPr>
                <w:rFonts w:ascii="Times New Roman" w:hAnsi="Times New Roman" w:eastAsia="宋体" w:cs="Times New Roman"/>
                <w:spacing w:val="12"/>
                <w:sz w:val="24"/>
                <w:szCs w:val="24"/>
                <w:u w:val="single"/>
              </w:rPr>
              <w:t>种，鳖科</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种，壁虎科</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种，石龙子科</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种，蜥蜴科</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种，眼镜蛇科</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种。规划评价区未发现国家重点保护的爬行动物，10</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种爬行动物分别是中华鳖、多疣壁虎、铜蜓蜥、北草蜥、银环蛇 (Bungarus multicinctus )、赤链蛇</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Lycodon rufozonatum)、黑眉晨蛇 (Orthriophis taeniurus )、王锦蛇</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Elaphe carinata )、红纹滞卵蛇 (Oocatochus rufodorsatus</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以及虎斑颈槽蛇</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Rhabdophis tigrinus)，均为湖南省重点保护野生动物，根据《中国生物多样性红色名录》，规划区域记录的爬行类有</w:t>
            </w:r>
            <w:r>
              <w:rPr>
                <w:rFonts w:hint="eastAsia" w:ascii="Times New Roman" w:hAnsi="Times New Roman" w:eastAsia="宋体" w:cs="Times New Roman"/>
                <w:spacing w:val="12"/>
                <w:sz w:val="24"/>
                <w:szCs w:val="24"/>
                <w:u w:val="single"/>
              </w:rPr>
              <w:t>4</w:t>
            </w:r>
            <w:r>
              <w:rPr>
                <w:rFonts w:ascii="Times New Roman" w:hAnsi="Times New Roman" w:eastAsia="宋体" w:cs="Times New Roman"/>
                <w:spacing w:val="12"/>
                <w:sz w:val="24"/>
                <w:szCs w:val="24"/>
                <w:u w:val="single"/>
              </w:rPr>
              <w:t>种为濒危等级，分别是中华鳖、银环蛇、黑眉晨蛇和王锦蛇，中国特有种</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种，为北草蜥。</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2)</w:t>
            </w:r>
            <w:r>
              <w:rPr>
                <w:rFonts w:hint="eastAsia" w:ascii="Times New Roman" w:hAnsi="Times New Roman" w:eastAsia="宋体" w:cs="Times New Roman"/>
                <w:spacing w:val="12"/>
                <w:sz w:val="24"/>
                <w:szCs w:val="24"/>
                <w:u w:val="single"/>
              </w:rPr>
              <w:t>2</w:t>
            </w:r>
            <w:r>
              <w:rPr>
                <w:rFonts w:ascii="Times New Roman" w:hAnsi="Times New Roman" w:eastAsia="宋体" w:cs="Times New Roman"/>
                <w:spacing w:val="12"/>
                <w:sz w:val="24"/>
                <w:szCs w:val="24"/>
                <w:u w:val="single"/>
              </w:rPr>
              <w:t>区系组成</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规划评价区分布的</w:t>
            </w:r>
            <w:r>
              <w:rPr>
                <w:rFonts w:hint="eastAsia" w:ascii="Times New Roman" w:hAnsi="Times New Roman" w:eastAsia="宋体" w:cs="Times New Roman"/>
                <w:spacing w:val="12"/>
                <w:sz w:val="24"/>
                <w:szCs w:val="24"/>
                <w:u w:val="single"/>
              </w:rPr>
              <w:t>10</w:t>
            </w:r>
            <w:r>
              <w:rPr>
                <w:rFonts w:ascii="Times New Roman" w:hAnsi="Times New Roman" w:eastAsia="宋体" w:cs="Times New Roman"/>
                <w:spacing w:val="12"/>
                <w:sz w:val="24"/>
                <w:szCs w:val="24"/>
                <w:u w:val="single"/>
              </w:rPr>
              <w:t>种爬行类中，广布种</w:t>
            </w:r>
            <w:r>
              <w:rPr>
                <w:rFonts w:hint="eastAsia" w:ascii="Times New Roman" w:hAnsi="Times New Roman" w:eastAsia="宋体" w:cs="Times New Roman"/>
                <w:spacing w:val="12"/>
                <w:sz w:val="24"/>
                <w:szCs w:val="24"/>
                <w:u w:val="single"/>
              </w:rPr>
              <w:t>3</w:t>
            </w:r>
            <w:r>
              <w:rPr>
                <w:rFonts w:ascii="Times New Roman" w:hAnsi="Times New Roman" w:eastAsia="宋体" w:cs="Times New Roman"/>
                <w:spacing w:val="12"/>
                <w:sz w:val="24"/>
                <w:szCs w:val="24"/>
                <w:u w:val="single"/>
              </w:rPr>
              <w:t>种，东洋种</w:t>
            </w:r>
            <w:r>
              <w:rPr>
                <w:rFonts w:hint="eastAsia" w:ascii="Times New Roman" w:hAnsi="Times New Roman" w:eastAsia="宋体" w:cs="Times New Roman"/>
                <w:spacing w:val="12"/>
                <w:sz w:val="24"/>
                <w:szCs w:val="24"/>
                <w:u w:val="single"/>
              </w:rPr>
              <w:t>7</w:t>
            </w:r>
            <w:r>
              <w:rPr>
                <w:rFonts w:ascii="Times New Roman" w:hAnsi="Times New Roman" w:eastAsia="宋体" w:cs="Times New Roman"/>
                <w:spacing w:val="12"/>
                <w:sz w:val="24"/>
                <w:szCs w:val="24"/>
                <w:u w:val="single"/>
              </w:rPr>
              <w:t>种，无古北种分布，评价区所属动物地理区划相一致。</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3) 生态类型</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根据规划评价区内爬行动物生活习性的不同，可以将</w:t>
            </w:r>
            <w:r>
              <w:rPr>
                <w:rFonts w:hint="eastAsia" w:ascii="Times New Roman" w:hAnsi="Times New Roman" w:eastAsia="宋体" w:cs="Times New Roman"/>
                <w:spacing w:val="12"/>
                <w:sz w:val="24"/>
                <w:szCs w:val="24"/>
                <w:u w:val="single"/>
              </w:rPr>
              <w:t>10</w:t>
            </w:r>
            <w:r>
              <w:rPr>
                <w:rFonts w:ascii="Times New Roman" w:hAnsi="Times New Roman" w:eastAsia="宋体" w:cs="Times New Roman"/>
                <w:spacing w:val="12"/>
                <w:sz w:val="24"/>
                <w:szCs w:val="24"/>
                <w:u w:val="single"/>
              </w:rPr>
              <w:t xml:space="preserve"> 种爬行类分为以下</w:t>
            </w:r>
            <w:r>
              <w:rPr>
                <w:rFonts w:hint="eastAsia" w:ascii="Times New Roman" w:hAnsi="Times New Roman" w:eastAsia="宋体" w:cs="Times New Roman"/>
                <w:spacing w:val="12"/>
                <w:sz w:val="24"/>
                <w:szCs w:val="24"/>
                <w:u w:val="single"/>
              </w:rPr>
              <w:t>4</w:t>
            </w:r>
            <w:r>
              <w:rPr>
                <w:rFonts w:ascii="Times New Roman" w:hAnsi="Times New Roman" w:eastAsia="宋体" w:cs="Times New Roman"/>
                <w:spacing w:val="12"/>
                <w:sz w:val="24"/>
                <w:szCs w:val="24"/>
                <w:u w:val="single"/>
              </w:rPr>
              <w:t>种生态类型：</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住宅型</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在住宅区的建筑物中筑巢、繁殖、活动</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 xml:space="preserve"> ：有多疣壁虎</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种，主要分布在规划区的居民建筑物附近，访问调查在居民楼里出现过。</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灌丛石隙型</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经常活动在灌丛下面，路边石缝中的爬行类</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：铜蜓蜥、北草蜥2种。它们主要在规划区的路边、田埂及附近的灌丛活动。</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林栖傍水型</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在有小河的树林或河汊池沼中活动</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：包括银环蛇、赤链蛇、黑眉晨蛇、王锦蛇、红纹滞卵蛇、虎斑颈槽蛇</w:t>
            </w:r>
            <w:r>
              <w:rPr>
                <w:rFonts w:hint="eastAsia" w:ascii="Times New Roman" w:hAnsi="Times New Roman" w:eastAsia="宋体" w:cs="Times New Roman"/>
                <w:spacing w:val="12"/>
                <w:sz w:val="24"/>
                <w:szCs w:val="24"/>
                <w:u w:val="single"/>
              </w:rPr>
              <w:t>6</w:t>
            </w:r>
            <w:r>
              <w:rPr>
                <w:rFonts w:ascii="Times New Roman" w:hAnsi="Times New Roman" w:eastAsia="宋体" w:cs="Times New Roman"/>
                <w:spacing w:val="12"/>
                <w:sz w:val="24"/>
                <w:szCs w:val="24"/>
                <w:u w:val="single"/>
              </w:rPr>
              <w:t>种，其中红纹滞卵蛇属于半水栖型。它们主要在规划区的湖泊、池塘、沟渠及附近的草地活动。</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水栖型</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在水中生活、觅食的爬行类</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：中华鳖</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种，主要捕食蛙、虾、小鱼等，主要在规划区域的湖泊水体中活动。</w:t>
            </w:r>
          </w:p>
          <w:p>
            <w:pPr>
              <w:spacing w:line="360" w:lineRule="auto"/>
              <w:ind w:firstLine="528" w:firstLineChars="200"/>
              <w:rPr>
                <w:rFonts w:ascii="Times New Roman" w:hAnsi="Times New Roman"/>
                <w:spacing w:val="12"/>
                <w:sz w:val="24"/>
                <w:u w:val="single"/>
              </w:rPr>
            </w:pPr>
            <w:r>
              <w:rPr>
                <w:rFonts w:hint="eastAsia" w:ascii="Times New Roman" w:hAnsi="Times New Roman" w:eastAsia="宋体" w:cs="Times New Roman"/>
                <w:spacing w:val="12"/>
                <w:sz w:val="24"/>
                <w:szCs w:val="24"/>
                <w:u w:val="single"/>
              </w:rPr>
              <w:t>（3）</w:t>
            </w:r>
            <w:r>
              <w:rPr>
                <w:rFonts w:ascii="Times New Roman" w:hAnsi="Times New Roman" w:eastAsia="宋体" w:cs="Times New Roman"/>
                <w:spacing w:val="12"/>
                <w:sz w:val="24"/>
                <w:szCs w:val="24"/>
                <w:u w:val="single"/>
              </w:rPr>
              <w:t>鸟类</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1</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种类、数量及分布</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规划区鸟类有</w:t>
            </w:r>
            <w:r>
              <w:rPr>
                <w:rFonts w:hint="eastAsia" w:ascii="Times New Roman" w:hAnsi="Times New Roman" w:eastAsia="宋体" w:cs="Times New Roman"/>
                <w:spacing w:val="12"/>
                <w:sz w:val="24"/>
                <w:szCs w:val="24"/>
                <w:u w:val="single"/>
              </w:rPr>
              <w:t>11</w:t>
            </w:r>
            <w:r>
              <w:rPr>
                <w:rFonts w:ascii="Times New Roman" w:hAnsi="Times New Roman" w:eastAsia="宋体" w:cs="Times New Roman"/>
                <w:spacing w:val="12"/>
                <w:sz w:val="24"/>
                <w:szCs w:val="24"/>
                <w:u w:val="single"/>
              </w:rPr>
              <w:t>目</w:t>
            </w:r>
            <w:r>
              <w:rPr>
                <w:rFonts w:hint="eastAsia" w:ascii="Times New Roman" w:hAnsi="Times New Roman" w:eastAsia="宋体" w:cs="Times New Roman"/>
                <w:spacing w:val="12"/>
                <w:sz w:val="24"/>
                <w:szCs w:val="24"/>
                <w:u w:val="single"/>
              </w:rPr>
              <w:t>32</w:t>
            </w:r>
            <w:r>
              <w:rPr>
                <w:rFonts w:ascii="Times New Roman" w:hAnsi="Times New Roman" w:eastAsia="宋体" w:cs="Times New Roman"/>
                <w:spacing w:val="12"/>
                <w:sz w:val="24"/>
                <w:szCs w:val="24"/>
                <w:u w:val="single"/>
              </w:rPr>
              <w:t>科</w:t>
            </w:r>
            <w:r>
              <w:rPr>
                <w:rFonts w:hint="eastAsia" w:ascii="Times New Roman" w:hAnsi="Times New Roman" w:eastAsia="宋体" w:cs="Times New Roman"/>
                <w:spacing w:val="12"/>
                <w:sz w:val="24"/>
                <w:szCs w:val="24"/>
                <w:u w:val="single"/>
              </w:rPr>
              <w:t>62</w:t>
            </w:r>
            <w:r>
              <w:rPr>
                <w:rFonts w:ascii="Times New Roman" w:hAnsi="Times New Roman" w:eastAsia="宋体" w:cs="Times New Roman"/>
                <w:spacing w:val="12"/>
                <w:sz w:val="24"/>
                <w:szCs w:val="24"/>
                <w:u w:val="single"/>
              </w:rPr>
              <w:t>种，未记录国家一级重点保护野生鸟类，有国家二级重点保护野生鸟类</w:t>
            </w:r>
            <w:r>
              <w:rPr>
                <w:rFonts w:hint="eastAsia" w:ascii="Times New Roman" w:hAnsi="Times New Roman" w:eastAsia="宋体" w:cs="Times New Roman"/>
                <w:spacing w:val="12"/>
                <w:sz w:val="24"/>
                <w:szCs w:val="24"/>
                <w:u w:val="single"/>
              </w:rPr>
              <w:t>2</w:t>
            </w:r>
            <w:r>
              <w:rPr>
                <w:rFonts w:ascii="Times New Roman" w:hAnsi="Times New Roman" w:eastAsia="宋体" w:cs="Times New Roman"/>
                <w:spacing w:val="12"/>
                <w:sz w:val="24"/>
                <w:szCs w:val="24"/>
                <w:u w:val="single"/>
              </w:rPr>
              <w:t>种，分别是鸿雁和水雉，湖南省重点保护野生鸟类</w:t>
            </w:r>
            <w:r>
              <w:rPr>
                <w:rFonts w:hint="eastAsia" w:ascii="Times New Roman" w:hAnsi="Times New Roman" w:eastAsia="宋体" w:cs="Times New Roman"/>
                <w:spacing w:val="12"/>
                <w:sz w:val="24"/>
                <w:szCs w:val="24"/>
                <w:u w:val="single"/>
              </w:rPr>
              <w:t>43</w:t>
            </w:r>
            <w:r>
              <w:rPr>
                <w:rFonts w:ascii="Times New Roman" w:hAnsi="Times New Roman" w:eastAsia="宋体" w:cs="Times New Roman"/>
                <w:spacing w:val="12"/>
                <w:sz w:val="24"/>
                <w:szCs w:val="24"/>
                <w:u w:val="single"/>
              </w:rPr>
              <w:t>种。根据《中国生物多样性红色名录》，规划区域记录的鸟类有</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种为易危</w:t>
            </w:r>
            <w:r>
              <w:rPr>
                <w:rFonts w:hint="eastAsia" w:ascii="Times New Roman" w:hAnsi="Times New Roman" w:eastAsia="宋体" w:cs="Times New Roman"/>
                <w:spacing w:val="12"/>
                <w:sz w:val="24"/>
                <w:szCs w:val="24"/>
                <w:u w:val="single"/>
              </w:rPr>
              <w:t>1</w:t>
            </w:r>
            <w:r>
              <w:rPr>
                <w:rFonts w:ascii="Times New Roman" w:hAnsi="Times New Roman" w:eastAsia="宋体" w:cs="Times New Roman"/>
                <w:spacing w:val="12"/>
                <w:sz w:val="24"/>
                <w:szCs w:val="24"/>
                <w:u w:val="single"/>
              </w:rPr>
              <w:t xml:space="preserve">等级，为鸿雁，2种为近危，为罗纹鸭 (Anasfalcata </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和水雉。</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2</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区系组成</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规划区分布的</w:t>
            </w:r>
            <w:r>
              <w:rPr>
                <w:rFonts w:hint="eastAsia" w:ascii="Times New Roman" w:hAnsi="Times New Roman" w:eastAsia="宋体" w:cs="Times New Roman"/>
                <w:spacing w:val="12"/>
                <w:sz w:val="24"/>
                <w:szCs w:val="24"/>
                <w:u w:val="single"/>
              </w:rPr>
              <w:t>62</w:t>
            </w:r>
            <w:r>
              <w:rPr>
                <w:rFonts w:ascii="Times New Roman" w:hAnsi="Times New Roman" w:eastAsia="宋体" w:cs="Times New Roman"/>
                <w:spacing w:val="12"/>
                <w:sz w:val="24"/>
                <w:szCs w:val="24"/>
                <w:u w:val="single"/>
              </w:rPr>
              <w:t>种鸟类中，东洋种有</w:t>
            </w:r>
            <w:r>
              <w:rPr>
                <w:rFonts w:hint="eastAsia" w:ascii="Times New Roman" w:hAnsi="Times New Roman" w:eastAsia="宋体" w:cs="Times New Roman"/>
                <w:spacing w:val="12"/>
                <w:sz w:val="24"/>
                <w:szCs w:val="24"/>
                <w:u w:val="single"/>
              </w:rPr>
              <w:t>22</w:t>
            </w:r>
            <w:r>
              <w:rPr>
                <w:rFonts w:ascii="Times New Roman" w:hAnsi="Times New Roman" w:eastAsia="宋体" w:cs="Times New Roman"/>
                <w:spacing w:val="12"/>
                <w:sz w:val="24"/>
                <w:szCs w:val="24"/>
                <w:u w:val="single"/>
              </w:rPr>
              <w:t>种，占全部鸟类种数的35.48%；古北种有</w:t>
            </w:r>
            <w:r>
              <w:rPr>
                <w:rFonts w:hint="eastAsia" w:ascii="Times New Roman" w:hAnsi="Times New Roman" w:eastAsia="宋体" w:cs="Times New Roman"/>
                <w:spacing w:val="12"/>
                <w:sz w:val="24"/>
                <w:szCs w:val="24"/>
                <w:u w:val="single"/>
              </w:rPr>
              <w:t>28</w:t>
            </w:r>
            <w:r>
              <w:rPr>
                <w:rFonts w:ascii="Times New Roman" w:hAnsi="Times New Roman" w:eastAsia="宋体" w:cs="Times New Roman"/>
                <w:spacing w:val="12"/>
                <w:sz w:val="24"/>
                <w:szCs w:val="24"/>
                <w:u w:val="single"/>
              </w:rPr>
              <w:t>种，占全部鸟类种数的45.16%；广布种有12种，占全部鸟类种数的19.36%。</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3</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居留型</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规划区分布的62种鸟类中，冬候鸟有25种，占全部鸟类种数的40.32%；夏候鸟有12种，占全部鸟类种数的12.91%；留鸟29种，占全部鸟类种数的46.77%。规划区内鸟类出现了古北界向东洋界渗透的现象。</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4</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生态类型</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按生活习性来分，可以将62种鸟类大致分为以下5种生态类型：</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 xml:space="preserve">游禽 </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具有遍阔或尖的嘴，脚趾间有蹼膜，走路和游泳向后伸，善于游泳，潜水和在水中获取食物。不善于在陆地上行走，但飞翔迅速，多生活在水上</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：规划评价区有雁形目鸭科、鸊鷉目鸊鷉科、鸻形目鸥科、鲣鸟目鸬鹚科的种类，主要有鸿雁、豆雁</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Anserfabalis )、灰雁</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Anser anser)、斑嘴鸭</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Anas  poecilorhyncha )、绿头鸭</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Anas platyrhynchos )、绿翅鸭</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Anas crecca)、罗纹鸭、针尾鸭</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Anas acuta )、小鸊鷉</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Tachybaptus ruficollis )、凤头鸊鷉</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Podiceps cristatus)、灰翅浮鸥</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Chlidonias hybrida )、西伯利亚银鸥</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 xml:space="preserve">Larus smithsonianus </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和普通鸬鹚等 13 种，其中较为常见的斑嘴鸭、绿头鸭、小鸊鷉、凤头鸊鷉、灰翅浮鸥、西伯利亚银鸥在</w:t>
            </w:r>
            <w:r>
              <w:rPr>
                <w:rFonts w:hint="eastAsia" w:ascii="Times New Roman" w:hAnsi="Times New Roman" w:eastAsia="宋体" w:cs="Times New Roman"/>
                <w:spacing w:val="12"/>
                <w:sz w:val="24"/>
                <w:szCs w:val="24"/>
                <w:u w:val="single"/>
              </w:rPr>
              <w:t>鼻湖</w:t>
            </w:r>
            <w:r>
              <w:rPr>
                <w:rFonts w:ascii="Times New Roman" w:hAnsi="Times New Roman" w:eastAsia="宋体" w:cs="Times New Roman"/>
                <w:spacing w:val="12"/>
                <w:sz w:val="24"/>
                <w:szCs w:val="24"/>
                <w:u w:val="single"/>
              </w:rPr>
              <w:t>也分布有少量分布。</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 xml:space="preserve">涉禽 </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嘴，颈和脚都比较长，脚趾也很长，适于涉水行进，不会游泳，常用长嘴插入水底或地面取食</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：规划评价区有鹤形目、鸻形目</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不包括鸥科</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、鹈形目的种类，主要有黑水鸡 (Gallinula chloropus)、白骨顶</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Fulica atra )、红脚田鸡、反嘴鹬 (Recurvirostra avosetta )、凤头麦鸡、水雉、白腰草鹬</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Tringa ochropus)、青脚鹬</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Tringa nebularia )、红脚鹬</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Tringa totanus )、夜鹭</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Nycticorax nycticorax、池鹭、白鹭、苍鹭 (Ardea cinerea )、牛背鹭共14种；它们在规划区主要活动于</w:t>
            </w:r>
            <w:r>
              <w:rPr>
                <w:rFonts w:hint="eastAsia" w:ascii="Times New Roman" w:hAnsi="Times New Roman" w:eastAsia="宋体" w:cs="Times New Roman"/>
                <w:spacing w:val="12"/>
                <w:sz w:val="24"/>
                <w:szCs w:val="24"/>
                <w:u w:val="single"/>
              </w:rPr>
              <w:t>鼻湖</w:t>
            </w:r>
            <w:r>
              <w:rPr>
                <w:rFonts w:ascii="Times New Roman" w:hAnsi="Times New Roman" w:eastAsia="宋体" w:cs="Times New Roman"/>
                <w:spacing w:val="12"/>
                <w:sz w:val="24"/>
                <w:szCs w:val="24"/>
                <w:u w:val="single"/>
              </w:rPr>
              <w:t>的浅水区、滩涂和近水的围堤上和水田中。</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陆禽</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体格结实，嘴坚硬，脚强而有力，适于挖土，多在地面活动觅食</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：包括鸡形目和鸽形目的所有种。有环颈雉 (Phasianus colchicus )、珠颈斑鸠</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Streptopelia chinensis ) 和山斑鸠 (Streptopelia orcentalis ) 共 3 种；它们在规划区主要分布于林缘地带、农田，其中珠颈斑鸠和山斑鸠常出现在电线杠上活动。</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攀禽</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嘴、脚和尾的构造都很特殊，善于在树上攀缘</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：评价区有佛法僧目、犀鸟目的种类，有戴胜</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Upupa epops)、普通翠鸟</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 xml:space="preserve">Alcedo atthis </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和斑鱼狗</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Ceryle rudis ) 3 种；戴胜主要分布在湖区的林缘，偶尔在草地上活动，普通翠鸟和斑鱼 狗常活动在离湖区不远的乔木、灌丛或电线杠上。</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鸣禽</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鸣管和鸣肌特别发达。一般体形较小，体态轻捷，活泼灵巧，善于鸣叫和歌唱，且巧于筑巢</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：评价区内为雀形 目的种类。有黑卷尾 (Dicrurus  macrocercus ) 、棕背伯劳、家燕、金腰燕、白鹡鸰、领雀嘴鹎、八哥、喜鹊、丝光椋鸟、白颊噪鹛</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Garrulax sannio )、麻雀、棕头鸦雀、小鹀</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Emberiza pusilla ) 等 29种，它们在评价区范围内广泛分布。不论是种类还是数量，鸣禽都占绝对优势。</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5</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评价区越冬期鸟类现状及分布情况</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根据现场调查结合访问调查，每年</w:t>
            </w:r>
            <w:r>
              <w:rPr>
                <w:rFonts w:hint="eastAsia" w:ascii="Times New Roman" w:hAnsi="Times New Roman" w:eastAsia="宋体" w:cs="Times New Roman"/>
                <w:spacing w:val="12"/>
                <w:sz w:val="24"/>
                <w:szCs w:val="24"/>
                <w:u w:val="single"/>
              </w:rPr>
              <w:t>10</w:t>
            </w:r>
            <w:r>
              <w:rPr>
                <w:rFonts w:ascii="Times New Roman" w:hAnsi="Times New Roman" w:eastAsia="宋体" w:cs="Times New Roman"/>
                <w:spacing w:val="12"/>
                <w:sz w:val="24"/>
                <w:szCs w:val="24"/>
                <w:u w:val="single"/>
              </w:rPr>
              <w:t>月至次年</w:t>
            </w:r>
            <w:r>
              <w:rPr>
                <w:rFonts w:hint="eastAsia" w:ascii="Times New Roman" w:hAnsi="Times New Roman" w:eastAsia="宋体" w:cs="Times New Roman"/>
                <w:spacing w:val="12"/>
                <w:sz w:val="24"/>
                <w:szCs w:val="24"/>
                <w:u w:val="single"/>
              </w:rPr>
              <w:t>2</w:t>
            </w:r>
            <w:r>
              <w:rPr>
                <w:rFonts w:ascii="Times New Roman" w:hAnsi="Times New Roman" w:eastAsia="宋体" w:cs="Times New Roman"/>
                <w:spacing w:val="12"/>
                <w:sz w:val="24"/>
                <w:szCs w:val="24"/>
                <w:u w:val="single"/>
              </w:rPr>
              <w:t>月，规划区域内会有一些冬候鸟来此越冬，规划区域内冬候鸟共记录有 25种，主要有鸿雁、豆雁、灰雁、斑嘴鸭、绿头鸭、绿翅鸭、罗纹鸭、针尾鸭、凤头鸊鷉、白骨顶、反嘴鹬、凤头麦鸡、水雉、白腰草鹬、青脚鹬、红脚鹬、西伯利亚银鸥、普通鸬鹚、苍鹭、丝光椋鸟、北红尾鸲、黑尾蜡嘴雀</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Eophona migratoria )、燕雀 (Fringilla montifringilla )、灰头鹀 (Emberiza spodocephala )、小鹀等种类。</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6</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栖息地现状</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根据现场访问调查及观鸟爱好者记录，</w:t>
            </w:r>
            <w:r>
              <w:rPr>
                <w:rFonts w:hint="eastAsia" w:ascii="Times New Roman" w:hAnsi="Times New Roman" w:eastAsia="宋体" w:cs="Times New Roman"/>
                <w:spacing w:val="12"/>
                <w:sz w:val="24"/>
                <w:szCs w:val="24"/>
                <w:u w:val="single"/>
              </w:rPr>
              <w:t>鼻湖</w:t>
            </w:r>
            <w:r>
              <w:rPr>
                <w:rFonts w:ascii="Times New Roman" w:hAnsi="Times New Roman" w:eastAsia="宋体" w:cs="Times New Roman"/>
                <w:spacing w:val="12"/>
                <w:sz w:val="24"/>
                <w:szCs w:val="24"/>
                <w:u w:val="single"/>
              </w:rPr>
              <w:t>吸引了大量的水鸟来此栖息繁殖，数量尤其多的是灰翅浮鸥、白鹭、池鹭等，同时也吸引了国家二级保护鸟类水雉来此栖息繁殖。</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7</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工程区域鸟类迁徙现状</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鸟类迁徙通道泛指鸟类中的某些种类，每年春季和秋季，有规律的、沿相对固定的路线、定时地在繁殖地区和越冬地区之间进行的长距离的往返移居的行为现象。湖南省地处华夏大地中部，位于西伯利亚</w:t>
            </w:r>
            <w:r>
              <w:rPr>
                <w:rFonts w:hint="eastAsia" w:ascii="Times New Roman" w:hAnsi="Times New Roman" w:eastAsia="宋体" w:cs="Times New Roman"/>
                <w:spacing w:val="12"/>
                <w:sz w:val="24"/>
                <w:szCs w:val="24"/>
                <w:u w:val="single"/>
              </w:rPr>
              <w:t>－</w:t>
            </w:r>
            <w:r>
              <w:rPr>
                <w:rFonts w:ascii="Times New Roman" w:hAnsi="Times New Roman" w:eastAsia="宋体" w:cs="Times New Roman"/>
                <w:spacing w:val="12"/>
                <w:sz w:val="24"/>
                <w:szCs w:val="24"/>
                <w:u w:val="single"/>
              </w:rPr>
              <w:t>澳大利亚鸟类迁徙通道上。由于环境和地势的复杂性，在不同地域鸟类迁徙的路线和方式各有不同。</w:t>
            </w:r>
          </w:p>
          <w:p>
            <w:pPr>
              <w:spacing w:line="360" w:lineRule="auto"/>
              <w:ind w:firstLine="528" w:firstLineChars="200"/>
              <w:rPr>
                <w:rFonts w:ascii="Times New Roman" w:hAnsi="Times New Roman"/>
                <w:spacing w:val="12"/>
                <w:sz w:val="24"/>
                <w:u w:val="single"/>
              </w:rPr>
            </w:pPr>
            <w:r>
              <w:rPr>
                <w:rFonts w:ascii="Times New Roman" w:hAnsi="Times New Roman" w:eastAsia="宋体" w:cs="Times New Roman"/>
                <w:spacing w:val="12"/>
                <w:sz w:val="24"/>
                <w:szCs w:val="24"/>
                <w:u w:val="single"/>
              </w:rPr>
              <w:t>依据历史记载和邓学建教授等专家多年的研究成果，湖南主要有3条鸟类迁徙通道，主要涉及蓝山、桂东、炎陵、新邵、隆回、新宁、城步、道县、新化、通道10县。其中东部的罗霄山脉和西部的雪峰山脉迁徙通道属于窄幅通道，而中部的属于宽幅迁徙通道，即遍于整个湘中地区，只是在个别区域，像南北方向 的山脉沟谷地带，形成局部的窄幅迁徙通道。经过窄迁徙通道的大多是水禽，如鹳形目鹭科鸟类、鹤形目秧鸡科鸟类，其他种类倾向于选择宽迁徙通道，从湘中地区向南飞去。</w:t>
            </w:r>
          </w:p>
          <w:p>
            <w:pPr>
              <w:spacing w:line="360" w:lineRule="auto"/>
              <w:ind w:firstLine="528" w:firstLineChars="200"/>
              <w:rPr>
                <w:rFonts w:ascii="Times New Roman" w:hAnsi="Times New Roman"/>
                <w:spacing w:val="23"/>
                <w:sz w:val="24"/>
                <w:u w:val="single"/>
              </w:rPr>
            </w:pPr>
            <w:r>
              <w:rPr>
                <w:rFonts w:ascii="Times New Roman" w:hAnsi="Times New Roman" w:eastAsia="宋体" w:cs="Times New Roman"/>
                <w:spacing w:val="12"/>
                <w:sz w:val="24"/>
                <w:szCs w:val="24"/>
                <w:u w:val="single"/>
              </w:rPr>
              <w:t>项目区位于湖南省岳阳市湘阴县，地属长江中、下游平原地区，区域为洞庭湖以南的湘江与资江上。洞庭湖有独特的湿地生态系统，成为许多候鸟的季节性栖息地或迁徙中转站，是东南亚候鸟迁徙的重要驿站，位于湖南省中部的宽幅鸟类迁徙通道上。</w:t>
            </w:r>
          </w:p>
          <w:p>
            <w:pPr>
              <w:spacing w:line="360" w:lineRule="auto"/>
              <w:rPr>
                <w:rFonts w:ascii="Times New Roman" w:hAnsi="Times New Roman"/>
                <w:b/>
                <w:bCs/>
                <w:spacing w:val="23"/>
                <w:sz w:val="24"/>
                <w:u w:val="single"/>
              </w:rPr>
            </w:pPr>
            <w:r>
              <w:rPr>
                <w:rFonts w:ascii="Times New Roman" w:hAnsi="Times New Roman" w:eastAsia="宋体" w:cs="Times New Roman"/>
                <w:b/>
                <w:bCs/>
                <w:spacing w:val="23"/>
                <w:sz w:val="24"/>
                <w:szCs w:val="24"/>
                <w:u w:val="single"/>
              </w:rPr>
              <w:t>1.2.2.4、重要物种现状</w:t>
            </w:r>
          </w:p>
          <w:p>
            <w:pPr>
              <w:spacing w:line="360" w:lineRule="auto"/>
              <w:ind w:firstLine="508" w:firstLineChars="200"/>
              <w:rPr>
                <w:rFonts w:ascii="Times New Roman" w:hAnsi="Times New Roman"/>
                <w:sz w:val="24"/>
                <w:u w:val="single"/>
              </w:rPr>
            </w:pPr>
            <w:r>
              <w:rPr>
                <w:rFonts w:ascii="Times New Roman" w:hAnsi="Times New Roman" w:eastAsia="宋体" w:cs="Times New Roman"/>
                <w:spacing w:val="7"/>
                <w:sz w:val="24"/>
                <w:szCs w:val="24"/>
                <w:u w:val="single"/>
              </w:rPr>
              <w:t>重点评价范围内记录有国家重点野生保护动物 2 种，为水雉和鸿雁</w:t>
            </w:r>
            <w:r>
              <w:rPr>
                <w:rFonts w:ascii="Times New Roman" w:hAnsi="Times New Roman" w:eastAsia="宋体" w:cs="Times New Roman"/>
                <w:spacing w:val="5"/>
                <w:sz w:val="24"/>
                <w:szCs w:val="24"/>
                <w:u w:val="single"/>
              </w:rPr>
              <w:t>。</w:t>
            </w:r>
          </w:p>
          <w:p>
            <w:pPr>
              <w:spacing w:line="360" w:lineRule="auto"/>
              <w:ind w:firstLine="576" w:firstLineChars="200"/>
              <w:rPr>
                <w:rFonts w:ascii="Times New Roman" w:hAnsi="Times New Roman"/>
                <w:sz w:val="24"/>
                <w:u w:val="single"/>
              </w:rPr>
            </w:pPr>
            <w:r>
              <w:rPr>
                <w:rFonts w:hint="eastAsia" w:ascii="Times New Roman" w:hAnsi="Times New Roman" w:eastAsia="宋体" w:cs="Times New Roman"/>
                <w:spacing w:val="24"/>
                <w:sz w:val="24"/>
                <w:szCs w:val="24"/>
                <w:u w:val="single"/>
              </w:rPr>
              <w:t>（</w:t>
            </w:r>
            <w:r>
              <w:rPr>
                <w:rFonts w:ascii="Times New Roman" w:hAnsi="Times New Roman" w:eastAsia="宋体" w:cs="Times New Roman"/>
                <w:spacing w:val="23"/>
                <w:sz w:val="24"/>
                <w:szCs w:val="24"/>
                <w:u w:val="single"/>
              </w:rPr>
              <w:t>1</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水雉</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水</w:t>
            </w:r>
            <w:r>
              <w:rPr>
                <w:rFonts w:ascii="Times New Roman" w:hAnsi="Times New Roman" w:eastAsia="宋体" w:cs="Times New Roman"/>
                <w:spacing w:val="11"/>
                <w:sz w:val="24"/>
                <w:szCs w:val="24"/>
                <w:u w:val="single"/>
              </w:rPr>
              <w:t>雉</w:t>
            </w:r>
            <w:r>
              <w:rPr>
                <w:rFonts w:hint="eastAsia" w:ascii="Times New Roman" w:hAnsi="Times New Roman" w:eastAsia="宋体" w:cs="Times New Roman"/>
                <w:spacing w:val="11"/>
                <w:sz w:val="24"/>
                <w:szCs w:val="24"/>
                <w:u w:val="single"/>
              </w:rPr>
              <w:t>（</w:t>
            </w:r>
            <w:r>
              <w:rPr>
                <w:rFonts w:ascii="Times New Roman" w:hAnsi="Times New Roman" w:eastAsia="宋体" w:cs="Times New Roman"/>
                <w:i/>
                <w:iCs/>
                <w:sz w:val="24"/>
                <w:szCs w:val="24"/>
                <w:u w:val="single"/>
              </w:rPr>
              <w:t>Hydrophasianus</w:t>
            </w:r>
            <w:r>
              <w:rPr>
                <w:rFonts w:ascii="Times New Roman" w:hAnsi="Times New Roman" w:eastAsia="宋体" w:cs="Times New Roman"/>
                <w:spacing w:val="11"/>
                <w:sz w:val="24"/>
                <w:szCs w:val="24"/>
                <w:u w:val="single"/>
              </w:rPr>
              <w:t xml:space="preserve"> </w:t>
            </w:r>
            <w:r>
              <w:rPr>
                <w:rFonts w:ascii="Times New Roman" w:hAnsi="Times New Roman" w:eastAsia="宋体" w:cs="Times New Roman"/>
                <w:i/>
                <w:iCs/>
                <w:sz w:val="24"/>
                <w:szCs w:val="24"/>
                <w:u w:val="single"/>
              </w:rPr>
              <w:t>chirurgus</w:t>
            </w:r>
            <w:r>
              <w:rPr>
                <w:rFonts w:ascii="Times New Roman" w:hAnsi="Times New Roman" w:eastAsia="宋体" w:cs="Times New Roman"/>
                <w:spacing w:val="11"/>
                <w:sz w:val="24"/>
                <w:szCs w:val="24"/>
                <w:u w:val="single"/>
              </w:rPr>
              <w:t>) 是鸻形目水雉科的鸟类，栖息于富有挺水</w:t>
            </w:r>
            <w:r>
              <w:rPr>
                <w:rFonts w:ascii="Times New Roman" w:hAnsi="Times New Roman" w:eastAsia="宋体" w:cs="Times New Roman"/>
                <w:spacing w:val="7"/>
                <w:sz w:val="24"/>
                <w:szCs w:val="24"/>
                <w:u w:val="single"/>
              </w:rPr>
              <w:t>植物和漂浮植物的淡水湖泊、池塘和沼泽地带，因其有细长的脚爪，能轻步行</w:t>
            </w:r>
            <w:r>
              <w:rPr>
                <w:rFonts w:ascii="Times New Roman" w:hAnsi="Times New Roman" w:eastAsia="宋体" w:cs="Times New Roman"/>
                <w:spacing w:val="4"/>
                <w:sz w:val="24"/>
                <w:szCs w:val="24"/>
                <w:u w:val="single"/>
              </w:rPr>
              <w:t>走</w:t>
            </w:r>
            <w:r>
              <w:rPr>
                <w:rFonts w:ascii="Times New Roman" w:hAnsi="Times New Roman" w:eastAsia="宋体" w:cs="Times New Roman"/>
                <w:sz w:val="24"/>
                <w:szCs w:val="24"/>
                <w:u w:val="single"/>
              </w:rPr>
              <w:t xml:space="preserve"> </w:t>
            </w:r>
            <w:r>
              <w:rPr>
                <w:rFonts w:ascii="Times New Roman" w:hAnsi="Times New Roman" w:eastAsia="宋体" w:cs="Times New Roman"/>
                <w:spacing w:val="8"/>
                <w:sz w:val="24"/>
                <w:szCs w:val="24"/>
                <w:u w:val="single"/>
              </w:rPr>
              <w:t>于睡莲、荷</w:t>
            </w:r>
            <w:r>
              <w:rPr>
                <w:rFonts w:ascii="Times New Roman" w:hAnsi="Times New Roman" w:eastAsia="宋体" w:cs="Times New Roman"/>
                <w:spacing w:val="7"/>
                <w:sz w:val="24"/>
                <w:szCs w:val="24"/>
                <w:u w:val="single"/>
              </w:rPr>
              <w:t>花</w:t>
            </w:r>
            <w:r>
              <w:rPr>
                <w:rFonts w:ascii="Times New Roman" w:hAnsi="Times New Roman" w:eastAsia="宋体" w:cs="Times New Roman"/>
                <w:spacing w:val="4"/>
                <w:sz w:val="24"/>
                <w:szCs w:val="24"/>
                <w:u w:val="single"/>
              </w:rPr>
              <w:t>、菱角、芡实等浮叶植物上。繁殖期 4~9 月，通常营巢于莲叶、水</w:t>
            </w:r>
            <w:r>
              <w:rPr>
                <w:rFonts w:ascii="Times New Roman" w:hAnsi="Times New Roman" w:eastAsia="宋体" w:cs="Times New Roman"/>
                <w:spacing w:val="9"/>
                <w:sz w:val="24"/>
                <w:szCs w:val="24"/>
                <w:u w:val="single"/>
              </w:rPr>
              <w:t>仙花叶以及大型浮草上，尤其喜欢芡实生境。</w:t>
            </w:r>
          </w:p>
          <w:p>
            <w:pPr>
              <w:spacing w:line="360" w:lineRule="auto"/>
              <w:ind w:firstLine="576" w:firstLineChars="200"/>
              <w:rPr>
                <w:rFonts w:ascii="Times New Roman" w:hAnsi="Times New Roman"/>
                <w:sz w:val="24"/>
                <w:u w:val="single"/>
              </w:rPr>
            </w:pPr>
            <w:r>
              <w:rPr>
                <w:rFonts w:hint="eastAsia" w:ascii="Times New Roman" w:hAnsi="Times New Roman" w:eastAsia="宋体" w:cs="Times New Roman"/>
                <w:spacing w:val="24"/>
                <w:sz w:val="24"/>
                <w:szCs w:val="24"/>
                <w:u w:val="single"/>
              </w:rPr>
              <w:t>（</w:t>
            </w:r>
            <w:r>
              <w:rPr>
                <w:rFonts w:ascii="Times New Roman" w:hAnsi="Times New Roman" w:eastAsia="宋体" w:cs="Times New Roman"/>
                <w:spacing w:val="23"/>
                <w:sz w:val="24"/>
                <w:szCs w:val="24"/>
                <w:u w:val="single"/>
              </w:rPr>
              <w:t>2</w:t>
            </w:r>
            <w:r>
              <w:rPr>
                <w:rFonts w:hint="eastAsia" w:ascii="Times New Roman" w:hAnsi="Times New Roman" w:eastAsia="宋体" w:cs="Times New Roman"/>
                <w:spacing w:val="23"/>
                <w:sz w:val="24"/>
                <w:szCs w:val="24"/>
                <w:u w:val="single"/>
              </w:rPr>
              <w:t>）</w:t>
            </w:r>
            <w:r>
              <w:rPr>
                <w:rFonts w:ascii="Times New Roman" w:hAnsi="Times New Roman" w:eastAsia="宋体" w:cs="Times New Roman"/>
                <w:spacing w:val="23"/>
                <w:sz w:val="24"/>
                <w:szCs w:val="24"/>
                <w:u w:val="single"/>
              </w:rPr>
              <w:t>鸿雁</w:t>
            </w:r>
          </w:p>
          <w:p>
            <w:pPr>
              <w:spacing w:line="360" w:lineRule="auto"/>
              <w:ind w:firstLine="544" w:firstLineChars="200"/>
              <w:rPr>
                <w:rFonts w:ascii="Times New Roman" w:hAnsi="Times New Roman"/>
                <w:sz w:val="24"/>
                <w:u w:val="single"/>
              </w:rPr>
            </w:pPr>
            <w:r>
              <w:rPr>
                <w:rFonts w:ascii="Times New Roman" w:hAnsi="Times New Roman" w:eastAsia="宋体" w:cs="Times New Roman"/>
                <w:spacing w:val="16"/>
                <w:sz w:val="24"/>
                <w:szCs w:val="24"/>
                <w:u w:val="single"/>
              </w:rPr>
              <w:t>鸿雁</w:t>
            </w:r>
            <w:r>
              <w:rPr>
                <w:rFonts w:ascii="Times New Roman" w:hAnsi="Times New Roman" w:eastAsia="宋体" w:cs="Times New Roman"/>
                <w:spacing w:val="9"/>
                <w:sz w:val="24"/>
                <w:szCs w:val="24"/>
                <w:u w:val="single"/>
              </w:rPr>
              <w:t xml:space="preserve"> </w:t>
            </w:r>
            <w:r>
              <w:rPr>
                <w:rFonts w:ascii="Times New Roman" w:hAnsi="Times New Roman" w:eastAsia="宋体" w:cs="Times New Roman"/>
                <w:spacing w:val="8"/>
                <w:sz w:val="24"/>
                <w:szCs w:val="24"/>
                <w:u w:val="single"/>
              </w:rPr>
              <w:t>(</w:t>
            </w:r>
            <w:r>
              <w:rPr>
                <w:rFonts w:ascii="Times New Roman" w:hAnsi="Times New Roman" w:eastAsia="宋体" w:cs="Times New Roman"/>
                <w:i/>
                <w:iCs/>
                <w:sz w:val="24"/>
                <w:szCs w:val="24"/>
                <w:u w:val="single"/>
              </w:rPr>
              <w:t>Anser</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cygnoides</w:t>
            </w:r>
            <w:r>
              <w:rPr>
                <w:rFonts w:ascii="Times New Roman" w:hAnsi="Times New Roman" w:eastAsia="宋体" w:cs="Times New Roman"/>
                <w:spacing w:val="8"/>
                <w:sz w:val="24"/>
                <w:szCs w:val="24"/>
                <w:u w:val="single"/>
              </w:rPr>
              <w:t xml:space="preserve"> ) 是雁形目鸭科的鸟类，主要栖息于开阔平原和平原</w:t>
            </w:r>
            <w:r>
              <w:rPr>
                <w:rFonts w:ascii="Times New Roman" w:hAnsi="Times New Roman" w:eastAsia="宋体" w:cs="Times New Roman"/>
                <w:spacing w:val="7"/>
                <w:sz w:val="24"/>
                <w:szCs w:val="24"/>
                <w:u w:val="single"/>
              </w:rPr>
              <w:t>草地上的湖泊、水塘、河流、沼泽及其附近地区，特别是平原上湖泊附近水生</w:t>
            </w:r>
            <w:r>
              <w:rPr>
                <w:rFonts w:ascii="Times New Roman" w:hAnsi="Times New Roman" w:eastAsia="宋体" w:cs="Times New Roman"/>
                <w:spacing w:val="4"/>
                <w:sz w:val="24"/>
                <w:szCs w:val="24"/>
                <w:u w:val="single"/>
              </w:rPr>
              <w:t>植</w:t>
            </w:r>
            <w:r>
              <w:rPr>
                <w:rFonts w:ascii="Times New Roman" w:hAnsi="Times New Roman" w:eastAsia="宋体" w:cs="Times New Roman"/>
                <w:sz w:val="24"/>
                <w:szCs w:val="24"/>
                <w:u w:val="single"/>
              </w:rPr>
              <w:t xml:space="preserve"> </w:t>
            </w:r>
            <w:r>
              <w:rPr>
                <w:rFonts w:ascii="Times New Roman" w:hAnsi="Times New Roman" w:eastAsia="宋体" w:cs="Times New Roman"/>
                <w:spacing w:val="7"/>
                <w:sz w:val="24"/>
                <w:szCs w:val="24"/>
                <w:u w:val="single"/>
              </w:rPr>
              <w:t>物茂密的地方，冬季则多栖息在大的湖泊、水库、海滨、河口和海湾及其附近</w:t>
            </w:r>
            <w:r>
              <w:rPr>
                <w:rFonts w:ascii="Times New Roman" w:hAnsi="Times New Roman" w:eastAsia="宋体" w:cs="Times New Roman"/>
                <w:spacing w:val="4"/>
                <w:sz w:val="24"/>
                <w:szCs w:val="24"/>
                <w:u w:val="single"/>
              </w:rPr>
              <w:t>草</w:t>
            </w:r>
            <w:r>
              <w:rPr>
                <w:rFonts w:ascii="Times New Roman" w:hAnsi="Times New Roman" w:eastAsia="宋体" w:cs="Times New Roman"/>
                <w:sz w:val="24"/>
                <w:szCs w:val="24"/>
                <w:u w:val="single"/>
              </w:rPr>
              <w:t xml:space="preserve"> </w:t>
            </w:r>
            <w:r>
              <w:rPr>
                <w:rFonts w:ascii="Times New Roman" w:hAnsi="Times New Roman" w:eastAsia="宋体" w:cs="Times New Roman"/>
                <w:spacing w:val="7"/>
                <w:sz w:val="24"/>
                <w:szCs w:val="24"/>
                <w:u w:val="single"/>
              </w:rPr>
              <w:t>地和农田。主要以各种草本植物的叶、芽、包括陆生植物和水生植物、芦苇、</w:t>
            </w:r>
            <w:r>
              <w:rPr>
                <w:rFonts w:ascii="Times New Roman" w:hAnsi="Times New Roman" w:eastAsia="宋体" w:cs="Times New Roman"/>
                <w:spacing w:val="4"/>
                <w:sz w:val="24"/>
                <w:szCs w:val="24"/>
                <w:u w:val="single"/>
              </w:rPr>
              <w:t>藻</w:t>
            </w:r>
            <w:r>
              <w:rPr>
                <w:rFonts w:ascii="Times New Roman" w:hAnsi="Times New Roman" w:eastAsia="宋体" w:cs="Times New Roman"/>
                <w:sz w:val="24"/>
                <w:szCs w:val="24"/>
                <w:u w:val="single"/>
              </w:rPr>
              <w:t xml:space="preserve"> </w:t>
            </w:r>
            <w:r>
              <w:rPr>
                <w:rFonts w:ascii="Times New Roman" w:hAnsi="Times New Roman" w:eastAsia="宋体" w:cs="Times New Roman"/>
                <w:spacing w:val="7"/>
                <w:sz w:val="24"/>
                <w:szCs w:val="24"/>
                <w:u w:val="single"/>
              </w:rPr>
              <w:t>类等植物性食物为食，也吃少量甲壳类和软体动物等动物性食物，特别是繁殖</w:t>
            </w:r>
            <w:r>
              <w:rPr>
                <w:rFonts w:ascii="Times New Roman" w:hAnsi="Times New Roman" w:eastAsia="宋体" w:cs="Times New Roman"/>
                <w:spacing w:val="4"/>
                <w:sz w:val="24"/>
                <w:szCs w:val="24"/>
                <w:u w:val="single"/>
              </w:rPr>
              <w:t>季</w:t>
            </w:r>
            <w:r>
              <w:rPr>
                <w:rFonts w:ascii="Times New Roman" w:hAnsi="Times New Roman" w:eastAsia="宋体" w:cs="Times New Roman"/>
                <w:sz w:val="24"/>
                <w:szCs w:val="24"/>
                <w:u w:val="single"/>
              </w:rPr>
              <w:t xml:space="preserve"> </w:t>
            </w:r>
            <w:r>
              <w:rPr>
                <w:rFonts w:ascii="Times New Roman" w:hAnsi="Times New Roman" w:eastAsia="宋体" w:cs="Times New Roman"/>
                <w:spacing w:val="7"/>
                <w:sz w:val="24"/>
                <w:szCs w:val="24"/>
                <w:u w:val="single"/>
              </w:rPr>
              <w:t>节。冬季也常到偏远的农田、麦地、豆地觅食农作物。觅食多在傍晚和夜间。</w:t>
            </w:r>
            <w:r>
              <w:rPr>
                <w:rFonts w:ascii="Times New Roman" w:hAnsi="Times New Roman" w:eastAsia="宋体" w:cs="Times New Roman"/>
                <w:spacing w:val="4"/>
                <w:sz w:val="24"/>
                <w:szCs w:val="24"/>
                <w:u w:val="single"/>
              </w:rPr>
              <w:t>在</w:t>
            </w:r>
            <w:r>
              <w:rPr>
                <w:rFonts w:ascii="Times New Roman" w:hAnsi="Times New Roman" w:eastAsia="宋体" w:cs="Times New Roman"/>
                <w:sz w:val="24"/>
                <w:szCs w:val="24"/>
                <w:u w:val="single"/>
              </w:rPr>
              <w:t xml:space="preserve"> </w:t>
            </w:r>
            <w:r>
              <w:rPr>
                <w:rFonts w:ascii="Times New Roman" w:hAnsi="Times New Roman" w:eastAsia="宋体" w:cs="Times New Roman"/>
                <w:spacing w:val="4"/>
                <w:sz w:val="24"/>
                <w:szCs w:val="24"/>
                <w:u w:val="single"/>
              </w:rPr>
              <w:t>规划区域主要是冬候鸟，每年 10 月至次年 3 月来此越冬。</w:t>
            </w:r>
          </w:p>
          <w:p>
            <w:pPr>
              <w:spacing w:line="360" w:lineRule="auto"/>
              <w:ind w:firstLine="536" w:firstLineChars="200"/>
              <w:rPr>
                <w:rFonts w:ascii="Times New Roman" w:hAnsi="Times New Roman"/>
                <w:sz w:val="24"/>
                <w:u w:val="single"/>
              </w:rPr>
            </w:pPr>
            <w:r>
              <w:rPr>
                <w:rFonts w:ascii="Times New Roman" w:hAnsi="Times New Roman" w:eastAsia="宋体" w:cs="Times New Roman"/>
                <w:spacing w:val="14"/>
                <w:sz w:val="24"/>
                <w:szCs w:val="24"/>
                <w:u w:val="single"/>
              </w:rPr>
              <w:t>湖南</w:t>
            </w:r>
            <w:r>
              <w:rPr>
                <w:rFonts w:ascii="Times New Roman" w:hAnsi="Times New Roman" w:eastAsia="宋体" w:cs="Times New Roman"/>
                <w:spacing w:val="7"/>
                <w:sz w:val="24"/>
                <w:szCs w:val="24"/>
                <w:u w:val="single"/>
              </w:rPr>
              <w:t>省级重点保护野生动物 61 种，规划范围内记录的5 种两栖类、10 种爬</w:t>
            </w:r>
            <w:r>
              <w:rPr>
                <w:rFonts w:ascii="Times New Roman" w:hAnsi="Times New Roman" w:eastAsia="宋体" w:cs="Times New Roman"/>
                <w:spacing w:val="8"/>
                <w:sz w:val="24"/>
                <w:szCs w:val="24"/>
                <w:u w:val="single"/>
              </w:rPr>
              <w:t>行类</w:t>
            </w:r>
            <w:r>
              <w:rPr>
                <w:rFonts w:ascii="Times New Roman" w:hAnsi="Times New Roman" w:eastAsia="宋体" w:cs="Times New Roman"/>
                <w:spacing w:val="4"/>
                <w:sz w:val="24"/>
                <w:szCs w:val="24"/>
                <w:u w:val="single"/>
              </w:rPr>
              <w:t xml:space="preserve">以及 43 种鸟类和 3 种兽类 </w:t>
            </w:r>
            <w:r>
              <w:rPr>
                <w:rFonts w:hint="eastAsia" w:ascii="Times New Roman" w:hAnsi="Times New Roman" w:eastAsia="宋体" w:cs="Times New Roman"/>
                <w:spacing w:val="4"/>
                <w:sz w:val="24"/>
                <w:szCs w:val="24"/>
                <w:u w:val="single"/>
              </w:rPr>
              <w:t>（</w:t>
            </w:r>
            <w:r>
              <w:rPr>
                <w:rFonts w:ascii="Times New Roman" w:hAnsi="Times New Roman" w:eastAsia="宋体" w:cs="Times New Roman"/>
                <w:spacing w:val="4"/>
                <w:sz w:val="24"/>
                <w:szCs w:val="24"/>
                <w:u w:val="single"/>
              </w:rPr>
              <w:t>东北刺猬、普通伏翼和黄鼬</w:t>
            </w:r>
            <w:r>
              <w:rPr>
                <w:rFonts w:hint="eastAsia" w:ascii="Times New Roman" w:hAnsi="Times New Roman" w:eastAsia="宋体" w:cs="Times New Roman"/>
                <w:spacing w:val="4"/>
                <w:sz w:val="24"/>
                <w:szCs w:val="24"/>
                <w:u w:val="single"/>
              </w:rPr>
              <w:t>）</w:t>
            </w:r>
            <w:r>
              <w:rPr>
                <w:rFonts w:ascii="Times New Roman" w:hAnsi="Times New Roman" w:eastAsia="宋体" w:cs="Times New Roman"/>
                <w:spacing w:val="4"/>
                <w:sz w:val="24"/>
                <w:szCs w:val="24"/>
                <w:u w:val="single"/>
              </w:rPr>
              <w:t xml:space="preserve"> 。</w:t>
            </w:r>
          </w:p>
          <w:p>
            <w:pPr>
              <w:spacing w:line="360" w:lineRule="auto"/>
              <w:ind w:firstLine="512" w:firstLineChars="200"/>
              <w:rPr>
                <w:rFonts w:ascii="Times New Roman" w:hAnsi="Times New Roman"/>
                <w:sz w:val="24"/>
                <w:u w:val="single"/>
              </w:rPr>
            </w:pPr>
            <w:r>
              <w:rPr>
                <w:rFonts w:ascii="Times New Roman" w:hAnsi="Times New Roman" w:eastAsia="宋体" w:cs="Times New Roman"/>
                <w:spacing w:val="8"/>
                <w:sz w:val="24"/>
                <w:szCs w:val="24"/>
                <w:u w:val="single"/>
              </w:rPr>
              <w:t>根</w:t>
            </w:r>
            <w:r>
              <w:rPr>
                <w:rFonts w:ascii="Times New Roman" w:hAnsi="Times New Roman" w:eastAsia="宋体" w:cs="Times New Roman"/>
                <w:spacing w:val="5"/>
                <w:sz w:val="24"/>
                <w:szCs w:val="24"/>
                <w:u w:val="single"/>
              </w:rPr>
              <w:t>据</w:t>
            </w:r>
            <w:r>
              <w:rPr>
                <w:rFonts w:ascii="Times New Roman" w:hAnsi="Times New Roman" w:eastAsia="宋体" w:cs="Times New Roman"/>
                <w:spacing w:val="4"/>
                <w:sz w:val="24"/>
                <w:szCs w:val="24"/>
                <w:u w:val="single"/>
              </w:rPr>
              <w:t xml:space="preserve">《中国生物多样性红色名录》，规划评价纳入濒危 </w:t>
            </w:r>
            <w:r>
              <w:rPr>
                <w:rFonts w:ascii="Times New Roman" w:hAnsi="Times New Roman" w:eastAsia="宋体" w:cs="Times New Roman"/>
                <w:sz w:val="24"/>
                <w:szCs w:val="24"/>
                <w:u w:val="single"/>
              </w:rPr>
              <w:t>EN</w:t>
            </w:r>
            <w:r>
              <w:rPr>
                <w:rFonts w:ascii="Times New Roman" w:hAnsi="Times New Roman" w:eastAsia="宋体" w:cs="Times New Roman"/>
                <w:spacing w:val="4"/>
                <w:sz w:val="24"/>
                <w:szCs w:val="24"/>
                <w:u w:val="single"/>
              </w:rPr>
              <w:t xml:space="preserve"> 级别 4 种，分别</w:t>
            </w:r>
            <w:r>
              <w:rPr>
                <w:rFonts w:ascii="Times New Roman" w:hAnsi="Times New Roman" w:eastAsia="宋体" w:cs="Times New Roman"/>
                <w:sz w:val="24"/>
                <w:szCs w:val="24"/>
                <w:u w:val="single"/>
              </w:rPr>
              <w:t xml:space="preserve"> </w:t>
            </w:r>
            <w:r>
              <w:rPr>
                <w:rFonts w:ascii="Times New Roman" w:hAnsi="Times New Roman" w:eastAsia="宋体" w:cs="Times New Roman"/>
                <w:spacing w:val="4"/>
                <w:sz w:val="24"/>
                <w:szCs w:val="24"/>
                <w:u w:val="single"/>
              </w:rPr>
              <w:t xml:space="preserve">是中华鳖、银环蛇、黑眉晨蛇、王锦蛇；纳入易危 </w:t>
            </w:r>
            <w:r>
              <w:rPr>
                <w:rFonts w:ascii="Times New Roman" w:hAnsi="Times New Roman" w:eastAsia="宋体" w:cs="Times New Roman"/>
                <w:sz w:val="24"/>
                <w:szCs w:val="24"/>
                <w:u w:val="single"/>
              </w:rPr>
              <w:t>VU</w:t>
            </w:r>
            <w:r>
              <w:rPr>
                <w:rFonts w:ascii="Times New Roman" w:hAnsi="Times New Roman" w:eastAsia="宋体" w:cs="Times New Roman"/>
                <w:spacing w:val="4"/>
                <w:sz w:val="24"/>
                <w:szCs w:val="24"/>
                <w:u w:val="single"/>
              </w:rPr>
              <w:t xml:space="preserve"> 级别 1 种，为鸿雁；</w:t>
            </w:r>
            <w:r>
              <w:rPr>
                <w:rFonts w:ascii="Times New Roman" w:hAnsi="Times New Roman" w:eastAsia="宋体" w:cs="Times New Roman"/>
                <w:spacing w:val="1"/>
                <w:sz w:val="24"/>
                <w:szCs w:val="24"/>
                <w:u w:val="single"/>
              </w:rPr>
              <w:t>纳</w:t>
            </w:r>
            <w:r>
              <w:rPr>
                <w:rFonts w:ascii="Times New Roman" w:hAnsi="Times New Roman" w:eastAsia="宋体" w:cs="Times New Roman"/>
                <w:sz w:val="24"/>
                <w:szCs w:val="24"/>
                <w:u w:val="single"/>
              </w:rPr>
              <w:t>入</w:t>
            </w:r>
            <w:r>
              <w:rPr>
                <w:rFonts w:ascii="Times New Roman" w:hAnsi="Times New Roman" w:eastAsia="宋体" w:cs="Times New Roman"/>
                <w:spacing w:val="6"/>
                <w:sz w:val="24"/>
                <w:szCs w:val="24"/>
                <w:u w:val="single"/>
              </w:rPr>
              <w:t xml:space="preserve">近危 </w:t>
            </w:r>
            <w:r>
              <w:rPr>
                <w:rFonts w:ascii="Times New Roman" w:hAnsi="Times New Roman" w:eastAsia="宋体" w:cs="Times New Roman"/>
                <w:sz w:val="24"/>
                <w:szCs w:val="24"/>
                <w:u w:val="single"/>
              </w:rPr>
              <w:t>NT</w:t>
            </w:r>
            <w:r>
              <w:rPr>
                <w:rFonts w:ascii="Times New Roman" w:hAnsi="Times New Roman" w:eastAsia="宋体" w:cs="Times New Roman"/>
                <w:spacing w:val="6"/>
                <w:sz w:val="24"/>
                <w:szCs w:val="24"/>
                <w:u w:val="single"/>
              </w:rPr>
              <w:t xml:space="preserve"> </w:t>
            </w:r>
            <w:r>
              <w:rPr>
                <w:rFonts w:ascii="Times New Roman" w:hAnsi="Times New Roman" w:eastAsia="宋体" w:cs="Times New Roman"/>
                <w:spacing w:val="3"/>
                <w:sz w:val="24"/>
                <w:szCs w:val="24"/>
                <w:u w:val="single"/>
              </w:rPr>
              <w:t>级别 3 种，黑斑侧褶蛙、罗纹鸭和水雉。</w:t>
            </w:r>
          </w:p>
          <w:p>
            <w:pPr>
              <w:spacing w:line="360" w:lineRule="auto"/>
              <w:ind w:firstLine="488" w:firstLineChars="200"/>
              <w:rPr>
                <w:rFonts w:ascii="Times New Roman" w:hAnsi="Times New Roman"/>
                <w:sz w:val="24"/>
                <w:u w:val="single"/>
              </w:rPr>
            </w:pPr>
            <w:r>
              <w:rPr>
                <w:rFonts w:ascii="Times New Roman" w:hAnsi="Times New Roman" w:eastAsia="宋体" w:cs="Times New Roman"/>
                <w:spacing w:val="2"/>
                <w:sz w:val="24"/>
                <w:szCs w:val="24"/>
                <w:u w:val="single"/>
              </w:rPr>
              <w:t xml:space="preserve">中国特有种 </w:t>
            </w:r>
            <w:r>
              <w:rPr>
                <w:rFonts w:ascii="Times New Roman" w:hAnsi="Times New Roman" w:eastAsia="宋体" w:cs="Times New Roman"/>
                <w:spacing w:val="1"/>
                <w:sz w:val="24"/>
                <w:szCs w:val="24"/>
                <w:u w:val="single"/>
              </w:rPr>
              <w:t>1 种，北草蜥。</w:t>
            </w:r>
          </w:p>
          <w:p>
            <w:pPr>
              <w:spacing w:line="360" w:lineRule="auto"/>
              <w:rPr>
                <w:rFonts w:ascii="Times New Roman" w:hAnsi="Times New Roman"/>
                <w:b/>
                <w:bCs/>
                <w:spacing w:val="8"/>
                <w:sz w:val="24"/>
                <w:u w:val="single"/>
              </w:rPr>
            </w:pPr>
            <w:r>
              <w:rPr>
                <w:rFonts w:hint="eastAsia" w:ascii="Times New Roman" w:hAnsi="Times New Roman" w:eastAsia="宋体" w:cs="Times New Roman"/>
                <w:b/>
                <w:bCs/>
                <w:spacing w:val="8"/>
                <w:sz w:val="24"/>
                <w:szCs w:val="24"/>
                <w:u w:val="single"/>
              </w:rPr>
              <w:t>1.3、</w:t>
            </w:r>
            <w:r>
              <w:rPr>
                <w:rFonts w:ascii="Times New Roman" w:hAnsi="Times New Roman" w:eastAsia="宋体" w:cs="Times New Roman"/>
                <w:b/>
                <w:bCs/>
                <w:spacing w:val="8"/>
                <w:sz w:val="24"/>
                <w:szCs w:val="24"/>
                <w:u w:val="single"/>
              </w:rPr>
              <w:t>水生生态现状调查</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1.3.1、</w:t>
            </w:r>
            <w:r>
              <w:rPr>
                <w:rFonts w:hint="eastAsia" w:ascii="Times New Roman" w:hAnsi="Times New Roman" w:eastAsia="宋体" w:cs="Times New Roman"/>
                <w:b/>
                <w:bCs/>
                <w:spacing w:val="8"/>
                <w:sz w:val="24"/>
                <w:szCs w:val="24"/>
                <w:u w:val="single"/>
              </w:rPr>
              <w:t>浮游植物</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1.3.1.1、</w:t>
            </w:r>
            <w:r>
              <w:rPr>
                <w:rFonts w:hint="eastAsia" w:ascii="Times New Roman" w:hAnsi="Times New Roman" w:eastAsia="宋体" w:cs="Times New Roman"/>
                <w:b/>
                <w:bCs/>
                <w:spacing w:val="8"/>
                <w:sz w:val="24"/>
                <w:szCs w:val="24"/>
                <w:u w:val="single"/>
              </w:rPr>
              <w:t>种类组成</w:t>
            </w:r>
          </w:p>
          <w:p>
            <w:pPr>
              <w:spacing w:line="360" w:lineRule="auto"/>
              <w:ind w:firstLine="504" w:firstLineChars="200"/>
              <w:rPr>
                <w:rFonts w:ascii="Times New Roman" w:hAnsi="Times New Roman"/>
                <w:sz w:val="24"/>
                <w:u w:val="single"/>
              </w:rPr>
            </w:pPr>
            <w:r>
              <w:rPr>
                <w:rFonts w:ascii="Times New Roman" w:hAnsi="Times New Roman" w:eastAsia="宋体" w:cs="Times New Roman"/>
                <w:spacing w:val="6"/>
                <w:sz w:val="24"/>
                <w:szCs w:val="24"/>
                <w:u w:val="single"/>
              </w:rPr>
              <w:t xml:space="preserve">评价区共检出浮游植物 </w:t>
            </w:r>
            <w:r>
              <w:rPr>
                <w:rFonts w:ascii="Times New Roman" w:hAnsi="Times New Roman" w:eastAsia="宋体" w:cs="Times New Roman"/>
                <w:spacing w:val="4"/>
                <w:sz w:val="24"/>
                <w:szCs w:val="24"/>
                <w:u w:val="single"/>
              </w:rPr>
              <w:t>6</w:t>
            </w:r>
            <w:r>
              <w:rPr>
                <w:rFonts w:ascii="Times New Roman" w:hAnsi="Times New Roman" w:eastAsia="宋体" w:cs="Times New Roman"/>
                <w:spacing w:val="3"/>
                <w:sz w:val="24"/>
                <w:szCs w:val="24"/>
                <w:u w:val="single"/>
              </w:rPr>
              <w:t xml:space="preserve"> 门 58 种 </w:t>
            </w:r>
            <w:r>
              <w:rPr>
                <w:rFonts w:hint="eastAsia" w:ascii="Times New Roman" w:hAnsi="Times New Roman" w:eastAsia="宋体" w:cs="Times New Roman"/>
                <w:spacing w:val="3"/>
                <w:sz w:val="24"/>
                <w:szCs w:val="24"/>
                <w:u w:val="single"/>
              </w:rPr>
              <w:t>（</w:t>
            </w:r>
            <w:r>
              <w:rPr>
                <w:rFonts w:ascii="Times New Roman" w:hAnsi="Times New Roman" w:eastAsia="宋体" w:cs="Times New Roman"/>
                <w:spacing w:val="3"/>
                <w:sz w:val="24"/>
                <w:szCs w:val="24"/>
                <w:u w:val="single"/>
              </w:rPr>
              <w:t>属</w:t>
            </w:r>
            <w:r>
              <w:rPr>
                <w:rFonts w:hint="eastAsia" w:ascii="Times New Roman" w:hAnsi="Times New Roman" w:eastAsia="宋体" w:cs="Times New Roman"/>
                <w:spacing w:val="3"/>
                <w:sz w:val="24"/>
                <w:szCs w:val="24"/>
                <w:u w:val="single"/>
              </w:rPr>
              <w:t>）</w:t>
            </w:r>
            <w:r>
              <w:rPr>
                <w:rFonts w:ascii="Times New Roman" w:hAnsi="Times New Roman" w:eastAsia="宋体" w:cs="Times New Roman"/>
                <w:spacing w:val="3"/>
                <w:sz w:val="24"/>
                <w:szCs w:val="24"/>
                <w:u w:val="single"/>
              </w:rPr>
              <w:t xml:space="preserve"> ，其中硅藻门最多22 种 </w:t>
            </w:r>
            <w:r>
              <w:rPr>
                <w:rFonts w:hint="eastAsia" w:ascii="Times New Roman" w:hAnsi="Times New Roman" w:eastAsia="宋体" w:cs="Times New Roman"/>
                <w:spacing w:val="3"/>
                <w:sz w:val="24"/>
                <w:szCs w:val="24"/>
                <w:u w:val="single"/>
              </w:rPr>
              <w:t>（</w:t>
            </w:r>
            <w:r>
              <w:rPr>
                <w:rFonts w:ascii="Times New Roman" w:hAnsi="Times New Roman" w:eastAsia="宋体" w:cs="Times New Roman"/>
                <w:spacing w:val="3"/>
                <w:sz w:val="24"/>
                <w:szCs w:val="24"/>
                <w:u w:val="single"/>
              </w:rPr>
              <w:t>属</w:t>
            </w:r>
            <w:r>
              <w:rPr>
                <w:rFonts w:hint="eastAsia" w:ascii="Times New Roman" w:hAnsi="Times New Roman" w:eastAsia="宋体" w:cs="Times New Roman"/>
                <w:spacing w:val="3"/>
                <w:sz w:val="24"/>
                <w:szCs w:val="24"/>
                <w:u w:val="single"/>
              </w:rPr>
              <w:t>）</w:t>
            </w:r>
            <w:r>
              <w:rPr>
                <w:rFonts w:ascii="Times New Roman" w:hAnsi="Times New Roman" w:eastAsia="宋体" w:cs="Times New Roman"/>
                <w:spacing w:val="3"/>
                <w:sz w:val="24"/>
                <w:szCs w:val="24"/>
                <w:u w:val="single"/>
              </w:rPr>
              <w:t xml:space="preserve"> ，占</w:t>
            </w:r>
            <w:r>
              <w:rPr>
                <w:rFonts w:ascii="Times New Roman" w:hAnsi="Times New Roman" w:eastAsia="宋体" w:cs="Times New Roman"/>
                <w:spacing w:val="-1"/>
                <w:sz w:val="24"/>
                <w:szCs w:val="24"/>
                <w:u w:val="single"/>
              </w:rPr>
              <w:t xml:space="preserve">总数的 37.93%；其次为绿藻门 16 种 </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属</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，占总数</w:t>
            </w:r>
            <w:r>
              <w:rPr>
                <w:rFonts w:ascii="Times New Roman" w:hAnsi="Times New Roman" w:eastAsia="宋体" w:cs="Times New Roman"/>
                <w:sz w:val="24"/>
                <w:szCs w:val="24"/>
                <w:u w:val="single"/>
              </w:rPr>
              <w:t>的 27.59%；蓝藻门 13 种，</w:t>
            </w:r>
            <w:r>
              <w:rPr>
                <w:rFonts w:ascii="Times New Roman" w:hAnsi="Times New Roman" w:eastAsia="宋体" w:cs="Times New Roman"/>
                <w:spacing w:val="-1"/>
                <w:sz w:val="24"/>
                <w:szCs w:val="24"/>
                <w:u w:val="single"/>
              </w:rPr>
              <w:t xml:space="preserve">占总数的 22.41%；其他藻门共 7 种 </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属</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 xml:space="preserve"> ，占总数的 1</w:t>
            </w:r>
            <w:r>
              <w:rPr>
                <w:rFonts w:ascii="Times New Roman" w:hAnsi="Times New Roman" w:eastAsia="宋体" w:cs="Times New Roman"/>
                <w:sz w:val="24"/>
                <w:szCs w:val="24"/>
                <w:u w:val="single"/>
              </w:rPr>
              <w:t>2.07%。</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评价</w:t>
            </w:r>
            <w:r>
              <w:rPr>
                <w:rFonts w:ascii="Times New Roman" w:hAnsi="Times New Roman" w:eastAsia="宋体" w:cs="Times New Roman"/>
                <w:spacing w:val="11"/>
                <w:sz w:val="24"/>
                <w:szCs w:val="24"/>
                <w:u w:val="single"/>
              </w:rPr>
              <w:t>区</w:t>
            </w:r>
            <w:r>
              <w:rPr>
                <w:rFonts w:ascii="Times New Roman" w:hAnsi="Times New Roman" w:eastAsia="宋体" w:cs="Times New Roman"/>
                <w:spacing w:val="6"/>
                <w:sz w:val="24"/>
                <w:szCs w:val="24"/>
                <w:u w:val="single"/>
              </w:rPr>
              <w:t>水体中浮游植物以硅藻门占优势，其次是绿藻门和蓝藻门，其他门</w:t>
            </w:r>
            <w:r>
              <w:rPr>
                <w:rFonts w:ascii="Times New Roman" w:hAnsi="Times New Roman" w:eastAsia="宋体" w:cs="Times New Roman"/>
                <w:spacing w:val="12"/>
                <w:position w:val="3"/>
                <w:sz w:val="24"/>
                <w:szCs w:val="24"/>
                <w:u w:val="single"/>
              </w:rPr>
              <w:t>类较</w:t>
            </w:r>
            <w:r>
              <w:rPr>
                <w:rFonts w:ascii="Times New Roman" w:hAnsi="Times New Roman" w:eastAsia="宋体" w:cs="Times New Roman"/>
                <w:spacing w:val="11"/>
                <w:position w:val="3"/>
                <w:sz w:val="24"/>
                <w:szCs w:val="24"/>
                <w:u w:val="single"/>
              </w:rPr>
              <w:t>少</w:t>
            </w:r>
            <w:r>
              <w:rPr>
                <w:rFonts w:ascii="Times New Roman" w:hAnsi="Times New Roman" w:eastAsia="宋体" w:cs="Times New Roman"/>
                <w:spacing w:val="6"/>
                <w:position w:val="3"/>
                <w:sz w:val="24"/>
                <w:szCs w:val="24"/>
                <w:u w:val="single"/>
              </w:rPr>
              <w:t>。优势种有菱形藻 (</w:t>
            </w:r>
            <w:r>
              <w:rPr>
                <w:rFonts w:ascii="Times New Roman" w:hAnsi="Times New Roman" w:eastAsia="宋体" w:cs="Times New Roman"/>
                <w:i/>
                <w:iCs/>
                <w:position w:val="3"/>
                <w:sz w:val="24"/>
                <w:szCs w:val="24"/>
                <w:u w:val="single"/>
              </w:rPr>
              <w:t>Nitzschia</w:t>
            </w:r>
            <w:r>
              <w:rPr>
                <w:rFonts w:ascii="Times New Roman" w:hAnsi="Times New Roman" w:eastAsia="宋体" w:cs="Times New Roman"/>
                <w:spacing w:val="6"/>
                <w:position w:val="3"/>
                <w:sz w:val="24"/>
                <w:szCs w:val="24"/>
                <w:u w:val="single"/>
              </w:rPr>
              <w:t xml:space="preserve"> </w:t>
            </w:r>
            <w:r>
              <w:rPr>
                <w:rFonts w:ascii="Times New Roman" w:hAnsi="Times New Roman" w:eastAsia="宋体" w:cs="Times New Roman"/>
                <w:position w:val="3"/>
                <w:sz w:val="24"/>
                <w:szCs w:val="24"/>
                <w:u w:val="single"/>
              </w:rPr>
              <w:t>sp</w:t>
            </w:r>
            <w:r>
              <w:rPr>
                <w:rFonts w:ascii="Times New Roman" w:hAnsi="Times New Roman" w:eastAsia="宋体" w:cs="Times New Roman"/>
                <w:spacing w:val="6"/>
                <w:position w:val="3"/>
                <w:sz w:val="24"/>
                <w:szCs w:val="24"/>
                <w:u w:val="single"/>
              </w:rPr>
              <w:t>. )、衣藻</w:t>
            </w:r>
            <w:r>
              <w:rPr>
                <w:rFonts w:hint="eastAsia" w:ascii="Times New Roman" w:hAnsi="Times New Roman" w:eastAsia="宋体" w:cs="Times New Roman"/>
                <w:spacing w:val="6"/>
                <w:position w:val="3"/>
                <w:sz w:val="24"/>
                <w:szCs w:val="24"/>
                <w:u w:val="single"/>
              </w:rPr>
              <w:t>（</w:t>
            </w:r>
            <w:r>
              <w:rPr>
                <w:rFonts w:ascii="Times New Roman" w:hAnsi="Times New Roman" w:eastAsia="宋体" w:cs="Times New Roman"/>
                <w:i/>
                <w:iCs/>
                <w:position w:val="3"/>
                <w:sz w:val="24"/>
                <w:szCs w:val="24"/>
                <w:u w:val="single"/>
              </w:rPr>
              <w:t>Chlamydomonas</w:t>
            </w:r>
            <w:r>
              <w:rPr>
                <w:rFonts w:ascii="Times New Roman" w:hAnsi="Times New Roman" w:eastAsia="宋体" w:cs="Times New Roman"/>
                <w:spacing w:val="6"/>
                <w:position w:val="3"/>
                <w:sz w:val="24"/>
                <w:szCs w:val="24"/>
                <w:u w:val="single"/>
              </w:rPr>
              <w:t xml:space="preserve"> </w:t>
            </w:r>
            <w:r>
              <w:rPr>
                <w:rFonts w:ascii="Times New Roman" w:hAnsi="Times New Roman" w:eastAsia="宋体" w:cs="Times New Roman"/>
                <w:position w:val="3"/>
                <w:sz w:val="24"/>
                <w:szCs w:val="24"/>
                <w:u w:val="single"/>
              </w:rPr>
              <w:t>sp</w:t>
            </w:r>
            <w:r>
              <w:rPr>
                <w:rFonts w:ascii="Times New Roman" w:hAnsi="Times New Roman" w:eastAsia="宋体" w:cs="Times New Roman"/>
                <w:spacing w:val="6"/>
                <w:position w:val="3"/>
                <w:sz w:val="24"/>
                <w:szCs w:val="24"/>
                <w:u w:val="single"/>
              </w:rPr>
              <w:t>. ) 等。</w:t>
            </w:r>
          </w:p>
          <w:p>
            <w:pPr>
              <w:spacing w:line="360" w:lineRule="auto"/>
              <w:rPr>
                <w:rFonts w:ascii="Times New Roman" w:hAnsi="Times New Roman"/>
                <w:b/>
                <w:bCs/>
                <w:spacing w:val="8"/>
                <w:sz w:val="24"/>
                <w:u w:val="single"/>
              </w:rPr>
            </w:pPr>
            <w:r>
              <w:rPr>
                <w:rFonts w:ascii="Times New Roman" w:hAnsi="Times New Roman" w:eastAsia="宋体" w:cs="Times New Roman"/>
                <w:b/>
                <w:bCs/>
                <w:spacing w:val="8"/>
                <w:sz w:val="24"/>
                <w:szCs w:val="24"/>
                <w:u w:val="single"/>
              </w:rPr>
              <w:t>1.3.1.2、密度和生物量</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sz w:val="24"/>
                <w:szCs w:val="24"/>
                <w:u w:val="single"/>
              </w:rPr>
              <w:t>评价区水体中</w:t>
            </w:r>
            <w:r>
              <w:rPr>
                <w:rFonts w:ascii="Times New Roman" w:hAnsi="Times New Roman" w:eastAsia="宋体" w:cs="Times New Roman"/>
                <w:spacing w:val="5"/>
                <w:sz w:val="24"/>
                <w:szCs w:val="24"/>
                <w:u w:val="single"/>
              </w:rPr>
              <w:t>浮游植物的平均密度为50.779×10</w:t>
            </w:r>
            <w:r>
              <w:rPr>
                <w:rFonts w:hint="eastAsia" w:ascii="Times New Roman" w:hAnsi="Times New Roman" w:eastAsia="宋体" w:cs="Times New Roman"/>
                <w:spacing w:val="5"/>
                <w:sz w:val="24"/>
                <w:szCs w:val="24"/>
                <w:u w:val="single"/>
                <w:vertAlign w:val="superscript"/>
              </w:rPr>
              <w:t>4</w:t>
            </w:r>
            <w:r>
              <w:rPr>
                <w:rFonts w:ascii="Times New Roman" w:hAnsi="Times New Roman" w:eastAsia="宋体" w:cs="Times New Roman"/>
                <w:sz w:val="24"/>
                <w:szCs w:val="24"/>
                <w:u w:val="single"/>
              </w:rPr>
              <w:t>ind</w:t>
            </w:r>
            <w:r>
              <w:rPr>
                <w:rFonts w:ascii="Times New Roman" w:hAnsi="Times New Roman" w:eastAsia="宋体" w:cs="Times New Roman"/>
                <w:spacing w:val="5"/>
                <w:sz w:val="24"/>
                <w:szCs w:val="24"/>
                <w:u w:val="single"/>
              </w:rPr>
              <w:t>. /</w:t>
            </w:r>
            <w:r>
              <w:rPr>
                <w:rFonts w:ascii="Times New Roman" w:hAnsi="Times New Roman" w:eastAsia="宋体" w:cs="Times New Roman"/>
                <w:sz w:val="24"/>
                <w:szCs w:val="24"/>
                <w:u w:val="single"/>
              </w:rPr>
              <w:t>L</w:t>
            </w:r>
            <w:r>
              <w:rPr>
                <w:rFonts w:ascii="Times New Roman" w:hAnsi="Times New Roman" w:eastAsia="宋体" w:cs="Times New Roman"/>
                <w:spacing w:val="5"/>
                <w:sz w:val="24"/>
                <w:szCs w:val="24"/>
                <w:u w:val="single"/>
              </w:rPr>
              <w:t>，其中硅藻门的平均</w:t>
            </w:r>
            <w:r>
              <w:rPr>
                <w:rFonts w:ascii="Times New Roman" w:hAnsi="Times New Roman" w:eastAsia="宋体" w:cs="Times New Roman"/>
                <w:spacing w:val="8"/>
                <w:sz w:val="24"/>
                <w:szCs w:val="24"/>
                <w:u w:val="single"/>
              </w:rPr>
              <w:t>密度最高为20</w:t>
            </w:r>
            <w:r>
              <w:rPr>
                <w:rFonts w:ascii="Times New Roman" w:hAnsi="Times New Roman" w:eastAsia="宋体" w:cs="Times New Roman"/>
                <w:spacing w:val="4"/>
                <w:sz w:val="24"/>
                <w:szCs w:val="24"/>
                <w:u w:val="single"/>
              </w:rPr>
              <w:t>.755×10</w:t>
            </w:r>
            <w:r>
              <w:rPr>
                <w:rFonts w:hint="eastAsia" w:ascii="Times New Roman" w:hAnsi="Times New Roman" w:eastAsia="宋体" w:cs="Times New Roman"/>
                <w:spacing w:val="4"/>
                <w:sz w:val="24"/>
                <w:szCs w:val="24"/>
                <w:u w:val="single"/>
                <w:vertAlign w:val="superscript"/>
              </w:rPr>
              <w:t>4</w:t>
            </w:r>
            <w:r>
              <w:rPr>
                <w:rFonts w:ascii="Times New Roman" w:hAnsi="Times New Roman" w:eastAsia="宋体" w:cs="Times New Roman"/>
                <w:sz w:val="24"/>
                <w:szCs w:val="24"/>
                <w:u w:val="single"/>
              </w:rPr>
              <w:t>ind</w:t>
            </w:r>
            <w:r>
              <w:rPr>
                <w:rFonts w:hint="eastAsia" w:ascii="Times New Roman" w:hAnsi="Times New Roman" w:eastAsia="宋体" w:cs="Times New Roman"/>
                <w:sz w:val="24"/>
                <w:szCs w:val="24"/>
                <w:u w:val="single"/>
              </w:rPr>
              <w:t>.</w:t>
            </w:r>
            <w:r>
              <w:rPr>
                <w:rFonts w:ascii="Times New Roman" w:hAnsi="Times New Roman" w:eastAsia="宋体" w:cs="Times New Roman"/>
                <w:sz w:val="24"/>
                <w:szCs w:val="24"/>
                <w:u w:val="single"/>
              </w:rPr>
              <w:t>L</w:t>
            </w:r>
            <w:r>
              <w:rPr>
                <w:rFonts w:ascii="Times New Roman" w:hAnsi="Times New Roman" w:eastAsia="宋体" w:cs="Times New Roman"/>
                <w:spacing w:val="4"/>
                <w:sz w:val="24"/>
                <w:szCs w:val="24"/>
                <w:u w:val="single"/>
              </w:rPr>
              <w:t>；其次为绿藻门，平均密度为16.148×10</w:t>
            </w:r>
            <w:r>
              <w:rPr>
                <w:rFonts w:hint="eastAsia" w:ascii="Times New Roman" w:hAnsi="Times New Roman" w:eastAsia="宋体" w:cs="Times New Roman"/>
                <w:spacing w:val="4"/>
                <w:sz w:val="24"/>
                <w:szCs w:val="24"/>
                <w:u w:val="single"/>
                <w:vertAlign w:val="superscript"/>
              </w:rPr>
              <w:t>4</w:t>
            </w:r>
            <w:r>
              <w:rPr>
                <w:rFonts w:ascii="Times New Roman" w:hAnsi="Times New Roman" w:eastAsia="宋体" w:cs="Times New Roman"/>
                <w:sz w:val="24"/>
                <w:szCs w:val="24"/>
                <w:u w:val="single"/>
              </w:rPr>
              <w:t>ind</w:t>
            </w:r>
            <w:r>
              <w:rPr>
                <w:rFonts w:ascii="Times New Roman" w:hAnsi="Times New Roman" w:eastAsia="宋体" w:cs="Times New Roman"/>
                <w:spacing w:val="4"/>
                <w:sz w:val="24"/>
                <w:szCs w:val="24"/>
                <w:u w:val="single"/>
              </w:rPr>
              <w:t>. /</w:t>
            </w:r>
            <w:r>
              <w:rPr>
                <w:rFonts w:ascii="Times New Roman" w:hAnsi="Times New Roman" w:eastAsia="宋体" w:cs="Times New Roman"/>
                <w:sz w:val="24"/>
                <w:szCs w:val="24"/>
                <w:u w:val="single"/>
              </w:rPr>
              <w:t>L</w:t>
            </w:r>
            <w:r>
              <w:rPr>
                <w:rFonts w:ascii="Times New Roman" w:hAnsi="Times New Roman" w:eastAsia="宋体" w:cs="Times New Roman"/>
                <w:spacing w:val="4"/>
                <w:sz w:val="24"/>
                <w:szCs w:val="24"/>
                <w:u w:val="single"/>
              </w:rPr>
              <w:t>；蓝</w:t>
            </w:r>
            <w:r>
              <w:rPr>
                <w:rFonts w:ascii="Times New Roman" w:hAnsi="Times New Roman" w:eastAsia="宋体" w:cs="Times New Roman"/>
                <w:spacing w:val="3"/>
                <w:sz w:val="24"/>
                <w:szCs w:val="24"/>
                <w:u w:val="single"/>
              </w:rPr>
              <w:t>藻门平均密度为11.435×10</w:t>
            </w:r>
            <w:r>
              <w:rPr>
                <w:rFonts w:hint="eastAsia" w:ascii="Times New Roman" w:hAnsi="Times New Roman" w:eastAsia="宋体" w:cs="Times New Roman"/>
                <w:spacing w:val="3"/>
                <w:sz w:val="24"/>
                <w:szCs w:val="24"/>
                <w:u w:val="single"/>
                <w:vertAlign w:val="superscript"/>
              </w:rPr>
              <w:t>4</w:t>
            </w:r>
            <w:r>
              <w:rPr>
                <w:rFonts w:ascii="Times New Roman" w:hAnsi="Times New Roman" w:eastAsia="宋体" w:cs="Times New Roman"/>
                <w:sz w:val="24"/>
                <w:szCs w:val="24"/>
                <w:u w:val="single"/>
              </w:rPr>
              <w:t>ind</w:t>
            </w:r>
            <w:r>
              <w:rPr>
                <w:rFonts w:ascii="Times New Roman" w:hAnsi="Times New Roman" w:eastAsia="宋体" w:cs="Times New Roman"/>
                <w:spacing w:val="3"/>
                <w:sz w:val="24"/>
                <w:szCs w:val="24"/>
                <w:u w:val="single"/>
              </w:rPr>
              <w:t>. /</w:t>
            </w:r>
            <w:r>
              <w:rPr>
                <w:rFonts w:ascii="Times New Roman" w:hAnsi="Times New Roman" w:eastAsia="宋体" w:cs="Times New Roman"/>
                <w:sz w:val="24"/>
                <w:szCs w:val="24"/>
                <w:u w:val="single"/>
              </w:rPr>
              <w:t>L</w:t>
            </w:r>
            <w:r>
              <w:rPr>
                <w:rFonts w:ascii="Times New Roman" w:hAnsi="Times New Roman" w:eastAsia="宋体" w:cs="Times New Roman"/>
                <w:spacing w:val="3"/>
                <w:sz w:val="24"/>
                <w:szCs w:val="24"/>
                <w:u w:val="single"/>
              </w:rPr>
              <w:t>；其他门的平均密度为2.441×10</w:t>
            </w:r>
            <w:r>
              <w:rPr>
                <w:rFonts w:ascii="Times New Roman" w:hAnsi="Times New Roman" w:eastAsia="宋体" w:cs="Times New Roman"/>
                <w:spacing w:val="3"/>
                <w:position w:val="7"/>
                <w:sz w:val="24"/>
                <w:szCs w:val="24"/>
                <w:u w:val="single"/>
              </w:rPr>
              <w:t>4</w:t>
            </w:r>
            <w:r>
              <w:rPr>
                <w:rFonts w:ascii="Times New Roman" w:hAnsi="Times New Roman" w:eastAsia="宋体" w:cs="Times New Roman"/>
                <w:sz w:val="24"/>
                <w:szCs w:val="24"/>
                <w:u w:val="single"/>
              </w:rPr>
              <w:t>ind</w:t>
            </w:r>
            <w:r>
              <w:rPr>
                <w:rFonts w:ascii="Times New Roman" w:hAnsi="Times New Roman" w:eastAsia="宋体" w:cs="Times New Roman"/>
                <w:spacing w:val="3"/>
                <w:sz w:val="24"/>
                <w:szCs w:val="24"/>
                <w:u w:val="single"/>
              </w:rPr>
              <w:t>. /</w:t>
            </w:r>
            <w:r>
              <w:rPr>
                <w:rFonts w:ascii="Times New Roman" w:hAnsi="Times New Roman" w:eastAsia="宋体" w:cs="Times New Roman"/>
                <w:sz w:val="24"/>
                <w:szCs w:val="24"/>
                <w:u w:val="single"/>
              </w:rPr>
              <w:t>L</w:t>
            </w:r>
            <w:r>
              <w:rPr>
                <w:rFonts w:ascii="Times New Roman" w:hAnsi="Times New Roman" w:eastAsia="宋体" w:cs="Times New Roman"/>
                <w:spacing w:val="3"/>
                <w:sz w:val="24"/>
                <w:szCs w:val="24"/>
                <w:u w:val="single"/>
              </w:rPr>
              <w:t>。评</w:t>
            </w:r>
            <w:r>
              <w:rPr>
                <w:rFonts w:ascii="Times New Roman" w:hAnsi="Times New Roman" w:eastAsia="宋体" w:cs="Times New Roman"/>
                <w:spacing w:val="10"/>
                <w:sz w:val="24"/>
                <w:szCs w:val="24"/>
                <w:u w:val="single"/>
              </w:rPr>
              <w:t>价区水体</w:t>
            </w:r>
            <w:r>
              <w:rPr>
                <w:rFonts w:ascii="Times New Roman" w:hAnsi="Times New Roman" w:eastAsia="宋体" w:cs="Times New Roman"/>
                <w:spacing w:val="6"/>
                <w:sz w:val="24"/>
                <w:szCs w:val="24"/>
                <w:u w:val="single"/>
              </w:rPr>
              <w:t>中</w:t>
            </w:r>
            <w:r>
              <w:rPr>
                <w:rFonts w:ascii="Times New Roman" w:hAnsi="Times New Roman" w:eastAsia="宋体" w:cs="Times New Roman"/>
                <w:spacing w:val="5"/>
                <w:sz w:val="24"/>
                <w:szCs w:val="24"/>
                <w:u w:val="single"/>
              </w:rPr>
              <w:t xml:space="preserve">浮游植物的平均生物量为3.894 </w:t>
            </w:r>
            <w:r>
              <w:rPr>
                <w:rFonts w:ascii="Times New Roman" w:hAnsi="Times New Roman" w:eastAsia="宋体" w:cs="Times New Roman"/>
                <w:sz w:val="24"/>
                <w:szCs w:val="24"/>
                <w:u w:val="single"/>
              </w:rPr>
              <w:t>mg</w:t>
            </w:r>
            <w:r>
              <w:rPr>
                <w:rFonts w:ascii="Times New Roman" w:hAnsi="Times New Roman" w:eastAsia="宋体" w:cs="Times New Roman"/>
                <w:spacing w:val="5"/>
                <w:sz w:val="24"/>
                <w:szCs w:val="24"/>
                <w:u w:val="single"/>
              </w:rPr>
              <w:t>/</w:t>
            </w:r>
            <w:r>
              <w:rPr>
                <w:rFonts w:ascii="Times New Roman" w:hAnsi="Times New Roman" w:eastAsia="宋体" w:cs="Times New Roman"/>
                <w:sz w:val="24"/>
                <w:szCs w:val="24"/>
                <w:u w:val="single"/>
              </w:rPr>
              <w:t>L</w:t>
            </w:r>
            <w:r>
              <w:rPr>
                <w:rFonts w:ascii="Times New Roman" w:hAnsi="Times New Roman" w:eastAsia="宋体" w:cs="Times New Roman"/>
                <w:spacing w:val="5"/>
                <w:sz w:val="24"/>
                <w:szCs w:val="24"/>
                <w:u w:val="single"/>
              </w:rPr>
              <w:t>，其中硅藻门的平均生物量最大</w:t>
            </w:r>
            <w:r>
              <w:rPr>
                <w:rFonts w:ascii="Times New Roman" w:hAnsi="Times New Roman" w:eastAsia="宋体" w:cs="Times New Roman"/>
                <w:sz w:val="24"/>
                <w:szCs w:val="24"/>
                <w:u w:val="single"/>
              </w:rPr>
              <w:t>为1.890 mg/L；蓝藻门的平均生物量为0.934 mg/L；绿藻门的平均生物量为1.048 mg</w:t>
            </w:r>
            <w:r>
              <w:rPr>
                <w:rFonts w:ascii="Times New Roman" w:hAnsi="Times New Roman" w:eastAsia="宋体" w:cs="Times New Roman"/>
                <w:spacing w:val="10"/>
                <w:sz w:val="24"/>
                <w:szCs w:val="24"/>
                <w:u w:val="single"/>
              </w:rPr>
              <w:t>/</w:t>
            </w:r>
            <w:r>
              <w:rPr>
                <w:rFonts w:ascii="Times New Roman" w:hAnsi="Times New Roman" w:eastAsia="宋体" w:cs="Times New Roman"/>
                <w:sz w:val="24"/>
                <w:szCs w:val="24"/>
                <w:u w:val="single"/>
              </w:rPr>
              <w:t>L</w:t>
            </w:r>
            <w:r>
              <w:rPr>
                <w:rFonts w:ascii="Times New Roman" w:hAnsi="Times New Roman" w:eastAsia="宋体" w:cs="Times New Roman"/>
                <w:spacing w:val="10"/>
                <w:sz w:val="24"/>
                <w:szCs w:val="24"/>
                <w:u w:val="single"/>
              </w:rPr>
              <w:t>；</w:t>
            </w:r>
            <w:r>
              <w:rPr>
                <w:rFonts w:ascii="Times New Roman" w:hAnsi="Times New Roman" w:eastAsia="宋体" w:cs="Times New Roman"/>
                <w:spacing w:val="8"/>
                <w:sz w:val="24"/>
                <w:szCs w:val="24"/>
                <w:u w:val="single"/>
              </w:rPr>
              <w:t>其</w:t>
            </w:r>
            <w:r>
              <w:rPr>
                <w:rFonts w:ascii="Times New Roman" w:hAnsi="Times New Roman" w:eastAsia="宋体" w:cs="Times New Roman"/>
                <w:spacing w:val="5"/>
                <w:sz w:val="24"/>
                <w:szCs w:val="24"/>
                <w:u w:val="single"/>
              </w:rPr>
              <w:t xml:space="preserve">他藻的平均生物量为0.022 </w:t>
            </w:r>
            <w:r>
              <w:rPr>
                <w:rFonts w:ascii="Times New Roman" w:hAnsi="Times New Roman" w:eastAsia="宋体" w:cs="Times New Roman"/>
                <w:sz w:val="24"/>
                <w:szCs w:val="24"/>
                <w:u w:val="single"/>
              </w:rPr>
              <w:t>mg</w:t>
            </w:r>
            <w:r>
              <w:rPr>
                <w:rFonts w:ascii="Times New Roman" w:hAnsi="Times New Roman" w:eastAsia="宋体" w:cs="Times New Roman"/>
                <w:spacing w:val="5"/>
                <w:sz w:val="24"/>
                <w:szCs w:val="24"/>
                <w:u w:val="single"/>
              </w:rPr>
              <w:t>/</w:t>
            </w:r>
            <w:r>
              <w:rPr>
                <w:rFonts w:ascii="Times New Roman" w:hAnsi="Times New Roman" w:eastAsia="宋体" w:cs="Times New Roman"/>
                <w:sz w:val="24"/>
                <w:szCs w:val="24"/>
                <w:u w:val="single"/>
              </w:rPr>
              <w:t>L</w:t>
            </w:r>
            <w:r>
              <w:rPr>
                <w:rFonts w:ascii="Times New Roman" w:hAnsi="Times New Roman" w:eastAsia="宋体" w:cs="Times New Roman"/>
                <w:spacing w:val="5"/>
                <w:sz w:val="24"/>
                <w:szCs w:val="24"/>
                <w:u w:val="single"/>
              </w:rPr>
              <w:t>。</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1.3.2、</w:t>
            </w:r>
            <w:r>
              <w:rPr>
                <w:rFonts w:ascii="Times New Roman" w:hAnsi="Times New Roman" w:cs="Times New Roman"/>
                <w:b/>
                <w:bCs/>
                <w:spacing w:val="8"/>
                <w:sz w:val="24"/>
                <w:szCs w:val="24"/>
                <w:u w:val="single"/>
              </w:rPr>
              <w:t>浮游动物</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1.3.2.1、</w:t>
            </w:r>
            <w:r>
              <w:rPr>
                <w:rFonts w:ascii="Times New Roman" w:hAnsi="Times New Roman" w:cs="Times New Roman"/>
                <w:b/>
                <w:bCs/>
                <w:spacing w:val="8"/>
                <w:sz w:val="24"/>
                <w:szCs w:val="24"/>
                <w:u w:val="single"/>
              </w:rPr>
              <w:t>种类组成</w:t>
            </w:r>
          </w:p>
          <w:p>
            <w:pPr>
              <w:spacing w:line="360" w:lineRule="auto"/>
              <w:ind w:firstLine="488" w:firstLineChars="200"/>
              <w:rPr>
                <w:rFonts w:ascii="Times New Roman" w:hAnsi="Times New Roman"/>
                <w:sz w:val="24"/>
                <w:u w:val="single"/>
              </w:rPr>
            </w:pPr>
            <w:r>
              <w:rPr>
                <w:rFonts w:ascii="Times New Roman" w:hAnsi="Times New Roman" w:eastAsia="宋体" w:cs="Times New Roman"/>
                <w:spacing w:val="2"/>
                <w:sz w:val="24"/>
                <w:szCs w:val="24"/>
                <w:u w:val="single"/>
              </w:rPr>
              <w:t>评价区共</w:t>
            </w:r>
            <w:r>
              <w:rPr>
                <w:rFonts w:ascii="Times New Roman" w:hAnsi="Times New Roman" w:eastAsia="宋体" w:cs="Times New Roman"/>
                <w:spacing w:val="1"/>
                <w:sz w:val="24"/>
                <w:szCs w:val="24"/>
                <w:u w:val="single"/>
              </w:rPr>
              <w:t xml:space="preserve">检出浮游动物 4 类 40 种 </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属</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 xml:space="preserve"> 。其中原生动物有 13 种 </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属</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 xml:space="preserve"> ，占</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总数的 32.50% ；轮虫类有 17 种 </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属</w:t>
            </w:r>
            <w:r>
              <w:rPr>
                <w:rFonts w:hint="eastAsia" w:ascii="Times New Roman" w:hAnsi="Times New Roman" w:eastAsia="宋体" w:cs="Times New Roman"/>
                <w:spacing w:val="1"/>
                <w:sz w:val="24"/>
                <w:szCs w:val="24"/>
                <w:u w:val="single"/>
              </w:rPr>
              <w:t>）</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z w:val="24"/>
                <w:szCs w:val="24"/>
                <w:u w:val="single"/>
              </w:rPr>
              <w:t>占总数的 42.50% ；枝角类和桡足类各</w:t>
            </w:r>
            <w:r>
              <w:rPr>
                <w:rFonts w:ascii="Times New Roman" w:hAnsi="Times New Roman" w:eastAsia="宋体" w:cs="Times New Roman"/>
                <w:spacing w:val="2"/>
                <w:sz w:val="24"/>
                <w:szCs w:val="24"/>
                <w:u w:val="single"/>
              </w:rPr>
              <w:t xml:space="preserve">有 5 种 </w:t>
            </w:r>
            <w:r>
              <w:rPr>
                <w:rFonts w:hint="eastAsia" w:ascii="Times New Roman" w:hAnsi="Times New Roman" w:eastAsia="宋体" w:cs="Times New Roman"/>
                <w:spacing w:val="2"/>
                <w:sz w:val="24"/>
                <w:szCs w:val="24"/>
                <w:u w:val="single"/>
              </w:rPr>
              <w:t>（</w:t>
            </w:r>
            <w:r>
              <w:rPr>
                <w:rFonts w:ascii="Times New Roman" w:hAnsi="Times New Roman" w:eastAsia="宋体" w:cs="Times New Roman"/>
                <w:spacing w:val="2"/>
                <w:sz w:val="24"/>
                <w:szCs w:val="24"/>
                <w:u w:val="single"/>
              </w:rPr>
              <w:t>属</w:t>
            </w:r>
            <w:r>
              <w:rPr>
                <w:rFonts w:hint="eastAsia" w:ascii="Times New Roman" w:hAnsi="Times New Roman" w:eastAsia="宋体" w:cs="Times New Roman"/>
                <w:spacing w:val="2"/>
                <w:sz w:val="24"/>
                <w:szCs w:val="24"/>
                <w:u w:val="single"/>
              </w:rPr>
              <w:t>）</w:t>
            </w:r>
            <w:r>
              <w:rPr>
                <w:rFonts w:ascii="Times New Roman" w:hAnsi="Times New Roman" w:eastAsia="宋体" w:cs="Times New Roman"/>
                <w:spacing w:val="2"/>
                <w:sz w:val="24"/>
                <w:szCs w:val="24"/>
                <w:u w:val="single"/>
              </w:rPr>
              <w:t xml:space="preserve"> ，分别</w:t>
            </w:r>
            <w:r>
              <w:rPr>
                <w:rFonts w:ascii="Times New Roman" w:hAnsi="Times New Roman" w:eastAsia="宋体" w:cs="Times New Roman"/>
                <w:spacing w:val="1"/>
                <w:sz w:val="24"/>
                <w:szCs w:val="24"/>
                <w:u w:val="single"/>
              </w:rPr>
              <w:t>占总数的 12.50%。</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从种类</w:t>
            </w:r>
            <w:r>
              <w:rPr>
                <w:rFonts w:ascii="Times New Roman" w:hAnsi="Times New Roman" w:eastAsia="宋体" w:cs="Times New Roman"/>
                <w:spacing w:val="9"/>
                <w:sz w:val="24"/>
                <w:szCs w:val="24"/>
                <w:u w:val="single"/>
              </w:rPr>
              <w:t>分</w:t>
            </w:r>
            <w:r>
              <w:rPr>
                <w:rFonts w:ascii="Times New Roman" w:hAnsi="Times New Roman" w:eastAsia="宋体" w:cs="Times New Roman"/>
                <w:spacing w:val="6"/>
                <w:sz w:val="24"/>
                <w:szCs w:val="24"/>
                <w:u w:val="single"/>
              </w:rPr>
              <w:t>布看，评价区水域浮游动物以轮虫占优势，其次为原生动物、枝角</w:t>
            </w:r>
            <w:r>
              <w:rPr>
                <w:rFonts w:ascii="Times New Roman" w:hAnsi="Times New Roman" w:eastAsia="宋体" w:cs="Times New Roman"/>
                <w:spacing w:val="18"/>
                <w:sz w:val="24"/>
                <w:szCs w:val="24"/>
                <w:u w:val="single"/>
              </w:rPr>
              <w:t>类和</w:t>
            </w:r>
            <w:r>
              <w:rPr>
                <w:rFonts w:ascii="Times New Roman" w:hAnsi="Times New Roman" w:eastAsia="宋体" w:cs="Times New Roman"/>
                <w:spacing w:val="14"/>
                <w:sz w:val="24"/>
                <w:szCs w:val="24"/>
                <w:u w:val="single"/>
              </w:rPr>
              <w:t>桡</w:t>
            </w:r>
            <w:r>
              <w:rPr>
                <w:rFonts w:ascii="Times New Roman" w:hAnsi="Times New Roman" w:eastAsia="宋体" w:cs="Times New Roman"/>
                <w:spacing w:val="9"/>
                <w:sz w:val="24"/>
                <w:szCs w:val="24"/>
                <w:u w:val="single"/>
              </w:rPr>
              <w:t>足类。评价区常见类群为原生动物的表壳虫 (</w:t>
            </w:r>
            <w:r>
              <w:rPr>
                <w:rFonts w:ascii="Times New Roman" w:hAnsi="Times New Roman" w:eastAsia="宋体" w:cs="Times New Roman"/>
                <w:i/>
                <w:iCs/>
                <w:sz w:val="24"/>
                <w:szCs w:val="24"/>
                <w:u w:val="single"/>
              </w:rPr>
              <w:t>Arcella</w:t>
            </w:r>
            <w:r>
              <w:rPr>
                <w:rFonts w:ascii="Times New Roman" w:hAnsi="Times New Roman" w:eastAsia="宋体" w:cs="Times New Roman"/>
                <w:spacing w:val="9"/>
                <w:sz w:val="24"/>
                <w:szCs w:val="24"/>
                <w:u w:val="single"/>
              </w:rPr>
              <w:t xml:space="preserve"> </w:t>
            </w:r>
            <w:r>
              <w:rPr>
                <w:rFonts w:ascii="Times New Roman" w:hAnsi="Times New Roman" w:eastAsia="宋体" w:cs="Times New Roman"/>
                <w:sz w:val="24"/>
                <w:szCs w:val="24"/>
                <w:u w:val="single"/>
              </w:rPr>
              <w:t>sp</w:t>
            </w:r>
            <w:r>
              <w:rPr>
                <w:rFonts w:ascii="Times New Roman" w:hAnsi="Times New Roman" w:eastAsia="宋体" w:cs="Times New Roman"/>
                <w:spacing w:val="9"/>
                <w:sz w:val="24"/>
                <w:szCs w:val="24"/>
                <w:u w:val="single"/>
              </w:rPr>
              <w:t>. )；轮虫类的萼</w:t>
            </w:r>
            <w:r>
              <w:rPr>
                <w:rFonts w:ascii="Times New Roman" w:hAnsi="Times New Roman" w:eastAsia="宋体" w:cs="Times New Roman"/>
                <w:spacing w:val="16"/>
                <w:sz w:val="24"/>
                <w:szCs w:val="24"/>
                <w:u w:val="single"/>
              </w:rPr>
              <w:t>花</w:t>
            </w:r>
            <w:r>
              <w:rPr>
                <w:rFonts w:ascii="Times New Roman" w:hAnsi="Times New Roman" w:eastAsia="宋体" w:cs="Times New Roman"/>
                <w:spacing w:val="9"/>
                <w:sz w:val="24"/>
                <w:szCs w:val="24"/>
                <w:u w:val="single"/>
              </w:rPr>
              <w:t>臂</w:t>
            </w:r>
            <w:r>
              <w:rPr>
                <w:rFonts w:ascii="Times New Roman" w:hAnsi="Times New Roman" w:eastAsia="宋体" w:cs="Times New Roman"/>
                <w:spacing w:val="8"/>
                <w:sz w:val="24"/>
                <w:szCs w:val="24"/>
                <w:u w:val="single"/>
              </w:rPr>
              <w:t>尾轮虫 (</w:t>
            </w:r>
            <w:r>
              <w:rPr>
                <w:rFonts w:ascii="Times New Roman" w:hAnsi="Times New Roman" w:eastAsia="宋体" w:cs="Times New Roman"/>
                <w:i/>
                <w:iCs/>
                <w:sz w:val="24"/>
                <w:szCs w:val="24"/>
                <w:u w:val="single"/>
              </w:rPr>
              <w:t>Brachionus</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calyciflorus</w:t>
            </w:r>
            <w:r>
              <w:rPr>
                <w:rFonts w:ascii="Times New Roman" w:hAnsi="Times New Roman" w:eastAsia="宋体" w:cs="Times New Roman"/>
                <w:spacing w:val="8"/>
                <w:sz w:val="24"/>
                <w:szCs w:val="24"/>
                <w:u w:val="single"/>
              </w:rPr>
              <w:t xml:space="preserve"> )、囊形单趾轮虫 (</w:t>
            </w:r>
            <w:r>
              <w:rPr>
                <w:rFonts w:ascii="Times New Roman" w:hAnsi="Times New Roman" w:eastAsia="宋体" w:cs="Times New Roman"/>
                <w:i/>
                <w:iCs/>
                <w:sz w:val="24"/>
                <w:szCs w:val="24"/>
                <w:u w:val="single"/>
              </w:rPr>
              <w:t>Moonostyla</w:t>
            </w:r>
            <w:r>
              <w:rPr>
                <w:rFonts w:ascii="Times New Roman" w:hAnsi="Times New Roman" w:eastAsia="宋体" w:cs="Times New Roman"/>
                <w:spacing w:val="8"/>
                <w:sz w:val="24"/>
                <w:szCs w:val="24"/>
                <w:u w:val="single"/>
              </w:rPr>
              <w:t xml:space="preserve"> </w:t>
            </w:r>
            <w:r>
              <w:rPr>
                <w:rFonts w:ascii="Times New Roman" w:hAnsi="Times New Roman" w:eastAsia="宋体" w:cs="Times New Roman"/>
                <w:i/>
                <w:iCs/>
                <w:sz w:val="24"/>
                <w:szCs w:val="24"/>
                <w:u w:val="single"/>
              </w:rPr>
              <w:t>bulla</w:t>
            </w:r>
            <w:r>
              <w:rPr>
                <w:rFonts w:ascii="Times New Roman" w:hAnsi="Times New Roman" w:eastAsia="宋体" w:cs="Times New Roman"/>
                <w:spacing w:val="8"/>
                <w:sz w:val="24"/>
                <w:szCs w:val="24"/>
                <w:u w:val="single"/>
              </w:rPr>
              <w:t xml:space="preserve"> )；枝角类的</w:t>
            </w:r>
            <w:r>
              <w:rPr>
                <w:rFonts w:ascii="Times New Roman" w:hAnsi="Times New Roman" w:eastAsia="宋体" w:cs="Times New Roman"/>
                <w:spacing w:val="6"/>
                <w:sz w:val="24"/>
                <w:szCs w:val="24"/>
                <w:u w:val="single"/>
              </w:rPr>
              <w:t>长</w:t>
            </w:r>
            <w:r>
              <w:rPr>
                <w:rFonts w:ascii="Times New Roman" w:hAnsi="Times New Roman" w:eastAsia="宋体" w:cs="Times New Roman"/>
                <w:spacing w:val="4"/>
                <w:sz w:val="24"/>
                <w:szCs w:val="24"/>
                <w:u w:val="single"/>
              </w:rPr>
              <w:t>额象鼻溞</w:t>
            </w:r>
            <w:r>
              <w:rPr>
                <w:rFonts w:hint="eastAsia" w:ascii="Times New Roman" w:hAnsi="Times New Roman" w:eastAsia="宋体" w:cs="Times New Roman"/>
                <w:spacing w:val="4"/>
                <w:sz w:val="24"/>
                <w:szCs w:val="24"/>
                <w:u w:val="single"/>
              </w:rPr>
              <w:t>（</w:t>
            </w:r>
            <w:r>
              <w:rPr>
                <w:rFonts w:ascii="Times New Roman" w:hAnsi="Times New Roman" w:eastAsia="宋体" w:cs="Times New Roman"/>
                <w:i/>
                <w:iCs/>
                <w:sz w:val="24"/>
                <w:szCs w:val="24"/>
                <w:u w:val="single"/>
              </w:rPr>
              <w:t>Bosmina</w:t>
            </w:r>
            <w:r>
              <w:rPr>
                <w:rFonts w:ascii="Times New Roman" w:hAnsi="Times New Roman" w:eastAsia="宋体" w:cs="Times New Roman"/>
                <w:spacing w:val="4"/>
                <w:sz w:val="24"/>
                <w:szCs w:val="24"/>
                <w:u w:val="single"/>
              </w:rPr>
              <w:t xml:space="preserve"> </w:t>
            </w:r>
            <w:r>
              <w:rPr>
                <w:rFonts w:ascii="Times New Roman" w:hAnsi="Times New Roman" w:eastAsia="宋体" w:cs="Times New Roman"/>
                <w:i/>
                <w:iCs/>
                <w:sz w:val="24"/>
                <w:szCs w:val="24"/>
                <w:u w:val="single"/>
              </w:rPr>
              <w:t>longirostris</w:t>
            </w:r>
            <w:r>
              <w:rPr>
                <w:rFonts w:ascii="Times New Roman" w:hAnsi="Times New Roman" w:eastAsia="宋体" w:cs="Times New Roman"/>
                <w:spacing w:val="4"/>
                <w:sz w:val="24"/>
                <w:szCs w:val="24"/>
                <w:u w:val="single"/>
              </w:rPr>
              <w:t xml:space="preserve"> )；桡足类的桡足无节幼体</w:t>
            </w:r>
            <w:r>
              <w:rPr>
                <w:rFonts w:hint="eastAsia" w:ascii="Times New Roman" w:hAnsi="Times New Roman" w:eastAsia="宋体" w:cs="Times New Roman"/>
                <w:spacing w:val="4"/>
                <w:sz w:val="24"/>
                <w:szCs w:val="24"/>
                <w:u w:val="single"/>
              </w:rPr>
              <w:t>（</w:t>
            </w:r>
            <w:r>
              <w:rPr>
                <w:rFonts w:ascii="Times New Roman" w:hAnsi="Times New Roman" w:eastAsia="宋体" w:cs="Times New Roman"/>
                <w:i/>
                <w:iCs/>
                <w:sz w:val="24"/>
                <w:szCs w:val="24"/>
                <w:u w:val="single"/>
              </w:rPr>
              <w:t>Nauplius</w:t>
            </w:r>
            <w:r>
              <w:rPr>
                <w:rFonts w:ascii="Times New Roman" w:hAnsi="Times New Roman" w:eastAsia="宋体" w:cs="Times New Roman"/>
                <w:spacing w:val="4"/>
                <w:sz w:val="24"/>
                <w:szCs w:val="24"/>
                <w:u w:val="single"/>
              </w:rPr>
              <w:t xml:space="preserve"> </w:t>
            </w:r>
            <w:r>
              <w:rPr>
                <w:rFonts w:ascii="Times New Roman" w:hAnsi="Times New Roman" w:eastAsia="宋体" w:cs="Times New Roman"/>
                <w:sz w:val="24"/>
                <w:szCs w:val="24"/>
                <w:u w:val="single"/>
              </w:rPr>
              <w:t>sp</w:t>
            </w:r>
            <w:r>
              <w:rPr>
                <w:rFonts w:ascii="Times New Roman" w:hAnsi="Times New Roman" w:eastAsia="宋体" w:cs="Times New Roman"/>
                <w:spacing w:val="4"/>
                <w:sz w:val="24"/>
                <w:szCs w:val="24"/>
                <w:u w:val="single"/>
              </w:rPr>
              <w:t xml:space="preserve">. </w:t>
            </w:r>
            <w:r>
              <w:rPr>
                <w:rFonts w:hint="eastAsia" w:ascii="Times New Roman" w:hAnsi="Times New Roman" w:eastAsia="宋体" w:cs="Times New Roman"/>
                <w:spacing w:val="4"/>
                <w:sz w:val="24"/>
                <w:szCs w:val="24"/>
                <w:u w:val="single"/>
              </w:rPr>
              <w:t>）</w:t>
            </w:r>
            <w:r>
              <w:rPr>
                <w:rFonts w:ascii="Times New Roman" w:hAnsi="Times New Roman" w:eastAsia="宋体" w:cs="Times New Roman"/>
                <w:sz w:val="24"/>
                <w:szCs w:val="24"/>
                <w:u w:val="single"/>
              </w:rPr>
              <w:t>等。</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1.3.2.2、</w:t>
            </w:r>
            <w:r>
              <w:rPr>
                <w:rFonts w:ascii="Times New Roman" w:hAnsi="Times New Roman" w:cs="Times New Roman"/>
                <w:b/>
                <w:bCs/>
                <w:spacing w:val="8"/>
                <w:sz w:val="24"/>
                <w:szCs w:val="24"/>
                <w:u w:val="single"/>
              </w:rPr>
              <w:t>密度和生物量</w:t>
            </w:r>
          </w:p>
          <w:p>
            <w:pPr>
              <w:spacing w:line="360" w:lineRule="auto"/>
              <w:ind w:firstLine="500" w:firstLineChars="200"/>
              <w:rPr>
                <w:rFonts w:ascii="Times New Roman" w:hAnsi="Times New Roman"/>
                <w:sz w:val="24"/>
                <w:u w:val="single"/>
              </w:rPr>
            </w:pPr>
            <w:r>
              <w:rPr>
                <w:rFonts w:ascii="Times New Roman" w:hAnsi="Times New Roman" w:eastAsia="宋体" w:cs="Times New Roman"/>
                <w:spacing w:val="5"/>
                <w:sz w:val="24"/>
                <w:szCs w:val="24"/>
                <w:u w:val="single"/>
              </w:rPr>
              <w:t xml:space="preserve">评价区水体中浮游动物的平均密度为169.57 </w:t>
            </w:r>
            <w:r>
              <w:rPr>
                <w:rFonts w:ascii="Times New Roman" w:hAnsi="Times New Roman" w:eastAsia="宋体" w:cs="Times New Roman"/>
                <w:sz w:val="24"/>
                <w:szCs w:val="24"/>
                <w:u w:val="single"/>
              </w:rPr>
              <w:t>ind</w:t>
            </w:r>
            <w:r>
              <w:rPr>
                <w:rFonts w:ascii="Times New Roman" w:hAnsi="Times New Roman" w:eastAsia="宋体" w:cs="Times New Roman"/>
                <w:spacing w:val="5"/>
                <w:sz w:val="24"/>
                <w:szCs w:val="24"/>
                <w:u w:val="single"/>
              </w:rPr>
              <w:t>. /</w:t>
            </w:r>
            <w:r>
              <w:rPr>
                <w:rFonts w:ascii="Times New Roman" w:hAnsi="Times New Roman" w:eastAsia="宋体" w:cs="Times New Roman"/>
                <w:sz w:val="24"/>
                <w:szCs w:val="24"/>
                <w:u w:val="single"/>
              </w:rPr>
              <w:t>L</w:t>
            </w:r>
            <w:r>
              <w:rPr>
                <w:rFonts w:ascii="Times New Roman" w:hAnsi="Times New Roman" w:eastAsia="宋体" w:cs="Times New Roman"/>
                <w:spacing w:val="5"/>
                <w:sz w:val="24"/>
                <w:szCs w:val="24"/>
                <w:u w:val="single"/>
              </w:rPr>
              <w:t>，其中原生动物平均</w:t>
            </w:r>
            <w:r>
              <w:rPr>
                <w:rFonts w:ascii="Times New Roman" w:hAnsi="Times New Roman" w:eastAsia="宋体" w:cs="Times New Roman"/>
                <w:spacing w:val="4"/>
                <w:sz w:val="24"/>
                <w:szCs w:val="24"/>
                <w:u w:val="single"/>
              </w:rPr>
              <w:t>密</w:t>
            </w:r>
            <w:r>
              <w:rPr>
                <w:rFonts w:ascii="Times New Roman" w:hAnsi="Times New Roman" w:eastAsia="宋体" w:cs="Times New Roman"/>
                <w:sz w:val="24"/>
                <w:szCs w:val="24"/>
                <w:u w:val="single"/>
              </w:rPr>
              <w:t>度</w:t>
            </w:r>
            <w:r>
              <w:rPr>
                <w:rFonts w:ascii="Times New Roman" w:hAnsi="Times New Roman" w:eastAsia="宋体" w:cs="Times New Roman"/>
                <w:spacing w:val="10"/>
                <w:sz w:val="24"/>
                <w:szCs w:val="24"/>
                <w:u w:val="single"/>
              </w:rPr>
              <w:t>最高</w:t>
            </w:r>
            <w:r>
              <w:rPr>
                <w:rFonts w:ascii="Times New Roman" w:hAnsi="Times New Roman" w:eastAsia="宋体" w:cs="Times New Roman"/>
                <w:spacing w:val="6"/>
                <w:sz w:val="24"/>
                <w:szCs w:val="24"/>
                <w:u w:val="single"/>
              </w:rPr>
              <w:t>为</w:t>
            </w:r>
            <w:r>
              <w:rPr>
                <w:rFonts w:ascii="Times New Roman" w:hAnsi="Times New Roman" w:eastAsia="宋体" w:cs="Times New Roman"/>
                <w:spacing w:val="5"/>
                <w:sz w:val="24"/>
                <w:szCs w:val="24"/>
                <w:u w:val="single"/>
              </w:rPr>
              <w:t xml:space="preserve"> 92 </w:t>
            </w:r>
            <w:r>
              <w:rPr>
                <w:rFonts w:ascii="Times New Roman" w:hAnsi="Times New Roman" w:eastAsia="宋体" w:cs="Times New Roman"/>
                <w:sz w:val="24"/>
                <w:szCs w:val="24"/>
                <w:u w:val="single"/>
              </w:rPr>
              <w:t>ind</w:t>
            </w:r>
            <w:r>
              <w:rPr>
                <w:rFonts w:ascii="Times New Roman" w:hAnsi="Times New Roman" w:eastAsia="宋体" w:cs="Times New Roman"/>
                <w:spacing w:val="5"/>
                <w:sz w:val="24"/>
                <w:szCs w:val="24"/>
                <w:u w:val="single"/>
              </w:rPr>
              <w:t>. /</w:t>
            </w:r>
            <w:r>
              <w:rPr>
                <w:rFonts w:ascii="Times New Roman" w:hAnsi="Times New Roman" w:eastAsia="宋体" w:cs="Times New Roman"/>
                <w:sz w:val="24"/>
                <w:szCs w:val="24"/>
                <w:u w:val="single"/>
              </w:rPr>
              <w:t>L</w:t>
            </w:r>
            <w:r>
              <w:rPr>
                <w:rFonts w:ascii="Times New Roman" w:hAnsi="Times New Roman" w:eastAsia="宋体" w:cs="Times New Roman"/>
                <w:spacing w:val="5"/>
                <w:sz w:val="24"/>
                <w:szCs w:val="24"/>
                <w:u w:val="single"/>
              </w:rPr>
              <w:t xml:space="preserve">；其次为轮虫类，平均密度为 69.23 </w:t>
            </w:r>
            <w:r>
              <w:rPr>
                <w:rFonts w:ascii="Times New Roman" w:hAnsi="Times New Roman" w:eastAsia="宋体" w:cs="Times New Roman"/>
                <w:sz w:val="24"/>
                <w:szCs w:val="24"/>
                <w:u w:val="single"/>
              </w:rPr>
              <w:t>ind</w:t>
            </w:r>
            <w:r>
              <w:rPr>
                <w:rFonts w:ascii="Times New Roman" w:hAnsi="Times New Roman" w:eastAsia="宋体" w:cs="Times New Roman"/>
                <w:spacing w:val="5"/>
                <w:sz w:val="24"/>
                <w:szCs w:val="24"/>
                <w:u w:val="single"/>
              </w:rPr>
              <w:t>. /</w:t>
            </w:r>
            <w:r>
              <w:rPr>
                <w:rFonts w:ascii="Times New Roman" w:hAnsi="Times New Roman" w:eastAsia="宋体" w:cs="Times New Roman"/>
                <w:sz w:val="24"/>
                <w:szCs w:val="24"/>
                <w:u w:val="single"/>
              </w:rPr>
              <w:t>L</w:t>
            </w:r>
            <w:r>
              <w:rPr>
                <w:rFonts w:ascii="Times New Roman" w:hAnsi="Times New Roman" w:eastAsia="宋体" w:cs="Times New Roman"/>
                <w:spacing w:val="5"/>
                <w:sz w:val="24"/>
                <w:szCs w:val="24"/>
                <w:u w:val="single"/>
              </w:rPr>
              <w:t>；枝角类的平均密度</w:t>
            </w:r>
            <w:r>
              <w:rPr>
                <w:rFonts w:ascii="Times New Roman" w:hAnsi="Times New Roman" w:eastAsia="宋体" w:cs="Times New Roman"/>
                <w:spacing w:val="2"/>
                <w:sz w:val="24"/>
                <w:szCs w:val="24"/>
                <w:u w:val="single"/>
              </w:rPr>
              <w:t>为 3.</w:t>
            </w:r>
            <w:r>
              <w:rPr>
                <w:rFonts w:ascii="Times New Roman" w:hAnsi="Times New Roman" w:eastAsia="宋体" w:cs="Times New Roman"/>
                <w:spacing w:val="1"/>
                <w:sz w:val="24"/>
                <w:szCs w:val="24"/>
                <w:u w:val="single"/>
              </w:rPr>
              <w:t xml:space="preserve">94 </w:t>
            </w:r>
            <w:r>
              <w:rPr>
                <w:rFonts w:ascii="Times New Roman" w:hAnsi="Times New Roman" w:eastAsia="宋体" w:cs="Times New Roman"/>
                <w:sz w:val="24"/>
                <w:szCs w:val="24"/>
                <w:u w:val="single"/>
              </w:rPr>
              <w:t>ind</w:t>
            </w:r>
            <w:r>
              <w:rPr>
                <w:rFonts w:ascii="Times New Roman" w:hAnsi="Times New Roman" w:eastAsia="宋体" w:cs="Times New Roman"/>
                <w:spacing w:val="1"/>
                <w:sz w:val="24"/>
                <w:szCs w:val="24"/>
                <w:u w:val="single"/>
              </w:rPr>
              <w:t>. /</w:t>
            </w:r>
            <w:r>
              <w:rPr>
                <w:rFonts w:ascii="Times New Roman" w:hAnsi="Times New Roman" w:eastAsia="宋体" w:cs="Times New Roman"/>
                <w:sz w:val="24"/>
                <w:szCs w:val="24"/>
                <w:u w:val="single"/>
              </w:rPr>
              <w:t>L</w:t>
            </w:r>
            <w:r>
              <w:rPr>
                <w:rFonts w:ascii="Times New Roman" w:hAnsi="Times New Roman" w:eastAsia="宋体" w:cs="Times New Roman"/>
                <w:spacing w:val="1"/>
                <w:sz w:val="24"/>
                <w:szCs w:val="24"/>
                <w:u w:val="single"/>
              </w:rPr>
              <w:t xml:space="preserve">；桡足类的平均密度为 3.40 </w:t>
            </w:r>
            <w:r>
              <w:rPr>
                <w:rFonts w:ascii="Times New Roman" w:hAnsi="Times New Roman" w:eastAsia="宋体" w:cs="Times New Roman"/>
                <w:sz w:val="24"/>
                <w:szCs w:val="24"/>
                <w:u w:val="single"/>
              </w:rPr>
              <w:t>ind</w:t>
            </w:r>
            <w:r>
              <w:rPr>
                <w:rFonts w:hint="eastAsia" w:ascii="Times New Roman" w:hAnsi="Times New Roman" w:eastAsia="宋体" w:cs="Times New Roman"/>
                <w:sz w:val="24"/>
                <w:szCs w:val="24"/>
                <w:u w:val="single"/>
              </w:rPr>
              <w:t>.</w:t>
            </w:r>
            <w:r>
              <w:rPr>
                <w:rFonts w:ascii="Times New Roman" w:hAnsi="Times New Roman" w:eastAsia="宋体" w:cs="Times New Roman"/>
                <w:sz w:val="24"/>
                <w:szCs w:val="24"/>
                <w:u w:val="single"/>
              </w:rPr>
              <w:t>L</w:t>
            </w:r>
            <w:r>
              <w:rPr>
                <w:rFonts w:ascii="Times New Roman" w:hAnsi="Times New Roman" w:eastAsia="宋体" w:cs="Times New Roman"/>
                <w:spacing w:val="1"/>
                <w:sz w:val="24"/>
                <w:szCs w:val="24"/>
                <w:u w:val="single"/>
              </w:rPr>
              <w:t>。评价区水体中浮游动物</w:t>
            </w:r>
            <w:r>
              <w:rPr>
                <w:rFonts w:ascii="Times New Roman" w:hAnsi="Times New Roman" w:eastAsia="宋体" w:cs="Times New Roman"/>
                <w:spacing w:val="6"/>
                <w:sz w:val="24"/>
                <w:szCs w:val="24"/>
                <w:u w:val="single"/>
              </w:rPr>
              <w:t>的</w:t>
            </w:r>
            <w:r>
              <w:rPr>
                <w:rFonts w:ascii="Times New Roman" w:hAnsi="Times New Roman" w:eastAsia="宋体" w:cs="Times New Roman"/>
                <w:spacing w:val="4"/>
                <w:sz w:val="24"/>
                <w:szCs w:val="24"/>
                <w:u w:val="single"/>
              </w:rPr>
              <w:t xml:space="preserve">平均生物量为 0.240 </w:t>
            </w:r>
            <w:r>
              <w:rPr>
                <w:rFonts w:ascii="Times New Roman" w:hAnsi="Times New Roman" w:eastAsia="宋体" w:cs="Times New Roman"/>
                <w:sz w:val="24"/>
                <w:szCs w:val="24"/>
                <w:u w:val="single"/>
              </w:rPr>
              <w:t>mg</w:t>
            </w:r>
            <w:r>
              <w:rPr>
                <w:rFonts w:ascii="Times New Roman" w:hAnsi="Times New Roman" w:eastAsia="宋体" w:cs="Times New Roman"/>
                <w:spacing w:val="4"/>
                <w:sz w:val="24"/>
                <w:szCs w:val="24"/>
                <w:u w:val="single"/>
              </w:rPr>
              <w:t>/</w:t>
            </w:r>
            <w:r>
              <w:rPr>
                <w:rFonts w:ascii="Times New Roman" w:hAnsi="Times New Roman" w:eastAsia="宋体" w:cs="Times New Roman"/>
                <w:sz w:val="24"/>
                <w:szCs w:val="24"/>
                <w:u w:val="single"/>
              </w:rPr>
              <w:t>L</w:t>
            </w:r>
            <w:r>
              <w:rPr>
                <w:rFonts w:ascii="Times New Roman" w:hAnsi="Times New Roman" w:eastAsia="宋体" w:cs="Times New Roman"/>
                <w:spacing w:val="4"/>
                <w:sz w:val="24"/>
                <w:szCs w:val="24"/>
                <w:u w:val="single"/>
              </w:rPr>
              <w:t xml:space="preserve">，其中轮虫类的平均生物量最大为 0.089 </w:t>
            </w:r>
            <w:r>
              <w:rPr>
                <w:rFonts w:ascii="Times New Roman" w:hAnsi="Times New Roman" w:eastAsia="宋体" w:cs="Times New Roman"/>
                <w:sz w:val="24"/>
                <w:szCs w:val="24"/>
                <w:u w:val="single"/>
              </w:rPr>
              <w:t>mg</w:t>
            </w:r>
            <w:r>
              <w:rPr>
                <w:rFonts w:ascii="Times New Roman" w:hAnsi="Times New Roman" w:eastAsia="宋体" w:cs="Times New Roman"/>
                <w:spacing w:val="4"/>
                <w:sz w:val="24"/>
                <w:szCs w:val="24"/>
                <w:u w:val="single"/>
              </w:rPr>
              <w:t>/</w:t>
            </w:r>
            <w:r>
              <w:rPr>
                <w:rFonts w:ascii="Times New Roman" w:hAnsi="Times New Roman" w:eastAsia="宋体" w:cs="Times New Roman"/>
                <w:sz w:val="24"/>
                <w:szCs w:val="24"/>
                <w:u w:val="single"/>
              </w:rPr>
              <w:t>L</w:t>
            </w:r>
            <w:r>
              <w:rPr>
                <w:rFonts w:ascii="Times New Roman" w:hAnsi="Times New Roman" w:eastAsia="宋体" w:cs="Times New Roman"/>
                <w:spacing w:val="4"/>
                <w:sz w:val="24"/>
                <w:szCs w:val="24"/>
                <w:u w:val="single"/>
              </w:rPr>
              <w:t>；其次</w:t>
            </w:r>
            <w:r>
              <w:rPr>
                <w:rFonts w:ascii="Times New Roman" w:hAnsi="Times New Roman" w:eastAsia="宋体" w:cs="Times New Roman"/>
                <w:spacing w:val="12"/>
                <w:sz w:val="24"/>
                <w:szCs w:val="24"/>
                <w:u w:val="single"/>
              </w:rPr>
              <w:t>为枝角类</w:t>
            </w:r>
            <w:r>
              <w:rPr>
                <w:rFonts w:ascii="Times New Roman" w:hAnsi="Times New Roman" w:eastAsia="宋体" w:cs="Times New Roman"/>
                <w:spacing w:val="8"/>
                <w:sz w:val="24"/>
                <w:szCs w:val="24"/>
                <w:u w:val="single"/>
              </w:rPr>
              <w:t>的</w:t>
            </w:r>
            <w:r>
              <w:rPr>
                <w:rFonts w:ascii="Times New Roman" w:hAnsi="Times New Roman" w:eastAsia="宋体" w:cs="Times New Roman"/>
                <w:spacing w:val="6"/>
                <w:sz w:val="24"/>
                <w:szCs w:val="24"/>
                <w:u w:val="single"/>
              </w:rPr>
              <w:t xml:space="preserve">为0.076 </w:t>
            </w:r>
            <w:r>
              <w:rPr>
                <w:rFonts w:ascii="Times New Roman" w:hAnsi="Times New Roman" w:eastAsia="宋体" w:cs="Times New Roman"/>
                <w:sz w:val="24"/>
                <w:szCs w:val="24"/>
                <w:u w:val="single"/>
              </w:rPr>
              <w:t>mg</w:t>
            </w:r>
            <w:r>
              <w:rPr>
                <w:rFonts w:ascii="Times New Roman" w:hAnsi="Times New Roman" w:eastAsia="宋体" w:cs="Times New Roman"/>
                <w:spacing w:val="6"/>
                <w:sz w:val="24"/>
                <w:szCs w:val="24"/>
                <w:u w:val="single"/>
              </w:rPr>
              <w:t>/</w:t>
            </w:r>
            <w:r>
              <w:rPr>
                <w:rFonts w:ascii="Times New Roman" w:hAnsi="Times New Roman" w:eastAsia="宋体" w:cs="Times New Roman"/>
                <w:sz w:val="24"/>
                <w:szCs w:val="24"/>
                <w:u w:val="single"/>
              </w:rPr>
              <w:t>L</w:t>
            </w:r>
            <w:r>
              <w:rPr>
                <w:rFonts w:ascii="Times New Roman" w:hAnsi="Times New Roman" w:eastAsia="宋体" w:cs="Times New Roman"/>
                <w:spacing w:val="6"/>
                <w:sz w:val="24"/>
                <w:szCs w:val="24"/>
                <w:u w:val="single"/>
              </w:rPr>
              <w:t xml:space="preserve">；桡足类的为 0.062 </w:t>
            </w:r>
            <w:r>
              <w:rPr>
                <w:rFonts w:ascii="Times New Roman" w:hAnsi="Times New Roman" w:eastAsia="宋体" w:cs="Times New Roman"/>
                <w:sz w:val="24"/>
                <w:szCs w:val="24"/>
                <w:u w:val="single"/>
              </w:rPr>
              <w:t>mg</w:t>
            </w:r>
            <w:r>
              <w:rPr>
                <w:rFonts w:ascii="Times New Roman" w:hAnsi="Times New Roman" w:eastAsia="宋体" w:cs="Times New Roman"/>
                <w:spacing w:val="6"/>
                <w:sz w:val="24"/>
                <w:szCs w:val="24"/>
                <w:u w:val="single"/>
              </w:rPr>
              <w:t>/</w:t>
            </w:r>
            <w:r>
              <w:rPr>
                <w:rFonts w:ascii="Times New Roman" w:hAnsi="Times New Roman" w:eastAsia="宋体" w:cs="Times New Roman"/>
                <w:sz w:val="24"/>
                <w:szCs w:val="24"/>
                <w:u w:val="single"/>
              </w:rPr>
              <w:t>L</w:t>
            </w:r>
            <w:r>
              <w:rPr>
                <w:rFonts w:ascii="Times New Roman" w:hAnsi="Times New Roman" w:eastAsia="宋体" w:cs="Times New Roman"/>
                <w:spacing w:val="6"/>
                <w:sz w:val="24"/>
                <w:szCs w:val="24"/>
                <w:u w:val="single"/>
              </w:rPr>
              <w:t>；原生动物的平均生物量为</w:t>
            </w:r>
            <w:r>
              <w:rPr>
                <w:rFonts w:ascii="Times New Roman" w:hAnsi="Times New Roman" w:eastAsia="宋体" w:cs="Times New Roman"/>
                <w:spacing w:val="8"/>
                <w:sz w:val="24"/>
                <w:szCs w:val="24"/>
                <w:u w:val="single"/>
              </w:rPr>
              <w:t>0</w:t>
            </w:r>
            <w:r>
              <w:rPr>
                <w:rFonts w:ascii="Times New Roman" w:hAnsi="Times New Roman" w:eastAsia="宋体" w:cs="Times New Roman"/>
                <w:spacing w:val="4"/>
                <w:sz w:val="24"/>
                <w:szCs w:val="24"/>
                <w:u w:val="single"/>
              </w:rPr>
              <w:t>.013</w:t>
            </w:r>
            <w:r>
              <w:rPr>
                <w:rFonts w:ascii="Times New Roman" w:hAnsi="Times New Roman" w:eastAsia="宋体" w:cs="Times New Roman"/>
                <w:sz w:val="24"/>
                <w:szCs w:val="24"/>
                <w:u w:val="single"/>
              </w:rPr>
              <w:t>mg</w:t>
            </w:r>
            <w:r>
              <w:rPr>
                <w:rFonts w:ascii="Times New Roman" w:hAnsi="Times New Roman" w:eastAsia="宋体" w:cs="Times New Roman"/>
                <w:spacing w:val="4"/>
                <w:sz w:val="24"/>
                <w:szCs w:val="24"/>
                <w:u w:val="single"/>
              </w:rPr>
              <w:t>/</w:t>
            </w:r>
            <w:r>
              <w:rPr>
                <w:rFonts w:ascii="Times New Roman" w:hAnsi="Times New Roman" w:eastAsia="宋体" w:cs="Times New Roman"/>
                <w:sz w:val="24"/>
                <w:szCs w:val="24"/>
                <w:u w:val="single"/>
              </w:rPr>
              <w:t>L</w:t>
            </w:r>
            <w:r>
              <w:rPr>
                <w:rFonts w:ascii="Times New Roman" w:hAnsi="Times New Roman" w:eastAsia="宋体" w:cs="Times New Roman"/>
                <w:spacing w:val="4"/>
                <w:sz w:val="24"/>
                <w:szCs w:val="24"/>
                <w:u w:val="single"/>
              </w:rPr>
              <w:t>。</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1.3.3、</w:t>
            </w:r>
            <w:r>
              <w:rPr>
                <w:rFonts w:ascii="Times New Roman" w:hAnsi="Times New Roman" w:cs="Times New Roman"/>
                <w:b/>
                <w:bCs/>
                <w:spacing w:val="8"/>
                <w:sz w:val="24"/>
                <w:szCs w:val="24"/>
                <w:u w:val="single"/>
              </w:rPr>
              <w:t>底栖动物</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1.3.3.1、</w:t>
            </w:r>
            <w:r>
              <w:rPr>
                <w:rFonts w:ascii="Times New Roman" w:hAnsi="Times New Roman" w:cs="Times New Roman"/>
                <w:b/>
                <w:bCs/>
                <w:spacing w:val="8"/>
                <w:sz w:val="24"/>
                <w:szCs w:val="24"/>
                <w:u w:val="single"/>
              </w:rPr>
              <w:t>种类组成</w:t>
            </w:r>
          </w:p>
          <w:p>
            <w:pPr>
              <w:spacing w:line="360" w:lineRule="auto"/>
              <w:ind w:firstLine="520" w:firstLineChars="200"/>
              <w:rPr>
                <w:rFonts w:ascii="Times New Roman" w:hAnsi="Times New Roman"/>
                <w:sz w:val="24"/>
                <w:u w:val="single"/>
              </w:rPr>
            </w:pPr>
            <w:r>
              <w:rPr>
                <w:rFonts w:ascii="Times New Roman" w:hAnsi="Times New Roman" w:eastAsia="宋体" w:cs="Times New Roman"/>
                <w:spacing w:val="10"/>
                <w:sz w:val="24"/>
                <w:szCs w:val="24"/>
                <w:u w:val="single"/>
              </w:rPr>
              <w:t>现场调查发</w:t>
            </w:r>
            <w:r>
              <w:rPr>
                <w:rFonts w:ascii="Times New Roman" w:hAnsi="Times New Roman" w:eastAsia="宋体" w:cs="Times New Roman"/>
                <w:spacing w:val="5"/>
                <w:sz w:val="24"/>
                <w:szCs w:val="24"/>
                <w:u w:val="single"/>
              </w:rPr>
              <w:t xml:space="preserve">现，评价区内共检出底栖动物 3 门 31 种 </w:t>
            </w:r>
            <w:r>
              <w:rPr>
                <w:rFonts w:hint="eastAsia" w:ascii="Times New Roman" w:hAnsi="Times New Roman" w:eastAsia="宋体" w:cs="Times New Roman"/>
                <w:spacing w:val="5"/>
                <w:sz w:val="24"/>
                <w:szCs w:val="24"/>
                <w:u w:val="single"/>
              </w:rPr>
              <w:t>（</w:t>
            </w:r>
            <w:r>
              <w:rPr>
                <w:rFonts w:ascii="Times New Roman" w:hAnsi="Times New Roman" w:eastAsia="宋体" w:cs="Times New Roman"/>
                <w:spacing w:val="5"/>
                <w:sz w:val="24"/>
                <w:szCs w:val="24"/>
                <w:u w:val="single"/>
              </w:rPr>
              <w:t>属</w:t>
            </w:r>
            <w:r>
              <w:rPr>
                <w:rFonts w:hint="eastAsia" w:ascii="Times New Roman" w:hAnsi="Times New Roman" w:eastAsia="宋体" w:cs="Times New Roman"/>
                <w:spacing w:val="5"/>
                <w:sz w:val="24"/>
                <w:szCs w:val="24"/>
                <w:u w:val="single"/>
              </w:rPr>
              <w:t>）</w:t>
            </w:r>
            <w:r>
              <w:rPr>
                <w:rFonts w:ascii="Times New Roman" w:hAnsi="Times New Roman" w:eastAsia="宋体" w:cs="Times New Roman"/>
                <w:spacing w:val="5"/>
                <w:sz w:val="24"/>
                <w:szCs w:val="24"/>
                <w:u w:val="single"/>
              </w:rPr>
              <w:t xml:space="preserve"> ，其中软体动物</w:t>
            </w:r>
            <w:r>
              <w:rPr>
                <w:rFonts w:ascii="Times New Roman" w:hAnsi="Times New Roman" w:eastAsia="宋体" w:cs="Times New Roman"/>
                <w:spacing w:val="-6"/>
                <w:sz w:val="24"/>
                <w:szCs w:val="24"/>
                <w:u w:val="single"/>
              </w:rPr>
              <w:t xml:space="preserve">门有 16 种 </w:t>
            </w:r>
            <w:r>
              <w:rPr>
                <w:rFonts w:hint="eastAsia" w:ascii="Times New Roman" w:hAnsi="Times New Roman" w:eastAsia="宋体" w:cs="Times New Roman"/>
                <w:spacing w:val="-6"/>
                <w:sz w:val="24"/>
                <w:szCs w:val="24"/>
                <w:u w:val="single"/>
              </w:rPr>
              <w:t>（</w:t>
            </w:r>
            <w:r>
              <w:rPr>
                <w:rFonts w:ascii="Times New Roman" w:hAnsi="Times New Roman" w:eastAsia="宋体" w:cs="Times New Roman"/>
                <w:spacing w:val="-6"/>
                <w:sz w:val="24"/>
                <w:szCs w:val="24"/>
                <w:u w:val="single"/>
              </w:rPr>
              <w:t>属</w:t>
            </w:r>
            <w:r>
              <w:rPr>
                <w:rFonts w:hint="eastAsia" w:ascii="Times New Roman" w:hAnsi="Times New Roman" w:eastAsia="宋体" w:cs="Times New Roman"/>
                <w:spacing w:val="-6"/>
                <w:sz w:val="24"/>
                <w:szCs w:val="24"/>
                <w:u w:val="single"/>
              </w:rPr>
              <w:t>）</w:t>
            </w:r>
            <w:r>
              <w:rPr>
                <w:rFonts w:ascii="Times New Roman" w:hAnsi="Times New Roman" w:eastAsia="宋体" w:cs="Times New Roman"/>
                <w:spacing w:val="-6"/>
                <w:sz w:val="24"/>
                <w:szCs w:val="24"/>
                <w:u w:val="single"/>
              </w:rPr>
              <w:t xml:space="preserve"> ，占总数的 56.61%；节肢动物门 10 种 </w:t>
            </w:r>
            <w:r>
              <w:rPr>
                <w:rFonts w:hint="eastAsia" w:ascii="Times New Roman" w:hAnsi="Times New Roman" w:eastAsia="宋体" w:cs="Times New Roman"/>
                <w:spacing w:val="-6"/>
                <w:sz w:val="24"/>
                <w:szCs w:val="24"/>
                <w:u w:val="single"/>
              </w:rPr>
              <w:t>（</w:t>
            </w:r>
            <w:r>
              <w:rPr>
                <w:rFonts w:ascii="Times New Roman" w:hAnsi="Times New Roman" w:eastAsia="宋体" w:cs="Times New Roman"/>
                <w:spacing w:val="-6"/>
                <w:sz w:val="24"/>
                <w:szCs w:val="24"/>
                <w:u w:val="single"/>
              </w:rPr>
              <w:t>属</w:t>
            </w:r>
            <w:r>
              <w:rPr>
                <w:rFonts w:hint="eastAsia" w:ascii="Times New Roman" w:hAnsi="Times New Roman" w:eastAsia="宋体" w:cs="Times New Roman"/>
                <w:spacing w:val="-6"/>
                <w:sz w:val="24"/>
                <w:szCs w:val="24"/>
                <w:u w:val="single"/>
              </w:rPr>
              <w:t>）</w:t>
            </w:r>
            <w:r>
              <w:rPr>
                <w:rFonts w:ascii="Times New Roman" w:hAnsi="Times New Roman" w:eastAsia="宋体" w:cs="Times New Roman"/>
                <w:spacing w:val="-6"/>
                <w:sz w:val="24"/>
                <w:szCs w:val="24"/>
                <w:u w:val="single"/>
              </w:rPr>
              <w:t xml:space="preserve"> ，占总数的 32.26%</w:t>
            </w:r>
            <w:r>
              <w:rPr>
                <w:rFonts w:ascii="Times New Roman" w:hAnsi="Times New Roman" w:eastAsia="宋体" w:cs="Times New Roman"/>
                <w:sz w:val="24"/>
                <w:szCs w:val="24"/>
                <w:u w:val="single"/>
              </w:rPr>
              <w:t xml:space="preserve">； </w:t>
            </w:r>
            <w:r>
              <w:rPr>
                <w:rFonts w:ascii="Times New Roman" w:hAnsi="Times New Roman" w:eastAsia="宋体" w:cs="Times New Roman"/>
                <w:spacing w:val="-8"/>
                <w:sz w:val="24"/>
                <w:szCs w:val="24"/>
                <w:u w:val="single"/>
              </w:rPr>
              <w:t>环节动</w:t>
            </w:r>
            <w:r>
              <w:rPr>
                <w:rFonts w:ascii="Times New Roman" w:hAnsi="Times New Roman" w:eastAsia="宋体" w:cs="Times New Roman"/>
                <w:spacing w:val="-4"/>
                <w:sz w:val="24"/>
                <w:szCs w:val="24"/>
                <w:u w:val="single"/>
              </w:rPr>
              <w:t xml:space="preserve">物 5 种 </w:t>
            </w:r>
            <w:r>
              <w:rPr>
                <w:rFonts w:hint="eastAsia" w:ascii="Times New Roman" w:hAnsi="Times New Roman" w:eastAsia="宋体" w:cs="Times New Roman"/>
                <w:spacing w:val="-4"/>
                <w:sz w:val="24"/>
                <w:szCs w:val="24"/>
                <w:u w:val="single"/>
              </w:rPr>
              <w:t>（</w:t>
            </w:r>
            <w:r>
              <w:rPr>
                <w:rFonts w:ascii="Times New Roman" w:hAnsi="Times New Roman" w:eastAsia="宋体" w:cs="Times New Roman"/>
                <w:spacing w:val="-4"/>
                <w:sz w:val="24"/>
                <w:szCs w:val="24"/>
                <w:u w:val="single"/>
              </w:rPr>
              <w:t>属</w:t>
            </w:r>
            <w:r>
              <w:rPr>
                <w:rFonts w:hint="eastAsia" w:ascii="Times New Roman" w:hAnsi="Times New Roman" w:eastAsia="宋体" w:cs="Times New Roman"/>
                <w:spacing w:val="-4"/>
                <w:sz w:val="24"/>
                <w:szCs w:val="24"/>
                <w:u w:val="single"/>
              </w:rPr>
              <w:t>）</w:t>
            </w:r>
            <w:r>
              <w:rPr>
                <w:rFonts w:ascii="Times New Roman" w:hAnsi="Times New Roman" w:eastAsia="宋体" w:cs="Times New Roman"/>
                <w:spacing w:val="-4"/>
                <w:sz w:val="24"/>
                <w:szCs w:val="24"/>
                <w:u w:val="single"/>
              </w:rPr>
              <w:t xml:space="preserve"> ，占总数的 16. 13%。</w:t>
            </w:r>
          </w:p>
          <w:p>
            <w:pPr>
              <w:tabs>
                <w:tab w:val="left" w:pos="247"/>
              </w:tabs>
              <w:spacing w:line="360" w:lineRule="auto"/>
              <w:ind w:firstLine="512" w:firstLineChars="200"/>
              <w:rPr>
                <w:rFonts w:ascii="Times New Roman" w:hAnsi="Times New Roman"/>
                <w:sz w:val="24"/>
                <w:u w:val="single"/>
              </w:rPr>
            </w:pPr>
            <w:r>
              <w:rPr>
                <w:rFonts w:ascii="Times New Roman" w:hAnsi="Times New Roman" w:eastAsia="宋体" w:cs="Times New Roman"/>
                <w:spacing w:val="8"/>
                <w:sz w:val="24"/>
                <w:szCs w:val="24"/>
                <w:u w:val="single"/>
              </w:rPr>
              <w:t>从种类分布看，评价区水域底栖动物以软体动物占优势，其次为节肢动物</w:t>
            </w:r>
            <w:r>
              <w:rPr>
                <w:rFonts w:ascii="Times New Roman" w:hAnsi="Times New Roman" w:eastAsia="宋体" w:cs="Times New Roman"/>
                <w:spacing w:val="5"/>
                <w:sz w:val="24"/>
                <w:szCs w:val="24"/>
                <w:u w:val="single"/>
              </w:rPr>
              <w:t>，</w:t>
            </w:r>
            <w:r>
              <w:rPr>
                <w:rFonts w:ascii="Times New Roman" w:hAnsi="Times New Roman" w:eastAsia="宋体" w:cs="Times New Roman"/>
                <w:spacing w:val="-18"/>
                <w:sz w:val="24"/>
                <w:szCs w:val="24"/>
                <w:u w:val="single"/>
              </w:rPr>
              <w:t>环 节</w:t>
            </w:r>
            <w:r>
              <w:rPr>
                <w:rFonts w:ascii="Times New Roman" w:hAnsi="Times New Roman" w:eastAsia="宋体" w:cs="Times New Roman"/>
                <w:spacing w:val="-9"/>
                <w:sz w:val="24"/>
                <w:szCs w:val="24"/>
                <w:u w:val="single"/>
              </w:rPr>
              <w:t xml:space="preserve"> 动 物 相 对 较 少。优 势 种 有 河 蚬 ( </w:t>
            </w:r>
            <w:r>
              <w:rPr>
                <w:rFonts w:ascii="Times New Roman" w:hAnsi="Times New Roman" w:eastAsia="宋体" w:cs="Times New Roman"/>
                <w:i/>
                <w:iCs/>
                <w:spacing w:val="-9"/>
                <w:sz w:val="24"/>
                <w:szCs w:val="24"/>
                <w:u w:val="single"/>
              </w:rPr>
              <w:t>Corbicula</w:t>
            </w:r>
            <w:r>
              <w:rPr>
                <w:rFonts w:ascii="Times New Roman" w:hAnsi="Times New Roman" w:eastAsia="宋体" w:cs="Times New Roman"/>
                <w:spacing w:val="-9"/>
                <w:sz w:val="24"/>
                <w:szCs w:val="24"/>
                <w:u w:val="single"/>
              </w:rPr>
              <w:t xml:space="preserve"> </w:t>
            </w:r>
            <w:r>
              <w:rPr>
                <w:rFonts w:ascii="Times New Roman" w:hAnsi="Times New Roman" w:eastAsia="宋体" w:cs="Times New Roman"/>
                <w:i/>
                <w:iCs/>
                <w:spacing w:val="-9"/>
                <w:sz w:val="24"/>
                <w:szCs w:val="24"/>
                <w:u w:val="single"/>
              </w:rPr>
              <w:t>fluminea</w:t>
            </w:r>
            <w:r>
              <w:rPr>
                <w:rFonts w:ascii="Times New Roman" w:hAnsi="Times New Roman" w:eastAsia="宋体" w:cs="Times New Roman"/>
                <w:spacing w:val="-9"/>
                <w:sz w:val="24"/>
                <w:szCs w:val="24"/>
                <w:u w:val="single"/>
              </w:rPr>
              <w:t xml:space="preserve"> )、  隐 摇 蚊</w:t>
            </w:r>
            <w:r>
              <w:rPr>
                <w:rFonts w:hint="eastAsia" w:ascii="Times New Roman" w:hAnsi="Times New Roman" w:eastAsia="宋体" w:cs="Times New Roman"/>
                <w:spacing w:val="-9"/>
                <w:sz w:val="24"/>
                <w:szCs w:val="24"/>
                <w:u w:val="single"/>
              </w:rPr>
              <w:t>（</w:t>
            </w:r>
            <w:r>
              <w:rPr>
                <w:rFonts w:ascii="Times New Roman" w:hAnsi="Times New Roman" w:eastAsia="宋体" w:cs="Times New Roman"/>
                <w:i/>
                <w:iCs/>
                <w:sz w:val="24"/>
                <w:szCs w:val="24"/>
                <w:u w:val="single"/>
              </w:rPr>
              <w:t>Cryptochironomus</w:t>
            </w:r>
            <w:r>
              <w:rPr>
                <w:rFonts w:ascii="Times New Roman" w:hAnsi="Times New Roman" w:eastAsia="宋体" w:cs="Times New Roman"/>
                <w:spacing w:val="2"/>
                <w:sz w:val="24"/>
                <w:szCs w:val="24"/>
                <w:u w:val="single"/>
              </w:rPr>
              <w:t xml:space="preserve"> </w:t>
            </w:r>
            <w:r>
              <w:rPr>
                <w:rFonts w:ascii="Times New Roman" w:hAnsi="Times New Roman" w:eastAsia="宋体" w:cs="Times New Roman"/>
                <w:sz w:val="24"/>
                <w:szCs w:val="24"/>
                <w:u w:val="single"/>
              </w:rPr>
              <w:t>sp</w:t>
            </w:r>
            <w:r>
              <w:rPr>
                <w:rFonts w:ascii="Times New Roman" w:hAnsi="Times New Roman" w:eastAsia="宋体" w:cs="Times New Roman"/>
                <w:spacing w:val="2"/>
                <w:sz w:val="24"/>
                <w:szCs w:val="24"/>
                <w:u w:val="single"/>
              </w:rPr>
              <w:t>. ) 、日本沼虾 (</w:t>
            </w:r>
            <w:r>
              <w:rPr>
                <w:rFonts w:ascii="Times New Roman" w:hAnsi="Times New Roman" w:eastAsia="宋体" w:cs="Times New Roman"/>
                <w:i/>
                <w:iCs/>
                <w:sz w:val="24"/>
                <w:szCs w:val="24"/>
                <w:u w:val="single"/>
              </w:rPr>
              <w:t>Macrobrachium</w:t>
            </w:r>
            <w:r>
              <w:rPr>
                <w:rFonts w:ascii="Times New Roman" w:hAnsi="Times New Roman" w:eastAsia="宋体" w:cs="Times New Roman"/>
                <w:spacing w:val="2"/>
                <w:sz w:val="24"/>
                <w:szCs w:val="24"/>
                <w:u w:val="single"/>
              </w:rPr>
              <w:t xml:space="preserve"> </w:t>
            </w:r>
            <w:r>
              <w:rPr>
                <w:rFonts w:ascii="Times New Roman" w:hAnsi="Times New Roman" w:eastAsia="宋体" w:cs="Times New Roman"/>
                <w:i/>
                <w:iCs/>
                <w:sz w:val="24"/>
                <w:szCs w:val="24"/>
                <w:u w:val="single"/>
              </w:rPr>
              <w:t>nipponensis</w:t>
            </w:r>
            <w:r>
              <w:rPr>
                <w:rFonts w:ascii="Times New Roman" w:hAnsi="Times New Roman" w:eastAsia="宋体" w:cs="Times New Roman"/>
                <w:spacing w:val="1"/>
                <w:sz w:val="24"/>
                <w:szCs w:val="24"/>
                <w:u w:val="single"/>
              </w:rPr>
              <w:t xml:space="preserve"> ) 等。</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1.3.3.2、</w:t>
            </w:r>
            <w:r>
              <w:rPr>
                <w:rFonts w:ascii="Times New Roman" w:hAnsi="Times New Roman" w:cs="Times New Roman"/>
                <w:b/>
                <w:bCs/>
                <w:spacing w:val="8"/>
                <w:sz w:val="24"/>
                <w:szCs w:val="24"/>
                <w:u w:val="single"/>
              </w:rPr>
              <w:t>密度和生物量</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评价区水体中底栖动物平均密度为14.</w:t>
            </w:r>
            <w:r>
              <w:rPr>
                <w:rFonts w:ascii="Times New Roman" w:hAnsi="Times New Roman" w:eastAsia="宋体" w:cs="Times New Roman"/>
                <w:spacing w:val="14"/>
                <w:sz w:val="24"/>
                <w:szCs w:val="24"/>
                <w:u w:val="single"/>
              </w:rPr>
              <w:t>7</w:t>
            </w:r>
            <w:r>
              <w:rPr>
                <w:rFonts w:ascii="Times New Roman" w:hAnsi="Times New Roman" w:eastAsia="宋体" w:cs="Times New Roman"/>
                <w:sz w:val="24"/>
                <w:szCs w:val="24"/>
                <w:u w:val="single"/>
              </w:rPr>
              <w:t xml:space="preserve"> ind</w:t>
            </w:r>
            <w:r>
              <w:rPr>
                <w:rFonts w:hint="eastAsia" w:ascii="Times New Roman" w:hAnsi="Times New Roman" w:eastAsia="宋体" w:cs="Times New Roman"/>
                <w:sz w:val="24"/>
                <w:szCs w:val="24"/>
                <w:u w:val="single"/>
              </w:rPr>
              <w:t>.</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vertAlign w:val="superscript"/>
              </w:rPr>
              <w:t>2</w:t>
            </w:r>
            <w:r>
              <w:rPr>
                <w:rFonts w:ascii="Times New Roman" w:hAnsi="Times New Roman" w:eastAsia="宋体" w:cs="Times New Roman"/>
                <w:spacing w:val="2"/>
                <w:sz w:val="24"/>
                <w:szCs w:val="24"/>
                <w:u w:val="single"/>
              </w:rPr>
              <w:t xml:space="preserve">；平均生物量为 12.86 </w:t>
            </w:r>
            <w:r>
              <w:rPr>
                <w:rFonts w:ascii="Times New Roman" w:hAnsi="Times New Roman" w:eastAsia="宋体" w:cs="Times New Roman"/>
                <w:sz w:val="24"/>
                <w:szCs w:val="24"/>
                <w:u w:val="single"/>
              </w:rPr>
              <w:t>g</w:t>
            </w:r>
            <w:r>
              <w:rPr>
                <w:rFonts w:ascii="Times New Roman" w:hAnsi="Times New Roman" w:eastAsia="宋体" w:cs="Times New Roman"/>
                <w:spacing w:val="2"/>
                <w:sz w:val="24"/>
                <w:szCs w:val="24"/>
                <w:u w:val="single"/>
              </w:rPr>
              <w:t>/</w:t>
            </w:r>
            <w:r>
              <w:rPr>
                <w:rFonts w:ascii="Times New Roman" w:hAnsi="Times New Roman" w:eastAsia="宋体" w:cs="Times New Roman"/>
                <w:sz w:val="24"/>
                <w:szCs w:val="24"/>
                <w:u w:val="single"/>
              </w:rPr>
              <w:t>m</w:t>
            </w:r>
            <w:r>
              <w:rPr>
                <w:rFonts w:hint="eastAsia" w:ascii="Times New Roman" w:hAnsi="Times New Roman" w:eastAsia="宋体" w:cs="Times New Roman"/>
                <w:sz w:val="24"/>
                <w:szCs w:val="24"/>
                <w:u w:val="single"/>
                <w:vertAlign w:val="superscript"/>
              </w:rPr>
              <w:t>2</w:t>
            </w:r>
            <w:r>
              <w:rPr>
                <w:rFonts w:ascii="Times New Roman" w:hAnsi="Times New Roman" w:eastAsia="宋体" w:cs="Times New Roman"/>
                <w:spacing w:val="1"/>
                <w:sz w:val="24"/>
                <w:szCs w:val="24"/>
                <w:u w:val="single"/>
              </w:rPr>
              <w:t>。</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1.3.4、</w:t>
            </w:r>
            <w:r>
              <w:rPr>
                <w:rFonts w:ascii="Times New Roman" w:hAnsi="Times New Roman" w:cs="Times New Roman"/>
                <w:b/>
                <w:bCs/>
                <w:spacing w:val="8"/>
                <w:sz w:val="24"/>
                <w:szCs w:val="24"/>
                <w:u w:val="single"/>
              </w:rPr>
              <w:t>水生维管束植物</w:t>
            </w:r>
          </w:p>
          <w:p>
            <w:pPr>
              <w:spacing w:line="360" w:lineRule="auto"/>
              <w:ind w:firstLine="508" w:firstLineChars="200"/>
              <w:rPr>
                <w:rFonts w:ascii="Times New Roman" w:hAnsi="Times New Roman"/>
                <w:sz w:val="24"/>
                <w:u w:val="single"/>
              </w:rPr>
            </w:pPr>
            <w:r>
              <w:rPr>
                <w:rFonts w:ascii="Times New Roman" w:hAnsi="Times New Roman" w:eastAsia="宋体" w:cs="Times New Roman"/>
                <w:spacing w:val="7"/>
                <w:sz w:val="24"/>
                <w:szCs w:val="24"/>
                <w:u w:val="single"/>
              </w:rPr>
              <w:t>评价区共有水生维管束植物 18 种；常见有芦</w:t>
            </w:r>
            <w:r>
              <w:rPr>
                <w:rFonts w:ascii="Times New Roman" w:hAnsi="Times New Roman" w:eastAsia="宋体" w:cs="Times New Roman"/>
                <w:spacing w:val="4"/>
                <w:sz w:val="24"/>
                <w:szCs w:val="24"/>
                <w:u w:val="single"/>
              </w:rPr>
              <w:t>苇群系、荻群系、凤</w:t>
            </w:r>
            <w:r>
              <w:rPr>
                <w:rFonts w:ascii="Times New Roman" w:hAnsi="Times New Roman" w:eastAsia="宋体" w:cs="Times New Roman"/>
                <w:spacing w:val="3"/>
                <w:sz w:val="24"/>
                <w:szCs w:val="24"/>
                <w:u w:val="single"/>
              </w:rPr>
              <w:t>眼</w:t>
            </w:r>
            <w:r>
              <w:rPr>
                <w:rFonts w:ascii="Times New Roman" w:hAnsi="Times New Roman" w:eastAsia="宋体" w:cs="Times New Roman"/>
                <w:spacing w:val="2"/>
                <w:sz w:val="24"/>
                <w:szCs w:val="24"/>
                <w:u w:val="single"/>
              </w:rPr>
              <w:t>莲群系等，周边常见的湿生植物有喜旱莲子草、双穗雀稗、</w:t>
            </w:r>
            <w:r>
              <w:rPr>
                <w:rFonts w:ascii="Times New Roman" w:hAnsi="Times New Roman" w:eastAsia="宋体" w:cs="Times New Roman"/>
                <w:spacing w:val="6"/>
                <w:sz w:val="24"/>
                <w:szCs w:val="24"/>
                <w:u w:val="single"/>
              </w:rPr>
              <w:t>莲、菰等</w:t>
            </w:r>
            <w:r>
              <w:rPr>
                <w:rFonts w:ascii="Times New Roman" w:hAnsi="Times New Roman" w:eastAsia="宋体" w:cs="Times New Roman"/>
                <w:spacing w:val="5"/>
                <w:sz w:val="24"/>
                <w:szCs w:val="24"/>
                <w:u w:val="single"/>
              </w:rPr>
              <w:t>。</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1.3.5、</w:t>
            </w:r>
            <w:r>
              <w:rPr>
                <w:rFonts w:ascii="Times New Roman" w:hAnsi="Times New Roman" w:cs="Times New Roman"/>
                <w:b/>
                <w:bCs/>
                <w:spacing w:val="8"/>
                <w:sz w:val="24"/>
                <w:szCs w:val="24"/>
                <w:u w:val="single"/>
              </w:rPr>
              <w:t>鱼类</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1.3.5.1、</w:t>
            </w:r>
            <w:r>
              <w:rPr>
                <w:rFonts w:ascii="Times New Roman" w:hAnsi="Times New Roman" w:cs="Times New Roman"/>
                <w:b/>
                <w:bCs/>
                <w:spacing w:val="8"/>
                <w:sz w:val="24"/>
                <w:szCs w:val="24"/>
                <w:u w:val="single"/>
              </w:rPr>
              <w:t>种类组成</w:t>
            </w:r>
          </w:p>
          <w:p>
            <w:pPr>
              <w:spacing w:line="360" w:lineRule="auto"/>
              <w:ind w:firstLine="492" w:firstLineChars="200"/>
              <w:rPr>
                <w:rFonts w:ascii="Times New Roman" w:hAnsi="Times New Roman"/>
                <w:sz w:val="24"/>
                <w:u w:val="single"/>
              </w:rPr>
            </w:pPr>
            <w:r>
              <w:rPr>
                <w:rFonts w:ascii="Times New Roman" w:hAnsi="Times New Roman" w:eastAsia="宋体" w:cs="Times New Roman"/>
                <w:spacing w:val="3"/>
                <w:sz w:val="24"/>
                <w:szCs w:val="24"/>
                <w:u w:val="single"/>
              </w:rPr>
              <w:t>评价区水域共总结出鱼类 4目8科共计24种，鱼类群落中种数最多的</w:t>
            </w:r>
            <w:r>
              <w:rPr>
                <w:rFonts w:ascii="Times New Roman" w:hAnsi="Times New Roman" w:eastAsia="宋体" w:cs="Times New Roman"/>
                <w:spacing w:val="-4"/>
                <w:sz w:val="24"/>
                <w:szCs w:val="24"/>
                <w:u w:val="single"/>
              </w:rPr>
              <w:t>鲤形目有 18 种，占总种类数的 7</w:t>
            </w:r>
            <w:r>
              <w:rPr>
                <w:rFonts w:ascii="Times New Roman" w:hAnsi="Times New Roman" w:eastAsia="宋体" w:cs="Times New Roman"/>
                <w:spacing w:val="-3"/>
                <w:sz w:val="24"/>
                <w:szCs w:val="24"/>
                <w:u w:val="single"/>
              </w:rPr>
              <w:t>5</w:t>
            </w:r>
            <w:r>
              <w:rPr>
                <w:rFonts w:ascii="Times New Roman" w:hAnsi="Times New Roman" w:eastAsia="宋体" w:cs="Times New Roman"/>
                <w:spacing w:val="-2"/>
                <w:sz w:val="24"/>
                <w:szCs w:val="24"/>
                <w:u w:val="single"/>
              </w:rPr>
              <w:t>.00% ；其次是鲈形目 3 种，占比 12.50% ；鲇</w:t>
            </w:r>
            <w:r>
              <w:rPr>
                <w:rFonts w:ascii="Times New Roman" w:hAnsi="Times New Roman" w:eastAsia="宋体" w:cs="Times New Roman"/>
                <w:spacing w:val="-1"/>
                <w:sz w:val="24"/>
                <w:szCs w:val="24"/>
                <w:u w:val="single"/>
              </w:rPr>
              <w:t>形目</w:t>
            </w:r>
            <w:r>
              <w:rPr>
                <w:rFonts w:ascii="Times New Roman" w:hAnsi="Times New Roman" w:eastAsia="宋体" w:cs="Times New Roman"/>
                <w:sz w:val="24"/>
                <w:szCs w:val="24"/>
                <w:u w:val="single"/>
              </w:rPr>
              <w:t>2 种，占比 8.33%；最少的合鳃鱼目仅 1 种，占比 4. 17%。从分布范围来看，</w:t>
            </w:r>
            <w:r>
              <w:rPr>
                <w:rFonts w:ascii="Times New Roman" w:hAnsi="Times New Roman" w:eastAsia="宋体" w:cs="Times New Roman"/>
                <w:spacing w:val="13"/>
                <w:sz w:val="24"/>
                <w:szCs w:val="24"/>
                <w:u w:val="single"/>
              </w:rPr>
              <w:t>养殖的鱼类主要为鲢 (</w:t>
            </w:r>
            <w:r>
              <w:rPr>
                <w:rFonts w:ascii="Times New Roman" w:hAnsi="Times New Roman" w:eastAsia="宋体" w:cs="Times New Roman"/>
                <w:i/>
                <w:iCs/>
                <w:sz w:val="24"/>
                <w:szCs w:val="24"/>
                <w:u w:val="single"/>
              </w:rPr>
              <w:t>Hypophthalmichthys</w:t>
            </w:r>
            <w:r>
              <w:rPr>
                <w:rFonts w:ascii="Times New Roman" w:hAnsi="Times New Roman" w:eastAsia="宋体" w:cs="Times New Roman"/>
                <w:spacing w:val="13"/>
                <w:sz w:val="24"/>
                <w:szCs w:val="24"/>
                <w:u w:val="single"/>
              </w:rPr>
              <w:t xml:space="preserve"> </w:t>
            </w:r>
            <w:r>
              <w:rPr>
                <w:rFonts w:ascii="Times New Roman" w:hAnsi="Times New Roman" w:eastAsia="宋体" w:cs="Times New Roman"/>
                <w:i/>
                <w:iCs/>
                <w:sz w:val="24"/>
                <w:szCs w:val="24"/>
                <w:u w:val="single"/>
              </w:rPr>
              <w:t>molitrix</w:t>
            </w:r>
            <w:r>
              <w:rPr>
                <w:rFonts w:ascii="Times New Roman" w:hAnsi="Times New Roman" w:eastAsia="宋体" w:cs="Times New Roman"/>
                <w:spacing w:val="13"/>
                <w:sz w:val="24"/>
                <w:szCs w:val="24"/>
                <w:u w:val="single"/>
              </w:rPr>
              <w:t xml:space="preserve"> ) 和鳙 </w:t>
            </w:r>
            <w:r>
              <w:rPr>
                <w:rFonts w:ascii="Times New Roman" w:hAnsi="Times New Roman" w:eastAsia="宋体" w:cs="Times New Roman"/>
                <w:spacing w:val="9"/>
                <w:sz w:val="24"/>
                <w:szCs w:val="24"/>
                <w:u w:val="single"/>
              </w:rPr>
              <w:t>(</w:t>
            </w:r>
            <w:r>
              <w:rPr>
                <w:rFonts w:ascii="Times New Roman" w:hAnsi="Times New Roman" w:eastAsia="宋体" w:cs="Times New Roman"/>
                <w:i/>
                <w:iCs/>
                <w:sz w:val="24"/>
                <w:szCs w:val="24"/>
                <w:u w:val="single"/>
              </w:rPr>
              <w:t>Aristichthys</w:t>
            </w:r>
            <w:r>
              <w:rPr>
                <w:rFonts w:ascii="Times New Roman" w:hAnsi="Times New Roman" w:eastAsia="宋体" w:cs="Times New Roman"/>
                <w:sz w:val="24"/>
                <w:szCs w:val="24"/>
                <w:u w:val="single"/>
              </w:rPr>
              <w:t xml:space="preserve"> </w:t>
            </w:r>
            <w:r>
              <w:rPr>
                <w:rFonts w:ascii="Times New Roman" w:hAnsi="Times New Roman" w:eastAsia="宋体" w:cs="Times New Roman"/>
                <w:i/>
                <w:iCs/>
                <w:sz w:val="24"/>
                <w:szCs w:val="24"/>
                <w:u w:val="single"/>
              </w:rPr>
              <w:t>nobilis</w:t>
            </w:r>
            <w:r>
              <w:rPr>
                <w:rFonts w:ascii="Times New Roman" w:hAnsi="Times New Roman" w:eastAsia="宋体" w:cs="Times New Roman"/>
                <w:spacing w:val="4"/>
                <w:sz w:val="24"/>
                <w:szCs w:val="24"/>
                <w:u w:val="single"/>
              </w:rPr>
              <w:t xml:space="preserve"> )，其余种类较少。</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1.3.5.2、区系组成</w:t>
            </w:r>
          </w:p>
          <w:p>
            <w:pPr>
              <w:spacing w:line="360" w:lineRule="auto"/>
              <w:ind w:firstLine="512" w:firstLineChars="200"/>
              <w:rPr>
                <w:rFonts w:ascii="Times New Roman" w:hAnsi="Times New Roman"/>
                <w:sz w:val="24"/>
                <w:u w:val="single"/>
              </w:rPr>
            </w:pPr>
            <w:r>
              <w:rPr>
                <w:rFonts w:ascii="Times New Roman" w:hAnsi="Times New Roman" w:eastAsia="宋体" w:cs="Times New Roman"/>
                <w:spacing w:val="8"/>
                <w:sz w:val="24"/>
                <w:szCs w:val="24"/>
                <w:u w:val="single"/>
              </w:rPr>
              <w:t>评价区</w:t>
            </w:r>
            <w:r>
              <w:rPr>
                <w:rFonts w:ascii="Times New Roman" w:hAnsi="Times New Roman" w:eastAsia="宋体" w:cs="Times New Roman"/>
                <w:spacing w:val="4"/>
                <w:sz w:val="24"/>
                <w:szCs w:val="24"/>
                <w:u w:val="single"/>
              </w:rPr>
              <w:t>分布鱼类涉及以下4个区系：</w:t>
            </w:r>
          </w:p>
          <w:p>
            <w:pPr>
              <w:spacing w:line="360" w:lineRule="auto"/>
              <w:ind w:firstLine="552" w:firstLineChars="200"/>
              <w:rPr>
                <w:rFonts w:ascii="Times New Roman" w:hAnsi="Times New Roman"/>
                <w:sz w:val="24"/>
                <w:u w:val="single"/>
              </w:rPr>
            </w:pPr>
            <w:r>
              <w:rPr>
                <w:rFonts w:hint="eastAsia" w:ascii="Times New Roman" w:hAnsi="Times New Roman" w:eastAsia="宋体" w:cs="Times New Roman"/>
                <w:spacing w:val="18"/>
                <w:sz w:val="24"/>
                <w:szCs w:val="24"/>
                <w:u w:val="single"/>
              </w:rPr>
              <w:t>（</w:t>
            </w:r>
            <w:r>
              <w:rPr>
                <w:rFonts w:ascii="Times New Roman" w:hAnsi="Times New Roman" w:eastAsia="宋体" w:cs="Times New Roman"/>
                <w:spacing w:val="18"/>
                <w:sz w:val="24"/>
                <w:szCs w:val="24"/>
                <w:u w:val="single"/>
              </w:rPr>
              <w:t>1</w:t>
            </w:r>
            <w:r>
              <w:rPr>
                <w:rFonts w:hint="eastAsia" w:ascii="Times New Roman" w:hAnsi="Times New Roman" w:eastAsia="宋体" w:cs="Times New Roman"/>
                <w:spacing w:val="18"/>
                <w:sz w:val="24"/>
                <w:szCs w:val="24"/>
                <w:u w:val="single"/>
              </w:rPr>
              <w:t>）</w:t>
            </w:r>
            <w:r>
              <w:rPr>
                <w:rFonts w:ascii="Times New Roman" w:hAnsi="Times New Roman" w:eastAsia="宋体" w:cs="Times New Roman"/>
                <w:spacing w:val="18"/>
                <w:sz w:val="24"/>
                <w:szCs w:val="24"/>
                <w:u w:val="single"/>
              </w:rPr>
              <w:t>东亚平原类</w:t>
            </w:r>
            <w:r>
              <w:rPr>
                <w:rFonts w:ascii="Times New Roman" w:hAnsi="Times New Roman" w:eastAsia="宋体" w:cs="Times New Roman"/>
                <w:spacing w:val="17"/>
                <w:sz w:val="24"/>
                <w:szCs w:val="24"/>
                <w:u w:val="single"/>
              </w:rPr>
              <w:t>群</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评价区调</w:t>
            </w:r>
            <w:r>
              <w:rPr>
                <w:rFonts w:ascii="Times New Roman" w:hAnsi="Times New Roman" w:eastAsia="宋体" w:cs="Times New Roman"/>
                <w:spacing w:val="7"/>
                <w:sz w:val="24"/>
                <w:szCs w:val="24"/>
                <w:u w:val="single"/>
              </w:rPr>
              <w:t>查</w:t>
            </w:r>
            <w:r>
              <w:rPr>
                <w:rFonts w:ascii="Times New Roman" w:hAnsi="Times New Roman" w:eastAsia="宋体" w:cs="Times New Roman"/>
                <w:spacing w:val="6"/>
                <w:sz w:val="24"/>
                <w:szCs w:val="24"/>
                <w:u w:val="single"/>
              </w:rPr>
              <w:t>到的青鱼、草鱼和赤眼鳟等属东亚平原类群。这部分鱼很大部分</w:t>
            </w:r>
            <w:r>
              <w:rPr>
                <w:rFonts w:ascii="Times New Roman" w:hAnsi="Times New Roman" w:eastAsia="宋体" w:cs="Times New Roman"/>
                <w:spacing w:val="7"/>
                <w:sz w:val="24"/>
                <w:szCs w:val="24"/>
                <w:u w:val="single"/>
              </w:rPr>
              <w:t>产漂流性卵，一部分鱼虽产粘性卵但粘性不大，卵产出后附着在物体上，不久</w:t>
            </w:r>
            <w:r>
              <w:rPr>
                <w:rFonts w:ascii="Times New Roman" w:hAnsi="Times New Roman" w:eastAsia="宋体" w:cs="Times New Roman"/>
                <w:spacing w:val="4"/>
                <w:sz w:val="24"/>
                <w:szCs w:val="24"/>
                <w:u w:val="single"/>
              </w:rPr>
              <w:t>即</w:t>
            </w:r>
            <w:r>
              <w:rPr>
                <w:rFonts w:ascii="Times New Roman" w:hAnsi="Times New Roman" w:eastAsia="宋体" w:cs="Times New Roman"/>
                <w:spacing w:val="7"/>
                <w:sz w:val="24"/>
                <w:szCs w:val="24"/>
                <w:u w:val="single"/>
              </w:rPr>
              <w:t>脱离。顺水漂流并发育。产卵习性对水位变动敏感，许多种类在水位升高时从</w:t>
            </w:r>
            <w:r>
              <w:rPr>
                <w:rFonts w:ascii="Times New Roman" w:hAnsi="Times New Roman" w:eastAsia="宋体" w:cs="Times New Roman"/>
                <w:spacing w:val="3"/>
                <w:sz w:val="24"/>
                <w:szCs w:val="24"/>
                <w:u w:val="single"/>
              </w:rPr>
              <w:t>湖</w:t>
            </w:r>
            <w:r>
              <w:rPr>
                <w:rFonts w:ascii="Times New Roman" w:hAnsi="Times New Roman" w:eastAsia="宋体" w:cs="Times New Roman"/>
                <w:spacing w:val="13"/>
                <w:sz w:val="24"/>
                <w:szCs w:val="24"/>
                <w:u w:val="single"/>
              </w:rPr>
              <w:t>泊</w:t>
            </w:r>
            <w:r>
              <w:rPr>
                <w:rFonts w:ascii="Times New Roman" w:hAnsi="Times New Roman" w:eastAsia="宋体" w:cs="Times New Roman"/>
                <w:spacing w:val="9"/>
                <w:sz w:val="24"/>
                <w:szCs w:val="24"/>
                <w:u w:val="single"/>
              </w:rPr>
              <w:t>进入江河产卵，幼鱼及产过卵的亲鱼入湖泊育肥休养。</w:t>
            </w:r>
          </w:p>
          <w:p>
            <w:pPr>
              <w:spacing w:line="360" w:lineRule="auto"/>
              <w:ind w:firstLine="548" w:firstLineChars="200"/>
              <w:rPr>
                <w:rFonts w:ascii="Times New Roman" w:hAnsi="Times New Roman"/>
                <w:sz w:val="24"/>
                <w:u w:val="single"/>
              </w:rPr>
            </w:pPr>
            <w:r>
              <w:rPr>
                <w:rFonts w:hint="eastAsia" w:ascii="Times New Roman" w:hAnsi="Times New Roman" w:eastAsia="宋体" w:cs="Times New Roman"/>
                <w:spacing w:val="17"/>
                <w:sz w:val="24"/>
                <w:szCs w:val="24"/>
                <w:u w:val="single"/>
              </w:rPr>
              <w:t>（</w:t>
            </w:r>
            <w:r>
              <w:rPr>
                <w:rFonts w:ascii="Times New Roman" w:hAnsi="Times New Roman" w:eastAsia="宋体" w:cs="Times New Roman"/>
                <w:spacing w:val="16"/>
                <w:sz w:val="24"/>
                <w:szCs w:val="24"/>
                <w:u w:val="single"/>
              </w:rPr>
              <w:t>2</w:t>
            </w:r>
            <w:r>
              <w:rPr>
                <w:rFonts w:hint="eastAsia" w:ascii="Times New Roman" w:hAnsi="Times New Roman" w:eastAsia="宋体" w:cs="Times New Roman"/>
                <w:spacing w:val="16"/>
                <w:sz w:val="24"/>
                <w:szCs w:val="24"/>
                <w:u w:val="single"/>
              </w:rPr>
              <w:t>）</w:t>
            </w:r>
            <w:r>
              <w:rPr>
                <w:rFonts w:ascii="Times New Roman" w:hAnsi="Times New Roman" w:eastAsia="宋体" w:cs="Times New Roman"/>
                <w:spacing w:val="16"/>
                <w:sz w:val="24"/>
                <w:szCs w:val="24"/>
                <w:u w:val="single"/>
              </w:rPr>
              <w:t>中国平原区系复合体</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评价区调</w:t>
            </w:r>
            <w:r>
              <w:rPr>
                <w:rFonts w:ascii="Times New Roman" w:hAnsi="Times New Roman" w:eastAsia="宋体" w:cs="Times New Roman"/>
                <w:spacing w:val="7"/>
                <w:sz w:val="24"/>
                <w:szCs w:val="24"/>
                <w:u w:val="single"/>
              </w:rPr>
              <w:t>查</w:t>
            </w:r>
            <w:r>
              <w:rPr>
                <w:rFonts w:ascii="Times New Roman" w:hAnsi="Times New Roman" w:eastAsia="宋体" w:cs="Times New Roman"/>
                <w:spacing w:val="6"/>
                <w:sz w:val="24"/>
                <w:szCs w:val="24"/>
                <w:u w:val="single"/>
              </w:rPr>
              <w:t>到的鲫、鲤属中国平原区系。这类鱼的主要特点：多数种类产漂</w:t>
            </w:r>
            <w:r>
              <w:rPr>
                <w:rFonts w:ascii="Times New Roman" w:hAnsi="Times New Roman" w:eastAsia="宋体" w:cs="Times New Roman"/>
                <w:spacing w:val="7"/>
                <w:sz w:val="24"/>
                <w:szCs w:val="24"/>
                <w:u w:val="single"/>
              </w:rPr>
              <w:t>流性鱼卵，少部分种类产粘性卵但粘性较弱，卵产出后附着在物体上，不久即</w:t>
            </w:r>
            <w:r>
              <w:rPr>
                <w:rFonts w:ascii="Times New Roman" w:hAnsi="Times New Roman" w:eastAsia="宋体" w:cs="Times New Roman"/>
                <w:spacing w:val="3"/>
                <w:sz w:val="24"/>
                <w:szCs w:val="24"/>
                <w:u w:val="single"/>
              </w:rPr>
              <w:t>脱</w:t>
            </w:r>
            <w:r>
              <w:rPr>
                <w:rFonts w:ascii="Times New Roman" w:hAnsi="Times New Roman" w:eastAsia="宋体" w:cs="Times New Roman"/>
                <w:sz w:val="24"/>
                <w:szCs w:val="24"/>
                <w:u w:val="single"/>
              </w:rPr>
              <w:t xml:space="preserve"> </w:t>
            </w:r>
            <w:r>
              <w:rPr>
                <w:rFonts w:ascii="Times New Roman" w:hAnsi="Times New Roman" w:eastAsia="宋体" w:cs="Times New Roman"/>
                <w:spacing w:val="7"/>
                <w:sz w:val="24"/>
                <w:szCs w:val="24"/>
                <w:u w:val="single"/>
              </w:rPr>
              <w:t>离并顺水漂流发育；该复合体的鱼类通常对水位变化较敏感，许多种类在水位</w:t>
            </w:r>
            <w:r>
              <w:rPr>
                <w:rFonts w:ascii="Times New Roman" w:hAnsi="Times New Roman" w:eastAsia="宋体" w:cs="Times New Roman"/>
                <w:spacing w:val="3"/>
                <w:sz w:val="24"/>
                <w:szCs w:val="24"/>
                <w:u w:val="single"/>
              </w:rPr>
              <w:t>升</w:t>
            </w:r>
            <w:r>
              <w:rPr>
                <w:rFonts w:ascii="Times New Roman" w:hAnsi="Times New Roman" w:eastAsia="宋体" w:cs="Times New Roman"/>
                <w:sz w:val="24"/>
                <w:szCs w:val="24"/>
                <w:u w:val="single"/>
              </w:rPr>
              <w:t xml:space="preserve"> </w:t>
            </w:r>
            <w:r>
              <w:rPr>
                <w:rFonts w:ascii="Times New Roman" w:hAnsi="Times New Roman" w:eastAsia="宋体" w:cs="Times New Roman"/>
                <w:spacing w:val="7"/>
                <w:sz w:val="24"/>
                <w:szCs w:val="24"/>
                <w:u w:val="single"/>
              </w:rPr>
              <w:t>高时从湖泊进入江河产卵，幼鱼和产卵后的亲鱼入湖泊育肥。在北方当秋季水</w:t>
            </w:r>
            <w:r>
              <w:rPr>
                <w:rFonts w:ascii="Times New Roman" w:hAnsi="Times New Roman" w:eastAsia="宋体" w:cs="Times New Roman"/>
                <w:spacing w:val="3"/>
                <w:sz w:val="24"/>
                <w:szCs w:val="24"/>
                <w:u w:val="single"/>
              </w:rPr>
              <w:t>位</w:t>
            </w:r>
            <w:r>
              <w:rPr>
                <w:rFonts w:ascii="Times New Roman" w:hAnsi="Times New Roman" w:eastAsia="宋体" w:cs="Times New Roman"/>
                <w:spacing w:val="18"/>
                <w:sz w:val="24"/>
                <w:szCs w:val="24"/>
                <w:u w:val="single"/>
              </w:rPr>
              <w:t>下</w:t>
            </w:r>
            <w:r>
              <w:rPr>
                <w:rFonts w:ascii="Times New Roman" w:hAnsi="Times New Roman" w:eastAsia="宋体" w:cs="Times New Roman"/>
                <w:spacing w:val="11"/>
                <w:sz w:val="24"/>
                <w:szCs w:val="24"/>
                <w:u w:val="single"/>
              </w:rPr>
              <w:t>降</w:t>
            </w:r>
            <w:r>
              <w:rPr>
                <w:rFonts w:ascii="Times New Roman" w:hAnsi="Times New Roman" w:eastAsia="宋体" w:cs="Times New Roman"/>
                <w:spacing w:val="9"/>
                <w:sz w:val="24"/>
                <w:szCs w:val="24"/>
                <w:u w:val="single"/>
              </w:rPr>
              <w:t>时，鱼类又回到江河中越冬。其中部分种类食物较单纯，生长较快。</w:t>
            </w:r>
          </w:p>
          <w:p>
            <w:pPr>
              <w:spacing w:line="360" w:lineRule="auto"/>
              <w:ind w:firstLine="548" w:firstLineChars="200"/>
              <w:rPr>
                <w:rFonts w:ascii="Times New Roman" w:hAnsi="Times New Roman"/>
                <w:sz w:val="24"/>
                <w:u w:val="single"/>
              </w:rPr>
            </w:pPr>
            <w:r>
              <w:rPr>
                <w:rFonts w:hint="eastAsia" w:ascii="Times New Roman" w:hAnsi="Times New Roman" w:eastAsia="宋体" w:cs="Times New Roman"/>
                <w:spacing w:val="17"/>
                <w:sz w:val="24"/>
                <w:szCs w:val="24"/>
                <w:u w:val="single"/>
              </w:rPr>
              <w:t>（</w:t>
            </w:r>
            <w:r>
              <w:rPr>
                <w:rFonts w:ascii="Times New Roman" w:hAnsi="Times New Roman" w:eastAsia="宋体" w:cs="Times New Roman"/>
                <w:spacing w:val="16"/>
                <w:sz w:val="24"/>
                <w:szCs w:val="24"/>
                <w:u w:val="single"/>
              </w:rPr>
              <w:t>3</w:t>
            </w:r>
            <w:r>
              <w:rPr>
                <w:rFonts w:hint="eastAsia" w:ascii="Times New Roman" w:hAnsi="Times New Roman" w:eastAsia="宋体" w:cs="Times New Roman"/>
                <w:spacing w:val="16"/>
                <w:sz w:val="24"/>
                <w:szCs w:val="24"/>
                <w:u w:val="single"/>
              </w:rPr>
              <w:t>）</w:t>
            </w:r>
            <w:r>
              <w:rPr>
                <w:rFonts w:ascii="Times New Roman" w:hAnsi="Times New Roman" w:eastAsia="宋体" w:cs="Times New Roman"/>
                <w:spacing w:val="16"/>
                <w:sz w:val="24"/>
                <w:szCs w:val="24"/>
                <w:u w:val="single"/>
              </w:rPr>
              <w:t>南方平原区系复合体</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评价区乌</w:t>
            </w:r>
            <w:r>
              <w:rPr>
                <w:rFonts w:ascii="Times New Roman" w:hAnsi="Times New Roman" w:eastAsia="宋体" w:cs="Times New Roman"/>
                <w:spacing w:val="7"/>
                <w:sz w:val="24"/>
                <w:szCs w:val="24"/>
                <w:u w:val="single"/>
              </w:rPr>
              <w:t>鳢</w:t>
            </w:r>
            <w:r>
              <w:rPr>
                <w:rFonts w:ascii="Times New Roman" w:hAnsi="Times New Roman" w:eastAsia="宋体" w:cs="Times New Roman"/>
                <w:spacing w:val="6"/>
                <w:sz w:val="24"/>
                <w:szCs w:val="24"/>
                <w:u w:val="single"/>
              </w:rPr>
              <w:t>属此复合体类群。这类鱼具有特化的吸附构造，这类鱼常具拟草</w:t>
            </w:r>
            <w:r>
              <w:rPr>
                <w:rFonts w:ascii="Times New Roman" w:hAnsi="Times New Roman" w:eastAsia="宋体" w:cs="Times New Roman"/>
                <w:spacing w:val="7"/>
                <w:sz w:val="24"/>
                <w:szCs w:val="24"/>
                <w:u w:val="single"/>
              </w:rPr>
              <w:t>色，体表多花纹，有些种类具棘和吸取游离氧的副呼吸器官。这类鱼喜暖水，</w:t>
            </w:r>
            <w:r>
              <w:rPr>
                <w:rFonts w:ascii="Times New Roman" w:hAnsi="Times New Roman" w:eastAsia="宋体" w:cs="Times New Roman"/>
                <w:spacing w:val="1"/>
                <w:sz w:val="24"/>
                <w:szCs w:val="24"/>
                <w:u w:val="single"/>
              </w:rPr>
              <w:t>在</w:t>
            </w:r>
            <w:r>
              <w:rPr>
                <w:rFonts w:ascii="Times New Roman" w:hAnsi="Times New Roman" w:eastAsia="宋体" w:cs="Times New Roman"/>
                <w:spacing w:val="16"/>
                <w:sz w:val="24"/>
                <w:szCs w:val="24"/>
                <w:u w:val="single"/>
              </w:rPr>
              <w:t>较高</w:t>
            </w:r>
            <w:r>
              <w:rPr>
                <w:rFonts w:ascii="Times New Roman" w:hAnsi="Times New Roman" w:eastAsia="宋体" w:cs="Times New Roman"/>
                <w:spacing w:val="13"/>
                <w:sz w:val="24"/>
                <w:szCs w:val="24"/>
                <w:u w:val="single"/>
              </w:rPr>
              <w:t>水</w:t>
            </w:r>
            <w:r>
              <w:rPr>
                <w:rFonts w:ascii="Times New Roman" w:hAnsi="Times New Roman" w:eastAsia="宋体" w:cs="Times New Roman"/>
                <w:spacing w:val="8"/>
                <w:sz w:val="24"/>
                <w:szCs w:val="24"/>
                <w:u w:val="single"/>
              </w:rPr>
              <w:t>温的夏季繁殖，多有护卵、护幼习性。在东亚愈往低纬度地带种类愈多。</w:t>
            </w:r>
          </w:p>
          <w:p>
            <w:pPr>
              <w:spacing w:line="360" w:lineRule="auto"/>
              <w:ind w:firstLine="556" w:firstLineChars="200"/>
              <w:rPr>
                <w:rFonts w:ascii="Times New Roman" w:hAnsi="Times New Roman"/>
                <w:sz w:val="24"/>
                <w:u w:val="single"/>
              </w:rPr>
            </w:pPr>
            <w:r>
              <w:rPr>
                <w:rFonts w:hint="eastAsia" w:ascii="Times New Roman" w:hAnsi="Times New Roman" w:eastAsia="宋体" w:cs="Times New Roman"/>
                <w:spacing w:val="19"/>
                <w:sz w:val="24"/>
                <w:szCs w:val="24"/>
                <w:u w:val="single"/>
              </w:rPr>
              <w:t>（</w:t>
            </w:r>
            <w:r>
              <w:rPr>
                <w:rFonts w:ascii="Times New Roman" w:hAnsi="Times New Roman" w:eastAsia="宋体" w:cs="Times New Roman"/>
                <w:spacing w:val="15"/>
                <w:sz w:val="24"/>
                <w:szCs w:val="24"/>
                <w:u w:val="single"/>
              </w:rPr>
              <w:t>4</w:t>
            </w:r>
            <w:r>
              <w:rPr>
                <w:rFonts w:hint="eastAsia" w:ascii="Times New Roman" w:hAnsi="Times New Roman" w:eastAsia="宋体" w:cs="Times New Roman"/>
                <w:spacing w:val="15"/>
                <w:sz w:val="24"/>
                <w:szCs w:val="24"/>
                <w:u w:val="single"/>
              </w:rPr>
              <w:t>）</w:t>
            </w:r>
            <w:r>
              <w:rPr>
                <w:rFonts w:ascii="Times New Roman" w:hAnsi="Times New Roman" w:eastAsia="宋体" w:cs="Times New Roman"/>
                <w:spacing w:val="15"/>
                <w:sz w:val="24"/>
                <w:szCs w:val="24"/>
                <w:u w:val="single"/>
              </w:rPr>
              <w:t>晚第三纪早期区系复合体</w:t>
            </w:r>
          </w:p>
          <w:p>
            <w:pPr>
              <w:spacing w:line="360" w:lineRule="auto"/>
              <w:ind w:firstLine="544" w:firstLineChars="200"/>
              <w:rPr>
                <w:rFonts w:ascii="Times New Roman" w:hAnsi="Times New Roman"/>
                <w:sz w:val="24"/>
                <w:u w:val="single"/>
              </w:rPr>
            </w:pPr>
            <w:r>
              <w:rPr>
                <w:rFonts w:ascii="Times New Roman" w:hAnsi="Times New Roman" w:eastAsia="宋体" w:cs="Times New Roman"/>
                <w:spacing w:val="16"/>
                <w:sz w:val="24"/>
                <w:szCs w:val="24"/>
                <w:u w:val="single"/>
              </w:rPr>
              <w:t>评</w:t>
            </w:r>
            <w:r>
              <w:rPr>
                <w:rFonts w:ascii="Times New Roman" w:hAnsi="Times New Roman" w:eastAsia="宋体" w:cs="Times New Roman"/>
                <w:spacing w:val="14"/>
                <w:sz w:val="24"/>
                <w:szCs w:val="24"/>
                <w:u w:val="single"/>
              </w:rPr>
              <w:t>价区有泥鳅属于该区系复合体。该区系复合体被分割成若干不连续的区</w:t>
            </w:r>
            <w:r>
              <w:rPr>
                <w:rFonts w:ascii="Times New Roman" w:hAnsi="Times New Roman" w:eastAsia="宋体" w:cs="Times New Roman"/>
                <w:spacing w:val="7"/>
                <w:sz w:val="24"/>
                <w:szCs w:val="24"/>
                <w:u w:val="single"/>
              </w:rPr>
              <w:t>域，有的种类并存于欧亚。它们共同特征是适应性强，分布广泛，适应静水或</w:t>
            </w:r>
            <w:r>
              <w:rPr>
                <w:rFonts w:ascii="Times New Roman" w:hAnsi="Times New Roman" w:eastAsia="宋体" w:cs="Times New Roman"/>
                <w:spacing w:val="3"/>
                <w:sz w:val="24"/>
                <w:szCs w:val="24"/>
                <w:u w:val="single"/>
              </w:rPr>
              <w:t>缓</w:t>
            </w:r>
            <w:r>
              <w:rPr>
                <w:rFonts w:ascii="Times New Roman" w:hAnsi="Times New Roman" w:eastAsia="宋体" w:cs="Times New Roman"/>
                <w:spacing w:val="7"/>
                <w:sz w:val="24"/>
                <w:szCs w:val="24"/>
                <w:u w:val="single"/>
              </w:rPr>
              <w:t>流水环境，产粘性卵于水草或石砾上，部分种类产卵于软体动物外套膜中，视</w:t>
            </w:r>
            <w:r>
              <w:rPr>
                <w:rFonts w:ascii="Times New Roman" w:hAnsi="Times New Roman" w:eastAsia="宋体" w:cs="Times New Roman"/>
                <w:spacing w:val="3"/>
                <w:sz w:val="24"/>
                <w:szCs w:val="24"/>
                <w:u w:val="single"/>
              </w:rPr>
              <w:t>觉</w:t>
            </w:r>
            <w:r>
              <w:rPr>
                <w:rFonts w:ascii="Times New Roman" w:hAnsi="Times New Roman" w:eastAsia="宋体" w:cs="Times New Roman"/>
                <w:spacing w:val="18"/>
                <w:sz w:val="24"/>
                <w:szCs w:val="24"/>
                <w:u w:val="single"/>
              </w:rPr>
              <w:t>不</w:t>
            </w:r>
            <w:r>
              <w:rPr>
                <w:rFonts w:ascii="Times New Roman" w:hAnsi="Times New Roman" w:eastAsia="宋体" w:cs="Times New Roman"/>
                <w:spacing w:val="12"/>
                <w:sz w:val="24"/>
                <w:szCs w:val="24"/>
                <w:u w:val="single"/>
              </w:rPr>
              <w:t>发</w:t>
            </w:r>
            <w:r>
              <w:rPr>
                <w:rFonts w:ascii="Times New Roman" w:hAnsi="Times New Roman" w:eastAsia="宋体" w:cs="Times New Roman"/>
                <w:spacing w:val="9"/>
                <w:sz w:val="24"/>
                <w:szCs w:val="24"/>
                <w:u w:val="single"/>
              </w:rPr>
              <w:t>达，嗅觉发达，以底栖生物为食者较多，适应于在较浑浊水体中生活。</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1.3.5.3、</w:t>
            </w:r>
            <w:r>
              <w:rPr>
                <w:rFonts w:ascii="Times New Roman" w:hAnsi="Times New Roman" w:cs="Times New Roman"/>
                <w:b/>
                <w:bCs/>
                <w:spacing w:val="8"/>
                <w:sz w:val="24"/>
                <w:szCs w:val="24"/>
                <w:u w:val="single"/>
              </w:rPr>
              <w:t>食性类型</w:t>
            </w:r>
          </w:p>
          <w:p>
            <w:pPr>
              <w:spacing w:line="360" w:lineRule="auto"/>
              <w:ind w:firstLine="516" w:firstLineChars="200"/>
              <w:rPr>
                <w:rFonts w:ascii="Times New Roman" w:hAnsi="Times New Roman"/>
                <w:sz w:val="24"/>
                <w:u w:val="single"/>
              </w:rPr>
            </w:pPr>
            <w:r>
              <w:rPr>
                <w:rFonts w:ascii="Times New Roman" w:hAnsi="Times New Roman" w:eastAsia="宋体" w:cs="Times New Roman"/>
                <w:spacing w:val="9"/>
                <w:sz w:val="24"/>
                <w:szCs w:val="24"/>
                <w:u w:val="single"/>
              </w:rPr>
              <w:t>根</w:t>
            </w:r>
            <w:r>
              <w:rPr>
                <w:rFonts w:ascii="Times New Roman" w:hAnsi="Times New Roman" w:eastAsia="宋体" w:cs="Times New Roman"/>
                <w:spacing w:val="7"/>
                <w:sz w:val="24"/>
                <w:szCs w:val="24"/>
                <w:u w:val="single"/>
              </w:rPr>
              <w:t>据评价区鱼类主要摄食对象的差异性，将鱼类主要划分为以下4 类：</w:t>
            </w:r>
          </w:p>
          <w:p>
            <w:pPr>
              <w:spacing w:line="360" w:lineRule="auto"/>
              <w:ind w:firstLine="532" w:firstLineChars="200"/>
              <w:rPr>
                <w:rFonts w:ascii="Times New Roman" w:hAnsi="Times New Roman"/>
                <w:sz w:val="24"/>
                <w:u w:val="single"/>
              </w:rPr>
            </w:pPr>
            <w:r>
              <w:rPr>
                <w:rFonts w:ascii="Times New Roman" w:hAnsi="Times New Roman" w:eastAsia="宋体" w:cs="Times New Roman"/>
                <w:spacing w:val="13"/>
                <w:sz w:val="24"/>
                <w:szCs w:val="24"/>
                <w:u w:val="single"/>
              </w:rPr>
              <w:t>(1) 植食性鱼类：包括以维管植物为食的草鱼和以周丛植物为食的鲴亚</w:t>
            </w:r>
            <w:r>
              <w:rPr>
                <w:rFonts w:ascii="Times New Roman" w:hAnsi="Times New Roman" w:eastAsia="宋体" w:cs="Times New Roman"/>
                <w:spacing w:val="11"/>
                <w:sz w:val="24"/>
                <w:szCs w:val="24"/>
                <w:u w:val="single"/>
              </w:rPr>
              <w:t>科</w:t>
            </w:r>
            <w:r>
              <w:rPr>
                <w:rFonts w:ascii="Times New Roman" w:hAnsi="Times New Roman" w:eastAsia="宋体" w:cs="Times New Roman"/>
                <w:spacing w:val="8"/>
                <w:sz w:val="24"/>
                <w:szCs w:val="24"/>
                <w:u w:val="single"/>
              </w:rPr>
              <w:t>鱼类等，如草鱼、鳊等</w:t>
            </w:r>
            <w:r>
              <w:rPr>
                <w:rFonts w:ascii="Times New Roman" w:hAnsi="Times New Roman" w:eastAsia="宋体" w:cs="Times New Roman"/>
                <w:spacing w:val="6"/>
                <w:sz w:val="24"/>
                <w:szCs w:val="24"/>
                <w:u w:val="single"/>
              </w:rPr>
              <w:t>。</w:t>
            </w:r>
          </w:p>
          <w:p>
            <w:pPr>
              <w:spacing w:line="360" w:lineRule="auto"/>
              <w:ind w:firstLine="532" w:firstLineChars="200"/>
              <w:rPr>
                <w:rFonts w:ascii="Times New Roman" w:hAnsi="Times New Roman"/>
                <w:sz w:val="24"/>
                <w:u w:val="single"/>
              </w:rPr>
            </w:pPr>
            <w:r>
              <w:rPr>
                <w:rFonts w:ascii="Times New Roman" w:hAnsi="Times New Roman" w:eastAsia="宋体" w:cs="Times New Roman"/>
                <w:spacing w:val="13"/>
                <w:sz w:val="24"/>
                <w:szCs w:val="24"/>
                <w:u w:val="single"/>
              </w:rPr>
              <w:t>(2) 肉食性鱼类：包括以鱼类为主要捕食对象的翘嘴鲌、鲇、青鱼、黄</w:t>
            </w:r>
            <w:r>
              <w:rPr>
                <w:rFonts w:ascii="Times New Roman" w:hAnsi="Times New Roman" w:eastAsia="宋体" w:cs="Times New Roman"/>
                <w:spacing w:val="11"/>
                <w:sz w:val="24"/>
                <w:szCs w:val="24"/>
                <w:u w:val="single"/>
              </w:rPr>
              <w:t>颡</w:t>
            </w:r>
            <w:r>
              <w:rPr>
                <w:rFonts w:ascii="Times New Roman" w:hAnsi="Times New Roman" w:eastAsia="宋体" w:cs="Times New Roman"/>
                <w:spacing w:val="7"/>
                <w:sz w:val="24"/>
                <w:szCs w:val="24"/>
                <w:u w:val="single"/>
              </w:rPr>
              <w:t>鱼、鳜、乌鳢等。</w:t>
            </w:r>
          </w:p>
          <w:p>
            <w:pPr>
              <w:spacing w:line="360" w:lineRule="auto"/>
              <w:ind w:firstLine="544" w:firstLineChars="200"/>
              <w:rPr>
                <w:rFonts w:ascii="Times New Roman" w:hAnsi="Times New Roman"/>
                <w:sz w:val="24"/>
                <w:u w:val="single"/>
              </w:rPr>
            </w:pPr>
            <w:r>
              <w:rPr>
                <w:rFonts w:ascii="Times New Roman" w:hAnsi="Times New Roman" w:eastAsia="宋体" w:cs="Times New Roman"/>
                <w:spacing w:val="16"/>
                <w:sz w:val="24"/>
                <w:szCs w:val="24"/>
                <w:u w:val="single"/>
              </w:rPr>
              <w:t>(</w:t>
            </w:r>
            <w:r>
              <w:rPr>
                <w:rFonts w:ascii="Times New Roman" w:hAnsi="Times New Roman" w:eastAsia="宋体" w:cs="Times New Roman"/>
                <w:spacing w:val="11"/>
                <w:sz w:val="24"/>
                <w:szCs w:val="24"/>
                <w:u w:val="single"/>
              </w:rPr>
              <w:t>3</w:t>
            </w:r>
            <w:r>
              <w:rPr>
                <w:rFonts w:ascii="Times New Roman" w:hAnsi="Times New Roman" w:eastAsia="宋体" w:cs="Times New Roman"/>
                <w:spacing w:val="8"/>
                <w:sz w:val="24"/>
                <w:szCs w:val="24"/>
                <w:u w:val="single"/>
              </w:rPr>
              <w:t>) 滤食性鱼类：以水生浮游动植物为主要食物的鱼类，包括：鲢、鳙等。</w:t>
            </w:r>
          </w:p>
          <w:p>
            <w:pPr>
              <w:spacing w:line="360" w:lineRule="auto"/>
              <w:ind w:firstLine="532" w:firstLineChars="200"/>
              <w:rPr>
                <w:rFonts w:ascii="Times New Roman" w:hAnsi="Times New Roman"/>
                <w:sz w:val="24"/>
                <w:u w:val="single"/>
              </w:rPr>
            </w:pPr>
            <w:r>
              <w:rPr>
                <w:rFonts w:ascii="Times New Roman" w:hAnsi="Times New Roman" w:eastAsia="宋体" w:cs="Times New Roman"/>
                <w:spacing w:val="13"/>
                <w:sz w:val="24"/>
                <w:szCs w:val="24"/>
                <w:u w:val="single"/>
              </w:rPr>
              <w:t>(4) 杂食性鱼类：该类鱼食谱广，包括小型动物、植物及其碎屑，其食</w:t>
            </w:r>
            <w:r>
              <w:rPr>
                <w:rFonts w:ascii="Times New Roman" w:hAnsi="Times New Roman" w:eastAsia="宋体" w:cs="Times New Roman"/>
                <w:spacing w:val="11"/>
                <w:sz w:val="24"/>
                <w:szCs w:val="24"/>
                <w:u w:val="single"/>
              </w:rPr>
              <w:t>性</w:t>
            </w:r>
            <w:r>
              <w:rPr>
                <w:rFonts w:ascii="Times New Roman" w:hAnsi="Times New Roman" w:eastAsia="宋体" w:cs="Times New Roman"/>
                <w:spacing w:val="7"/>
                <w:sz w:val="24"/>
                <w:szCs w:val="24"/>
                <w:u w:val="single"/>
              </w:rPr>
              <w:t>在不同环境水体和不同季节有明显变化。包括鲤、鲫、泥鳅、赤眼鳟、䱗属鱼</w:t>
            </w:r>
            <w:r>
              <w:rPr>
                <w:rFonts w:ascii="Times New Roman" w:hAnsi="Times New Roman" w:eastAsia="宋体" w:cs="Times New Roman"/>
                <w:spacing w:val="5"/>
                <w:sz w:val="24"/>
                <w:szCs w:val="24"/>
                <w:u w:val="single"/>
              </w:rPr>
              <w:t>类</w:t>
            </w:r>
            <w:r>
              <w:rPr>
                <w:rFonts w:ascii="Times New Roman" w:hAnsi="Times New Roman" w:eastAsia="宋体" w:cs="Times New Roman"/>
                <w:spacing w:val="1"/>
                <w:sz w:val="24"/>
                <w:szCs w:val="24"/>
                <w:u w:val="single"/>
              </w:rPr>
              <w:t>等</w:t>
            </w:r>
            <w:r>
              <w:rPr>
                <w:rFonts w:ascii="Times New Roman" w:hAnsi="Times New Roman" w:eastAsia="宋体" w:cs="Times New Roman"/>
                <w:sz w:val="24"/>
                <w:szCs w:val="24"/>
                <w:u w:val="single"/>
              </w:rPr>
              <w:t>。</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1.3.5.4、</w:t>
            </w:r>
            <w:r>
              <w:rPr>
                <w:rFonts w:ascii="Times New Roman" w:hAnsi="Times New Roman" w:cs="Times New Roman"/>
                <w:b/>
                <w:bCs/>
                <w:spacing w:val="8"/>
                <w:sz w:val="24"/>
                <w:szCs w:val="24"/>
                <w:u w:val="single"/>
              </w:rPr>
              <w:t>产卵类型</w:t>
            </w:r>
          </w:p>
          <w:p>
            <w:pPr>
              <w:spacing w:line="360" w:lineRule="auto"/>
              <w:ind w:firstLine="512" w:firstLineChars="200"/>
              <w:rPr>
                <w:rFonts w:ascii="Times New Roman" w:hAnsi="Times New Roman"/>
                <w:sz w:val="24"/>
                <w:u w:val="single"/>
              </w:rPr>
            </w:pPr>
            <w:r>
              <w:rPr>
                <w:rFonts w:ascii="Times New Roman" w:hAnsi="Times New Roman" w:eastAsia="宋体" w:cs="Times New Roman"/>
                <w:spacing w:val="8"/>
                <w:sz w:val="24"/>
                <w:szCs w:val="24"/>
                <w:u w:val="single"/>
              </w:rPr>
              <w:t>根据产卵习性</w:t>
            </w:r>
            <w:r>
              <w:rPr>
                <w:rFonts w:ascii="Times New Roman" w:hAnsi="Times New Roman" w:eastAsia="宋体" w:cs="Times New Roman"/>
                <w:spacing w:val="4"/>
                <w:sz w:val="24"/>
                <w:szCs w:val="24"/>
                <w:u w:val="single"/>
              </w:rPr>
              <w:t>的所产卵的差异性，评价区分布鱼类依繁殖习性可分为 4 个类</w:t>
            </w:r>
            <w:bookmarkStart w:id="6" w:name="_bookmark25"/>
            <w:bookmarkEnd w:id="6"/>
            <w:r>
              <w:rPr>
                <w:rFonts w:ascii="Times New Roman" w:hAnsi="Times New Roman" w:eastAsia="宋体" w:cs="Times New Roman"/>
                <w:sz w:val="24"/>
                <w:szCs w:val="24"/>
                <w:u w:val="single"/>
              </w:rPr>
              <w:t>群：</w:t>
            </w:r>
          </w:p>
          <w:p>
            <w:pPr>
              <w:spacing w:line="360" w:lineRule="auto"/>
              <w:ind w:firstLine="556" w:firstLineChars="200"/>
              <w:rPr>
                <w:rFonts w:ascii="Times New Roman" w:hAnsi="Times New Roman"/>
                <w:sz w:val="24"/>
                <w:u w:val="single"/>
              </w:rPr>
            </w:pPr>
            <w:r>
              <w:rPr>
                <w:rFonts w:ascii="Times New Roman" w:hAnsi="Times New Roman" w:eastAsia="宋体" w:cs="Times New Roman"/>
                <w:spacing w:val="19"/>
                <w:sz w:val="24"/>
                <w:szCs w:val="24"/>
                <w:u w:val="single"/>
              </w:rPr>
              <w:t>(</w:t>
            </w:r>
            <w:r>
              <w:rPr>
                <w:rFonts w:ascii="Times New Roman" w:hAnsi="Times New Roman" w:eastAsia="宋体" w:cs="Times New Roman"/>
                <w:spacing w:val="17"/>
                <w:sz w:val="24"/>
                <w:szCs w:val="24"/>
                <w:u w:val="single"/>
              </w:rPr>
              <w:t>1) 产粘沉性卵类群</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本水域</w:t>
            </w:r>
            <w:r>
              <w:rPr>
                <w:rFonts w:ascii="Times New Roman" w:hAnsi="Times New Roman" w:eastAsia="宋体" w:cs="Times New Roman"/>
                <w:spacing w:val="11"/>
                <w:sz w:val="24"/>
                <w:szCs w:val="24"/>
                <w:u w:val="single"/>
              </w:rPr>
              <w:t>鱼</w:t>
            </w:r>
            <w:r>
              <w:rPr>
                <w:rFonts w:ascii="Times New Roman" w:hAnsi="Times New Roman" w:eastAsia="宋体" w:cs="Times New Roman"/>
                <w:spacing w:val="6"/>
                <w:sz w:val="24"/>
                <w:szCs w:val="24"/>
                <w:u w:val="single"/>
              </w:rPr>
              <w:t>类绝大多数鱼类为产粘沉性卵类群。这一类群包括翘嘴鲌，鲇形目</w:t>
            </w:r>
            <w:r>
              <w:rPr>
                <w:rFonts w:ascii="Times New Roman" w:hAnsi="Times New Roman" w:eastAsia="宋体" w:cs="Times New Roman"/>
                <w:spacing w:val="7"/>
                <w:sz w:val="24"/>
                <w:szCs w:val="24"/>
                <w:u w:val="single"/>
              </w:rPr>
              <w:t>的瓦氏黄颡鱼、鲇，鲤科的鲤、鲫、鳅科的泥鳅等；其产卵季节多为春夏间，</w:t>
            </w:r>
            <w:r>
              <w:rPr>
                <w:rFonts w:ascii="Times New Roman" w:hAnsi="Times New Roman" w:eastAsia="宋体" w:cs="Times New Roman"/>
                <w:spacing w:val="3"/>
                <w:sz w:val="24"/>
                <w:szCs w:val="24"/>
                <w:u w:val="single"/>
              </w:rPr>
              <w:t>也</w:t>
            </w:r>
            <w:r>
              <w:rPr>
                <w:rFonts w:ascii="Times New Roman" w:hAnsi="Times New Roman" w:eastAsia="宋体" w:cs="Times New Roman"/>
                <w:spacing w:val="7"/>
                <w:sz w:val="24"/>
                <w:szCs w:val="24"/>
                <w:u w:val="single"/>
              </w:rPr>
              <w:t>有部分种类晚至秋季，且对产卵水域流态底质有不同的适应性，多数种类都需</w:t>
            </w:r>
            <w:r>
              <w:rPr>
                <w:rFonts w:ascii="Times New Roman" w:hAnsi="Times New Roman" w:eastAsia="宋体" w:cs="Times New Roman"/>
                <w:spacing w:val="3"/>
                <w:sz w:val="24"/>
                <w:szCs w:val="24"/>
                <w:u w:val="single"/>
              </w:rPr>
              <w:t>要</w:t>
            </w:r>
            <w:r>
              <w:rPr>
                <w:rFonts w:ascii="Times New Roman" w:hAnsi="Times New Roman" w:eastAsia="宋体" w:cs="Times New Roman"/>
                <w:spacing w:val="7"/>
                <w:sz w:val="24"/>
                <w:szCs w:val="24"/>
                <w:u w:val="single"/>
              </w:rPr>
              <w:t>一定的流水刺激，产出的卵或粘附于石砾、水草发育，或落于石缝间在激流冲</w:t>
            </w:r>
            <w:r>
              <w:rPr>
                <w:rFonts w:ascii="Times New Roman" w:hAnsi="Times New Roman" w:eastAsia="宋体" w:cs="Times New Roman"/>
                <w:spacing w:val="3"/>
                <w:sz w:val="24"/>
                <w:szCs w:val="24"/>
                <w:u w:val="single"/>
              </w:rPr>
              <w:t>击</w:t>
            </w:r>
            <w:r>
              <w:rPr>
                <w:rFonts w:ascii="Times New Roman" w:hAnsi="Times New Roman" w:eastAsia="宋体" w:cs="Times New Roman"/>
                <w:sz w:val="24"/>
                <w:szCs w:val="24"/>
                <w:u w:val="single"/>
              </w:rPr>
              <w:t xml:space="preserve"> </w:t>
            </w:r>
            <w:r>
              <w:rPr>
                <w:rFonts w:ascii="Times New Roman" w:hAnsi="Times New Roman" w:eastAsia="宋体" w:cs="Times New Roman"/>
                <w:spacing w:val="5"/>
                <w:sz w:val="24"/>
                <w:szCs w:val="24"/>
                <w:u w:val="single"/>
              </w:rPr>
              <w:t>下发育</w:t>
            </w:r>
            <w:r>
              <w:rPr>
                <w:rFonts w:ascii="Times New Roman" w:hAnsi="Times New Roman" w:eastAsia="宋体" w:cs="Times New Roman"/>
                <w:spacing w:val="4"/>
                <w:sz w:val="24"/>
                <w:szCs w:val="24"/>
                <w:u w:val="single"/>
              </w:rPr>
              <w:t>。</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少数鱼</w:t>
            </w:r>
            <w:r>
              <w:rPr>
                <w:rFonts w:ascii="Times New Roman" w:hAnsi="Times New Roman" w:eastAsia="宋体" w:cs="Times New Roman"/>
                <w:spacing w:val="11"/>
                <w:sz w:val="24"/>
                <w:szCs w:val="24"/>
                <w:u w:val="single"/>
              </w:rPr>
              <w:t>类</w:t>
            </w:r>
            <w:r>
              <w:rPr>
                <w:rFonts w:ascii="Times New Roman" w:hAnsi="Times New Roman" w:eastAsia="宋体" w:cs="Times New Roman"/>
                <w:spacing w:val="6"/>
                <w:sz w:val="24"/>
                <w:szCs w:val="24"/>
                <w:u w:val="single"/>
              </w:rPr>
              <w:t>产卵时不需要水流刺激，可在静缓流水环境下繁殖，产粘性卵，如</w:t>
            </w:r>
            <w:r>
              <w:rPr>
                <w:rFonts w:ascii="Times New Roman" w:hAnsi="Times New Roman" w:eastAsia="宋体" w:cs="Times New Roman"/>
                <w:spacing w:val="7"/>
                <w:sz w:val="24"/>
                <w:szCs w:val="24"/>
                <w:u w:val="single"/>
              </w:rPr>
              <w:t>鲤亚科、鲌亚科、鲇形目鱼类，卵一经产出即分散在水草茎、叶上发育；有的</w:t>
            </w:r>
            <w:r>
              <w:rPr>
                <w:rFonts w:ascii="Times New Roman" w:hAnsi="Times New Roman" w:eastAsia="宋体" w:cs="Times New Roman"/>
                <w:spacing w:val="3"/>
                <w:sz w:val="24"/>
                <w:szCs w:val="24"/>
                <w:u w:val="single"/>
              </w:rPr>
              <w:t>黏</w:t>
            </w:r>
            <w:r>
              <w:rPr>
                <w:rFonts w:ascii="Times New Roman" w:hAnsi="Times New Roman" w:eastAsia="宋体" w:cs="Times New Roman"/>
                <w:sz w:val="24"/>
                <w:szCs w:val="24"/>
                <w:u w:val="single"/>
              </w:rPr>
              <w:t xml:space="preserve"> </w:t>
            </w:r>
            <w:r>
              <w:rPr>
                <w:rFonts w:ascii="Times New Roman" w:hAnsi="Times New Roman" w:eastAsia="宋体" w:cs="Times New Roman"/>
                <w:spacing w:val="18"/>
                <w:sz w:val="24"/>
                <w:szCs w:val="24"/>
                <w:u w:val="single"/>
              </w:rPr>
              <w:t>附</w:t>
            </w:r>
            <w:r>
              <w:rPr>
                <w:rFonts w:ascii="Times New Roman" w:hAnsi="Times New Roman" w:eastAsia="宋体" w:cs="Times New Roman"/>
                <w:spacing w:val="13"/>
                <w:sz w:val="24"/>
                <w:szCs w:val="24"/>
                <w:u w:val="single"/>
              </w:rPr>
              <w:t>于</w:t>
            </w:r>
            <w:r>
              <w:rPr>
                <w:rFonts w:ascii="Times New Roman" w:hAnsi="Times New Roman" w:eastAsia="宋体" w:cs="Times New Roman"/>
                <w:spacing w:val="9"/>
                <w:sz w:val="24"/>
                <w:szCs w:val="24"/>
                <w:u w:val="single"/>
              </w:rPr>
              <w:t>砾石，如黄颡鱼、鳅科鱼类，将卵产在水底的岩石、石砾或沙砾上发育。</w:t>
            </w:r>
          </w:p>
          <w:p>
            <w:pPr>
              <w:spacing w:line="360" w:lineRule="auto"/>
              <w:ind w:firstLine="556" w:firstLineChars="200"/>
              <w:rPr>
                <w:rFonts w:ascii="Times New Roman" w:hAnsi="Times New Roman"/>
                <w:sz w:val="24"/>
                <w:u w:val="single"/>
              </w:rPr>
            </w:pPr>
            <w:r>
              <w:rPr>
                <w:rFonts w:ascii="Times New Roman" w:hAnsi="Times New Roman" w:eastAsia="宋体" w:cs="Times New Roman"/>
                <w:spacing w:val="19"/>
                <w:sz w:val="24"/>
                <w:szCs w:val="24"/>
                <w:u w:val="single"/>
              </w:rPr>
              <w:t>(</w:t>
            </w:r>
            <w:r>
              <w:rPr>
                <w:rFonts w:ascii="Times New Roman" w:hAnsi="Times New Roman" w:eastAsia="宋体" w:cs="Times New Roman"/>
                <w:spacing w:val="17"/>
                <w:sz w:val="24"/>
                <w:szCs w:val="24"/>
                <w:u w:val="single"/>
              </w:rPr>
              <w:t>2) 产漂流性卵类群</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产漂流性</w:t>
            </w:r>
            <w:r>
              <w:rPr>
                <w:rFonts w:ascii="Times New Roman" w:hAnsi="Times New Roman" w:eastAsia="宋体" w:cs="Times New Roman"/>
                <w:spacing w:val="6"/>
                <w:sz w:val="24"/>
                <w:szCs w:val="24"/>
                <w:u w:val="single"/>
              </w:rPr>
              <w:t>卵鱼类鱼卵在缓流或静水中会沉入水底，但吸水后卵膜膨大，比重</w:t>
            </w:r>
            <w:r>
              <w:rPr>
                <w:rFonts w:ascii="Times New Roman" w:hAnsi="Times New Roman" w:eastAsia="宋体" w:cs="Times New Roman"/>
                <w:spacing w:val="7"/>
                <w:sz w:val="24"/>
                <w:szCs w:val="24"/>
                <w:u w:val="single"/>
              </w:rPr>
              <w:t>接近于水，产卵需要湍急的水流条件，通常在汛期洪峰发生后产卵，如青鱼、</w:t>
            </w:r>
            <w:r>
              <w:rPr>
                <w:rFonts w:ascii="Times New Roman" w:hAnsi="Times New Roman" w:eastAsia="宋体" w:cs="Times New Roman"/>
                <w:spacing w:val="5"/>
                <w:sz w:val="24"/>
                <w:szCs w:val="24"/>
                <w:u w:val="single"/>
              </w:rPr>
              <w:t>草</w:t>
            </w:r>
            <w:r>
              <w:rPr>
                <w:rFonts w:ascii="Times New Roman" w:hAnsi="Times New Roman" w:eastAsia="宋体" w:cs="Times New Roman"/>
                <w:spacing w:val="18"/>
                <w:sz w:val="24"/>
                <w:szCs w:val="24"/>
                <w:u w:val="single"/>
              </w:rPr>
              <w:t>鱼</w:t>
            </w:r>
            <w:r>
              <w:rPr>
                <w:rFonts w:ascii="Times New Roman" w:hAnsi="Times New Roman" w:eastAsia="宋体" w:cs="Times New Roman"/>
                <w:spacing w:val="9"/>
                <w:sz w:val="24"/>
                <w:szCs w:val="24"/>
                <w:u w:val="single"/>
              </w:rPr>
              <w:t>、鲢、鳙。受精卵顺水漂流孵化，到江河下游及湖泊中育肥。</w:t>
            </w:r>
          </w:p>
          <w:p>
            <w:pPr>
              <w:spacing w:line="360" w:lineRule="auto"/>
              <w:ind w:firstLine="552" w:firstLineChars="200"/>
              <w:rPr>
                <w:rFonts w:ascii="Times New Roman" w:hAnsi="Times New Roman"/>
                <w:sz w:val="24"/>
                <w:u w:val="single"/>
              </w:rPr>
            </w:pPr>
            <w:r>
              <w:rPr>
                <w:rFonts w:ascii="Times New Roman" w:hAnsi="Times New Roman" w:eastAsia="宋体" w:cs="Times New Roman"/>
                <w:spacing w:val="18"/>
                <w:sz w:val="24"/>
                <w:szCs w:val="24"/>
                <w:u w:val="single"/>
              </w:rPr>
              <w:t>(3) 产浮性卵类</w:t>
            </w:r>
            <w:r>
              <w:rPr>
                <w:rFonts w:ascii="Times New Roman" w:hAnsi="Times New Roman" w:eastAsia="宋体" w:cs="Times New Roman"/>
                <w:spacing w:val="17"/>
                <w:sz w:val="24"/>
                <w:szCs w:val="24"/>
                <w:u w:val="single"/>
              </w:rPr>
              <w:t>群</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乌鳢、</w:t>
            </w:r>
            <w:r>
              <w:rPr>
                <w:rFonts w:ascii="Times New Roman" w:hAnsi="Times New Roman" w:eastAsia="宋体" w:cs="Times New Roman"/>
                <w:spacing w:val="10"/>
                <w:sz w:val="24"/>
                <w:szCs w:val="24"/>
                <w:u w:val="single"/>
              </w:rPr>
              <w:t>鳜</w:t>
            </w:r>
            <w:r>
              <w:rPr>
                <w:rFonts w:ascii="Times New Roman" w:hAnsi="Times New Roman" w:eastAsia="宋体" w:cs="Times New Roman"/>
                <w:spacing w:val="6"/>
                <w:sz w:val="24"/>
                <w:szCs w:val="24"/>
                <w:u w:val="single"/>
              </w:rPr>
              <w:t>等鱼类的卵具油球，在水中漂浮发育，一般产于静水中。此外，鳜</w:t>
            </w:r>
            <w:r>
              <w:rPr>
                <w:rFonts w:ascii="Times New Roman" w:hAnsi="Times New Roman" w:eastAsia="宋体" w:cs="Times New Roman"/>
                <w:spacing w:val="7"/>
                <w:sz w:val="24"/>
                <w:szCs w:val="24"/>
                <w:u w:val="single"/>
              </w:rPr>
              <w:t>的受精卵为微粘性，在发育过程中粘性逐步消失，由于卵黄具较大油球，也可</w:t>
            </w:r>
            <w:r>
              <w:rPr>
                <w:rFonts w:ascii="Times New Roman" w:hAnsi="Times New Roman" w:eastAsia="宋体" w:cs="Times New Roman"/>
                <w:spacing w:val="1"/>
                <w:sz w:val="24"/>
                <w:szCs w:val="24"/>
                <w:u w:val="single"/>
              </w:rPr>
              <w:t>随</w:t>
            </w:r>
            <w:r>
              <w:rPr>
                <w:rFonts w:ascii="Times New Roman" w:hAnsi="Times New Roman" w:eastAsia="宋体" w:cs="Times New Roman"/>
                <w:spacing w:val="7"/>
                <w:sz w:val="24"/>
                <w:szCs w:val="24"/>
                <w:u w:val="single"/>
              </w:rPr>
              <w:t>水</w:t>
            </w:r>
            <w:r>
              <w:rPr>
                <w:rFonts w:ascii="Times New Roman" w:hAnsi="Times New Roman" w:eastAsia="宋体" w:cs="Times New Roman"/>
                <w:spacing w:val="6"/>
                <w:sz w:val="24"/>
                <w:szCs w:val="24"/>
                <w:u w:val="single"/>
              </w:rPr>
              <w:t>漂流发育。</w:t>
            </w:r>
          </w:p>
          <w:p>
            <w:pPr>
              <w:spacing w:line="360" w:lineRule="auto"/>
              <w:ind w:firstLine="556" w:firstLineChars="200"/>
              <w:rPr>
                <w:rFonts w:ascii="Times New Roman" w:hAnsi="Times New Roman"/>
                <w:sz w:val="24"/>
                <w:u w:val="single"/>
              </w:rPr>
            </w:pPr>
            <w:r>
              <w:rPr>
                <w:rFonts w:ascii="Times New Roman" w:hAnsi="Times New Roman" w:eastAsia="宋体" w:cs="Times New Roman"/>
                <w:spacing w:val="19"/>
                <w:sz w:val="24"/>
                <w:szCs w:val="24"/>
                <w:u w:val="single"/>
              </w:rPr>
              <w:t>(</w:t>
            </w:r>
            <w:r>
              <w:rPr>
                <w:rFonts w:ascii="Times New Roman" w:hAnsi="Times New Roman" w:eastAsia="宋体" w:cs="Times New Roman"/>
                <w:spacing w:val="17"/>
                <w:sz w:val="24"/>
                <w:szCs w:val="24"/>
                <w:u w:val="single"/>
              </w:rPr>
              <w:t>4) 特异性产卵类群</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大鳍鱊</w:t>
            </w:r>
            <w:r>
              <w:rPr>
                <w:rFonts w:ascii="Times New Roman" w:hAnsi="Times New Roman" w:eastAsia="宋体" w:cs="Times New Roman"/>
                <w:spacing w:val="9"/>
                <w:sz w:val="24"/>
                <w:szCs w:val="24"/>
                <w:u w:val="single"/>
              </w:rPr>
              <w:t>等</w:t>
            </w:r>
            <w:r>
              <w:rPr>
                <w:rFonts w:ascii="Times New Roman" w:hAnsi="Times New Roman" w:eastAsia="宋体" w:cs="Times New Roman"/>
                <w:spacing w:val="6"/>
                <w:sz w:val="24"/>
                <w:szCs w:val="24"/>
                <w:u w:val="single"/>
              </w:rPr>
              <w:t>鱊亚科鱼类，在生殖季节，雌鱼具产卵管，通过产卵管，将卵产在</w:t>
            </w:r>
            <w:r>
              <w:rPr>
                <w:rFonts w:ascii="Times New Roman" w:hAnsi="Times New Roman" w:eastAsia="宋体" w:cs="Times New Roman"/>
                <w:spacing w:val="9"/>
                <w:sz w:val="24"/>
                <w:szCs w:val="24"/>
                <w:u w:val="single"/>
              </w:rPr>
              <w:t>河</w:t>
            </w:r>
            <w:r>
              <w:rPr>
                <w:rFonts w:ascii="Times New Roman" w:hAnsi="Times New Roman" w:eastAsia="宋体" w:cs="Times New Roman"/>
                <w:spacing w:val="8"/>
                <w:sz w:val="24"/>
                <w:szCs w:val="24"/>
                <w:u w:val="single"/>
              </w:rPr>
              <w:t>蚌的外套腔内发育。</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1.3.5.5、</w:t>
            </w:r>
            <w:r>
              <w:rPr>
                <w:rFonts w:ascii="Times New Roman" w:hAnsi="Times New Roman" w:cs="Times New Roman"/>
                <w:b/>
                <w:bCs/>
                <w:spacing w:val="8"/>
                <w:sz w:val="24"/>
                <w:szCs w:val="24"/>
                <w:u w:val="single"/>
              </w:rPr>
              <w:t>栖息类型</w:t>
            </w:r>
          </w:p>
          <w:p>
            <w:pPr>
              <w:spacing w:line="360" w:lineRule="auto"/>
              <w:ind w:firstLine="516" w:firstLineChars="200"/>
              <w:rPr>
                <w:rFonts w:ascii="Times New Roman" w:hAnsi="Times New Roman"/>
                <w:sz w:val="24"/>
                <w:u w:val="single"/>
              </w:rPr>
            </w:pPr>
            <w:r>
              <w:rPr>
                <w:rFonts w:ascii="Times New Roman" w:hAnsi="Times New Roman" w:eastAsia="宋体" w:cs="Times New Roman"/>
                <w:spacing w:val="9"/>
                <w:sz w:val="24"/>
                <w:szCs w:val="24"/>
                <w:u w:val="single"/>
              </w:rPr>
              <w:t>根</w:t>
            </w:r>
            <w:r>
              <w:rPr>
                <w:rFonts w:ascii="Times New Roman" w:hAnsi="Times New Roman" w:eastAsia="宋体" w:cs="Times New Roman"/>
                <w:spacing w:val="7"/>
                <w:sz w:val="24"/>
                <w:szCs w:val="24"/>
                <w:u w:val="single"/>
              </w:rPr>
              <w:t>据水域流态特征和鱼类栖息特点，调查区鱼类可大致分为以下 2 类：</w:t>
            </w:r>
          </w:p>
          <w:p>
            <w:pPr>
              <w:spacing w:line="360" w:lineRule="auto"/>
              <w:ind w:firstLine="560" w:firstLineChars="200"/>
              <w:rPr>
                <w:rFonts w:ascii="Times New Roman" w:hAnsi="Times New Roman"/>
                <w:sz w:val="24"/>
                <w:u w:val="single"/>
              </w:rPr>
            </w:pPr>
            <w:r>
              <w:rPr>
                <w:rFonts w:ascii="Times New Roman" w:hAnsi="Times New Roman" w:eastAsia="宋体" w:cs="Times New Roman"/>
                <w:spacing w:val="20"/>
                <w:sz w:val="24"/>
                <w:szCs w:val="24"/>
                <w:u w:val="single"/>
              </w:rPr>
              <w:t>(1) 流水类</w:t>
            </w:r>
            <w:r>
              <w:rPr>
                <w:rFonts w:ascii="Times New Roman" w:hAnsi="Times New Roman" w:eastAsia="宋体" w:cs="Times New Roman"/>
                <w:spacing w:val="19"/>
                <w:sz w:val="24"/>
                <w:szCs w:val="24"/>
                <w:u w:val="single"/>
              </w:rPr>
              <w:t>群</w:t>
            </w:r>
          </w:p>
          <w:p>
            <w:pPr>
              <w:spacing w:line="360" w:lineRule="auto"/>
              <w:ind w:firstLine="512" w:firstLineChars="200"/>
              <w:rPr>
                <w:rFonts w:ascii="Times New Roman" w:hAnsi="Times New Roman"/>
                <w:sz w:val="24"/>
                <w:u w:val="single"/>
              </w:rPr>
            </w:pPr>
            <w:r>
              <w:rPr>
                <w:rFonts w:ascii="Times New Roman" w:hAnsi="Times New Roman" w:eastAsia="宋体" w:cs="Times New Roman"/>
                <w:spacing w:val="8"/>
                <w:sz w:val="24"/>
                <w:szCs w:val="24"/>
                <w:u w:val="single"/>
              </w:rPr>
              <w:t>此类群主要或完全生活在江河流水环境中，体长形，略侧扁，游泳能力强</w:t>
            </w:r>
            <w:r>
              <w:rPr>
                <w:rFonts w:ascii="Times New Roman" w:hAnsi="Times New Roman" w:eastAsia="宋体" w:cs="Times New Roman"/>
                <w:spacing w:val="7"/>
                <w:sz w:val="24"/>
                <w:szCs w:val="24"/>
                <w:u w:val="single"/>
              </w:rPr>
              <w:t>，适应于流水生活。它们或以水底砾石等物体表面附着藻类为食，或以有机碎屑</w:t>
            </w:r>
            <w:r>
              <w:rPr>
                <w:rFonts w:ascii="Times New Roman" w:hAnsi="Times New Roman" w:eastAsia="宋体" w:cs="Times New Roman"/>
                <w:spacing w:val="4"/>
                <w:sz w:val="24"/>
                <w:szCs w:val="24"/>
                <w:u w:val="single"/>
              </w:rPr>
              <w:t>为</w:t>
            </w:r>
            <w:r>
              <w:rPr>
                <w:rFonts w:ascii="Times New Roman" w:hAnsi="Times New Roman" w:eastAsia="宋体" w:cs="Times New Roman"/>
                <w:spacing w:val="7"/>
                <w:sz w:val="24"/>
                <w:szCs w:val="24"/>
                <w:u w:val="single"/>
              </w:rPr>
              <w:t>食，或以底栖无脊椎动物为食，或以软体动物为食，或以浮游动植物为食。该</w:t>
            </w:r>
            <w:r>
              <w:rPr>
                <w:rFonts w:ascii="Times New Roman" w:hAnsi="Times New Roman" w:eastAsia="宋体" w:cs="Times New Roman"/>
                <w:spacing w:val="4"/>
                <w:sz w:val="24"/>
                <w:szCs w:val="24"/>
                <w:u w:val="single"/>
              </w:rPr>
              <w:t>类</w:t>
            </w:r>
            <w:r>
              <w:rPr>
                <w:rFonts w:ascii="Times New Roman" w:hAnsi="Times New Roman" w:eastAsia="宋体" w:cs="Times New Roman"/>
                <w:spacing w:val="8"/>
                <w:sz w:val="24"/>
                <w:szCs w:val="24"/>
                <w:u w:val="single"/>
              </w:rPr>
              <w:t>群种类有翘嘴鲌等</w:t>
            </w:r>
            <w:r>
              <w:rPr>
                <w:rFonts w:ascii="Times New Roman" w:hAnsi="Times New Roman" w:eastAsia="宋体" w:cs="Times New Roman"/>
                <w:spacing w:val="6"/>
                <w:sz w:val="24"/>
                <w:szCs w:val="24"/>
                <w:u w:val="single"/>
              </w:rPr>
              <w:t>。</w:t>
            </w:r>
          </w:p>
          <w:p>
            <w:pPr>
              <w:spacing w:line="360" w:lineRule="auto"/>
              <w:ind w:firstLine="580" w:firstLineChars="200"/>
              <w:rPr>
                <w:rFonts w:ascii="Times New Roman" w:hAnsi="Times New Roman"/>
                <w:sz w:val="24"/>
                <w:u w:val="single"/>
              </w:rPr>
            </w:pPr>
            <w:r>
              <w:rPr>
                <w:rFonts w:ascii="Times New Roman" w:hAnsi="Times New Roman" w:eastAsia="宋体" w:cs="Times New Roman"/>
                <w:spacing w:val="25"/>
                <w:sz w:val="24"/>
                <w:szCs w:val="24"/>
                <w:u w:val="single"/>
              </w:rPr>
              <w:t>(</w:t>
            </w:r>
            <w:r>
              <w:rPr>
                <w:rFonts w:ascii="Times New Roman" w:hAnsi="Times New Roman" w:eastAsia="宋体" w:cs="Times New Roman"/>
                <w:spacing w:val="18"/>
                <w:sz w:val="24"/>
                <w:szCs w:val="24"/>
                <w:u w:val="single"/>
              </w:rPr>
              <w:t>2) 静缓流类群</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此类群</w:t>
            </w:r>
            <w:r>
              <w:rPr>
                <w:rFonts w:ascii="Times New Roman" w:hAnsi="Times New Roman" w:eastAsia="宋体" w:cs="Times New Roman"/>
                <w:spacing w:val="11"/>
                <w:sz w:val="24"/>
                <w:szCs w:val="24"/>
                <w:u w:val="single"/>
              </w:rPr>
              <w:t>适</w:t>
            </w:r>
            <w:r>
              <w:rPr>
                <w:rFonts w:ascii="Times New Roman" w:hAnsi="Times New Roman" w:eastAsia="宋体" w:cs="Times New Roman"/>
                <w:spacing w:val="6"/>
                <w:sz w:val="24"/>
                <w:szCs w:val="24"/>
                <w:u w:val="single"/>
              </w:rPr>
              <w:t>宜生活于静缓流水体中，摄食包括浮游动植物食性、动物性食性或</w:t>
            </w:r>
            <w:r>
              <w:rPr>
                <w:rFonts w:ascii="Times New Roman" w:hAnsi="Times New Roman" w:eastAsia="宋体" w:cs="Times New Roman"/>
                <w:spacing w:val="7"/>
                <w:sz w:val="24"/>
                <w:szCs w:val="24"/>
                <w:u w:val="single"/>
              </w:rPr>
              <w:t>杂食性，部分种类须在流水环境下产漂流性卵或可归于流水性种类，该类群种</w:t>
            </w:r>
            <w:r>
              <w:rPr>
                <w:rFonts w:ascii="Times New Roman" w:hAnsi="Times New Roman" w:eastAsia="宋体" w:cs="Times New Roman"/>
                <w:spacing w:val="2"/>
                <w:sz w:val="24"/>
                <w:szCs w:val="24"/>
                <w:u w:val="single"/>
              </w:rPr>
              <w:t>类</w:t>
            </w:r>
            <w:r>
              <w:rPr>
                <w:rFonts w:ascii="Times New Roman" w:hAnsi="Times New Roman" w:eastAsia="宋体" w:cs="Times New Roman"/>
                <w:spacing w:val="13"/>
                <w:sz w:val="24"/>
                <w:szCs w:val="24"/>
                <w:u w:val="single"/>
              </w:rPr>
              <w:t>有</w:t>
            </w:r>
            <w:r>
              <w:rPr>
                <w:rFonts w:ascii="Times New Roman" w:hAnsi="Times New Roman" w:eastAsia="宋体" w:cs="Times New Roman"/>
                <w:spacing w:val="7"/>
                <w:sz w:val="24"/>
                <w:szCs w:val="24"/>
                <w:u w:val="single"/>
              </w:rPr>
              <w:t>泥鳅、鲇和鲫等。</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1.3.5.6、</w:t>
            </w:r>
            <w:r>
              <w:rPr>
                <w:rFonts w:ascii="Times New Roman" w:hAnsi="Times New Roman" w:cs="Times New Roman"/>
                <w:b/>
                <w:bCs/>
                <w:spacing w:val="8"/>
                <w:sz w:val="24"/>
                <w:szCs w:val="24"/>
                <w:u w:val="single"/>
              </w:rPr>
              <w:t>重要物种</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评价区内</w:t>
            </w:r>
            <w:r>
              <w:rPr>
                <w:rFonts w:ascii="Times New Roman" w:hAnsi="Times New Roman" w:eastAsia="宋体" w:cs="Times New Roman"/>
                <w:spacing w:val="7"/>
                <w:sz w:val="24"/>
                <w:szCs w:val="24"/>
                <w:u w:val="single"/>
              </w:rPr>
              <w:t>没</w:t>
            </w:r>
            <w:r>
              <w:rPr>
                <w:rFonts w:ascii="Times New Roman" w:hAnsi="Times New Roman" w:eastAsia="宋体" w:cs="Times New Roman"/>
                <w:spacing w:val="6"/>
                <w:sz w:val="24"/>
                <w:szCs w:val="24"/>
                <w:u w:val="single"/>
              </w:rPr>
              <w:t>有国家级和湖南省级重点保护鱼类，也没有被列入《中国生物多</w:t>
            </w:r>
            <w:r>
              <w:rPr>
                <w:rFonts w:ascii="Times New Roman" w:hAnsi="Times New Roman" w:eastAsia="宋体" w:cs="Times New Roman"/>
                <w:spacing w:val="10"/>
                <w:sz w:val="24"/>
                <w:szCs w:val="24"/>
                <w:u w:val="single"/>
              </w:rPr>
              <w:t>样</w:t>
            </w:r>
            <w:r>
              <w:rPr>
                <w:rFonts w:ascii="Times New Roman" w:hAnsi="Times New Roman" w:eastAsia="宋体" w:cs="Times New Roman"/>
                <w:spacing w:val="9"/>
                <w:sz w:val="24"/>
                <w:szCs w:val="24"/>
                <w:u w:val="single"/>
              </w:rPr>
              <w:t>性红色名录》中极危、濒危、易危的鱼类。</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1.3.5.7、</w:t>
            </w:r>
            <w:r>
              <w:rPr>
                <w:rFonts w:ascii="Times New Roman" w:hAnsi="Times New Roman" w:cs="Times New Roman"/>
                <w:b/>
                <w:bCs/>
                <w:spacing w:val="8"/>
                <w:sz w:val="24"/>
                <w:szCs w:val="24"/>
                <w:u w:val="single"/>
              </w:rPr>
              <w:t>渔获物组成</w:t>
            </w:r>
          </w:p>
          <w:p>
            <w:pPr>
              <w:spacing w:line="360" w:lineRule="auto"/>
              <w:ind w:firstLine="492" w:firstLineChars="200"/>
              <w:rPr>
                <w:rFonts w:ascii="Times New Roman" w:hAnsi="Times New Roman"/>
                <w:sz w:val="24"/>
                <w:u w:val="single"/>
              </w:rPr>
            </w:pPr>
            <w:r>
              <w:rPr>
                <w:rFonts w:ascii="Times New Roman" w:hAnsi="Times New Roman" w:eastAsia="宋体" w:cs="Times New Roman"/>
                <w:spacing w:val="3"/>
                <w:sz w:val="24"/>
                <w:szCs w:val="24"/>
                <w:u w:val="single"/>
              </w:rPr>
              <w:t>通过调查得知，目前</w:t>
            </w:r>
            <w:r>
              <w:rPr>
                <w:rFonts w:hint="eastAsia" w:ascii="Times New Roman" w:hAnsi="Times New Roman" w:eastAsia="宋体" w:cs="Times New Roman"/>
                <w:spacing w:val="3"/>
                <w:sz w:val="24"/>
                <w:szCs w:val="24"/>
                <w:u w:val="single"/>
              </w:rPr>
              <w:t>鼻湖</w:t>
            </w:r>
            <w:r>
              <w:rPr>
                <w:rFonts w:ascii="Times New Roman" w:hAnsi="Times New Roman" w:eastAsia="宋体" w:cs="Times New Roman"/>
                <w:spacing w:val="3"/>
                <w:sz w:val="24"/>
                <w:szCs w:val="24"/>
                <w:u w:val="single"/>
              </w:rPr>
              <w:t>被</w:t>
            </w:r>
            <w:r>
              <w:rPr>
                <w:rFonts w:ascii="Times New Roman" w:hAnsi="Times New Roman" w:eastAsia="宋体" w:cs="Times New Roman"/>
                <w:sz w:val="24"/>
                <w:szCs w:val="24"/>
                <w:u w:val="single"/>
              </w:rPr>
              <w:t>私人</w:t>
            </w:r>
            <w:r>
              <w:rPr>
                <w:rFonts w:ascii="Times New Roman" w:hAnsi="Times New Roman" w:eastAsia="宋体" w:cs="Times New Roman"/>
                <w:spacing w:val="8"/>
                <w:sz w:val="24"/>
                <w:szCs w:val="24"/>
                <w:u w:val="single"/>
              </w:rPr>
              <w:t>承包，主要养殖</w:t>
            </w:r>
            <w:r>
              <w:rPr>
                <w:rFonts w:ascii="Times New Roman" w:hAnsi="Times New Roman" w:eastAsia="宋体" w:cs="Times New Roman"/>
                <w:spacing w:val="5"/>
                <w:sz w:val="24"/>
                <w:szCs w:val="24"/>
                <w:u w:val="single"/>
              </w:rPr>
              <w:t>鱼</w:t>
            </w:r>
            <w:r>
              <w:rPr>
                <w:rFonts w:ascii="Times New Roman" w:hAnsi="Times New Roman" w:eastAsia="宋体" w:cs="Times New Roman"/>
                <w:spacing w:val="4"/>
                <w:sz w:val="24"/>
                <w:szCs w:val="24"/>
                <w:u w:val="single"/>
              </w:rPr>
              <w:t>类以鲢鳙为主，鳊、鲫、鳜鱼和鲤等为辅。</w:t>
            </w:r>
          </w:p>
          <w:p>
            <w:pPr>
              <w:spacing w:line="360" w:lineRule="auto"/>
              <w:rPr>
                <w:rFonts w:ascii="Times New Roman" w:hAnsi="Times New Roman"/>
                <w:b/>
                <w:bCs/>
                <w:spacing w:val="8"/>
                <w:sz w:val="24"/>
                <w:u w:val="single"/>
              </w:rPr>
            </w:pPr>
            <w:r>
              <w:rPr>
                <w:rFonts w:hint="eastAsia" w:ascii="Times New Roman" w:hAnsi="Times New Roman" w:cs="Times New Roman"/>
                <w:b/>
                <w:bCs/>
                <w:spacing w:val="8"/>
                <w:sz w:val="24"/>
                <w:szCs w:val="24"/>
                <w:u w:val="single"/>
              </w:rPr>
              <w:t>1.3.5.8、</w:t>
            </w:r>
            <w:r>
              <w:rPr>
                <w:rFonts w:ascii="Times New Roman" w:hAnsi="Times New Roman" w:cs="Times New Roman"/>
                <w:b/>
                <w:bCs/>
                <w:spacing w:val="8"/>
                <w:sz w:val="24"/>
                <w:szCs w:val="24"/>
                <w:u w:val="single"/>
              </w:rPr>
              <w:t>鱼类重要生境</w:t>
            </w:r>
          </w:p>
          <w:p>
            <w:pPr>
              <w:spacing w:line="360" w:lineRule="auto"/>
              <w:ind w:firstLine="492" w:firstLineChars="200"/>
              <w:rPr>
                <w:rFonts w:ascii="Times New Roman" w:hAnsi="Times New Roman"/>
                <w:sz w:val="24"/>
                <w:u w:val="single"/>
              </w:rPr>
            </w:pPr>
            <w:r>
              <w:rPr>
                <w:rFonts w:ascii="Times New Roman" w:hAnsi="Times New Roman" w:eastAsia="宋体" w:cs="Times New Roman"/>
                <w:spacing w:val="3"/>
                <w:sz w:val="24"/>
                <w:szCs w:val="24"/>
                <w:u w:val="single"/>
              </w:rPr>
              <w:t>1) 产卵</w:t>
            </w:r>
            <w:r>
              <w:rPr>
                <w:rFonts w:ascii="Times New Roman" w:hAnsi="Times New Roman" w:eastAsia="宋体" w:cs="Times New Roman"/>
                <w:spacing w:val="1"/>
                <w:sz w:val="24"/>
                <w:szCs w:val="24"/>
                <w:u w:val="single"/>
              </w:rPr>
              <w:t>场</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此次</w:t>
            </w:r>
            <w:r>
              <w:rPr>
                <w:rFonts w:ascii="Times New Roman" w:hAnsi="Times New Roman" w:eastAsia="宋体" w:cs="Times New Roman"/>
                <w:spacing w:val="11"/>
                <w:sz w:val="24"/>
                <w:szCs w:val="24"/>
                <w:u w:val="single"/>
              </w:rPr>
              <w:t>在</w:t>
            </w:r>
            <w:r>
              <w:rPr>
                <w:rFonts w:ascii="Times New Roman" w:hAnsi="Times New Roman" w:eastAsia="宋体" w:cs="Times New Roman"/>
                <w:spacing w:val="6"/>
                <w:sz w:val="24"/>
                <w:szCs w:val="24"/>
                <w:u w:val="single"/>
              </w:rPr>
              <w:t xml:space="preserve">评价区调查到的产粘性卵鱼类主要有鲫、鲤、䱗等种类 </w:t>
            </w:r>
            <w:r>
              <w:rPr>
                <w:rFonts w:hint="eastAsia" w:ascii="Times New Roman" w:hAnsi="Times New Roman" w:eastAsia="宋体" w:cs="Times New Roman"/>
                <w:spacing w:val="6"/>
                <w:sz w:val="24"/>
                <w:szCs w:val="24"/>
                <w:u w:val="single"/>
              </w:rPr>
              <w:t>（</w:t>
            </w:r>
            <w:r>
              <w:rPr>
                <w:rFonts w:ascii="Times New Roman" w:hAnsi="Times New Roman" w:eastAsia="宋体" w:cs="Times New Roman"/>
                <w:spacing w:val="6"/>
                <w:sz w:val="24"/>
                <w:szCs w:val="24"/>
                <w:u w:val="single"/>
              </w:rPr>
              <w:t>鲢、鳙等鱼</w:t>
            </w:r>
            <w:r>
              <w:rPr>
                <w:rFonts w:ascii="Times New Roman" w:hAnsi="Times New Roman" w:eastAsia="宋体" w:cs="Times New Roman"/>
                <w:sz w:val="24"/>
                <w:szCs w:val="24"/>
                <w:u w:val="single"/>
              </w:rPr>
              <w:t xml:space="preserve"> </w:t>
            </w:r>
            <w:r>
              <w:rPr>
                <w:rFonts w:ascii="Times New Roman" w:hAnsi="Times New Roman" w:eastAsia="宋体" w:cs="Times New Roman"/>
                <w:spacing w:val="12"/>
                <w:sz w:val="24"/>
                <w:szCs w:val="24"/>
                <w:u w:val="single"/>
              </w:rPr>
              <w:t>主要为养</w:t>
            </w:r>
            <w:r>
              <w:rPr>
                <w:rFonts w:ascii="Times New Roman" w:hAnsi="Times New Roman" w:eastAsia="宋体" w:cs="Times New Roman"/>
                <w:spacing w:val="6"/>
                <w:sz w:val="24"/>
                <w:szCs w:val="24"/>
                <w:u w:val="single"/>
              </w:rPr>
              <w:t>殖鱼类</w:t>
            </w:r>
            <w:r>
              <w:rPr>
                <w:rFonts w:hint="eastAsia" w:ascii="Times New Roman" w:hAnsi="Times New Roman" w:eastAsia="宋体" w:cs="Times New Roman"/>
                <w:spacing w:val="6"/>
                <w:sz w:val="24"/>
                <w:szCs w:val="24"/>
                <w:u w:val="single"/>
              </w:rPr>
              <w:t>）</w:t>
            </w:r>
            <w:r>
              <w:rPr>
                <w:rFonts w:ascii="Times New Roman" w:hAnsi="Times New Roman" w:eastAsia="宋体" w:cs="Times New Roman"/>
                <w:spacing w:val="6"/>
                <w:sz w:val="24"/>
                <w:szCs w:val="24"/>
                <w:u w:val="single"/>
              </w:rPr>
              <w:t xml:space="preserve"> ，这类鱼的产卵场主要分布于水流较缓、水草丰茂的湖边。</w:t>
            </w:r>
            <w:r>
              <w:rPr>
                <w:rFonts w:hint="eastAsia" w:ascii="Times New Roman" w:hAnsi="Times New Roman" w:eastAsia="宋体" w:cs="Times New Roman"/>
                <w:spacing w:val="2"/>
                <w:sz w:val="24"/>
                <w:szCs w:val="24"/>
                <w:u w:val="single"/>
              </w:rPr>
              <w:t>鼻湖</w:t>
            </w:r>
            <w:r>
              <w:rPr>
                <w:rFonts w:ascii="Times New Roman" w:hAnsi="Times New Roman" w:eastAsia="宋体" w:cs="Times New Roman"/>
                <w:spacing w:val="7"/>
                <w:sz w:val="24"/>
                <w:szCs w:val="24"/>
                <w:u w:val="single"/>
              </w:rPr>
              <w:t>以淤泥基质为主，岸边均有岩石分布，春夏丰水季降雨充沛，湖边水</w:t>
            </w:r>
            <w:r>
              <w:rPr>
                <w:rFonts w:ascii="Times New Roman" w:hAnsi="Times New Roman" w:eastAsia="宋体" w:cs="Times New Roman"/>
                <w:spacing w:val="2"/>
                <w:sz w:val="24"/>
                <w:szCs w:val="24"/>
                <w:u w:val="single"/>
              </w:rPr>
              <w:t>位</w:t>
            </w:r>
            <w:r>
              <w:rPr>
                <w:rFonts w:ascii="Times New Roman" w:hAnsi="Times New Roman" w:eastAsia="宋体" w:cs="Times New Roman"/>
                <w:spacing w:val="7"/>
                <w:sz w:val="24"/>
                <w:szCs w:val="24"/>
                <w:u w:val="single"/>
              </w:rPr>
              <w:t>上升时，可能为产粘砾石基质鱼卵鱼类理想的产卵场。现场勘察，并未在</w:t>
            </w:r>
            <w:r>
              <w:rPr>
                <w:rFonts w:hint="eastAsia" w:ascii="Times New Roman" w:hAnsi="Times New Roman" w:eastAsia="宋体" w:cs="Times New Roman"/>
                <w:spacing w:val="7"/>
                <w:sz w:val="24"/>
                <w:szCs w:val="24"/>
                <w:u w:val="single"/>
              </w:rPr>
              <w:t>鼻湖</w:t>
            </w:r>
            <w:r>
              <w:rPr>
                <w:rFonts w:ascii="Times New Roman" w:hAnsi="Times New Roman" w:eastAsia="宋体" w:cs="Times New Roman"/>
                <w:spacing w:val="8"/>
                <w:sz w:val="24"/>
                <w:szCs w:val="24"/>
                <w:u w:val="single"/>
              </w:rPr>
              <w:t>发现呈规模的产卵场。</w:t>
            </w:r>
          </w:p>
          <w:p>
            <w:pPr>
              <w:spacing w:line="360" w:lineRule="auto"/>
              <w:ind w:firstLine="516" w:firstLineChars="200"/>
              <w:rPr>
                <w:rFonts w:ascii="Times New Roman" w:hAnsi="Times New Roman"/>
                <w:sz w:val="24"/>
                <w:u w:val="single"/>
              </w:rPr>
            </w:pPr>
            <w:r>
              <w:rPr>
                <w:rFonts w:ascii="Times New Roman" w:hAnsi="Times New Roman" w:eastAsia="宋体" w:cs="Times New Roman"/>
                <w:spacing w:val="9"/>
                <w:sz w:val="24"/>
                <w:szCs w:val="24"/>
                <w:u w:val="single"/>
              </w:rPr>
              <w:t>2</w:t>
            </w:r>
            <w:r>
              <w:rPr>
                <w:rFonts w:ascii="Times New Roman" w:hAnsi="Times New Roman" w:eastAsia="宋体" w:cs="Times New Roman"/>
                <w:spacing w:val="6"/>
                <w:sz w:val="24"/>
                <w:szCs w:val="24"/>
                <w:u w:val="single"/>
              </w:rPr>
              <w:t>) 索饵场</w:t>
            </w:r>
          </w:p>
          <w:p>
            <w:pPr>
              <w:spacing w:line="360" w:lineRule="auto"/>
              <w:ind w:firstLine="528" w:firstLineChars="200"/>
              <w:rPr>
                <w:rFonts w:ascii="Times New Roman" w:hAnsi="Times New Roman"/>
                <w:sz w:val="24"/>
                <w:u w:val="single"/>
              </w:rPr>
            </w:pPr>
            <w:r>
              <w:rPr>
                <w:rFonts w:ascii="Times New Roman" w:hAnsi="Times New Roman" w:eastAsia="宋体" w:cs="Times New Roman"/>
                <w:spacing w:val="12"/>
                <w:sz w:val="24"/>
                <w:szCs w:val="24"/>
                <w:u w:val="single"/>
              </w:rPr>
              <w:t>通常鱼类</w:t>
            </w:r>
            <w:r>
              <w:rPr>
                <w:rFonts w:ascii="Times New Roman" w:hAnsi="Times New Roman" w:eastAsia="宋体" w:cs="Times New Roman"/>
                <w:spacing w:val="6"/>
                <w:sz w:val="24"/>
                <w:szCs w:val="24"/>
                <w:u w:val="single"/>
              </w:rPr>
              <w:t>的索饵场在产卵场附近，这些区域水流复杂，水草丰茂，有利于幼</w:t>
            </w:r>
            <w:r>
              <w:rPr>
                <w:rFonts w:ascii="Times New Roman" w:hAnsi="Times New Roman" w:eastAsia="宋体" w:cs="Times New Roman"/>
                <w:sz w:val="24"/>
                <w:szCs w:val="24"/>
                <w:u w:val="single"/>
              </w:rPr>
              <w:t xml:space="preserve"> </w:t>
            </w:r>
            <w:r>
              <w:rPr>
                <w:rFonts w:ascii="Times New Roman" w:hAnsi="Times New Roman" w:eastAsia="宋体" w:cs="Times New Roman"/>
                <w:spacing w:val="7"/>
                <w:sz w:val="24"/>
                <w:szCs w:val="24"/>
                <w:u w:val="single"/>
              </w:rPr>
              <w:t>鱼索饵。鱼类的索饵或育幼场，常取决于食性。如翘嘴鲌、鲇等种类主要以其</w:t>
            </w:r>
            <w:r>
              <w:rPr>
                <w:rFonts w:ascii="Times New Roman" w:hAnsi="Times New Roman" w:eastAsia="宋体" w:cs="Times New Roman"/>
                <w:spacing w:val="5"/>
                <w:sz w:val="24"/>
                <w:szCs w:val="24"/>
                <w:u w:val="single"/>
              </w:rPr>
              <w:t>他</w:t>
            </w:r>
            <w:r>
              <w:rPr>
                <w:rFonts w:ascii="Times New Roman" w:hAnsi="Times New Roman" w:eastAsia="宋体" w:cs="Times New Roman"/>
                <w:sz w:val="24"/>
                <w:szCs w:val="24"/>
                <w:u w:val="single"/>
              </w:rPr>
              <w:t xml:space="preserve"> </w:t>
            </w:r>
            <w:r>
              <w:rPr>
                <w:rFonts w:ascii="Times New Roman" w:hAnsi="Times New Roman" w:eastAsia="宋体" w:cs="Times New Roman"/>
                <w:spacing w:val="16"/>
                <w:sz w:val="24"/>
                <w:szCs w:val="24"/>
                <w:u w:val="single"/>
              </w:rPr>
              <w:t>鱼类</w:t>
            </w:r>
            <w:r>
              <w:rPr>
                <w:rFonts w:ascii="Times New Roman" w:hAnsi="Times New Roman" w:eastAsia="宋体" w:cs="Times New Roman"/>
                <w:spacing w:val="13"/>
                <w:sz w:val="24"/>
                <w:szCs w:val="24"/>
                <w:u w:val="single"/>
              </w:rPr>
              <w:t>为</w:t>
            </w:r>
            <w:r>
              <w:rPr>
                <w:rFonts w:ascii="Times New Roman" w:hAnsi="Times New Roman" w:eastAsia="宋体" w:cs="Times New Roman"/>
                <w:spacing w:val="8"/>
                <w:sz w:val="24"/>
                <w:szCs w:val="24"/>
                <w:u w:val="single"/>
              </w:rPr>
              <w:t>食，其索饵场分布与自身食性、摄食对象鱼类鱼群的分布情况有关。鲤、</w:t>
            </w:r>
            <w:r>
              <w:rPr>
                <w:rFonts w:ascii="Times New Roman" w:hAnsi="Times New Roman" w:eastAsia="宋体" w:cs="Times New Roman"/>
                <w:spacing w:val="18"/>
                <w:sz w:val="24"/>
                <w:szCs w:val="24"/>
                <w:u w:val="single"/>
              </w:rPr>
              <w:t>鲫、</w:t>
            </w:r>
            <w:r>
              <w:rPr>
                <w:rFonts w:ascii="Times New Roman" w:hAnsi="Times New Roman" w:eastAsia="宋体" w:cs="Times New Roman"/>
                <w:spacing w:val="9"/>
                <w:sz w:val="24"/>
                <w:szCs w:val="24"/>
                <w:u w:val="single"/>
              </w:rPr>
              <w:t>泥鳅和䱗等杂食性鱼类索饵场通常水质较好，水深一般在 0~0.5</w:t>
            </w:r>
            <w:r>
              <w:rPr>
                <w:rFonts w:ascii="Times New Roman" w:hAnsi="Times New Roman" w:eastAsia="宋体" w:cs="Times New Roman"/>
                <w:sz w:val="24"/>
                <w:szCs w:val="24"/>
                <w:u w:val="single"/>
              </w:rPr>
              <w:t>m</w:t>
            </w:r>
            <w:r>
              <w:rPr>
                <w:rFonts w:ascii="Times New Roman" w:hAnsi="Times New Roman" w:eastAsia="宋体" w:cs="Times New Roman"/>
                <w:spacing w:val="9"/>
                <w:sz w:val="24"/>
                <w:szCs w:val="24"/>
                <w:u w:val="single"/>
              </w:rPr>
              <w:t>，浮游动</w:t>
            </w:r>
            <w:r>
              <w:rPr>
                <w:rFonts w:ascii="Times New Roman" w:hAnsi="Times New Roman" w:eastAsia="宋体" w:cs="Times New Roman"/>
                <w:sz w:val="24"/>
                <w:szCs w:val="24"/>
                <w:u w:val="single"/>
              </w:rPr>
              <w:t xml:space="preserve"> </w:t>
            </w:r>
            <w:r>
              <w:rPr>
                <w:rFonts w:ascii="Times New Roman" w:hAnsi="Times New Roman" w:eastAsia="宋体" w:cs="Times New Roman"/>
                <w:spacing w:val="7"/>
                <w:sz w:val="24"/>
                <w:szCs w:val="24"/>
                <w:u w:val="single"/>
              </w:rPr>
              <w:t>植物等饵料生物丰富，初级生产力高，水生植被丰富且敌害较少，有利于幼鱼</w:t>
            </w:r>
            <w:r>
              <w:rPr>
                <w:rFonts w:ascii="Times New Roman" w:hAnsi="Times New Roman" w:eastAsia="宋体" w:cs="Times New Roman"/>
                <w:spacing w:val="5"/>
                <w:sz w:val="24"/>
                <w:szCs w:val="24"/>
                <w:u w:val="single"/>
              </w:rPr>
              <w:t>的</w:t>
            </w:r>
            <w:r>
              <w:rPr>
                <w:rFonts w:ascii="Times New Roman" w:hAnsi="Times New Roman" w:eastAsia="宋体" w:cs="Times New Roman"/>
                <w:spacing w:val="16"/>
                <w:sz w:val="24"/>
                <w:szCs w:val="24"/>
                <w:u w:val="single"/>
              </w:rPr>
              <w:t>存</w:t>
            </w:r>
            <w:r>
              <w:rPr>
                <w:rFonts w:ascii="Times New Roman" w:hAnsi="Times New Roman" w:eastAsia="宋体" w:cs="Times New Roman"/>
                <w:spacing w:val="9"/>
                <w:sz w:val="24"/>
                <w:szCs w:val="24"/>
                <w:u w:val="single"/>
              </w:rPr>
              <w:t>活。现场勘察，并未在</w:t>
            </w:r>
            <w:r>
              <w:rPr>
                <w:rFonts w:hint="eastAsia" w:ascii="Times New Roman" w:hAnsi="Times New Roman" w:eastAsia="宋体" w:cs="Times New Roman"/>
                <w:spacing w:val="9"/>
                <w:sz w:val="24"/>
                <w:szCs w:val="24"/>
                <w:u w:val="single"/>
              </w:rPr>
              <w:t>鼻湖</w:t>
            </w:r>
            <w:r>
              <w:rPr>
                <w:rFonts w:ascii="Times New Roman" w:hAnsi="Times New Roman" w:eastAsia="宋体" w:cs="Times New Roman"/>
                <w:spacing w:val="9"/>
                <w:sz w:val="24"/>
                <w:szCs w:val="24"/>
                <w:u w:val="single"/>
              </w:rPr>
              <w:t>发现呈规模的索饵场。</w:t>
            </w:r>
          </w:p>
          <w:p>
            <w:pPr>
              <w:spacing w:line="360" w:lineRule="auto"/>
              <w:ind w:firstLine="504" w:firstLineChars="200"/>
              <w:rPr>
                <w:rFonts w:ascii="Times New Roman" w:hAnsi="Times New Roman"/>
                <w:sz w:val="24"/>
                <w:u w:val="single"/>
              </w:rPr>
            </w:pPr>
            <w:r>
              <w:rPr>
                <w:rFonts w:ascii="Times New Roman" w:hAnsi="Times New Roman" w:eastAsia="宋体" w:cs="Times New Roman"/>
                <w:spacing w:val="6"/>
                <w:sz w:val="24"/>
                <w:szCs w:val="24"/>
                <w:u w:val="single"/>
              </w:rPr>
              <w:t>3) 越冬</w:t>
            </w:r>
            <w:r>
              <w:rPr>
                <w:rFonts w:ascii="Times New Roman" w:hAnsi="Times New Roman" w:eastAsia="宋体" w:cs="Times New Roman"/>
                <w:spacing w:val="5"/>
                <w:sz w:val="24"/>
                <w:szCs w:val="24"/>
                <w:u w:val="single"/>
              </w:rPr>
              <w:t>场</w:t>
            </w:r>
          </w:p>
          <w:p>
            <w:pPr>
              <w:pStyle w:val="34"/>
              <w:ind w:firstLine="504"/>
              <w:rPr>
                <w:spacing w:val="9"/>
                <w:u w:val="single"/>
              </w:rPr>
            </w:pPr>
            <w:r>
              <w:rPr>
                <w:spacing w:val="12"/>
                <w:u w:val="single"/>
              </w:rPr>
              <w:t>冬季来</w:t>
            </w:r>
            <w:r>
              <w:rPr>
                <w:spacing w:val="6"/>
                <w:u w:val="single"/>
              </w:rPr>
              <w:t>临之前，鱼类经过夏、秋季的索饵，大都长得身体肥壮，体内贮积大</w:t>
            </w:r>
            <w:r>
              <w:rPr>
                <w:spacing w:val="7"/>
                <w:u w:val="single"/>
              </w:rPr>
              <w:t>量脂肪，每年入秋以后天气转冷，水温随之下降，而河水流量逐渐减少，水位</w:t>
            </w:r>
            <w:r>
              <w:rPr>
                <w:spacing w:val="5"/>
                <w:u w:val="single"/>
              </w:rPr>
              <w:t>降</w:t>
            </w:r>
            <w:r>
              <w:rPr>
                <w:spacing w:val="7"/>
                <w:u w:val="single"/>
              </w:rPr>
              <w:t>低透明度增大，饵料减少，此时，在各不同深度、不同环境中觅食的主要经济</w:t>
            </w:r>
            <w:r>
              <w:rPr>
                <w:spacing w:val="5"/>
                <w:u w:val="single"/>
              </w:rPr>
              <w:t>鱼</w:t>
            </w:r>
            <w:r>
              <w:rPr>
                <w:spacing w:val="7"/>
                <w:u w:val="single"/>
              </w:rPr>
              <w:t>类，逐渐受气候等各种外部因素变化的影响进入深水处活动。鱼类从浅水区进</w:t>
            </w:r>
            <w:r>
              <w:rPr>
                <w:spacing w:val="5"/>
                <w:u w:val="single"/>
              </w:rPr>
              <w:t>入</w:t>
            </w:r>
            <w:r>
              <w:rPr>
                <w:u w:val="single"/>
              </w:rPr>
              <w:t xml:space="preserve"> </w:t>
            </w:r>
            <w:r>
              <w:rPr>
                <w:spacing w:val="7"/>
                <w:u w:val="single"/>
              </w:rPr>
              <w:t>饵料资源较为丰富、温度较为稳定的深水潭中越冬，或在砾石之间水较深区域</w:t>
            </w:r>
            <w:r>
              <w:rPr>
                <w:spacing w:val="5"/>
                <w:u w:val="single"/>
              </w:rPr>
              <w:t>就</w:t>
            </w:r>
            <w:r>
              <w:rPr>
                <w:u w:val="single"/>
              </w:rPr>
              <w:t xml:space="preserve"> </w:t>
            </w:r>
            <w:r>
              <w:rPr>
                <w:spacing w:val="14"/>
                <w:u w:val="single"/>
              </w:rPr>
              <w:t>近</w:t>
            </w:r>
            <w:r>
              <w:rPr>
                <w:spacing w:val="9"/>
                <w:u w:val="single"/>
              </w:rPr>
              <w:t>越冬。湖内的鱼类主要在湖区深水区越冬</w:t>
            </w:r>
            <w:r>
              <w:rPr>
                <w:rFonts w:hint="eastAsia"/>
                <w:spacing w:val="9"/>
                <w:u w:val="single"/>
              </w:rPr>
              <w:t>。</w:t>
            </w:r>
          </w:p>
          <w:p>
            <w:pPr>
              <w:pStyle w:val="34"/>
              <w:ind w:firstLine="500"/>
              <w:rPr>
                <w:b/>
                <w:bCs/>
                <w:spacing w:val="9"/>
                <w:u w:val="single"/>
              </w:rPr>
            </w:pPr>
            <w:r>
              <w:rPr>
                <w:rFonts w:hint="eastAsia"/>
                <w:b/>
                <w:bCs/>
                <w:spacing w:val="9"/>
                <w:u w:val="single"/>
              </w:rPr>
              <w:t>1</w:t>
            </w:r>
            <w:r>
              <w:rPr>
                <w:b/>
                <w:bCs/>
                <w:spacing w:val="9"/>
                <w:u w:val="single"/>
              </w:rPr>
              <w:t>.3.6</w:t>
            </w:r>
            <w:r>
              <w:rPr>
                <w:rFonts w:hint="eastAsia"/>
                <w:b/>
                <w:bCs/>
                <w:spacing w:val="9"/>
                <w:u w:val="single"/>
              </w:rPr>
              <w:t>重点保护动植物调查</w:t>
            </w:r>
          </w:p>
          <w:p>
            <w:pPr>
              <w:pStyle w:val="34"/>
              <w:ind w:firstLine="480"/>
              <w:rPr>
                <w:u w:val="single"/>
              </w:rPr>
            </w:pPr>
            <w:r>
              <w:rPr>
                <w:rFonts w:hint="eastAsia"/>
                <w:u w:val="single"/>
              </w:rPr>
              <w:t>经调查，本项目工程区域及淤泥干化场区域等直接影响区域不涉及国家重点保护动植物的分布。</w:t>
            </w:r>
          </w:p>
          <w:p>
            <w:pPr>
              <w:pStyle w:val="34"/>
              <w:ind w:firstLine="480"/>
            </w:pPr>
            <w:r>
              <w:rPr>
                <w:rFonts w:hint="eastAsia"/>
              </w:rPr>
              <w:t>2、环境空气质量现状</w:t>
            </w:r>
          </w:p>
          <w:p>
            <w:pPr>
              <w:pStyle w:val="34"/>
              <w:ind w:firstLine="480"/>
            </w:pPr>
            <w:r>
              <w:rPr>
                <w:rFonts w:hint="eastAsia"/>
              </w:rPr>
              <w:t>为了解本项目所在区域环境质量现状，本环评引用岳阳市生态环境局湘阴分局发布的</w:t>
            </w:r>
            <w:r>
              <w:t>2022</w:t>
            </w:r>
            <w:r>
              <w:rPr>
                <w:rFonts w:hint="eastAsia"/>
              </w:rPr>
              <w:t>年</w:t>
            </w:r>
            <w:r>
              <w:t>1-12</w:t>
            </w:r>
            <w:r>
              <w:rPr>
                <w:rFonts w:hint="eastAsia"/>
              </w:rPr>
              <w:t>月常规监测数据，区域内空气质量监测因子为</w:t>
            </w:r>
            <w:r>
              <w:t>SO</w:t>
            </w:r>
            <w:r>
              <w:rPr>
                <w:vertAlign w:val="subscript"/>
              </w:rPr>
              <w:t>2</w:t>
            </w:r>
            <w:r>
              <w:rPr>
                <w:rFonts w:hint="eastAsia"/>
              </w:rPr>
              <w:t>、</w:t>
            </w:r>
            <w:r>
              <w:t>NO</w:t>
            </w:r>
            <w:r>
              <w:rPr>
                <w:vertAlign w:val="subscript"/>
              </w:rPr>
              <w:t>2</w:t>
            </w:r>
            <w:r>
              <w:rPr>
                <w:rFonts w:hint="eastAsia"/>
              </w:rPr>
              <w:t>、</w:t>
            </w:r>
            <w:r>
              <w:t>O</w:t>
            </w:r>
            <w:r>
              <w:rPr>
                <w:vertAlign w:val="subscript"/>
              </w:rPr>
              <w:t>3</w:t>
            </w:r>
            <w:r>
              <w:rPr>
                <w:rFonts w:hint="eastAsia"/>
              </w:rPr>
              <w:t>、</w:t>
            </w:r>
            <w:r>
              <w:t>CO</w:t>
            </w:r>
            <w:r>
              <w:rPr>
                <w:rFonts w:hint="eastAsia"/>
              </w:rPr>
              <w:t>、</w:t>
            </w:r>
            <w:r>
              <w:t>PM</w:t>
            </w:r>
            <w:r>
              <w:rPr>
                <w:vertAlign w:val="subscript"/>
              </w:rPr>
              <w:t>10</w:t>
            </w:r>
            <w:r>
              <w:rPr>
                <w:rFonts w:hint="eastAsia"/>
              </w:rPr>
              <w:t>、</w:t>
            </w:r>
            <w:r>
              <w:t>PM</w:t>
            </w:r>
            <w:r>
              <w:rPr>
                <w:vertAlign w:val="subscript"/>
              </w:rPr>
              <w:t>2.5</w:t>
            </w:r>
            <w:r>
              <w:rPr>
                <w:rFonts w:hint="eastAsia"/>
              </w:rPr>
              <w:t>，分别测定</w:t>
            </w:r>
            <w:r>
              <w:t>SO</w:t>
            </w:r>
            <w:r>
              <w:rPr>
                <w:vertAlign w:val="subscript"/>
              </w:rPr>
              <w:t>2</w:t>
            </w:r>
            <w:r>
              <w:rPr>
                <w:rFonts w:hint="eastAsia"/>
              </w:rPr>
              <w:t>、</w:t>
            </w:r>
            <w:r>
              <w:t>NO</w:t>
            </w:r>
            <w:r>
              <w:rPr>
                <w:vertAlign w:val="subscript"/>
              </w:rPr>
              <w:t>2</w:t>
            </w:r>
            <w:r>
              <w:rPr>
                <w:rFonts w:hint="eastAsia"/>
              </w:rPr>
              <w:t>、</w:t>
            </w:r>
            <w:r>
              <w:t>PM</w:t>
            </w:r>
            <w:r>
              <w:rPr>
                <w:vertAlign w:val="subscript"/>
              </w:rPr>
              <w:t>10</w:t>
            </w:r>
            <w:r>
              <w:rPr>
                <w:rFonts w:hint="eastAsia"/>
              </w:rPr>
              <w:t>、</w:t>
            </w:r>
            <w:r>
              <w:t>PM</w:t>
            </w:r>
            <w:r>
              <w:rPr>
                <w:vertAlign w:val="subscript"/>
              </w:rPr>
              <w:t>2.5</w:t>
            </w:r>
            <w:r>
              <w:rPr>
                <w:rFonts w:hint="eastAsia"/>
              </w:rPr>
              <w:t>的年平均浓度、</w:t>
            </w:r>
            <w:r>
              <w:t>O</w:t>
            </w:r>
            <w:r>
              <w:rPr>
                <w:vertAlign w:val="subscript"/>
              </w:rPr>
              <w:t>3</w:t>
            </w:r>
            <w:r>
              <w:rPr>
                <w:rFonts w:hint="eastAsia"/>
              </w:rPr>
              <w:t>最大</w:t>
            </w:r>
            <w:r>
              <w:t>8</w:t>
            </w:r>
            <w:r>
              <w:rPr>
                <w:rFonts w:hint="eastAsia"/>
              </w:rPr>
              <w:t>小时平均浓度、</w:t>
            </w:r>
            <w:r>
              <w:t>CO</w:t>
            </w:r>
            <w:r>
              <w:rPr>
                <w:rFonts w:hint="eastAsia"/>
              </w:rPr>
              <w:t>日平均浓度，具体数据详见下表。</w:t>
            </w:r>
          </w:p>
          <w:p>
            <w:pPr>
              <w:pStyle w:val="39"/>
              <w:spacing w:before="156"/>
              <w:rPr>
                <w:sz w:val="21"/>
              </w:rPr>
            </w:pPr>
            <w:r>
              <w:rPr>
                <w:rFonts w:hint="eastAsia"/>
              </w:rPr>
              <w:t>表</w:t>
            </w:r>
            <w:r>
              <w:t>3-1  2022</w:t>
            </w:r>
            <w:r>
              <w:rPr>
                <w:rFonts w:hint="eastAsia"/>
              </w:rPr>
              <w:t>年区域空气质量现状评价表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27"/>
              <w:gridCol w:w="2856"/>
              <w:gridCol w:w="1106"/>
              <w:gridCol w:w="1192"/>
              <w:gridCol w:w="886"/>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 w:type="pct"/>
                  <w:vAlign w:val="center"/>
                </w:tcPr>
                <w:p>
                  <w:pPr>
                    <w:pStyle w:val="41"/>
                  </w:pPr>
                  <w:r>
                    <w:rPr>
                      <w:rFonts w:hint="eastAsia"/>
                    </w:rPr>
                    <w:t>所在</w:t>
                  </w:r>
                </w:p>
                <w:p>
                  <w:pPr>
                    <w:pStyle w:val="41"/>
                  </w:pPr>
                  <w:r>
                    <w:rPr>
                      <w:rFonts w:hint="eastAsia"/>
                    </w:rPr>
                    <w:t>区域</w:t>
                  </w:r>
                </w:p>
              </w:tc>
              <w:tc>
                <w:tcPr>
                  <w:tcW w:w="449" w:type="pct"/>
                  <w:vAlign w:val="center"/>
                </w:tcPr>
                <w:p>
                  <w:pPr>
                    <w:pStyle w:val="41"/>
                  </w:pPr>
                  <w:r>
                    <w:rPr>
                      <w:rFonts w:hint="eastAsia"/>
                    </w:rPr>
                    <w:t>监测</w:t>
                  </w:r>
                </w:p>
                <w:p>
                  <w:pPr>
                    <w:pStyle w:val="41"/>
                  </w:pPr>
                  <w:r>
                    <w:rPr>
                      <w:rFonts w:hint="eastAsia"/>
                    </w:rPr>
                    <w:t>项目</w:t>
                  </w:r>
                </w:p>
              </w:tc>
              <w:tc>
                <w:tcPr>
                  <w:tcW w:w="1763" w:type="pct"/>
                  <w:vAlign w:val="center"/>
                </w:tcPr>
                <w:p>
                  <w:pPr>
                    <w:pStyle w:val="41"/>
                  </w:pPr>
                  <w:r>
                    <w:rPr>
                      <w:rFonts w:hint="eastAsia"/>
                    </w:rPr>
                    <w:t>年评价指标</w:t>
                  </w:r>
                </w:p>
              </w:tc>
              <w:tc>
                <w:tcPr>
                  <w:tcW w:w="683" w:type="pct"/>
                  <w:vAlign w:val="center"/>
                </w:tcPr>
                <w:p>
                  <w:pPr>
                    <w:pStyle w:val="41"/>
                  </w:pPr>
                  <w:r>
                    <w:rPr>
                      <w:rFonts w:hint="eastAsia"/>
                    </w:rPr>
                    <w:t>现状浓度</w:t>
                  </w:r>
                </w:p>
                <w:p>
                  <w:pPr>
                    <w:pStyle w:val="41"/>
                  </w:pPr>
                  <w:r>
                    <w:rPr>
                      <w:rFonts w:hint="eastAsia"/>
                    </w:rPr>
                    <w:t>（</w:t>
                  </w:r>
                  <w:r>
                    <w:t>g/m</w:t>
                  </w:r>
                  <w:r>
                    <w:rPr>
                      <w:vertAlign w:val="superscript"/>
                    </w:rPr>
                    <w:t>3</w:t>
                  </w:r>
                  <w:r>
                    <w:rPr>
                      <w:rFonts w:hint="eastAsia"/>
                    </w:rPr>
                    <w:t>）</w:t>
                  </w:r>
                </w:p>
              </w:tc>
              <w:tc>
                <w:tcPr>
                  <w:tcW w:w="736" w:type="pct"/>
                  <w:vAlign w:val="center"/>
                </w:tcPr>
                <w:p>
                  <w:pPr>
                    <w:pStyle w:val="41"/>
                  </w:pPr>
                  <w:r>
                    <w:rPr>
                      <w:rFonts w:hint="eastAsia"/>
                    </w:rPr>
                    <w:t>标准值</w:t>
                  </w:r>
                </w:p>
                <w:p>
                  <w:pPr>
                    <w:pStyle w:val="41"/>
                  </w:pPr>
                  <w:r>
                    <w:rPr>
                      <w:rFonts w:hint="eastAsia"/>
                    </w:rPr>
                    <w:t>（μg/m3）</w:t>
                  </w:r>
                </w:p>
              </w:tc>
              <w:tc>
                <w:tcPr>
                  <w:tcW w:w="547" w:type="pct"/>
                  <w:vAlign w:val="center"/>
                </w:tcPr>
                <w:p>
                  <w:pPr>
                    <w:pStyle w:val="41"/>
                  </w:pPr>
                  <w:r>
                    <w:rPr>
                      <w:rFonts w:hint="eastAsia"/>
                    </w:rPr>
                    <w:t>占标率</w:t>
                  </w:r>
                </w:p>
                <w:p>
                  <w:pPr>
                    <w:pStyle w:val="41"/>
                  </w:pPr>
                  <w:r>
                    <w:rPr>
                      <w:rFonts w:hint="eastAsia"/>
                    </w:rPr>
                    <w:t>（</w:t>
                  </w:r>
                  <w:r>
                    <w:t>%</w:t>
                  </w:r>
                  <w:r>
                    <w:rPr>
                      <w:rFonts w:hint="eastAsia"/>
                    </w:rPr>
                    <w:t>）</w:t>
                  </w:r>
                </w:p>
              </w:tc>
              <w:tc>
                <w:tcPr>
                  <w:tcW w:w="411" w:type="pct"/>
                  <w:vAlign w:val="center"/>
                </w:tcPr>
                <w:p>
                  <w:pPr>
                    <w:pStyle w:val="41"/>
                  </w:pPr>
                  <w:r>
                    <w:rPr>
                      <w:rFonts w:hint="eastAsia"/>
                    </w:rPr>
                    <w:t>是否</w:t>
                  </w:r>
                </w:p>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 w:type="pct"/>
                  <w:vMerge w:val="restart"/>
                  <w:vAlign w:val="center"/>
                </w:tcPr>
                <w:p>
                  <w:pPr>
                    <w:pStyle w:val="41"/>
                  </w:pPr>
                  <w:r>
                    <w:rPr>
                      <w:rFonts w:hint="eastAsia"/>
                    </w:rPr>
                    <w:t>湘阴</w:t>
                  </w:r>
                </w:p>
                <w:p>
                  <w:pPr>
                    <w:pStyle w:val="41"/>
                  </w:pPr>
                  <w:r>
                    <w:rPr>
                      <w:rFonts w:hint="eastAsia"/>
                    </w:rPr>
                    <w:t>县</w:t>
                  </w:r>
                </w:p>
              </w:tc>
              <w:tc>
                <w:tcPr>
                  <w:tcW w:w="449" w:type="pct"/>
                  <w:vAlign w:val="center"/>
                </w:tcPr>
                <w:p>
                  <w:pPr>
                    <w:pStyle w:val="41"/>
                  </w:pPr>
                  <w:r>
                    <w:t>SO</w:t>
                  </w:r>
                  <w:r>
                    <w:rPr>
                      <w:vertAlign w:val="subscript"/>
                    </w:rPr>
                    <w:t>2</w:t>
                  </w:r>
                </w:p>
              </w:tc>
              <w:tc>
                <w:tcPr>
                  <w:tcW w:w="1763" w:type="pct"/>
                  <w:vAlign w:val="center"/>
                </w:tcPr>
                <w:p>
                  <w:pPr>
                    <w:pStyle w:val="41"/>
                  </w:pPr>
                  <w:r>
                    <w:rPr>
                      <w:rFonts w:hint="eastAsia"/>
                    </w:rPr>
                    <w:t>年平均质量浓度</w:t>
                  </w:r>
                </w:p>
              </w:tc>
              <w:tc>
                <w:tcPr>
                  <w:tcW w:w="683" w:type="pct"/>
                  <w:vAlign w:val="center"/>
                </w:tcPr>
                <w:p>
                  <w:pPr>
                    <w:pStyle w:val="41"/>
                  </w:pPr>
                  <w:r>
                    <w:rPr>
                      <w:szCs w:val="21"/>
                    </w:rPr>
                    <w:t>5</w:t>
                  </w:r>
                </w:p>
              </w:tc>
              <w:tc>
                <w:tcPr>
                  <w:tcW w:w="736" w:type="pct"/>
                  <w:vAlign w:val="center"/>
                </w:tcPr>
                <w:p>
                  <w:pPr>
                    <w:pStyle w:val="41"/>
                  </w:pPr>
                  <w:r>
                    <w:rPr>
                      <w:szCs w:val="21"/>
                    </w:rPr>
                    <w:t>60</w:t>
                  </w:r>
                </w:p>
              </w:tc>
              <w:tc>
                <w:tcPr>
                  <w:tcW w:w="547" w:type="pct"/>
                  <w:vAlign w:val="center"/>
                </w:tcPr>
                <w:p>
                  <w:pPr>
                    <w:pStyle w:val="41"/>
                  </w:pPr>
                  <w:r>
                    <w:rPr>
                      <w:szCs w:val="21"/>
                    </w:rPr>
                    <w:t>8.4</w:t>
                  </w:r>
                </w:p>
              </w:tc>
              <w:tc>
                <w:tcPr>
                  <w:tcW w:w="411" w:type="pct"/>
                  <w:vAlign w:val="center"/>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 w:type="pct"/>
                  <w:vMerge w:val="continue"/>
                  <w:vAlign w:val="center"/>
                </w:tcPr>
                <w:p>
                  <w:pPr>
                    <w:pStyle w:val="41"/>
                  </w:pPr>
                </w:p>
              </w:tc>
              <w:tc>
                <w:tcPr>
                  <w:tcW w:w="449" w:type="pct"/>
                  <w:vAlign w:val="center"/>
                </w:tcPr>
                <w:p>
                  <w:pPr>
                    <w:pStyle w:val="41"/>
                  </w:pPr>
                  <w:r>
                    <w:t>NO</w:t>
                  </w:r>
                  <w:r>
                    <w:rPr>
                      <w:vertAlign w:val="subscript"/>
                    </w:rPr>
                    <w:t>2</w:t>
                  </w:r>
                </w:p>
              </w:tc>
              <w:tc>
                <w:tcPr>
                  <w:tcW w:w="1763" w:type="pct"/>
                  <w:vAlign w:val="center"/>
                </w:tcPr>
                <w:p>
                  <w:pPr>
                    <w:pStyle w:val="41"/>
                  </w:pPr>
                  <w:r>
                    <w:rPr>
                      <w:rFonts w:hint="eastAsia"/>
                    </w:rPr>
                    <w:t>年平均质量浓度</w:t>
                  </w:r>
                </w:p>
              </w:tc>
              <w:tc>
                <w:tcPr>
                  <w:tcW w:w="683" w:type="pct"/>
                  <w:vAlign w:val="center"/>
                </w:tcPr>
                <w:p>
                  <w:pPr>
                    <w:pStyle w:val="41"/>
                  </w:pPr>
                  <w:r>
                    <w:rPr>
                      <w:szCs w:val="21"/>
                    </w:rPr>
                    <w:t>19</w:t>
                  </w:r>
                </w:p>
              </w:tc>
              <w:tc>
                <w:tcPr>
                  <w:tcW w:w="736" w:type="pct"/>
                  <w:vAlign w:val="center"/>
                </w:tcPr>
                <w:p>
                  <w:pPr>
                    <w:pStyle w:val="41"/>
                  </w:pPr>
                  <w:r>
                    <w:rPr>
                      <w:szCs w:val="21"/>
                    </w:rPr>
                    <w:t>40</w:t>
                  </w:r>
                </w:p>
              </w:tc>
              <w:tc>
                <w:tcPr>
                  <w:tcW w:w="547" w:type="pct"/>
                  <w:vAlign w:val="center"/>
                </w:tcPr>
                <w:p>
                  <w:pPr>
                    <w:pStyle w:val="41"/>
                  </w:pPr>
                  <w:r>
                    <w:rPr>
                      <w:szCs w:val="21"/>
                    </w:rPr>
                    <w:t>47.2</w:t>
                  </w:r>
                </w:p>
              </w:tc>
              <w:tc>
                <w:tcPr>
                  <w:tcW w:w="411" w:type="pct"/>
                  <w:vAlign w:val="center"/>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 w:type="pct"/>
                  <w:vMerge w:val="continue"/>
                  <w:vAlign w:val="center"/>
                </w:tcPr>
                <w:p>
                  <w:pPr>
                    <w:pStyle w:val="41"/>
                  </w:pPr>
                </w:p>
              </w:tc>
              <w:tc>
                <w:tcPr>
                  <w:tcW w:w="449" w:type="pct"/>
                  <w:vAlign w:val="center"/>
                </w:tcPr>
                <w:p>
                  <w:pPr>
                    <w:pStyle w:val="41"/>
                  </w:pPr>
                  <w:r>
                    <w:t>PM</w:t>
                  </w:r>
                  <w:r>
                    <w:rPr>
                      <w:vertAlign w:val="subscript"/>
                    </w:rPr>
                    <w:t>2.5</w:t>
                  </w:r>
                </w:p>
              </w:tc>
              <w:tc>
                <w:tcPr>
                  <w:tcW w:w="1763" w:type="pct"/>
                  <w:vAlign w:val="center"/>
                </w:tcPr>
                <w:p>
                  <w:pPr>
                    <w:pStyle w:val="41"/>
                  </w:pPr>
                  <w:r>
                    <w:rPr>
                      <w:rFonts w:hint="eastAsia"/>
                    </w:rPr>
                    <w:t>年平均质量浓度</w:t>
                  </w:r>
                </w:p>
              </w:tc>
              <w:tc>
                <w:tcPr>
                  <w:tcW w:w="683" w:type="pct"/>
                  <w:vAlign w:val="center"/>
                </w:tcPr>
                <w:p>
                  <w:pPr>
                    <w:pStyle w:val="41"/>
                  </w:pPr>
                  <w:r>
                    <w:rPr>
                      <w:szCs w:val="21"/>
                    </w:rPr>
                    <w:t>48</w:t>
                  </w:r>
                </w:p>
              </w:tc>
              <w:tc>
                <w:tcPr>
                  <w:tcW w:w="736" w:type="pct"/>
                  <w:vAlign w:val="center"/>
                </w:tcPr>
                <w:p>
                  <w:pPr>
                    <w:pStyle w:val="41"/>
                  </w:pPr>
                  <w:r>
                    <w:rPr>
                      <w:szCs w:val="21"/>
                    </w:rPr>
                    <w:t>70</w:t>
                  </w:r>
                </w:p>
              </w:tc>
              <w:tc>
                <w:tcPr>
                  <w:tcW w:w="547" w:type="pct"/>
                  <w:vAlign w:val="center"/>
                </w:tcPr>
                <w:p>
                  <w:pPr>
                    <w:pStyle w:val="41"/>
                  </w:pPr>
                  <w:r>
                    <w:rPr>
                      <w:szCs w:val="21"/>
                    </w:rPr>
                    <w:t>68.9</w:t>
                  </w:r>
                </w:p>
              </w:tc>
              <w:tc>
                <w:tcPr>
                  <w:tcW w:w="411" w:type="pct"/>
                  <w:vAlign w:val="center"/>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 w:type="pct"/>
                  <w:vMerge w:val="continue"/>
                  <w:vAlign w:val="center"/>
                </w:tcPr>
                <w:p>
                  <w:pPr>
                    <w:pStyle w:val="41"/>
                  </w:pPr>
                </w:p>
              </w:tc>
              <w:tc>
                <w:tcPr>
                  <w:tcW w:w="449" w:type="pct"/>
                  <w:vAlign w:val="center"/>
                </w:tcPr>
                <w:p>
                  <w:pPr>
                    <w:pStyle w:val="41"/>
                  </w:pPr>
                  <w:r>
                    <w:t>PM</w:t>
                  </w:r>
                  <w:r>
                    <w:rPr>
                      <w:vertAlign w:val="subscript"/>
                    </w:rPr>
                    <w:t>10</w:t>
                  </w:r>
                </w:p>
              </w:tc>
              <w:tc>
                <w:tcPr>
                  <w:tcW w:w="1763" w:type="pct"/>
                  <w:vAlign w:val="center"/>
                </w:tcPr>
                <w:p>
                  <w:pPr>
                    <w:pStyle w:val="41"/>
                  </w:pPr>
                  <w:r>
                    <w:rPr>
                      <w:rFonts w:hint="eastAsia"/>
                    </w:rPr>
                    <w:t>年平均质量浓度</w:t>
                  </w:r>
                </w:p>
              </w:tc>
              <w:tc>
                <w:tcPr>
                  <w:tcW w:w="683" w:type="pct"/>
                  <w:vAlign w:val="center"/>
                </w:tcPr>
                <w:p>
                  <w:pPr>
                    <w:pStyle w:val="41"/>
                  </w:pPr>
                  <w:r>
                    <w:rPr>
                      <w:szCs w:val="21"/>
                    </w:rPr>
                    <w:t>34</w:t>
                  </w:r>
                </w:p>
              </w:tc>
              <w:tc>
                <w:tcPr>
                  <w:tcW w:w="736" w:type="pct"/>
                  <w:vAlign w:val="center"/>
                </w:tcPr>
                <w:p>
                  <w:pPr>
                    <w:pStyle w:val="41"/>
                  </w:pPr>
                  <w:r>
                    <w:rPr>
                      <w:szCs w:val="21"/>
                    </w:rPr>
                    <w:t>35</w:t>
                  </w:r>
                </w:p>
              </w:tc>
              <w:tc>
                <w:tcPr>
                  <w:tcW w:w="547" w:type="pct"/>
                  <w:vAlign w:val="center"/>
                </w:tcPr>
                <w:p>
                  <w:pPr>
                    <w:pStyle w:val="41"/>
                  </w:pPr>
                  <w:r>
                    <w:rPr>
                      <w:szCs w:val="21"/>
                    </w:rPr>
                    <w:t>95.9</w:t>
                  </w:r>
                </w:p>
              </w:tc>
              <w:tc>
                <w:tcPr>
                  <w:tcW w:w="411" w:type="pct"/>
                  <w:vAlign w:val="center"/>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 w:type="pct"/>
                  <w:vMerge w:val="continue"/>
                  <w:vAlign w:val="center"/>
                </w:tcPr>
                <w:p>
                  <w:pPr>
                    <w:pStyle w:val="41"/>
                  </w:pPr>
                </w:p>
              </w:tc>
              <w:tc>
                <w:tcPr>
                  <w:tcW w:w="449" w:type="pct"/>
                  <w:vAlign w:val="center"/>
                </w:tcPr>
                <w:p>
                  <w:pPr>
                    <w:pStyle w:val="41"/>
                  </w:pPr>
                  <w:r>
                    <w:t>CO</w:t>
                  </w:r>
                </w:p>
              </w:tc>
              <w:tc>
                <w:tcPr>
                  <w:tcW w:w="1763" w:type="pct"/>
                  <w:vAlign w:val="center"/>
                </w:tcPr>
                <w:p>
                  <w:pPr>
                    <w:pStyle w:val="41"/>
                  </w:pPr>
                  <w:r>
                    <w:rPr>
                      <w:rFonts w:hint="eastAsia"/>
                    </w:rPr>
                    <w:t>日均值第</w:t>
                  </w:r>
                  <w:r>
                    <w:t>95</w:t>
                  </w:r>
                  <w:r>
                    <w:rPr>
                      <w:rFonts w:hint="eastAsia"/>
                    </w:rPr>
                    <w:t>百分位数浓度</w:t>
                  </w:r>
                </w:p>
              </w:tc>
              <w:tc>
                <w:tcPr>
                  <w:tcW w:w="683" w:type="pct"/>
                  <w:vAlign w:val="center"/>
                </w:tcPr>
                <w:p>
                  <w:pPr>
                    <w:pStyle w:val="41"/>
                  </w:pPr>
                  <w:r>
                    <w:rPr>
                      <w:szCs w:val="21"/>
                    </w:rPr>
                    <w:t>800</w:t>
                  </w:r>
                </w:p>
              </w:tc>
              <w:tc>
                <w:tcPr>
                  <w:tcW w:w="736" w:type="pct"/>
                  <w:vAlign w:val="center"/>
                </w:tcPr>
                <w:p>
                  <w:pPr>
                    <w:pStyle w:val="41"/>
                  </w:pPr>
                  <w:r>
                    <w:rPr>
                      <w:szCs w:val="21"/>
                    </w:rPr>
                    <w:t>4000</w:t>
                  </w:r>
                </w:p>
              </w:tc>
              <w:tc>
                <w:tcPr>
                  <w:tcW w:w="547" w:type="pct"/>
                  <w:vAlign w:val="center"/>
                </w:tcPr>
                <w:p>
                  <w:pPr>
                    <w:pStyle w:val="41"/>
                  </w:pPr>
                  <w:r>
                    <w:rPr>
                      <w:szCs w:val="21"/>
                    </w:rPr>
                    <w:t>20</w:t>
                  </w:r>
                </w:p>
              </w:tc>
              <w:tc>
                <w:tcPr>
                  <w:tcW w:w="411" w:type="pct"/>
                  <w:vAlign w:val="center"/>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 w:type="pct"/>
                  <w:vMerge w:val="continue"/>
                  <w:vAlign w:val="center"/>
                </w:tcPr>
                <w:p>
                  <w:pPr>
                    <w:pStyle w:val="41"/>
                  </w:pPr>
                </w:p>
              </w:tc>
              <w:tc>
                <w:tcPr>
                  <w:tcW w:w="449" w:type="pct"/>
                  <w:vAlign w:val="center"/>
                </w:tcPr>
                <w:p>
                  <w:pPr>
                    <w:pStyle w:val="41"/>
                  </w:pPr>
                  <w:r>
                    <w:t>O</w:t>
                  </w:r>
                  <w:r>
                    <w:rPr>
                      <w:vertAlign w:val="subscript"/>
                    </w:rPr>
                    <w:t>3</w:t>
                  </w:r>
                </w:p>
              </w:tc>
              <w:tc>
                <w:tcPr>
                  <w:tcW w:w="1763" w:type="pct"/>
                  <w:vAlign w:val="center"/>
                </w:tcPr>
                <w:p>
                  <w:pPr>
                    <w:pStyle w:val="41"/>
                  </w:pPr>
                  <w:r>
                    <w:rPr>
                      <w:rFonts w:hint="eastAsia"/>
                    </w:rPr>
                    <w:t>日最大</w:t>
                  </w:r>
                  <w:r>
                    <w:t>8</w:t>
                  </w:r>
                  <w:r>
                    <w:rPr>
                      <w:rFonts w:hint="eastAsia"/>
                    </w:rPr>
                    <w:t>小时滑动平均值第</w:t>
                  </w:r>
                </w:p>
                <w:p>
                  <w:pPr>
                    <w:pStyle w:val="41"/>
                  </w:pPr>
                  <w:r>
                    <w:t>90</w:t>
                  </w:r>
                  <w:r>
                    <w:rPr>
                      <w:rFonts w:hint="eastAsia"/>
                    </w:rPr>
                    <w:t>百分位数浓度</w:t>
                  </w:r>
                </w:p>
              </w:tc>
              <w:tc>
                <w:tcPr>
                  <w:tcW w:w="683" w:type="pct"/>
                  <w:vAlign w:val="center"/>
                </w:tcPr>
                <w:p>
                  <w:pPr>
                    <w:pStyle w:val="41"/>
                  </w:pPr>
                  <w:r>
                    <w:rPr>
                      <w:szCs w:val="21"/>
                    </w:rPr>
                    <w:t>155</w:t>
                  </w:r>
                </w:p>
              </w:tc>
              <w:tc>
                <w:tcPr>
                  <w:tcW w:w="736" w:type="pct"/>
                  <w:vAlign w:val="center"/>
                </w:tcPr>
                <w:p>
                  <w:pPr>
                    <w:pStyle w:val="41"/>
                  </w:pPr>
                  <w:r>
                    <w:rPr>
                      <w:szCs w:val="21"/>
                    </w:rPr>
                    <w:t>160</w:t>
                  </w:r>
                </w:p>
              </w:tc>
              <w:tc>
                <w:tcPr>
                  <w:tcW w:w="547" w:type="pct"/>
                  <w:vAlign w:val="center"/>
                </w:tcPr>
                <w:p>
                  <w:pPr>
                    <w:pStyle w:val="41"/>
                  </w:pPr>
                  <w:r>
                    <w:rPr>
                      <w:szCs w:val="21"/>
                    </w:rPr>
                    <w:t>96.9</w:t>
                  </w:r>
                </w:p>
              </w:tc>
              <w:tc>
                <w:tcPr>
                  <w:tcW w:w="411" w:type="pct"/>
                  <w:vAlign w:val="center"/>
                </w:tcPr>
                <w:p>
                  <w:pPr>
                    <w:pStyle w:val="41"/>
                  </w:pPr>
                  <w:r>
                    <w:rPr>
                      <w:rFonts w:hint="eastAsia"/>
                    </w:rPr>
                    <w:t>达标</w:t>
                  </w:r>
                </w:p>
              </w:tc>
            </w:tr>
          </w:tbl>
          <w:p>
            <w:pPr>
              <w:pStyle w:val="34"/>
              <w:ind w:firstLine="480"/>
            </w:pPr>
            <w:r>
              <w:rPr>
                <w:rFonts w:hint="eastAsia"/>
              </w:rPr>
              <w:t>由上表可知，区域内空气质量监测因子中的</w:t>
            </w:r>
            <w:r>
              <w:t>SO</w:t>
            </w:r>
            <w:r>
              <w:rPr>
                <w:vertAlign w:val="subscript"/>
              </w:rPr>
              <w:t>2</w:t>
            </w:r>
            <w:r>
              <w:rPr>
                <w:rFonts w:hint="eastAsia"/>
              </w:rPr>
              <w:t>、</w:t>
            </w:r>
            <w:r>
              <w:t>NO</w:t>
            </w:r>
            <w:r>
              <w:rPr>
                <w:vertAlign w:val="subscript"/>
              </w:rPr>
              <w:t>2</w:t>
            </w:r>
            <w:r>
              <w:rPr>
                <w:rFonts w:hint="eastAsia"/>
              </w:rPr>
              <w:t>、</w:t>
            </w:r>
            <w:r>
              <w:t>PM</w:t>
            </w:r>
            <w:r>
              <w:rPr>
                <w:vertAlign w:val="subscript"/>
              </w:rPr>
              <w:t>10</w:t>
            </w:r>
            <w:r>
              <w:rPr>
                <w:rFonts w:hint="eastAsia"/>
              </w:rPr>
              <w:t>、</w:t>
            </w:r>
            <w:r>
              <w:t>PM</w:t>
            </w:r>
            <w:r>
              <w:rPr>
                <w:vertAlign w:val="subscript"/>
              </w:rPr>
              <w:t>2.5</w:t>
            </w:r>
            <w:r>
              <w:rPr>
                <w:rFonts w:hint="eastAsia"/>
              </w:rPr>
              <w:t>年平均质量浓度、</w:t>
            </w:r>
            <w:r>
              <w:t>O</w:t>
            </w:r>
            <w:r>
              <w:rPr>
                <w:vertAlign w:val="subscript"/>
              </w:rPr>
              <w:t>3</w:t>
            </w:r>
            <w:r>
              <w:rPr>
                <w:rFonts w:hint="eastAsia"/>
              </w:rPr>
              <w:t>日最大</w:t>
            </w:r>
            <w:r>
              <w:t>8</w:t>
            </w:r>
            <w:r>
              <w:rPr>
                <w:rFonts w:hint="eastAsia"/>
              </w:rPr>
              <w:t>小时滑动平均值第</w:t>
            </w:r>
            <w:r>
              <w:t>90</w:t>
            </w:r>
            <w:r>
              <w:rPr>
                <w:rFonts w:hint="eastAsia"/>
              </w:rPr>
              <w:t>百分位数浓度、</w:t>
            </w:r>
            <w:r>
              <w:t>CO</w:t>
            </w:r>
            <w:r>
              <w:rPr>
                <w:rFonts w:hint="eastAsia"/>
              </w:rPr>
              <w:t>日均值第</w:t>
            </w:r>
            <w:r>
              <w:t>95</w:t>
            </w:r>
            <w:r>
              <w:rPr>
                <w:rFonts w:hint="eastAsia"/>
              </w:rPr>
              <w:t>百分位数浓度均符合《环境空气质量标准》（</w:t>
            </w:r>
            <w:r>
              <w:t>GB3095-2012</w:t>
            </w:r>
            <w:r>
              <w:rPr>
                <w:rFonts w:hint="eastAsia"/>
              </w:rPr>
              <w:t>）中的二级标准要求，因此，判断湘阴县属于环境空气质量达标区。</w:t>
            </w:r>
          </w:p>
          <w:p>
            <w:pPr>
              <w:pStyle w:val="34"/>
              <w:ind w:firstLine="480"/>
            </w:pPr>
            <w:r>
              <w:rPr>
                <w:rFonts w:hint="eastAsia"/>
              </w:rPr>
              <w:t>3、地表水环境质量现状</w:t>
            </w:r>
          </w:p>
          <w:p>
            <w:pPr>
              <w:pStyle w:val="34"/>
              <w:ind w:firstLine="480"/>
            </w:pPr>
            <w:r>
              <w:rPr>
                <w:rFonts w:hint="eastAsia"/>
              </w:rPr>
              <w:t>为了解鼻湖及鼻湖周边灌溉排水渠水质现状，本次委托湖南乾诚检测有限公司对鼻湖及鼻湖周边灌溉排水渠进行了水质检测，采样时间为2</w:t>
            </w:r>
            <w:r>
              <w:t>023</w:t>
            </w:r>
            <w:r>
              <w:rPr>
                <w:rFonts w:hint="eastAsia"/>
              </w:rPr>
              <w:t>年8月1</w:t>
            </w:r>
            <w:r>
              <w:t>7</w:t>
            </w:r>
            <w:r>
              <w:rPr>
                <w:rFonts w:hint="eastAsia"/>
              </w:rPr>
              <w:t>日～</w:t>
            </w:r>
            <w:r>
              <w:t>19</w:t>
            </w:r>
            <w:r>
              <w:rPr>
                <w:rFonts w:hint="eastAsia"/>
              </w:rPr>
              <w:t>日，监测结果如下：</w:t>
            </w:r>
          </w:p>
          <w:p>
            <w:pPr>
              <w:pStyle w:val="39"/>
              <w:spacing w:before="156"/>
            </w:pPr>
            <w:r>
              <w:rPr>
                <w:rFonts w:hint="eastAsia"/>
              </w:rPr>
              <w:t>表3</w:t>
            </w:r>
            <w:r>
              <w:t>-2</w:t>
            </w:r>
            <w:r>
              <w:rPr>
                <w:rFonts w:hint="eastAsia"/>
              </w:rPr>
              <w:t>地表水环境质量现状监测结果</w:t>
            </w:r>
          </w:p>
          <w:tbl>
            <w:tblPr>
              <w:tblStyle w:val="27"/>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60"/>
              <w:gridCol w:w="126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restart"/>
                  <w:shd w:val="clear" w:color="auto" w:fill="auto"/>
                  <w:vAlign w:val="center"/>
                </w:tcPr>
                <w:p>
                  <w:pPr>
                    <w:pStyle w:val="41"/>
                    <w:rPr>
                      <w:szCs w:val="21"/>
                    </w:rPr>
                  </w:pPr>
                  <w:r>
                    <w:rPr>
                      <w:szCs w:val="21"/>
                    </w:rPr>
                    <w:t>采样点位</w:t>
                  </w:r>
                </w:p>
              </w:tc>
              <w:tc>
                <w:tcPr>
                  <w:tcW w:w="1080" w:type="dxa"/>
                  <w:vMerge w:val="restart"/>
                  <w:shd w:val="clear" w:color="auto" w:fill="auto"/>
                  <w:vAlign w:val="center"/>
                </w:tcPr>
                <w:p>
                  <w:pPr>
                    <w:pStyle w:val="41"/>
                    <w:rPr>
                      <w:szCs w:val="21"/>
                    </w:rPr>
                  </w:pPr>
                  <w:r>
                    <w:rPr>
                      <w:szCs w:val="21"/>
                    </w:rPr>
                    <w:t>检测项目</w:t>
                  </w:r>
                </w:p>
              </w:tc>
              <w:tc>
                <w:tcPr>
                  <w:tcW w:w="1080" w:type="dxa"/>
                  <w:vMerge w:val="restart"/>
                  <w:shd w:val="clear" w:color="auto" w:fill="auto"/>
                  <w:vAlign w:val="center"/>
                </w:tcPr>
                <w:p>
                  <w:pPr>
                    <w:pStyle w:val="41"/>
                    <w:rPr>
                      <w:szCs w:val="21"/>
                    </w:rPr>
                  </w:pPr>
                  <w:r>
                    <w:rPr>
                      <w:szCs w:val="21"/>
                    </w:rPr>
                    <w:t>单位</w:t>
                  </w:r>
                </w:p>
              </w:tc>
              <w:tc>
                <w:tcPr>
                  <w:tcW w:w="3780" w:type="dxa"/>
                  <w:gridSpan w:val="3"/>
                  <w:shd w:val="clear" w:color="auto" w:fill="auto"/>
                  <w:vAlign w:val="center"/>
                </w:tcPr>
                <w:p>
                  <w:pPr>
                    <w:pStyle w:val="41"/>
                    <w:rPr>
                      <w:szCs w:val="21"/>
                    </w:rPr>
                  </w:pPr>
                  <w:r>
                    <w:rPr>
                      <w:szCs w:val="21"/>
                    </w:rPr>
                    <w:t>采样时间及检测结果</w:t>
                  </w:r>
                </w:p>
              </w:tc>
              <w:tc>
                <w:tcPr>
                  <w:tcW w:w="1080" w:type="dxa"/>
                  <w:vMerge w:val="restart"/>
                  <w:shd w:val="clear" w:color="auto" w:fill="auto"/>
                  <w:vAlign w:val="center"/>
                </w:tcPr>
                <w:p>
                  <w:pPr>
                    <w:pStyle w:val="41"/>
                    <w:rPr>
                      <w:b/>
                      <w:bCs/>
                      <w:szCs w:val="21"/>
                    </w:rPr>
                  </w:pPr>
                  <w:r>
                    <w:rPr>
                      <w:b/>
                      <w:bCs/>
                      <w:szCs w:val="21"/>
                    </w:rPr>
                    <w:t>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vMerge w:val="continue"/>
                  <w:vAlign w:val="center"/>
                </w:tcPr>
                <w:p>
                  <w:pPr>
                    <w:pStyle w:val="41"/>
                    <w:rPr>
                      <w:szCs w:val="21"/>
                    </w:rPr>
                  </w:pPr>
                </w:p>
              </w:tc>
              <w:tc>
                <w:tcPr>
                  <w:tcW w:w="1080" w:type="dxa"/>
                  <w:vMerge w:val="continue"/>
                  <w:vAlign w:val="center"/>
                </w:tcPr>
                <w:p>
                  <w:pPr>
                    <w:pStyle w:val="41"/>
                    <w:rPr>
                      <w:szCs w:val="21"/>
                    </w:rPr>
                  </w:pPr>
                </w:p>
              </w:tc>
              <w:tc>
                <w:tcPr>
                  <w:tcW w:w="1260" w:type="dxa"/>
                  <w:shd w:val="clear" w:color="auto" w:fill="auto"/>
                  <w:vAlign w:val="center"/>
                </w:tcPr>
                <w:p>
                  <w:pPr>
                    <w:pStyle w:val="41"/>
                    <w:rPr>
                      <w:szCs w:val="21"/>
                    </w:rPr>
                  </w:pPr>
                  <w:r>
                    <w:rPr>
                      <w:szCs w:val="21"/>
                    </w:rPr>
                    <w:t>2023.08.17</w:t>
                  </w:r>
                </w:p>
              </w:tc>
              <w:tc>
                <w:tcPr>
                  <w:tcW w:w="1260" w:type="dxa"/>
                  <w:shd w:val="clear" w:color="auto" w:fill="auto"/>
                  <w:vAlign w:val="center"/>
                </w:tcPr>
                <w:p>
                  <w:pPr>
                    <w:pStyle w:val="41"/>
                    <w:rPr>
                      <w:szCs w:val="21"/>
                    </w:rPr>
                  </w:pPr>
                  <w:r>
                    <w:rPr>
                      <w:szCs w:val="21"/>
                    </w:rPr>
                    <w:t>2023.08.18</w:t>
                  </w:r>
                </w:p>
              </w:tc>
              <w:tc>
                <w:tcPr>
                  <w:tcW w:w="1260" w:type="dxa"/>
                  <w:shd w:val="clear" w:color="auto" w:fill="auto"/>
                  <w:vAlign w:val="center"/>
                </w:tcPr>
                <w:p>
                  <w:pPr>
                    <w:pStyle w:val="41"/>
                    <w:rPr>
                      <w:szCs w:val="21"/>
                    </w:rPr>
                  </w:pPr>
                  <w:r>
                    <w:rPr>
                      <w:szCs w:val="21"/>
                    </w:rPr>
                    <w:t>2023.08.19</w:t>
                  </w:r>
                </w:p>
              </w:tc>
              <w:tc>
                <w:tcPr>
                  <w:tcW w:w="1080" w:type="dxa"/>
                  <w:vMerge w:val="continue"/>
                  <w:vAlign w:val="center"/>
                </w:tcPr>
                <w:p>
                  <w:pPr>
                    <w:pStyle w:val="41"/>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restart"/>
                  <w:shd w:val="clear" w:color="auto" w:fill="auto"/>
                  <w:vAlign w:val="center"/>
                </w:tcPr>
                <w:p>
                  <w:pPr>
                    <w:pStyle w:val="41"/>
                    <w:rPr>
                      <w:szCs w:val="21"/>
                    </w:rPr>
                  </w:pPr>
                  <w:r>
                    <w:rPr>
                      <w:szCs w:val="21"/>
                    </w:rPr>
                    <w:t>W1：鼻湖（渔业养殖区）</w:t>
                  </w:r>
                </w:p>
              </w:tc>
              <w:tc>
                <w:tcPr>
                  <w:tcW w:w="1080" w:type="dxa"/>
                  <w:shd w:val="clear" w:color="auto" w:fill="auto"/>
                  <w:vAlign w:val="center"/>
                </w:tcPr>
                <w:p>
                  <w:pPr>
                    <w:pStyle w:val="41"/>
                    <w:rPr>
                      <w:szCs w:val="21"/>
                    </w:rPr>
                  </w:pPr>
                  <w:r>
                    <w:rPr>
                      <w:szCs w:val="21"/>
                    </w:rPr>
                    <w:t>pH值</w:t>
                  </w:r>
                </w:p>
              </w:tc>
              <w:tc>
                <w:tcPr>
                  <w:tcW w:w="1080" w:type="dxa"/>
                  <w:shd w:val="clear" w:color="auto" w:fill="auto"/>
                  <w:vAlign w:val="center"/>
                </w:tcPr>
                <w:p>
                  <w:pPr>
                    <w:pStyle w:val="41"/>
                    <w:rPr>
                      <w:szCs w:val="21"/>
                    </w:rPr>
                  </w:pPr>
                  <w:r>
                    <w:rPr>
                      <w:szCs w:val="21"/>
                    </w:rPr>
                    <w:t>无量纲</w:t>
                  </w:r>
                </w:p>
              </w:tc>
              <w:tc>
                <w:tcPr>
                  <w:tcW w:w="1260" w:type="dxa"/>
                  <w:shd w:val="clear" w:color="auto" w:fill="auto"/>
                  <w:vAlign w:val="center"/>
                </w:tcPr>
                <w:p>
                  <w:pPr>
                    <w:pStyle w:val="41"/>
                    <w:rPr>
                      <w:szCs w:val="21"/>
                    </w:rPr>
                  </w:pPr>
                  <w:r>
                    <w:rPr>
                      <w:szCs w:val="21"/>
                    </w:rPr>
                    <w:t>6.9</w:t>
                  </w:r>
                </w:p>
              </w:tc>
              <w:tc>
                <w:tcPr>
                  <w:tcW w:w="1260" w:type="dxa"/>
                  <w:shd w:val="clear" w:color="auto" w:fill="auto"/>
                  <w:vAlign w:val="center"/>
                </w:tcPr>
                <w:p>
                  <w:pPr>
                    <w:pStyle w:val="41"/>
                    <w:rPr>
                      <w:szCs w:val="21"/>
                    </w:rPr>
                  </w:pPr>
                  <w:r>
                    <w:rPr>
                      <w:szCs w:val="21"/>
                    </w:rPr>
                    <w:t>6.9</w:t>
                  </w:r>
                </w:p>
              </w:tc>
              <w:tc>
                <w:tcPr>
                  <w:tcW w:w="1260" w:type="dxa"/>
                  <w:shd w:val="clear" w:color="auto" w:fill="auto"/>
                  <w:vAlign w:val="center"/>
                </w:tcPr>
                <w:p>
                  <w:pPr>
                    <w:pStyle w:val="41"/>
                    <w:rPr>
                      <w:szCs w:val="21"/>
                    </w:rPr>
                  </w:pPr>
                  <w:r>
                    <w:rPr>
                      <w:szCs w:val="21"/>
                    </w:rPr>
                    <w:t>6.9</w:t>
                  </w:r>
                </w:p>
              </w:tc>
              <w:tc>
                <w:tcPr>
                  <w:tcW w:w="1080" w:type="dxa"/>
                  <w:shd w:val="clear" w:color="auto" w:fill="auto"/>
                  <w:vAlign w:val="center"/>
                </w:tcPr>
                <w:p>
                  <w:pPr>
                    <w:pStyle w:val="41"/>
                    <w:rPr>
                      <w:b/>
                      <w:bCs/>
                      <w:szCs w:val="21"/>
                    </w:rPr>
                  </w:pPr>
                  <w:r>
                    <w:rPr>
                      <w:b/>
                      <w:bCs/>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rFonts w:hint="eastAsia"/>
                      <w:szCs w:val="21"/>
                    </w:rPr>
                    <w:t>COD</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19</w:t>
                  </w:r>
                </w:p>
              </w:tc>
              <w:tc>
                <w:tcPr>
                  <w:tcW w:w="1260" w:type="dxa"/>
                  <w:shd w:val="clear" w:color="auto" w:fill="auto"/>
                  <w:vAlign w:val="center"/>
                </w:tcPr>
                <w:p>
                  <w:pPr>
                    <w:pStyle w:val="41"/>
                    <w:rPr>
                      <w:szCs w:val="21"/>
                    </w:rPr>
                  </w:pPr>
                  <w:r>
                    <w:rPr>
                      <w:szCs w:val="21"/>
                    </w:rPr>
                    <w:t>17</w:t>
                  </w:r>
                </w:p>
              </w:tc>
              <w:tc>
                <w:tcPr>
                  <w:tcW w:w="1260" w:type="dxa"/>
                  <w:shd w:val="clear" w:color="auto" w:fill="auto"/>
                  <w:vAlign w:val="center"/>
                </w:tcPr>
                <w:p>
                  <w:pPr>
                    <w:pStyle w:val="41"/>
                    <w:rPr>
                      <w:szCs w:val="21"/>
                    </w:rPr>
                  </w:pPr>
                  <w:r>
                    <w:rPr>
                      <w:szCs w:val="21"/>
                    </w:rPr>
                    <w:t>18</w:t>
                  </w:r>
                </w:p>
              </w:tc>
              <w:tc>
                <w:tcPr>
                  <w:tcW w:w="1080" w:type="dxa"/>
                  <w:shd w:val="clear" w:color="auto" w:fill="auto"/>
                  <w:vAlign w:val="center"/>
                </w:tcPr>
                <w:p>
                  <w:pPr>
                    <w:pStyle w:val="41"/>
                    <w:rPr>
                      <w:b/>
                      <w:bCs/>
                      <w:szCs w:val="21"/>
                    </w:rPr>
                  </w:pPr>
                  <w:r>
                    <w:rPr>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rFonts w:hint="eastAsia"/>
                      <w:b/>
                      <w:bCs/>
                      <w:szCs w:val="21"/>
                    </w:rPr>
                    <w:t>BOD</w:t>
                  </w:r>
                  <w:r>
                    <w:rPr>
                      <w:b/>
                      <w:bCs/>
                      <w:szCs w:val="21"/>
                      <w:vertAlign w:val="subscript"/>
                    </w:rPr>
                    <w:t>5</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4.7</w:t>
                  </w:r>
                </w:p>
              </w:tc>
              <w:tc>
                <w:tcPr>
                  <w:tcW w:w="1260" w:type="dxa"/>
                  <w:shd w:val="clear" w:color="auto" w:fill="D8D8D8" w:themeFill="background1" w:themeFillShade="D9"/>
                  <w:vAlign w:val="center"/>
                </w:tcPr>
                <w:p>
                  <w:pPr>
                    <w:pStyle w:val="41"/>
                    <w:rPr>
                      <w:b/>
                      <w:bCs/>
                      <w:szCs w:val="21"/>
                    </w:rPr>
                  </w:pPr>
                  <w:r>
                    <w:rPr>
                      <w:b/>
                      <w:bCs/>
                      <w:szCs w:val="21"/>
                    </w:rPr>
                    <w:t>4.3</w:t>
                  </w:r>
                </w:p>
              </w:tc>
              <w:tc>
                <w:tcPr>
                  <w:tcW w:w="1260" w:type="dxa"/>
                  <w:shd w:val="clear" w:color="auto" w:fill="D8D8D8" w:themeFill="background1" w:themeFillShade="D9"/>
                  <w:vAlign w:val="center"/>
                </w:tcPr>
                <w:p>
                  <w:pPr>
                    <w:pStyle w:val="41"/>
                    <w:rPr>
                      <w:b/>
                      <w:bCs/>
                      <w:szCs w:val="21"/>
                    </w:rPr>
                  </w:pPr>
                  <w:r>
                    <w:rPr>
                      <w:b/>
                      <w:bCs/>
                      <w:szCs w:val="21"/>
                    </w:rPr>
                    <w:t>4.5</w:t>
                  </w:r>
                </w:p>
              </w:tc>
              <w:tc>
                <w:tcPr>
                  <w:tcW w:w="1080" w:type="dxa"/>
                  <w:shd w:val="clear" w:color="auto" w:fill="D8D8D8" w:themeFill="background1" w:themeFillShade="D9"/>
                  <w:vAlign w:val="center"/>
                </w:tcPr>
                <w:p>
                  <w:pPr>
                    <w:pStyle w:val="41"/>
                    <w:rPr>
                      <w:b/>
                      <w:bCs/>
                      <w:szCs w:val="21"/>
                    </w:rPr>
                  </w:pPr>
                  <w:r>
                    <w:rPr>
                      <w:b/>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悬浮物</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16</w:t>
                  </w:r>
                </w:p>
              </w:tc>
              <w:tc>
                <w:tcPr>
                  <w:tcW w:w="1260" w:type="dxa"/>
                  <w:shd w:val="clear" w:color="auto" w:fill="auto"/>
                  <w:vAlign w:val="center"/>
                </w:tcPr>
                <w:p>
                  <w:pPr>
                    <w:pStyle w:val="41"/>
                    <w:rPr>
                      <w:szCs w:val="21"/>
                    </w:rPr>
                  </w:pPr>
                  <w:r>
                    <w:rPr>
                      <w:szCs w:val="21"/>
                    </w:rPr>
                    <w:t>19</w:t>
                  </w:r>
                </w:p>
              </w:tc>
              <w:tc>
                <w:tcPr>
                  <w:tcW w:w="1260" w:type="dxa"/>
                  <w:shd w:val="clear" w:color="auto" w:fill="auto"/>
                  <w:vAlign w:val="center"/>
                </w:tcPr>
                <w:p>
                  <w:pPr>
                    <w:pStyle w:val="41"/>
                    <w:rPr>
                      <w:szCs w:val="21"/>
                    </w:rPr>
                  </w:pPr>
                  <w:r>
                    <w:rPr>
                      <w:szCs w:val="21"/>
                    </w:rPr>
                    <w:t>17</w:t>
                  </w:r>
                </w:p>
              </w:tc>
              <w:tc>
                <w:tcPr>
                  <w:tcW w:w="1080" w:type="dxa"/>
                  <w:shd w:val="clear" w:color="auto" w:fill="auto"/>
                  <w:vAlign w:val="center"/>
                </w:tcPr>
                <w:p>
                  <w:pPr>
                    <w:pStyle w:val="41"/>
                    <w:rPr>
                      <w:b/>
                      <w:bCs/>
                      <w:szCs w:val="21"/>
                    </w:rPr>
                  </w:pPr>
                  <w:r>
                    <w:rPr>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氨氮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0.28</w:t>
                  </w:r>
                </w:p>
              </w:tc>
              <w:tc>
                <w:tcPr>
                  <w:tcW w:w="1260" w:type="dxa"/>
                  <w:shd w:val="clear" w:color="auto" w:fill="auto"/>
                  <w:vAlign w:val="center"/>
                </w:tcPr>
                <w:p>
                  <w:pPr>
                    <w:pStyle w:val="41"/>
                    <w:rPr>
                      <w:szCs w:val="21"/>
                    </w:rPr>
                  </w:pPr>
                  <w:r>
                    <w:rPr>
                      <w:szCs w:val="21"/>
                    </w:rPr>
                    <w:t>0.30</w:t>
                  </w:r>
                </w:p>
              </w:tc>
              <w:tc>
                <w:tcPr>
                  <w:tcW w:w="1260" w:type="dxa"/>
                  <w:shd w:val="clear" w:color="auto" w:fill="auto"/>
                  <w:vAlign w:val="center"/>
                </w:tcPr>
                <w:p>
                  <w:pPr>
                    <w:pStyle w:val="41"/>
                    <w:rPr>
                      <w:szCs w:val="21"/>
                    </w:rPr>
                  </w:pPr>
                  <w:r>
                    <w:rPr>
                      <w:szCs w:val="21"/>
                    </w:rPr>
                    <w:t>0.29</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b/>
                      <w:bCs/>
                      <w:szCs w:val="21"/>
                    </w:rPr>
                    <w:t>总磷</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0.11</w:t>
                  </w:r>
                </w:p>
              </w:tc>
              <w:tc>
                <w:tcPr>
                  <w:tcW w:w="1260" w:type="dxa"/>
                  <w:shd w:val="clear" w:color="auto" w:fill="D8D8D8" w:themeFill="background1" w:themeFillShade="D9"/>
                  <w:vAlign w:val="center"/>
                </w:tcPr>
                <w:p>
                  <w:pPr>
                    <w:pStyle w:val="41"/>
                    <w:rPr>
                      <w:b/>
                      <w:bCs/>
                      <w:szCs w:val="21"/>
                    </w:rPr>
                  </w:pPr>
                  <w:r>
                    <w:rPr>
                      <w:b/>
                      <w:bCs/>
                      <w:szCs w:val="21"/>
                    </w:rPr>
                    <w:t>0.15</w:t>
                  </w:r>
                </w:p>
              </w:tc>
              <w:tc>
                <w:tcPr>
                  <w:tcW w:w="1260" w:type="dxa"/>
                  <w:shd w:val="clear" w:color="auto" w:fill="D8D8D8" w:themeFill="background1" w:themeFillShade="D9"/>
                  <w:vAlign w:val="center"/>
                </w:tcPr>
                <w:p>
                  <w:pPr>
                    <w:pStyle w:val="41"/>
                    <w:rPr>
                      <w:b/>
                      <w:bCs/>
                      <w:szCs w:val="21"/>
                    </w:rPr>
                  </w:pPr>
                  <w:r>
                    <w:rPr>
                      <w:b/>
                      <w:bCs/>
                      <w:szCs w:val="21"/>
                    </w:rPr>
                    <w:t>0.14</w:t>
                  </w:r>
                </w:p>
              </w:tc>
              <w:tc>
                <w:tcPr>
                  <w:tcW w:w="1080" w:type="dxa"/>
                  <w:shd w:val="clear" w:color="auto" w:fill="D8D8D8" w:themeFill="background1" w:themeFillShade="D9"/>
                  <w:vAlign w:val="center"/>
                </w:tcPr>
                <w:p>
                  <w:pPr>
                    <w:pStyle w:val="41"/>
                    <w:rPr>
                      <w:b/>
                      <w:bCs/>
                      <w:szCs w:val="21"/>
                    </w:rPr>
                  </w:pPr>
                  <w:r>
                    <w:rPr>
                      <w:b/>
                      <w:bCs/>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总氮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0.46</w:t>
                  </w:r>
                </w:p>
              </w:tc>
              <w:tc>
                <w:tcPr>
                  <w:tcW w:w="1260" w:type="dxa"/>
                  <w:shd w:val="clear" w:color="auto" w:fill="auto"/>
                  <w:vAlign w:val="center"/>
                </w:tcPr>
                <w:p>
                  <w:pPr>
                    <w:pStyle w:val="41"/>
                    <w:rPr>
                      <w:szCs w:val="21"/>
                    </w:rPr>
                  </w:pPr>
                  <w:r>
                    <w:rPr>
                      <w:szCs w:val="21"/>
                    </w:rPr>
                    <w:t>0.49</w:t>
                  </w:r>
                </w:p>
              </w:tc>
              <w:tc>
                <w:tcPr>
                  <w:tcW w:w="1260" w:type="dxa"/>
                  <w:shd w:val="clear" w:color="auto" w:fill="auto"/>
                  <w:vAlign w:val="center"/>
                </w:tcPr>
                <w:p>
                  <w:pPr>
                    <w:pStyle w:val="41"/>
                    <w:rPr>
                      <w:szCs w:val="21"/>
                    </w:rPr>
                  </w:pPr>
                  <w:r>
                    <w:rPr>
                      <w:szCs w:val="21"/>
                    </w:rPr>
                    <w:t>0.47</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restart"/>
                  <w:shd w:val="clear" w:color="auto" w:fill="auto"/>
                  <w:vAlign w:val="center"/>
                </w:tcPr>
                <w:p>
                  <w:pPr>
                    <w:pStyle w:val="41"/>
                    <w:rPr>
                      <w:szCs w:val="21"/>
                    </w:rPr>
                  </w:pPr>
                  <w:r>
                    <w:rPr>
                      <w:szCs w:val="21"/>
                    </w:rPr>
                    <w:t>W2：鼻湖（鱼光互补区）</w:t>
                  </w:r>
                </w:p>
              </w:tc>
              <w:tc>
                <w:tcPr>
                  <w:tcW w:w="1080" w:type="dxa"/>
                  <w:shd w:val="clear" w:color="auto" w:fill="auto"/>
                  <w:vAlign w:val="center"/>
                </w:tcPr>
                <w:p>
                  <w:pPr>
                    <w:pStyle w:val="41"/>
                    <w:rPr>
                      <w:szCs w:val="21"/>
                    </w:rPr>
                  </w:pPr>
                  <w:r>
                    <w:rPr>
                      <w:szCs w:val="21"/>
                    </w:rPr>
                    <w:t>pH值</w:t>
                  </w:r>
                </w:p>
              </w:tc>
              <w:tc>
                <w:tcPr>
                  <w:tcW w:w="1080" w:type="dxa"/>
                  <w:shd w:val="clear" w:color="auto" w:fill="auto"/>
                  <w:vAlign w:val="center"/>
                </w:tcPr>
                <w:p>
                  <w:pPr>
                    <w:pStyle w:val="41"/>
                    <w:rPr>
                      <w:szCs w:val="21"/>
                    </w:rPr>
                  </w:pPr>
                  <w:r>
                    <w:rPr>
                      <w:szCs w:val="21"/>
                    </w:rPr>
                    <w:t>无量纲</w:t>
                  </w:r>
                </w:p>
              </w:tc>
              <w:tc>
                <w:tcPr>
                  <w:tcW w:w="1260" w:type="dxa"/>
                  <w:shd w:val="clear" w:color="auto" w:fill="auto"/>
                  <w:vAlign w:val="center"/>
                </w:tcPr>
                <w:p>
                  <w:pPr>
                    <w:pStyle w:val="41"/>
                    <w:rPr>
                      <w:szCs w:val="21"/>
                    </w:rPr>
                  </w:pPr>
                  <w:r>
                    <w:rPr>
                      <w:szCs w:val="21"/>
                    </w:rPr>
                    <w:t>6.8</w:t>
                  </w:r>
                </w:p>
              </w:tc>
              <w:tc>
                <w:tcPr>
                  <w:tcW w:w="1260" w:type="dxa"/>
                  <w:shd w:val="clear" w:color="auto" w:fill="auto"/>
                  <w:vAlign w:val="center"/>
                </w:tcPr>
                <w:p>
                  <w:pPr>
                    <w:pStyle w:val="41"/>
                    <w:rPr>
                      <w:szCs w:val="21"/>
                    </w:rPr>
                  </w:pPr>
                  <w:r>
                    <w:rPr>
                      <w:szCs w:val="21"/>
                    </w:rPr>
                    <w:t>6.9</w:t>
                  </w:r>
                </w:p>
              </w:tc>
              <w:tc>
                <w:tcPr>
                  <w:tcW w:w="1260" w:type="dxa"/>
                  <w:shd w:val="clear" w:color="auto" w:fill="auto"/>
                  <w:vAlign w:val="center"/>
                </w:tcPr>
                <w:p>
                  <w:pPr>
                    <w:pStyle w:val="41"/>
                    <w:rPr>
                      <w:szCs w:val="21"/>
                    </w:rPr>
                  </w:pPr>
                  <w:r>
                    <w:rPr>
                      <w:szCs w:val="21"/>
                    </w:rPr>
                    <w:t>6.9</w:t>
                  </w:r>
                </w:p>
              </w:tc>
              <w:tc>
                <w:tcPr>
                  <w:tcW w:w="1080" w:type="dxa"/>
                  <w:shd w:val="clear" w:color="auto" w:fill="auto"/>
                  <w:vAlign w:val="center"/>
                </w:tcPr>
                <w:p>
                  <w:pPr>
                    <w:pStyle w:val="41"/>
                    <w:rPr>
                      <w:b/>
                      <w:bCs/>
                      <w:szCs w:val="21"/>
                    </w:rPr>
                  </w:pPr>
                  <w:r>
                    <w:rPr>
                      <w:b/>
                      <w:bCs/>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rFonts w:hint="eastAsia"/>
                      <w:b/>
                      <w:bCs/>
                      <w:szCs w:val="21"/>
                    </w:rPr>
                    <w:t>COD</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32</w:t>
                  </w:r>
                </w:p>
              </w:tc>
              <w:tc>
                <w:tcPr>
                  <w:tcW w:w="1260" w:type="dxa"/>
                  <w:shd w:val="clear" w:color="auto" w:fill="D8D8D8" w:themeFill="background1" w:themeFillShade="D9"/>
                  <w:vAlign w:val="center"/>
                </w:tcPr>
                <w:p>
                  <w:pPr>
                    <w:pStyle w:val="41"/>
                    <w:rPr>
                      <w:b/>
                      <w:bCs/>
                      <w:szCs w:val="21"/>
                    </w:rPr>
                  </w:pPr>
                  <w:r>
                    <w:rPr>
                      <w:b/>
                      <w:bCs/>
                      <w:szCs w:val="21"/>
                    </w:rPr>
                    <w:t>35</w:t>
                  </w:r>
                </w:p>
              </w:tc>
              <w:tc>
                <w:tcPr>
                  <w:tcW w:w="1260" w:type="dxa"/>
                  <w:shd w:val="clear" w:color="auto" w:fill="D8D8D8" w:themeFill="background1" w:themeFillShade="D9"/>
                  <w:vAlign w:val="center"/>
                </w:tcPr>
                <w:p>
                  <w:pPr>
                    <w:pStyle w:val="41"/>
                    <w:rPr>
                      <w:b/>
                      <w:bCs/>
                      <w:szCs w:val="21"/>
                    </w:rPr>
                  </w:pPr>
                  <w:r>
                    <w:rPr>
                      <w:b/>
                      <w:bCs/>
                      <w:szCs w:val="21"/>
                    </w:rPr>
                    <w:t>33</w:t>
                  </w:r>
                </w:p>
              </w:tc>
              <w:tc>
                <w:tcPr>
                  <w:tcW w:w="1080" w:type="dxa"/>
                  <w:shd w:val="clear" w:color="auto" w:fill="D8D8D8" w:themeFill="background1" w:themeFillShade="D9"/>
                  <w:vAlign w:val="center"/>
                </w:tcPr>
                <w:p>
                  <w:pPr>
                    <w:pStyle w:val="41"/>
                    <w:rPr>
                      <w:b/>
                      <w:bCs/>
                      <w:szCs w:val="21"/>
                    </w:rPr>
                  </w:pPr>
                  <w:r>
                    <w:rPr>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rFonts w:hint="eastAsia"/>
                      <w:b/>
                      <w:bCs/>
                      <w:szCs w:val="21"/>
                    </w:rPr>
                    <w:t>BOD</w:t>
                  </w:r>
                  <w:r>
                    <w:rPr>
                      <w:b/>
                      <w:bCs/>
                      <w:szCs w:val="21"/>
                      <w:vertAlign w:val="subscript"/>
                    </w:rPr>
                    <w:t>5</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8.1</w:t>
                  </w:r>
                </w:p>
              </w:tc>
              <w:tc>
                <w:tcPr>
                  <w:tcW w:w="1260" w:type="dxa"/>
                  <w:shd w:val="clear" w:color="auto" w:fill="D8D8D8" w:themeFill="background1" w:themeFillShade="D9"/>
                  <w:vAlign w:val="center"/>
                </w:tcPr>
                <w:p>
                  <w:pPr>
                    <w:pStyle w:val="41"/>
                    <w:rPr>
                      <w:b/>
                      <w:bCs/>
                      <w:szCs w:val="21"/>
                    </w:rPr>
                  </w:pPr>
                  <w:r>
                    <w:rPr>
                      <w:b/>
                      <w:bCs/>
                      <w:szCs w:val="21"/>
                    </w:rPr>
                    <w:t>8.7</w:t>
                  </w:r>
                </w:p>
              </w:tc>
              <w:tc>
                <w:tcPr>
                  <w:tcW w:w="1260" w:type="dxa"/>
                  <w:shd w:val="clear" w:color="auto" w:fill="D8D8D8" w:themeFill="background1" w:themeFillShade="D9"/>
                  <w:vAlign w:val="center"/>
                </w:tcPr>
                <w:p>
                  <w:pPr>
                    <w:pStyle w:val="41"/>
                    <w:rPr>
                      <w:b/>
                      <w:bCs/>
                      <w:szCs w:val="21"/>
                    </w:rPr>
                  </w:pPr>
                  <w:r>
                    <w:rPr>
                      <w:b/>
                      <w:bCs/>
                      <w:szCs w:val="21"/>
                    </w:rPr>
                    <w:t>8.4</w:t>
                  </w:r>
                </w:p>
              </w:tc>
              <w:tc>
                <w:tcPr>
                  <w:tcW w:w="1080" w:type="dxa"/>
                  <w:shd w:val="clear" w:color="auto" w:fill="D8D8D8" w:themeFill="background1" w:themeFillShade="D9"/>
                  <w:vAlign w:val="center"/>
                </w:tcPr>
                <w:p>
                  <w:pPr>
                    <w:pStyle w:val="41"/>
                    <w:rPr>
                      <w:b/>
                      <w:bCs/>
                      <w:szCs w:val="21"/>
                    </w:rPr>
                  </w:pPr>
                  <w:r>
                    <w:rPr>
                      <w:b/>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悬浮物</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18</w:t>
                  </w:r>
                </w:p>
              </w:tc>
              <w:tc>
                <w:tcPr>
                  <w:tcW w:w="1260" w:type="dxa"/>
                  <w:shd w:val="clear" w:color="auto" w:fill="auto"/>
                  <w:vAlign w:val="center"/>
                </w:tcPr>
                <w:p>
                  <w:pPr>
                    <w:pStyle w:val="41"/>
                    <w:rPr>
                      <w:szCs w:val="21"/>
                    </w:rPr>
                  </w:pPr>
                  <w:r>
                    <w:rPr>
                      <w:szCs w:val="21"/>
                    </w:rPr>
                    <w:t>16</w:t>
                  </w:r>
                </w:p>
              </w:tc>
              <w:tc>
                <w:tcPr>
                  <w:tcW w:w="1260" w:type="dxa"/>
                  <w:shd w:val="clear" w:color="auto" w:fill="auto"/>
                  <w:vAlign w:val="center"/>
                </w:tcPr>
                <w:p>
                  <w:pPr>
                    <w:pStyle w:val="41"/>
                    <w:rPr>
                      <w:szCs w:val="21"/>
                    </w:rPr>
                  </w:pPr>
                  <w:r>
                    <w:rPr>
                      <w:szCs w:val="21"/>
                    </w:rPr>
                    <w:t>17</w:t>
                  </w:r>
                </w:p>
              </w:tc>
              <w:tc>
                <w:tcPr>
                  <w:tcW w:w="1080" w:type="dxa"/>
                  <w:shd w:val="clear" w:color="auto" w:fill="auto"/>
                  <w:vAlign w:val="center"/>
                </w:tcPr>
                <w:p>
                  <w:pPr>
                    <w:pStyle w:val="41"/>
                    <w:rPr>
                      <w:b/>
                      <w:bCs/>
                      <w:szCs w:val="21"/>
                    </w:rPr>
                  </w:pPr>
                  <w:r>
                    <w:rPr>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氨氮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0.89</w:t>
                  </w:r>
                </w:p>
              </w:tc>
              <w:tc>
                <w:tcPr>
                  <w:tcW w:w="1260" w:type="dxa"/>
                  <w:shd w:val="clear" w:color="auto" w:fill="auto"/>
                  <w:vAlign w:val="center"/>
                </w:tcPr>
                <w:p>
                  <w:pPr>
                    <w:pStyle w:val="41"/>
                    <w:rPr>
                      <w:szCs w:val="21"/>
                    </w:rPr>
                  </w:pPr>
                  <w:r>
                    <w:rPr>
                      <w:szCs w:val="21"/>
                    </w:rPr>
                    <w:t>0.92</w:t>
                  </w:r>
                </w:p>
              </w:tc>
              <w:tc>
                <w:tcPr>
                  <w:tcW w:w="1260" w:type="dxa"/>
                  <w:shd w:val="clear" w:color="auto" w:fill="auto"/>
                  <w:vAlign w:val="center"/>
                </w:tcPr>
                <w:p>
                  <w:pPr>
                    <w:pStyle w:val="41"/>
                    <w:rPr>
                      <w:szCs w:val="21"/>
                    </w:rPr>
                  </w:pPr>
                  <w:r>
                    <w:rPr>
                      <w:szCs w:val="21"/>
                    </w:rPr>
                    <w:t>0.90</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b/>
                      <w:bCs/>
                      <w:szCs w:val="21"/>
                    </w:rPr>
                    <w:t>总磷</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0.36</w:t>
                  </w:r>
                </w:p>
              </w:tc>
              <w:tc>
                <w:tcPr>
                  <w:tcW w:w="1260" w:type="dxa"/>
                  <w:shd w:val="clear" w:color="auto" w:fill="D8D8D8" w:themeFill="background1" w:themeFillShade="D9"/>
                  <w:vAlign w:val="center"/>
                </w:tcPr>
                <w:p>
                  <w:pPr>
                    <w:pStyle w:val="41"/>
                    <w:rPr>
                      <w:b/>
                      <w:bCs/>
                      <w:szCs w:val="21"/>
                    </w:rPr>
                  </w:pPr>
                  <w:r>
                    <w:rPr>
                      <w:b/>
                      <w:bCs/>
                      <w:szCs w:val="21"/>
                    </w:rPr>
                    <w:t>0.34</w:t>
                  </w:r>
                </w:p>
              </w:tc>
              <w:tc>
                <w:tcPr>
                  <w:tcW w:w="1260" w:type="dxa"/>
                  <w:shd w:val="clear" w:color="auto" w:fill="D8D8D8" w:themeFill="background1" w:themeFillShade="D9"/>
                  <w:vAlign w:val="center"/>
                </w:tcPr>
                <w:p>
                  <w:pPr>
                    <w:pStyle w:val="41"/>
                    <w:rPr>
                      <w:b/>
                      <w:bCs/>
                      <w:szCs w:val="21"/>
                    </w:rPr>
                  </w:pPr>
                  <w:r>
                    <w:rPr>
                      <w:b/>
                      <w:bCs/>
                      <w:szCs w:val="21"/>
                    </w:rPr>
                    <w:t>0.38</w:t>
                  </w:r>
                </w:p>
              </w:tc>
              <w:tc>
                <w:tcPr>
                  <w:tcW w:w="1080" w:type="dxa"/>
                  <w:shd w:val="clear" w:color="auto" w:fill="D8D8D8" w:themeFill="background1" w:themeFillShade="D9"/>
                  <w:vAlign w:val="center"/>
                </w:tcPr>
                <w:p>
                  <w:pPr>
                    <w:pStyle w:val="41"/>
                    <w:rPr>
                      <w:b/>
                      <w:bCs/>
                      <w:szCs w:val="21"/>
                    </w:rPr>
                  </w:pPr>
                  <w:r>
                    <w:rPr>
                      <w:b/>
                      <w:bCs/>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总氮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1.31</w:t>
                  </w:r>
                </w:p>
              </w:tc>
              <w:tc>
                <w:tcPr>
                  <w:tcW w:w="1260" w:type="dxa"/>
                  <w:shd w:val="clear" w:color="auto" w:fill="auto"/>
                  <w:vAlign w:val="center"/>
                </w:tcPr>
                <w:p>
                  <w:pPr>
                    <w:pStyle w:val="41"/>
                    <w:rPr>
                      <w:szCs w:val="21"/>
                    </w:rPr>
                  </w:pPr>
                  <w:r>
                    <w:rPr>
                      <w:szCs w:val="21"/>
                    </w:rPr>
                    <w:t>1.35</w:t>
                  </w:r>
                </w:p>
              </w:tc>
              <w:tc>
                <w:tcPr>
                  <w:tcW w:w="1260" w:type="dxa"/>
                  <w:shd w:val="clear" w:color="auto" w:fill="auto"/>
                  <w:vAlign w:val="center"/>
                </w:tcPr>
                <w:p>
                  <w:pPr>
                    <w:pStyle w:val="41"/>
                    <w:rPr>
                      <w:szCs w:val="21"/>
                    </w:rPr>
                  </w:pPr>
                  <w:r>
                    <w:rPr>
                      <w:szCs w:val="21"/>
                    </w:rPr>
                    <w:t>1.33</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restart"/>
                  <w:shd w:val="clear" w:color="auto" w:fill="auto"/>
                  <w:vAlign w:val="center"/>
                </w:tcPr>
                <w:p>
                  <w:pPr>
                    <w:pStyle w:val="41"/>
                    <w:rPr>
                      <w:szCs w:val="21"/>
                    </w:rPr>
                  </w:pPr>
                  <w:r>
                    <w:rPr>
                      <w:szCs w:val="21"/>
                    </w:rPr>
                    <w:t>W3：鼻湖（非渔业区）</w:t>
                  </w:r>
                </w:p>
              </w:tc>
              <w:tc>
                <w:tcPr>
                  <w:tcW w:w="1080" w:type="dxa"/>
                  <w:shd w:val="clear" w:color="auto" w:fill="auto"/>
                  <w:vAlign w:val="center"/>
                </w:tcPr>
                <w:p>
                  <w:pPr>
                    <w:pStyle w:val="41"/>
                    <w:rPr>
                      <w:szCs w:val="21"/>
                    </w:rPr>
                  </w:pPr>
                  <w:r>
                    <w:rPr>
                      <w:szCs w:val="21"/>
                    </w:rPr>
                    <w:t>pH值</w:t>
                  </w:r>
                </w:p>
              </w:tc>
              <w:tc>
                <w:tcPr>
                  <w:tcW w:w="1080" w:type="dxa"/>
                  <w:shd w:val="clear" w:color="auto" w:fill="auto"/>
                  <w:vAlign w:val="center"/>
                </w:tcPr>
                <w:p>
                  <w:pPr>
                    <w:pStyle w:val="41"/>
                    <w:rPr>
                      <w:szCs w:val="21"/>
                    </w:rPr>
                  </w:pPr>
                  <w:r>
                    <w:rPr>
                      <w:szCs w:val="21"/>
                    </w:rPr>
                    <w:t>无量纲</w:t>
                  </w:r>
                </w:p>
              </w:tc>
              <w:tc>
                <w:tcPr>
                  <w:tcW w:w="1260" w:type="dxa"/>
                  <w:shd w:val="clear" w:color="auto" w:fill="auto"/>
                  <w:vAlign w:val="center"/>
                </w:tcPr>
                <w:p>
                  <w:pPr>
                    <w:pStyle w:val="41"/>
                    <w:rPr>
                      <w:szCs w:val="21"/>
                    </w:rPr>
                  </w:pPr>
                  <w:r>
                    <w:rPr>
                      <w:szCs w:val="21"/>
                    </w:rPr>
                    <w:t>7.0</w:t>
                  </w:r>
                </w:p>
              </w:tc>
              <w:tc>
                <w:tcPr>
                  <w:tcW w:w="1260" w:type="dxa"/>
                  <w:shd w:val="clear" w:color="auto" w:fill="auto"/>
                  <w:vAlign w:val="center"/>
                </w:tcPr>
                <w:p>
                  <w:pPr>
                    <w:pStyle w:val="41"/>
                    <w:rPr>
                      <w:szCs w:val="21"/>
                    </w:rPr>
                  </w:pPr>
                  <w:r>
                    <w:rPr>
                      <w:szCs w:val="21"/>
                    </w:rPr>
                    <w:t>6.9</w:t>
                  </w:r>
                </w:p>
              </w:tc>
              <w:tc>
                <w:tcPr>
                  <w:tcW w:w="1260" w:type="dxa"/>
                  <w:shd w:val="clear" w:color="auto" w:fill="auto"/>
                  <w:vAlign w:val="center"/>
                </w:tcPr>
                <w:p>
                  <w:pPr>
                    <w:pStyle w:val="41"/>
                    <w:rPr>
                      <w:szCs w:val="21"/>
                    </w:rPr>
                  </w:pPr>
                  <w:r>
                    <w:rPr>
                      <w:szCs w:val="21"/>
                    </w:rPr>
                    <w:t>6.8</w:t>
                  </w:r>
                </w:p>
              </w:tc>
              <w:tc>
                <w:tcPr>
                  <w:tcW w:w="1080" w:type="dxa"/>
                  <w:shd w:val="clear" w:color="auto" w:fill="auto"/>
                  <w:vAlign w:val="center"/>
                </w:tcPr>
                <w:p>
                  <w:pPr>
                    <w:pStyle w:val="41"/>
                    <w:rPr>
                      <w:b/>
                      <w:bCs/>
                      <w:szCs w:val="21"/>
                    </w:rPr>
                  </w:pPr>
                  <w:r>
                    <w:rPr>
                      <w:b/>
                      <w:bCs/>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rFonts w:hint="eastAsia"/>
                      <w:b/>
                      <w:bCs/>
                      <w:szCs w:val="21"/>
                    </w:rPr>
                    <w:t>COD</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28</w:t>
                  </w:r>
                </w:p>
              </w:tc>
              <w:tc>
                <w:tcPr>
                  <w:tcW w:w="1260" w:type="dxa"/>
                  <w:shd w:val="clear" w:color="auto" w:fill="D8D8D8" w:themeFill="background1" w:themeFillShade="D9"/>
                  <w:vAlign w:val="center"/>
                </w:tcPr>
                <w:p>
                  <w:pPr>
                    <w:pStyle w:val="41"/>
                    <w:rPr>
                      <w:b/>
                      <w:bCs/>
                      <w:szCs w:val="21"/>
                    </w:rPr>
                  </w:pPr>
                  <w:r>
                    <w:rPr>
                      <w:b/>
                      <w:bCs/>
                      <w:szCs w:val="21"/>
                    </w:rPr>
                    <w:t>25</w:t>
                  </w:r>
                </w:p>
              </w:tc>
              <w:tc>
                <w:tcPr>
                  <w:tcW w:w="1260" w:type="dxa"/>
                  <w:shd w:val="clear" w:color="auto" w:fill="D8D8D8" w:themeFill="background1" w:themeFillShade="D9"/>
                  <w:vAlign w:val="center"/>
                </w:tcPr>
                <w:p>
                  <w:pPr>
                    <w:pStyle w:val="41"/>
                    <w:rPr>
                      <w:b/>
                      <w:bCs/>
                      <w:szCs w:val="21"/>
                    </w:rPr>
                  </w:pPr>
                  <w:r>
                    <w:rPr>
                      <w:b/>
                      <w:bCs/>
                      <w:szCs w:val="21"/>
                    </w:rPr>
                    <w:t>27</w:t>
                  </w:r>
                </w:p>
              </w:tc>
              <w:tc>
                <w:tcPr>
                  <w:tcW w:w="1080" w:type="dxa"/>
                  <w:shd w:val="clear" w:color="auto" w:fill="D8D8D8" w:themeFill="background1" w:themeFillShade="D9"/>
                  <w:vAlign w:val="center"/>
                </w:tcPr>
                <w:p>
                  <w:pPr>
                    <w:pStyle w:val="41"/>
                    <w:rPr>
                      <w:b/>
                      <w:bCs/>
                      <w:szCs w:val="21"/>
                    </w:rPr>
                  </w:pPr>
                  <w:r>
                    <w:rPr>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rFonts w:hint="eastAsia"/>
                      <w:b/>
                      <w:bCs/>
                      <w:szCs w:val="21"/>
                    </w:rPr>
                    <w:t>BOD</w:t>
                  </w:r>
                  <w:r>
                    <w:rPr>
                      <w:b/>
                      <w:bCs/>
                      <w:szCs w:val="21"/>
                      <w:vertAlign w:val="subscript"/>
                    </w:rPr>
                    <w:t>5</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7.1</w:t>
                  </w:r>
                </w:p>
              </w:tc>
              <w:tc>
                <w:tcPr>
                  <w:tcW w:w="1260" w:type="dxa"/>
                  <w:shd w:val="clear" w:color="auto" w:fill="D8D8D8" w:themeFill="background1" w:themeFillShade="D9"/>
                  <w:vAlign w:val="center"/>
                </w:tcPr>
                <w:p>
                  <w:pPr>
                    <w:pStyle w:val="41"/>
                    <w:rPr>
                      <w:b/>
                      <w:bCs/>
                      <w:szCs w:val="21"/>
                    </w:rPr>
                  </w:pPr>
                  <w:r>
                    <w:rPr>
                      <w:b/>
                      <w:bCs/>
                      <w:szCs w:val="21"/>
                    </w:rPr>
                    <w:t>6.3</w:t>
                  </w:r>
                </w:p>
              </w:tc>
              <w:tc>
                <w:tcPr>
                  <w:tcW w:w="1260" w:type="dxa"/>
                  <w:shd w:val="clear" w:color="auto" w:fill="D8D8D8" w:themeFill="background1" w:themeFillShade="D9"/>
                  <w:vAlign w:val="center"/>
                </w:tcPr>
                <w:p>
                  <w:pPr>
                    <w:pStyle w:val="41"/>
                    <w:rPr>
                      <w:b/>
                      <w:bCs/>
                      <w:szCs w:val="21"/>
                    </w:rPr>
                  </w:pPr>
                  <w:r>
                    <w:rPr>
                      <w:b/>
                      <w:bCs/>
                      <w:szCs w:val="21"/>
                    </w:rPr>
                    <w:t>6.7</w:t>
                  </w:r>
                </w:p>
              </w:tc>
              <w:tc>
                <w:tcPr>
                  <w:tcW w:w="1080" w:type="dxa"/>
                  <w:shd w:val="clear" w:color="auto" w:fill="D8D8D8" w:themeFill="background1" w:themeFillShade="D9"/>
                  <w:vAlign w:val="center"/>
                </w:tcPr>
                <w:p>
                  <w:pPr>
                    <w:pStyle w:val="41"/>
                    <w:rPr>
                      <w:b/>
                      <w:bCs/>
                      <w:szCs w:val="21"/>
                    </w:rPr>
                  </w:pPr>
                  <w:r>
                    <w:rPr>
                      <w:b/>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悬浮物</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14</w:t>
                  </w:r>
                </w:p>
              </w:tc>
              <w:tc>
                <w:tcPr>
                  <w:tcW w:w="1260" w:type="dxa"/>
                  <w:shd w:val="clear" w:color="auto" w:fill="auto"/>
                  <w:vAlign w:val="center"/>
                </w:tcPr>
                <w:p>
                  <w:pPr>
                    <w:pStyle w:val="41"/>
                    <w:rPr>
                      <w:szCs w:val="21"/>
                    </w:rPr>
                  </w:pPr>
                  <w:r>
                    <w:rPr>
                      <w:szCs w:val="21"/>
                    </w:rPr>
                    <w:t>16</w:t>
                  </w:r>
                </w:p>
              </w:tc>
              <w:tc>
                <w:tcPr>
                  <w:tcW w:w="1260" w:type="dxa"/>
                  <w:shd w:val="clear" w:color="auto" w:fill="auto"/>
                  <w:vAlign w:val="center"/>
                </w:tcPr>
                <w:p>
                  <w:pPr>
                    <w:pStyle w:val="41"/>
                    <w:rPr>
                      <w:szCs w:val="21"/>
                    </w:rPr>
                  </w:pPr>
                  <w:r>
                    <w:rPr>
                      <w:szCs w:val="21"/>
                    </w:rPr>
                    <w:t>15</w:t>
                  </w:r>
                </w:p>
              </w:tc>
              <w:tc>
                <w:tcPr>
                  <w:tcW w:w="1080" w:type="dxa"/>
                  <w:shd w:val="clear" w:color="auto" w:fill="auto"/>
                  <w:vAlign w:val="center"/>
                </w:tcPr>
                <w:p>
                  <w:pPr>
                    <w:pStyle w:val="41"/>
                    <w:rPr>
                      <w:b/>
                      <w:bCs/>
                      <w:szCs w:val="21"/>
                    </w:rPr>
                  </w:pPr>
                  <w:r>
                    <w:rPr>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氨氮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0.54</w:t>
                  </w:r>
                </w:p>
              </w:tc>
              <w:tc>
                <w:tcPr>
                  <w:tcW w:w="1260" w:type="dxa"/>
                  <w:shd w:val="clear" w:color="auto" w:fill="auto"/>
                  <w:vAlign w:val="center"/>
                </w:tcPr>
                <w:p>
                  <w:pPr>
                    <w:pStyle w:val="41"/>
                    <w:rPr>
                      <w:szCs w:val="21"/>
                    </w:rPr>
                  </w:pPr>
                  <w:r>
                    <w:rPr>
                      <w:szCs w:val="21"/>
                    </w:rPr>
                    <w:t>0.55</w:t>
                  </w:r>
                </w:p>
              </w:tc>
              <w:tc>
                <w:tcPr>
                  <w:tcW w:w="1260" w:type="dxa"/>
                  <w:shd w:val="clear" w:color="auto" w:fill="auto"/>
                  <w:vAlign w:val="center"/>
                </w:tcPr>
                <w:p>
                  <w:pPr>
                    <w:pStyle w:val="41"/>
                    <w:rPr>
                      <w:szCs w:val="21"/>
                    </w:rPr>
                  </w:pPr>
                  <w:r>
                    <w:rPr>
                      <w:szCs w:val="21"/>
                    </w:rPr>
                    <w:t>0.55</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b/>
                      <w:bCs/>
                      <w:szCs w:val="21"/>
                    </w:rPr>
                    <w:t>总磷</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0.27</w:t>
                  </w:r>
                </w:p>
              </w:tc>
              <w:tc>
                <w:tcPr>
                  <w:tcW w:w="1260" w:type="dxa"/>
                  <w:shd w:val="clear" w:color="auto" w:fill="D8D8D8" w:themeFill="background1" w:themeFillShade="D9"/>
                  <w:vAlign w:val="center"/>
                </w:tcPr>
                <w:p>
                  <w:pPr>
                    <w:pStyle w:val="41"/>
                    <w:rPr>
                      <w:b/>
                      <w:bCs/>
                      <w:szCs w:val="21"/>
                    </w:rPr>
                  </w:pPr>
                  <w:r>
                    <w:rPr>
                      <w:b/>
                      <w:bCs/>
                      <w:szCs w:val="21"/>
                    </w:rPr>
                    <w:t>0.26</w:t>
                  </w:r>
                </w:p>
              </w:tc>
              <w:tc>
                <w:tcPr>
                  <w:tcW w:w="1260" w:type="dxa"/>
                  <w:shd w:val="clear" w:color="auto" w:fill="D8D8D8" w:themeFill="background1" w:themeFillShade="D9"/>
                  <w:vAlign w:val="center"/>
                </w:tcPr>
                <w:p>
                  <w:pPr>
                    <w:pStyle w:val="41"/>
                    <w:rPr>
                      <w:b/>
                      <w:bCs/>
                      <w:szCs w:val="21"/>
                    </w:rPr>
                  </w:pPr>
                  <w:r>
                    <w:rPr>
                      <w:b/>
                      <w:bCs/>
                      <w:szCs w:val="21"/>
                    </w:rPr>
                    <w:t>0.27</w:t>
                  </w:r>
                </w:p>
              </w:tc>
              <w:tc>
                <w:tcPr>
                  <w:tcW w:w="1080" w:type="dxa"/>
                  <w:shd w:val="clear" w:color="auto" w:fill="D8D8D8" w:themeFill="background1" w:themeFillShade="D9"/>
                  <w:vAlign w:val="center"/>
                </w:tcPr>
                <w:p>
                  <w:pPr>
                    <w:pStyle w:val="41"/>
                    <w:rPr>
                      <w:b/>
                      <w:bCs/>
                      <w:szCs w:val="21"/>
                    </w:rPr>
                  </w:pPr>
                  <w:r>
                    <w:rPr>
                      <w:b/>
                      <w:bCs/>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总氮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0.75</w:t>
                  </w:r>
                </w:p>
              </w:tc>
              <w:tc>
                <w:tcPr>
                  <w:tcW w:w="1260" w:type="dxa"/>
                  <w:shd w:val="clear" w:color="auto" w:fill="auto"/>
                  <w:vAlign w:val="center"/>
                </w:tcPr>
                <w:p>
                  <w:pPr>
                    <w:pStyle w:val="41"/>
                    <w:rPr>
                      <w:szCs w:val="21"/>
                    </w:rPr>
                  </w:pPr>
                  <w:r>
                    <w:rPr>
                      <w:szCs w:val="21"/>
                    </w:rPr>
                    <w:t>0.78</w:t>
                  </w:r>
                </w:p>
              </w:tc>
              <w:tc>
                <w:tcPr>
                  <w:tcW w:w="1260" w:type="dxa"/>
                  <w:shd w:val="clear" w:color="auto" w:fill="auto"/>
                  <w:vAlign w:val="center"/>
                </w:tcPr>
                <w:p>
                  <w:pPr>
                    <w:pStyle w:val="41"/>
                    <w:rPr>
                      <w:szCs w:val="21"/>
                    </w:rPr>
                  </w:pPr>
                  <w:r>
                    <w:rPr>
                      <w:szCs w:val="21"/>
                    </w:rPr>
                    <w:t>0.74</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restart"/>
                  <w:shd w:val="clear" w:color="auto" w:fill="auto"/>
                  <w:vAlign w:val="center"/>
                </w:tcPr>
                <w:p>
                  <w:pPr>
                    <w:pStyle w:val="41"/>
                    <w:rPr>
                      <w:szCs w:val="21"/>
                    </w:rPr>
                  </w:pPr>
                  <w:r>
                    <w:rPr>
                      <w:szCs w:val="21"/>
                    </w:rPr>
                    <w:t>W4：鼻湖北侧灌溉排水渠</w:t>
                  </w:r>
                </w:p>
              </w:tc>
              <w:tc>
                <w:tcPr>
                  <w:tcW w:w="1080" w:type="dxa"/>
                  <w:shd w:val="clear" w:color="auto" w:fill="auto"/>
                  <w:vAlign w:val="center"/>
                </w:tcPr>
                <w:p>
                  <w:pPr>
                    <w:pStyle w:val="41"/>
                    <w:rPr>
                      <w:szCs w:val="21"/>
                    </w:rPr>
                  </w:pPr>
                  <w:r>
                    <w:rPr>
                      <w:szCs w:val="21"/>
                    </w:rPr>
                    <w:t>pH值</w:t>
                  </w:r>
                </w:p>
              </w:tc>
              <w:tc>
                <w:tcPr>
                  <w:tcW w:w="1080" w:type="dxa"/>
                  <w:shd w:val="clear" w:color="auto" w:fill="auto"/>
                  <w:vAlign w:val="center"/>
                </w:tcPr>
                <w:p>
                  <w:pPr>
                    <w:pStyle w:val="41"/>
                    <w:rPr>
                      <w:szCs w:val="21"/>
                    </w:rPr>
                  </w:pPr>
                  <w:r>
                    <w:rPr>
                      <w:szCs w:val="21"/>
                    </w:rPr>
                    <w:t>无量纲</w:t>
                  </w:r>
                </w:p>
              </w:tc>
              <w:tc>
                <w:tcPr>
                  <w:tcW w:w="1260" w:type="dxa"/>
                  <w:shd w:val="clear" w:color="auto" w:fill="auto"/>
                  <w:vAlign w:val="center"/>
                </w:tcPr>
                <w:p>
                  <w:pPr>
                    <w:pStyle w:val="41"/>
                    <w:rPr>
                      <w:szCs w:val="21"/>
                    </w:rPr>
                  </w:pPr>
                  <w:r>
                    <w:rPr>
                      <w:szCs w:val="21"/>
                    </w:rPr>
                    <w:t>7.0</w:t>
                  </w:r>
                </w:p>
              </w:tc>
              <w:tc>
                <w:tcPr>
                  <w:tcW w:w="1260" w:type="dxa"/>
                  <w:shd w:val="clear" w:color="auto" w:fill="auto"/>
                  <w:vAlign w:val="center"/>
                </w:tcPr>
                <w:p>
                  <w:pPr>
                    <w:pStyle w:val="41"/>
                    <w:rPr>
                      <w:szCs w:val="21"/>
                    </w:rPr>
                  </w:pPr>
                  <w:r>
                    <w:rPr>
                      <w:szCs w:val="21"/>
                    </w:rPr>
                    <w:t>6.9</w:t>
                  </w:r>
                </w:p>
              </w:tc>
              <w:tc>
                <w:tcPr>
                  <w:tcW w:w="1260" w:type="dxa"/>
                  <w:shd w:val="clear" w:color="auto" w:fill="auto"/>
                  <w:vAlign w:val="center"/>
                </w:tcPr>
                <w:p>
                  <w:pPr>
                    <w:pStyle w:val="41"/>
                    <w:rPr>
                      <w:szCs w:val="21"/>
                    </w:rPr>
                  </w:pPr>
                  <w:r>
                    <w:rPr>
                      <w:szCs w:val="21"/>
                    </w:rPr>
                    <w:t>6.9</w:t>
                  </w:r>
                </w:p>
              </w:tc>
              <w:tc>
                <w:tcPr>
                  <w:tcW w:w="1080" w:type="dxa"/>
                  <w:shd w:val="clear" w:color="auto" w:fill="auto"/>
                  <w:vAlign w:val="center"/>
                </w:tcPr>
                <w:p>
                  <w:pPr>
                    <w:pStyle w:val="41"/>
                    <w:rPr>
                      <w:b/>
                      <w:bCs/>
                      <w:szCs w:val="21"/>
                    </w:rPr>
                  </w:pPr>
                  <w:r>
                    <w:rPr>
                      <w:b/>
                      <w:bCs/>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rFonts w:hint="eastAsia"/>
                      <w:b/>
                      <w:bCs/>
                      <w:szCs w:val="21"/>
                    </w:rPr>
                    <w:t>COD</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21</w:t>
                  </w:r>
                </w:p>
              </w:tc>
              <w:tc>
                <w:tcPr>
                  <w:tcW w:w="1260" w:type="dxa"/>
                  <w:shd w:val="clear" w:color="auto" w:fill="D8D8D8" w:themeFill="background1" w:themeFillShade="D9"/>
                  <w:vAlign w:val="center"/>
                </w:tcPr>
                <w:p>
                  <w:pPr>
                    <w:pStyle w:val="41"/>
                    <w:rPr>
                      <w:b/>
                      <w:bCs/>
                      <w:szCs w:val="21"/>
                    </w:rPr>
                  </w:pPr>
                  <w:r>
                    <w:rPr>
                      <w:b/>
                      <w:bCs/>
                      <w:szCs w:val="21"/>
                    </w:rPr>
                    <w:t>22</w:t>
                  </w:r>
                </w:p>
              </w:tc>
              <w:tc>
                <w:tcPr>
                  <w:tcW w:w="1260" w:type="dxa"/>
                  <w:shd w:val="clear" w:color="auto" w:fill="D8D8D8" w:themeFill="background1" w:themeFillShade="D9"/>
                  <w:vAlign w:val="center"/>
                </w:tcPr>
                <w:p>
                  <w:pPr>
                    <w:pStyle w:val="41"/>
                    <w:rPr>
                      <w:b/>
                      <w:bCs/>
                      <w:szCs w:val="21"/>
                    </w:rPr>
                  </w:pPr>
                  <w:r>
                    <w:rPr>
                      <w:b/>
                      <w:bCs/>
                      <w:szCs w:val="21"/>
                    </w:rPr>
                    <w:t>23</w:t>
                  </w:r>
                </w:p>
              </w:tc>
              <w:tc>
                <w:tcPr>
                  <w:tcW w:w="1080" w:type="dxa"/>
                  <w:shd w:val="clear" w:color="auto" w:fill="D8D8D8" w:themeFill="background1" w:themeFillShade="D9"/>
                  <w:vAlign w:val="center"/>
                </w:tcPr>
                <w:p>
                  <w:pPr>
                    <w:pStyle w:val="41"/>
                    <w:rPr>
                      <w:b/>
                      <w:bCs/>
                      <w:szCs w:val="21"/>
                    </w:rPr>
                  </w:pPr>
                  <w:r>
                    <w:rPr>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rFonts w:hint="eastAsia"/>
                      <w:b/>
                      <w:bCs/>
                      <w:szCs w:val="21"/>
                    </w:rPr>
                    <w:t>BOD</w:t>
                  </w:r>
                  <w:r>
                    <w:rPr>
                      <w:b/>
                      <w:bCs/>
                      <w:szCs w:val="21"/>
                      <w:vertAlign w:val="subscript"/>
                    </w:rPr>
                    <w:t>5</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5.3</w:t>
                  </w:r>
                </w:p>
              </w:tc>
              <w:tc>
                <w:tcPr>
                  <w:tcW w:w="1260" w:type="dxa"/>
                  <w:shd w:val="clear" w:color="auto" w:fill="D8D8D8" w:themeFill="background1" w:themeFillShade="D9"/>
                  <w:vAlign w:val="center"/>
                </w:tcPr>
                <w:p>
                  <w:pPr>
                    <w:pStyle w:val="41"/>
                    <w:rPr>
                      <w:b/>
                      <w:bCs/>
                      <w:szCs w:val="21"/>
                    </w:rPr>
                  </w:pPr>
                  <w:r>
                    <w:rPr>
                      <w:b/>
                      <w:bCs/>
                      <w:szCs w:val="21"/>
                    </w:rPr>
                    <w:t>5.6</w:t>
                  </w:r>
                </w:p>
              </w:tc>
              <w:tc>
                <w:tcPr>
                  <w:tcW w:w="1260" w:type="dxa"/>
                  <w:shd w:val="clear" w:color="auto" w:fill="D8D8D8" w:themeFill="background1" w:themeFillShade="D9"/>
                  <w:vAlign w:val="center"/>
                </w:tcPr>
                <w:p>
                  <w:pPr>
                    <w:pStyle w:val="41"/>
                    <w:rPr>
                      <w:b/>
                      <w:bCs/>
                      <w:szCs w:val="21"/>
                    </w:rPr>
                  </w:pPr>
                  <w:r>
                    <w:rPr>
                      <w:b/>
                      <w:bCs/>
                      <w:szCs w:val="21"/>
                    </w:rPr>
                    <w:t>5.7</w:t>
                  </w:r>
                </w:p>
              </w:tc>
              <w:tc>
                <w:tcPr>
                  <w:tcW w:w="1080" w:type="dxa"/>
                  <w:shd w:val="clear" w:color="auto" w:fill="D8D8D8" w:themeFill="background1" w:themeFillShade="D9"/>
                  <w:vAlign w:val="center"/>
                </w:tcPr>
                <w:p>
                  <w:pPr>
                    <w:pStyle w:val="41"/>
                    <w:rPr>
                      <w:b/>
                      <w:bCs/>
                      <w:szCs w:val="21"/>
                    </w:rPr>
                  </w:pPr>
                  <w:r>
                    <w:rPr>
                      <w:b/>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悬浮物</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25</w:t>
                  </w:r>
                </w:p>
              </w:tc>
              <w:tc>
                <w:tcPr>
                  <w:tcW w:w="1260" w:type="dxa"/>
                  <w:shd w:val="clear" w:color="auto" w:fill="auto"/>
                  <w:vAlign w:val="center"/>
                </w:tcPr>
                <w:p>
                  <w:pPr>
                    <w:pStyle w:val="41"/>
                    <w:rPr>
                      <w:szCs w:val="21"/>
                    </w:rPr>
                  </w:pPr>
                  <w:r>
                    <w:rPr>
                      <w:szCs w:val="21"/>
                    </w:rPr>
                    <w:t>24</w:t>
                  </w:r>
                </w:p>
              </w:tc>
              <w:tc>
                <w:tcPr>
                  <w:tcW w:w="1260" w:type="dxa"/>
                  <w:shd w:val="clear" w:color="auto" w:fill="auto"/>
                  <w:vAlign w:val="center"/>
                </w:tcPr>
                <w:p>
                  <w:pPr>
                    <w:pStyle w:val="41"/>
                    <w:rPr>
                      <w:szCs w:val="21"/>
                    </w:rPr>
                  </w:pPr>
                  <w:r>
                    <w:rPr>
                      <w:szCs w:val="21"/>
                    </w:rPr>
                    <w:t>26</w:t>
                  </w:r>
                </w:p>
              </w:tc>
              <w:tc>
                <w:tcPr>
                  <w:tcW w:w="1080" w:type="dxa"/>
                  <w:shd w:val="clear" w:color="auto" w:fill="auto"/>
                  <w:vAlign w:val="center"/>
                </w:tcPr>
                <w:p>
                  <w:pPr>
                    <w:pStyle w:val="41"/>
                    <w:rPr>
                      <w:b/>
                      <w:bCs/>
                      <w:szCs w:val="21"/>
                    </w:rPr>
                  </w:pPr>
                  <w:r>
                    <w:rPr>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氨氮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0.38</w:t>
                  </w:r>
                </w:p>
              </w:tc>
              <w:tc>
                <w:tcPr>
                  <w:tcW w:w="1260" w:type="dxa"/>
                  <w:shd w:val="clear" w:color="auto" w:fill="auto"/>
                  <w:vAlign w:val="center"/>
                </w:tcPr>
                <w:p>
                  <w:pPr>
                    <w:pStyle w:val="41"/>
                    <w:rPr>
                      <w:szCs w:val="21"/>
                    </w:rPr>
                  </w:pPr>
                  <w:r>
                    <w:rPr>
                      <w:szCs w:val="21"/>
                    </w:rPr>
                    <w:t>0.36</w:t>
                  </w:r>
                </w:p>
              </w:tc>
              <w:tc>
                <w:tcPr>
                  <w:tcW w:w="1260" w:type="dxa"/>
                  <w:shd w:val="clear" w:color="auto" w:fill="auto"/>
                  <w:vAlign w:val="center"/>
                </w:tcPr>
                <w:p>
                  <w:pPr>
                    <w:pStyle w:val="41"/>
                    <w:rPr>
                      <w:szCs w:val="21"/>
                    </w:rPr>
                  </w:pPr>
                  <w:r>
                    <w:rPr>
                      <w:szCs w:val="21"/>
                    </w:rPr>
                    <w:t>0.34</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b/>
                      <w:bCs/>
                      <w:szCs w:val="21"/>
                    </w:rPr>
                    <w:t>总磷</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0.22</w:t>
                  </w:r>
                </w:p>
              </w:tc>
              <w:tc>
                <w:tcPr>
                  <w:tcW w:w="1260" w:type="dxa"/>
                  <w:shd w:val="clear" w:color="auto" w:fill="D8D8D8" w:themeFill="background1" w:themeFillShade="D9"/>
                  <w:vAlign w:val="center"/>
                </w:tcPr>
                <w:p>
                  <w:pPr>
                    <w:pStyle w:val="41"/>
                    <w:rPr>
                      <w:b/>
                      <w:bCs/>
                      <w:szCs w:val="21"/>
                    </w:rPr>
                  </w:pPr>
                  <w:r>
                    <w:rPr>
                      <w:b/>
                      <w:bCs/>
                      <w:szCs w:val="21"/>
                    </w:rPr>
                    <w:t>0.21</w:t>
                  </w:r>
                </w:p>
              </w:tc>
              <w:tc>
                <w:tcPr>
                  <w:tcW w:w="1260" w:type="dxa"/>
                  <w:shd w:val="clear" w:color="auto" w:fill="D8D8D8" w:themeFill="background1" w:themeFillShade="D9"/>
                  <w:vAlign w:val="center"/>
                </w:tcPr>
                <w:p>
                  <w:pPr>
                    <w:pStyle w:val="41"/>
                    <w:rPr>
                      <w:b/>
                      <w:bCs/>
                      <w:szCs w:val="21"/>
                    </w:rPr>
                  </w:pPr>
                  <w:r>
                    <w:rPr>
                      <w:b/>
                      <w:bCs/>
                      <w:szCs w:val="21"/>
                    </w:rPr>
                    <w:t>0.23</w:t>
                  </w:r>
                </w:p>
              </w:tc>
              <w:tc>
                <w:tcPr>
                  <w:tcW w:w="1080" w:type="dxa"/>
                  <w:shd w:val="clear" w:color="auto" w:fill="D8D8D8" w:themeFill="background1" w:themeFillShade="D9"/>
                  <w:vAlign w:val="center"/>
                </w:tcPr>
                <w:p>
                  <w:pPr>
                    <w:pStyle w:val="41"/>
                    <w:rPr>
                      <w:b/>
                      <w:bCs/>
                      <w:szCs w:val="21"/>
                    </w:rPr>
                  </w:pPr>
                  <w:r>
                    <w:rPr>
                      <w:b/>
                      <w:bCs/>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总氮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0.62</w:t>
                  </w:r>
                </w:p>
              </w:tc>
              <w:tc>
                <w:tcPr>
                  <w:tcW w:w="1260" w:type="dxa"/>
                  <w:shd w:val="clear" w:color="auto" w:fill="auto"/>
                  <w:vAlign w:val="center"/>
                </w:tcPr>
                <w:p>
                  <w:pPr>
                    <w:pStyle w:val="41"/>
                    <w:rPr>
                      <w:szCs w:val="21"/>
                    </w:rPr>
                  </w:pPr>
                  <w:r>
                    <w:rPr>
                      <w:szCs w:val="21"/>
                    </w:rPr>
                    <w:t>0.63</w:t>
                  </w:r>
                </w:p>
              </w:tc>
              <w:tc>
                <w:tcPr>
                  <w:tcW w:w="1260" w:type="dxa"/>
                  <w:shd w:val="clear" w:color="auto" w:fill="auto"/>
                  <w:vAlign w:val="center"/>
                </w:tcPr>
                <w:p>
                  <w:pPr>
                    <w:pStyle w:val="41"/>
                    <w:rPr>
                      <w:szCs w:val="21"/>
                    </w:rPr>
                  </w:pPr>
                  <w:r>
                    <w:rPr>
                      <w:szCs w:val="21"/>
                    </w:rPr>
                    <w:t>0.66</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restart"/>
                  <w:shd w:val="clear" w:color="auto" w:fill="auto"/>
                  <w:vAlign w:val="center"/>
                </w:tcPr>
                <w:p>
                  <w:pPr>
                    <w:pStyle w:val="41"/>
                    <w:rPr>
                      <w:szCs w:val="21"/>
                    </w:rPr>
                  </w:pPr>
                  <w:r>
                    <w:rPr>
                      <w:szCs w:val="21"/>
                    </w:rPr>
                    <w:t>W5：鼻湖东侧灌溉排水渠</w:t>
                  </w:r>
                </w:p>
              </w:tc>
              <w:tc>
                <w:tcPr>
                  <w:tcW w:w="1080" w:type="dxa"/>
                  <w:shd w:val="clear" w:color="auto" w:fill="auto"/>
                  <w:vAlign w:val="center"/>
                </w:tcPr>
                <w:p>
                  <w:pPr>
                    <w:pStyle w:val="41"/>
                    <w:rPr>
                      <w:szCs w:val="21"/>
                    </w:rPr>
                  </w:pPr>
                  <w:r>
                    <w:rPr>
                      <w:szCs w:val="21"/>
                    </w:rPr>
                    <w:t>pH值</w:t>
                  </w:r>
                </w:p>
              </w:tc>
              <w:tc>
                <w:tcPr>
                  <w:tcW w:w="1080" w:type="dxa"/>
                  <w:shd w:val="clear" w:color="auto" w:fill="auto"/>
                  <w:vAlign w:val="center"/>
                </w:tcPr>
                <w:p>
                  <w:pPr>
                    <w:pStyle w:val="41"/>
                    <w:rPr>
                      <w:szCs w:val="21"/>
                    </w:rPr>
                  </w:pPr>
                  <w:r>
                    <w:rPr>
                      <w:szCs w:val="21"/>
                    </w:rPr>
                    <w:t>无量纲</w:t>
                  </w:r>
                </w:p>
              </w:tc>
              <w:tc>
                <w:tcPr>
                  <w:tcW w:w="1260" w:type="dxa"/>
                  <w:shd w:val="clear" w:color="auto" w:fill="auto"/>
                  <w:vAlign w:val="center"/>
                </w:tcPr>
                <w:p>
                  <w:pPr>
                    <w:pStyle w:val="41"/>
                    <w:rPr>
                      <w:szCs w:val="21"/>
                    </w:rPr>
                  </w:pPr>
                  <w:r>
                    <w:rPr>
                      <w:szCs w:val="21"/>
                    </w:rPr>
                    <w:t>6.9</w:t>
                  </w:r>
                </w:p>
              </w:tc>
              <w:tc>
                <w:tcPr>
                  <w:tcW w:w="1260" w:type="dxa"/>
                  <w:shd w:val="clear" w:color="auto" w:fill="auto"/>
                  <w:vAlign w:val="center"/>
                </w:tcPr>
                <w:p>
                  <w:pPr>
                    <w:pStyle w:val="41"/>
                    <w:rPr>
                      <w:szCs w:val="21"/>
                    </w:rPr>
                  </w:pPr>
                  <w:r>
                    <w:rPr>
                      <w:szCs w:val="21"/>
                    </w:rPr>
                    <w:t>6.9</w:t>
                  </w:r>
                </w:p>
              </w:tc>
              <w:tc>
                <w:tcPr>
                  <w:tcW w:w="1260" w:type="dxa"/>
                  <w:shd w:val="clear" w:color="auto" w:fill="auto"/>
                  <w:vAlign w:val="center"/>
                </w:tcPr>
                <w:p>
                  <w:pPr>
                    <w:pStyle w:val="41"/>
                    <w:rPr>
                      <w:szCs w:val="21"/>
                    </w:rPr>
                  </w:pPr>
                  <w:r>
                    <w:rPr>
                      <w:szCs w:val="21"/>
                    </w:rPr>
                    <w:t>6.9</w:t>
                  </w:r>
                </w:p>
              </w:tc>
              <w:tc>
                <w:tcPr>
                  <w:tcW w:w="1080" w:type="dxa"/>
                  <w:shd w:val="clear" w:color="auto" w:fill="auto"/>
                  <w:vAlign w:val="center"/>
                </w:tcPr>
                <w:p>
                  <w:pPr>
                    <w:pStyle w:val="41"/>
                    <w:rPr>
                      <w:b/>
                      <w:bCs/>
                      <w:szCs w:val="21"/>
                    </w:rPr>
                  </w:pPr>
                  <w:r>
                    <w:rPr>
                      <w:b/>
                      <w:bCs/>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rFonts w:hint="eastAsia"/>
                      <w:szCs w:val="21"/>
                    </w:rPr>
                    <w:t>COD</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15</w:t>
                  </w:r>
                </w:p>
              </w:tc>
              <w:tc>
                <w:tcPr>
                  <w:tcW w:w="1260" w:type="dxa"/>
                  <w:shd w:val="clear" w:color="auto" w:fill="auto"/>
                  <w:vAlign w:val="center"/>
                </w:tcPr>
                <w:p>
                  <w:pPr>
                    <w:pStyle w:val="41"/>
                    <w:rPr>
                      <w:szCs w:val="21"/>
                    </w:rPr>
                  </w:pPr>
                  <w:r>
                    <w:rPr>
                      <w:szCs w:val="21"/>
                    </w:rPr>
                    <w:t>14</w:t>
                  </w:r>
                </w:p>
              </w:tc>
              <w:tc>
                <w:tcPr>
                  <w:tcW w:w="1260" w:type="dxa"/>
                  <w:shd w:val="clear" w:color="auto" w:fill="auto"/>
                  <w:vAlign w:val="center"/>
                </w:tcPr>
                <w:p>
                  <w:pPr>
                    <w:pStyle w:val="41"/>
                    <w:rPr>
                      <w:szCs w:val="21"/>
                    </w:rPr>
                  </w:pPr>
                  <w:r>
                    <w:rPr>
                      <w:szCs w:val="21"/>
                    </w:rPr>
                    <w:t>12</w:t>
                  </w:r>
                </w:p>
              </w:tc>
              <w:tc>
                <w:tcPr>
                  <w:tcW w:w="1080" w:type="dxa"/>
                  <w:shd w:val="clear" w:color="auto" w:fill="auto"/>
                  <w:vAlign w:val="center"/>
                </w:tcPr>
                <w:p>
                  <w:pPr>
                    <w:pStyle w:val="41"/>
                    <w:rPr>
                      <w:b/>
                      <w:bCs/>
                      <w:szCs w:val="21"/>
                    </w:rPr>
                  </w:pPr>
                  <w:r>
                    <w:rPr>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rFonts w:hint="eastAsia"/>
                      <w:szCs w:val="21"/>
                    </w:rPr>
                    <w:t>BOD</w:t>
                  </w:r>
                  <w:r>
                    <w:rPr>
                      <w:szCs w:val="21"/>
                      <w:vertAlign w:val="subscript"/>
                    </w:rPr>
                    <w:t>5</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3.8</w:t>
                  </w:r>
                </w:p>
              </w:tc>
              <w:tc>
                <w:tcPr>
                  <w:tcW w:w="1260" w:type="dxa"/>
                  <w:shd w:val="clear" w:color="auto" w:fill="auto"/>
                  <w:vAlign w:val="center"/>
                </w:tcPr>
                <w:p>
                  <w:pPr>
                    <w:pStyle w:val="41"/>
                    <w:rPr>
                      <w:szCs w:val="21"/>
                    </w:rPr>
                  </w:pPr>
                  <w:r>
                    <w:rPr>
                      <w:szCs w:val="21"/>
                    </w:rPr>
                    <w:t>3.6</w:t>
                  </w:r>
                </w:p>
              </w:tc>
              <w:tc>
                <w:tcPr>
                  <w:tcW w:w="1260" w:type="dxa"/>
                  <w:shd w:val="clear" w:color="auto" w:fill="auto"/>
                  <w:vAlign w:val="center"/>
                </w:tcPr>
                <w:p>
                  <w:pPr>
                    <w:pStyle w:val="41"/>
                    <w:rPr>
                      <w:szCs w:val="21"/>
                    </w:rPr>
                  </w:pPr>
                  <w:r>
                    <w:rPr>
                      <w:szCs w:val="21"/>
                    </w:rPr>
                    <w:t>3.0</w:t>
                  </w:r>
                </w:p>
              </w:tc>
              <w:tc>
                <w:tcPr>
                  <w:tcW w:w="1080" w:type="dxa"/>
                  <w:shd w:val="clear" w:color="auto" w:fill="auto"/>
                  <w:vAlign w:val="center"/>
                </w:tcPr>
                <w:p>
                  <w:pPr>
                    <w:pStyle w:val="41"/>
                    <w:rPr>
                      <w:b/>
                      <w:bCs/>
                      <w:szCs w:val="21"/>
                    </w:rPr>
                  </w:pPr>
                  <w:r>
                    <w:rPr>
                      <w:b/>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悬浮物</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19</w:t>
                  </w:r>
                </w:p>
              </w:tc>
              <w:tc>
                <w:tcPr>
                  <w:tcW w:w="1260" w:type="dxa"/>
                  <w:shd w:val="clear" w:color="auto" w:fill="auto"/>
                  <w:vAlign w:val="center"/>
                </w:tcPr>
                <w:p>
                  <w:pPr>
                    <w:pStyle w:val="41"/>
                    <w:rPr>
                      <w:szCs w:val="21"/>
                    </w:rPr>
                  </w:pPr>
                  <w:r>
                    <w:rPr>
                      <w:szCs w:val="21"/>
                    </w:rPr>
                    <w:t>17</w:t>
                  </w:r>
                </w:p>
              </w:tc>
              <w:tc>
                <w:tcPr>
                  <w:tcW w:w="1260" w:type="dxa"/>
                  <w:shd w:val="clear" w:color="auto" w:fill="auto"/>
                  <w:vAlign w:val="center"/>
                </w:tcPr>
                <w:p>
                  <w:pPr>
                    <w:pStyle w:val="41"/>
                    <w:rPr>
                      <w:szCs w:val="21"/>
                    </w:rPr>
                  </w:pPr>
                  <w:r>
                    <w:rPr>
                      <w:szCs w:val="21"/>
                    </w:rPr>
                    <w:t>18</w:t>
                  </w:r>
                </w:p>
              </w:tc>
              <w:tc>
                <w:tcPr>
                  <w:tcW w:w="1080" w:type="dxa"/>
                  <w:shd w:val="clear" w:color="auto" w:fill="auto"/>
                  <w:vAlign w:val="center"/>
                </w:tcPr>
                <w:p>
                  <w:pPr>
                    <w:pStyle w:val="41"/>
                    <w:rPr>
                      <w:b/>
                      <w:bCs/>
                      <w:szCs w:val="21"/>
                    </w:rPr>
                  </w:pPr>
                  <w:r>
                    <w:rPr>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氨氮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0.22</w:t>
                  </w:r>
                </w:p>
              </w:tc>
              <w:tc>
                <w:tcPr>
                  <w:tcW w:w="1260" w:type="dxa"/>
                  <w:shd w:val="clear" w:color="auto" w:fill="auto"/>
                  <w:vAlign w:val="center"/>
                </w:tcPr>
                <w:p>
                  <w:pPr>
                    <w:pStyle w:val="41"/>
                    <w:rPr>
                      <w:szCs w:val="21"/>
                    </w:rPr>
                  </w:pPr>
                  <w:r>
                    <w:rPr>
                      <w:szCs w:val="21"/>
                    </w:rPr>
                    <w:t>0.23</w:t>
                  </w:r>
                </w:p>
              </w:tc>
              <w:tc>
                <w:tcPr>
                  <w:tcW w:w="1260" w:type="dxa"/>
                  <w:shd w:val="clear" w:color="auto" w:fill="auto"/>
                  <w:vAlign w:val="center"/>
                </w:tcPr>
                <w:p>
                  <w:pPr>
                    <w:pStyle w:val="41"/>
                    <w:rPr>
                      <w:szCs w:val="21"/>
                    </w:rPr>
                  </w:pPr>
                  <w:r>
                    <w:rPr>
                      <w:szCs w:val="21"/>
                    </w:rPr>
                    <w:t>0.24</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总磷</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0.10</w:t>
                  </w:r>
                </w:p>
              </w:tc>
              <w:tc>
                <w:tcPr>
                  <w:tcW w:w="1260" w:type="dxa"/>
                  <w:shd w:val="clear" w:color="auto" w:fill="auto"/>
                  <w:vAlign w:val="center"/>
                </w:tcPr>
                <w:p>
                  <w:pPr>
                    <w:pStyle w:val="41"/>
                    <w:rPr>
                      <w:szCs w:val="21"/>
                    </w:rPr>
                  </w:pPr>
                  <w:r>
                    <w:rPr>
                      <w:szCs w:val="21"/>
                    </w:rPr>
                    <w:t>0.12</w:t>
                  </w:r>
                </w:p>
              </w:tc>
              <w:tc>
                <w:tcPr>
                  <w:tcW w:w="1260" w:type="dxa"/>
                  <w:shd w:val="clear" w:color="auto" w:fill="auto"/>
                  <w:vAlign w:val="center"/>
                </w:tcPr>
                <w:p>
                  <w:pPr>
                    <w:pStyle w:val="41"/>
                    <w:rPr>
                      <w:szCs w:val="21"/>
                    </w:rPr>
                  </w:pPr>
                  <w:r>
                    <w:rPr>
                      <w:szCs w:val="21"/>
                    </w:rPr>
                    <w:t>0.10</w:t>
                  </w:r>
                </w:p>
              </w:tc>
              <w:tc>
                <w:tcPr>
                  <w:tcW w:w="1080" w:type="dxa"/>
                  <w:shd w:val="clear" w:color="auto" w:fill="auto"/>
                  <w:vAlign w:val="center"/>
                </w:tcPr>
                <w:p>
                  <w:pPr>
                    <w:pStyle w:val="41"/>
                    <w:rPr>
                      <w:szCs w:val="21"/>
                    </w:rPr>
                  </w:pPr>
                  <w:r>
                    <w:rPr>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总氮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1.45</w:t>
                  </w:r>
                </w:p>
              </w:tc>
              <w:tc>
                <w:tcPr>
                  <w:tcW w:w="1260" w:type="dxa"/>
                  <w:shd w:val="clear" w:color="auto" w:fill="auto"/>
                  <w:vAlign w:val="center"/>
                </w:tcPr>
                <w:p>
                  <w:pPr>
                    <w:pStyle w:val="41"/>
                    <w:rPr>
                      <w:szCs w:val="21"/>
                    </w:rPr>
                  </w:pPr>
                  <w:r>
                    <w:rPr>
                      <w:szCs w:val="21"/>
                    </w:rPr>
                    <w:t>1.48</w:t>
                  </w:r>
                </w:p>
              </w:tc>
              <w:tc>
                <w:tcPr>
                  <w:tcW w:w="1260" w:type="dxa"/>
                  <w:shd w:val="clear" w:color="auto" w:fill="auto"/>
                  <w:vAlign w:val="center"/>
                </w:tcPr>
                <w:p>
                  <w:pPr>
                    <w:pStyle w:val="41"/>
                    <w:rPr>
                      <w:szCs w:val="21"/>
                    </w:rPr>
                  </w:pPr>
                  <w:r>
                    <w:rPr>
                      <w:szCs w:val="21"/>
                    </w:rPr>
                    <w:t>1.42</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restart"/>
                  <w:shd w:val="clear" w:color="auto" w:fill="auto"/>
                  <w:vAlign w:val="center"/>
                </w:tcPr>
                <w:p>
                  <w:pPr>
                    <w:pStyle w:val="41"/>
                    <w:rPr>
                      <w:szCs w:val="21"/>
                    </w:rPr>
                  </w:pPr>
                  <w:r>
                    <w:rPr>
                      <w:szCs w:val="21"/>
                    </w:rPr>
                    <w:t>W6：鼻湖南侧灌溉排水渠</w:t>
                  </w:r>
                </w:p>
              </w:tc>
              <w:tc>
                <w:tcPr>
                  <w:tcW w:w="1080" w:type="dxa"/>
                  <w:shd w:val="clear" w:color="auto" w:fill="auto"/>
                  <w:vAlign w:val="center"/>
                </w:tcPr>
                <w:p>
                  <w:pPr>
                    <w:pStyle w:val="41"/>
                    <w:rPr>
                      <w:szCs w:val="21"/>
                    </w:rPr>
                  </w:pPr>
                  <w:r>
                    <w:rPr>
                      <w:szCs w:val="21"/>
                    </w:rPr>
                    <w:t>pH值</w:t>
                  </w:r>
                </w:p>
              </w:tc>
              <w:tc>
                <w:tcPr>
                  <w:tcW w:w="1080" w:type="dxa"/>
                  <w:shd w:val="clear" w:color="auto" w:fill="auto"/>
                  <w:vAlign w:val="center"/>
                </w:tcPr>
                <w:p>
                  <w:pPr>
                    <w:pStyle w:val="41"/>
                    <w:rPr>
                      <w:szCs w:val="21"/>
                    </w:rPr>
                  </w:pPr>
                  <w:r>
                    <w:rPr>
                      <w:szCs w:val="21"/>
                    </w:rPr>
                    <w:t>无量纲</w:t>
                  </w:r>
                </w:p>
              </w:tc>
              <w:tc>
                <w:tcPr>
                  <w:tcW w:w="1260" w:type="dxa"/>
                  <w:shd w:val="clear" w:color="auto" w:fill="auto"/>
                  <w:vAlign w:val="center"/>
                </w:tcPr>
                <w:p>
                  <w:pPr>
                    <w:pStyle w:val="41"/>
                    <w:rPr>
                      <w:szCs w:val="21"/>
                    </w:rPr>
                  </w:pPr>
                  <w:r>
                    <w:rPr>
                      <w:szCs w:val="21"/>
                    </w:rPr>
                    <w:t>6.9</w:t>
                  </w:r>
                </w:p>
              </w:tc>
              <w:tc>
                <w:tcPr>
                  <w:tcW w:w="1260" w:type="dxa"/>
                  <w:shd w:val="clear" w:color="auto" w:fill="auto"/>
                  <w:vAlign w:val="center"/>
                </w:tcPr>
                <w:p>
                  <w:pPr>
                    <w:pStyle w:val="41"/>
                    <w:rPr>
                      <w:szCs w:val="21"/>
                    </w:rPr>
                  </w:pPr>
                  <w:r>
                    <w:rPr>
                      <w:szCs w:val="21"/>
                    </w:rPr>
                    <w:t>6.9</w:t>
                  </w:r>
                </w:p>
              </w:tc>
              <w:tc>
                <w:tcPr>
                  <w:tcW w:w="1260" w:type="dxa"/>
                  <w:shd w:val="clear" w:color="auto" w:fill="auto"/>
                  <w:vAlign w:val="center"/>
                </w:tcPr>
                <w:p>
                  <w:pPr>
                    <w:pStyle w:val="41"/>
                    <w:rPr>
                      <w:szCs w:val="21"/>
                    </w:rPr>
                  </w:pPr>
                  <w:r>
                    <w:rPr>
                      <w:szCs w:val="21"/>
                    </w:rPr>
                    <w:t>6.9</w:t>
                  </w:r>
                </w:p>
              </w:tc>
              <w:tc>
                <w:tcPr>
                  <w:tcW w:w="1080" w:type="dxa"/>
                  <w:shd w:val="clear" w:color="auto" w:fill="auto"/>
                  <w:vAlign w:val="center"/>
                </w:tcPr>
                <w:p>
                  <w:pPr>
                    <w:pStyle w:val="41"/>
                    <w:rPr>
                      <w:b/>
                      <w:bCs/>
                      <w:szCs w:val="21"/>
                    </w:rPr>
                  </w:pPr>
                  <w:r>
                    <w:rPr>
                      <w:b/>
                      <w:bCs/>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rFonts w:hint="eastAsia"/>
                      <w:szCs w:val="21"/>
                    </w:rPr>
                    <w:t>COD</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11</w:t>
                  </w:r>
                </w:p>
              </w:tc>
              <w:tc>
                <w:tcPr>
                  <w:tcW w:w="1260" w:type="dxa"/>
                  <w:shd w:val="clear" w:color="auto" w:fill="auto"/>
                  <w:vAlign w:val="center"/>
                </w:tcPr>
                <w:p>
                  <w:pPr>
                    <w:pStyle w:val="41"/>
                    <w:rPr>
                      <w:szCs w:val="21"/>
                    </w:rPr>
                  </w:pPr>
                  <w:r>
                    <w:rPr>
                      <w:szCs w:val="21"/>
                    </w:rPr>
                    <w:t>13</w:t>
                  </w:r>
                </w:p>
              </w:tc>
              <w:tc>
                <w:tcPr>
                  <w:tcW w:w="1260" w:type="dxa"/>
                  <w:shd w:val="clear" w:color="auto" w:fill="auto"/>
                  <w:vAlign w:val="center"/>
                </w:tcPr>
                <w:p>
                  <w:pPr>
                    <w:pStyle w:val="41"/>
                    <w:rPr>
                      <w:szCs w:val="21"/>
                    </w:rPr>
                  </w:pPr>
                  <w:r>
                    <w:rPr>
                      <w:szCs w:val="21"/>
                    </w:rPr>
                    <w:t>12</w:t>
                  </w:r>
                </w:p>
              </w:tc>
              <w:tc>
                <w:tcPr>
                  <w:tcW w:w="1080" w:type="dxa"/>
                  <w:shd w:val="clear" w:color="auto" w:fill="auto"/>
                  <w:vAlign w:val="center"/>
                </w:tcPr>
                <w:p>
                  <w:pPr>
                    <w:pStyle w:val="41"/>
                    <w:rPr>
                      <w:b/>
                      <w:bCs/>
                      <w:szCs w:val="21"/>
                    </w:rPr>
                  </w:pPr>
                  <w:r>
                    <w:rPr>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rFonts w:hint="eastAsia"/>
                      <w:szCs w:val="21"/>
                    </w:rPr>
                    <w:t>BOD</w:t>
                  </w:r>
                  <w:r>
                    <w:rPr>
                      <w:szCs w:val="21"/>
                      <w:vertAlign w:val="subscript"/>
                    </w:rPr>
                    <w:t>5</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2.7</w:t>
                  </w:r>
                </w:p>
              </w:tc>
              <w:tc>
                <w:tcPr>
                  <w:tcW w:w="1260" w:type="dxa"/>
                  <w:shd w:val="clear" w:color="auto" w:fill="auto"/>
                  <w:vAlign w:val="center"/>
                </w:tcPr>
                <w:p>
                  <w:pPr>
                    <w:pStyle w:val="41"/>
                    <w:rPr>
                      <w:szCs w:val="21"/>
                    </w:rPr>
                  </w:pPr>
                  <w:r>
                    <w:rPr>
                      <w:szCs w:val="21"/>
                    </w:rPr>
                    <w:t>3.4</w:t>
                  </w:r>
                </w:p>
              </w:tc>
              <w:tc>
                <w:tcPr>
                  <w:tcW w:w="1260" w:type="dxa"/>
                  <w:shd w:val="clear" w:color="auto" w:fill="auto"/>
                  <w:vAlign w:val="center"/>
                </w:tcPr>
                <w:p>
                  <w:pPr>
                    <w:pStyle w:val="41"/>
                    <w:rPr>
                      <w:szCs w:val="21"/>
                    </w:rPr>
                  </w:pPr>
                  <w:r>
                    <w:rPr>
                      <w:szCs w:val="21"/>
                    </w:rPr>
                    <w:t>3.1</w:t>
                  </w:r>
                </w:p>
              </w:tc>
              <w:tc>
                <w:tcPr>
                  <w:tcW w:w="1080" w:type="dxa"/>
                  <w:shd w:val="clear" w:color="auto" w:fill="auto"/>
                  <w:vAlign w:val="center"/>
                </w:tcPr>
                <w:p>
                  <w:pPr>
                    <w:pStyle w:val="41"/>
                    <w:rPr>
                      <w:b/>
                      <w:bCs/>
                      <w:szCs w:val="21"/>
                    </w:rPr>
                  </w:pPr>
                  <w:r>
                    <w:rPr>
                      <w:b/>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悬浮物</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22</w:t>
                  </w:r>
                </w:p>
              </w:tc>
              <w:tc>
                <w:tcPr>
                  <w:tcW w:w="1260" w:type="dxa"/>
                  <w:shd w:val="clear" w:color="auto" w:fill="auto"/>
                  <w:vAlign w:val="center"/>
                </w:tcPr>
                <w:p>
                  <w:pPr>
                    <w:pStyle w:val="41"/>
                    <w:rPr>
                      <w:szCs w:val="21"/>
                    </w:rPr>
                  </w:pPr>
                  <w:r>
                    <w:rPr>
                      <w:szCs w:val="21"/>
                    </w:rPr>
                    <w:t>23</w:t>
                  </w:r>
                </w:p>
              </w:tc>
              <w:tc>
                <w:tcPr>
                  <w:tcW w:w="1260" w:type="dxa"/>
                  <w:shd w:val="clear" w:color="auto" w:fill="auto"/>
                  <w:vAlign w:val="center"/>
                </w:tcPr>
                <w:p>
                  <w:pPr>
                    <w:pStyle w:val="41"/>
                    <w:rPr>
                      <w:szCs w:val="21"/>
                    </w:rPr>
                  </w:pPr>
                  <w:r>
                    <w:rPr>
                      <w:szCs w:val="21"/>
                    </w:rPr>
                    <w:t>21</w:t>
                  </w:r>
                </w:p>
              </w:tc>
              <w:tc>
                <w:tcPr>
                  <w:tcW w:w="1080" w:type="dxa"/>
                  <w:shd w:val="clear" w:color="auto" w:fill="auto"/>
                  <w:vAlign w:val="center"/>
                </w:tcPr>
                <w:p>
                  <w:pPr>
                    <w:pStyle w:val="41"/>
                    <w:rPr>
                      <w:b/>
                      <w:bCs/>
                      <w:szCs w:val="21"/>
                    </w:rPr>
                  </w:pPr>
                  <w:r>
                    <w:rPr>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氨氮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0.05</w:t>
                  </w:r>
                </w:p>
              </w:tc>
              <w:tc>
                <w:tcPr>
                  <w:tcW w:w="1260" w:type="dxa"/>
                  <w:shd w:val="clear" w:color="auto" w:fill="auto"/>
                  <w:vAlign w:val="center"/>
                </w:tcPr>
                <w:p>
                  <w:pPr>
                    <w:pStyle w:val="41"/>
                    <w:rPr>
                      <w:szCs w:val="21"/>
                    </w:rPr>
                  </w:pPr>
                  <w:r>
                    <w:rPr>
                      <w:szCs w:val="21"/>
                    </w:rPr>
                    <w:t>0.04</w:t>
                  </w:r>
                </w:p>
              </w:tc>
              <w:tc>
                <w:tcPr>
                  <w:tcW w:w="1260" w:type="dxa"/>
                  <w:shd w:val="clear" w:color="auto" w:fill="auto"/>
                  <w:vAlign w:val="center"/>
                </w:tcPr>
                <w:p>
                  <w:pPr>
                    <w:pStyle w:val="41"/>
                    <w:rPr>
                      <w:szCs w:val="21"/>
                    </w:rPr>
                  </w:pPr>
                  <w:r>
                    <w:rPr>
                      <w:szCs w:val="21"/>
                    </w:rPr>
                    <w:t>0.07</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总磷</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0.02</w:t>
                  </w:r>
                </w:p>
              </w:tc>
              <w:tc>
                <w:tcPr>
                  <w:tcW w:w="1260" w:type="dxa"/>
                  <w:shd w:val="clear" w:color="auto" w:fill="auto"/>
                  <w:vAlign w:val="center"/>
                </w:tcPr>
                <w:p>
                  <w:pPr>
                    <w:pStyle w:val="41"/>
                    <w:rPr>
                      <w:szCs w:val="21"/>
                    </w:rPr>
                  </w:pPr>
                  <w:r>
                    <w:rPr>
                      <w:szCs w:val="21"/>
                    </w:rPr>
                    <w:t>0.03</w:t>
                  </w:r>
                </w:p>
              </w:tc>
              <w:tc>
                <w:tcPr>
                  <w:tcW w:w="1260" w:type="dxa"/>
                  <w:shd w:val="clear" w:color="auto" w:fill="auto"/>
                  <w:vAlign w:val="center"/>
                </w:tcPr>
                <w:p>
                  <w:pPr>
                    <w:pStyle w:val="41"/>
                    <w:rPr>
                      <w:szCs w:val="21"/>
                    </w:rPr>
                  </w:pPr>
                  <w:r>
                    <w:rPr>
                      <w:szCs w:val="21"/>
                    </w:rPr>
                    <w:t>0.04</w:t>
                  </w:r>
                </w:p>
              </w:tc>
              <w:tc>
                <w:tcPr>
                  <w:tcW w:w="1080" w:type="dxa"/>
                  <w:shd w:val="clear" w:color="auto" w:fill="auto"/>
                  <w:vAlign w:val="center"/>
                </w:tcPr>
                <w:p>
                  <w:pPr>
                    <w:pStyle w:val="41"/>
                    <w:rPr>
                      <w:szCs w:val="21"/>
                    </w:rPr>
                  </w:pPr>
                  <w:r>
                    <w:rPr>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总氮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0.52</w:t>
                  </w:r>
                </w:p>
              </w:tc>
              <w:tc>
                <w:tcPr>
                  <w:tcW w:w="1260" w:type="dxa"/>
                  <w:shd w:val="clear" w:color="auto" w:fill="auto"/>
                  <w:vAlign w:val="center"/>
                </w:tcPr>
                <w:p>
                  <w:pPr>
                    <w:pStyle w:val="41"/>
                    <w:rPr>
                      <w:szCs w:val="21"/>
                    </w:rPr>
                  </w:pPr>
                  <w:r>
                    <w:rPr>
                      <w:szCs w:val="21"/>
                    </w:rPr>
                    <w:t>0.54</w:t>
                  </w:r>
                </w:p>
              </w:tc>
              <w:tc>
                <w:tcPr>
                  <w:tcW w:w="1260" w:type="dxa"/>
                  <w:shd w:val="clear" w:color="auto" w:fill="auto"/>
                  <w:vAlign w:val="center"/>
                </w:tcPr>
                <w:p>
                  <w:pPr>
                    <w:pStyle w:val="41"/>
                    <w:rPr>
                      <w:szCs w:val="21"/>
                    </w:rPr>
                  </w:pPr>
                  <w:r>
                    <w:rPr>
                      <w:szCs w:val="21"/>
                    </w:rPr>
                    <w:t>0.56</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restart"/>
                  <w:shd w:val="clear" w:color="auto" w:fill="auto"/>
                  <w:vAlign w:val="center"/>
                </w:tcPr>
                <w:p>
                  <w:pPr>
                    <w:pStyle w:val="41"/>
                    <w:rPr>
                      <w:szCs w:val="21"/>
                    </w:rPr>
                  </w:pPr>
                  <w:r>
                    <w:rPr>
                      <w:szCs w:val="21"/>
                    </w:rPr>
                    <w:t>W7：鼻湖西侧灌溉排水渠</w:t>
                  </w:r>
                </w:p>
              </w:tc>
              <w:tc>
                <w:tcPr>
                  <w:tcW w:w="1080" w:type="dxa"/>
                  <w:shd w:val="clear" w:color="auto" w:fill="auto"/>
                  <w:vAlign w:val="center"/>
                </w:tcPr>
                <w:p>
                  <w:pPr>
                    <w:pStyle w:val="41"/>
                    <w:rPr>
                      <w:szCs w:val="21"/>
                    </w:rPr>
                  </w:pPr>
                  <w:r>
                    <w:rPr>
                      <w:szCs w:val="21"/>
                    </w:rPr>
                    <w:t>pH值</w:t>
                  </w:r>
                </w:p>
              </w:tc>
              <w:tc>
                <w:tcPr>
                  <w:tcW w:w="1080" w:type="dxa"/>
                  <w:shd w:val="clear" w:color="auto" w:fill="auto"/>
                  <w:vAlign w:val="center"/>
                </w:tcPr>
                <w:p>
                  <w:pPr>
                    <w:pStyle w:val="41"/>
                    <w:rPr>
                      <w:szCs w:val="21"/>
                    </w:rPr>
                  </w:pPr>
                  <w:r>
                    <w:rPr>
                      <w:szCs w:val="21"/>
                    </w:rPr>
                    <w:t>无量纲</w:t>
                  </w:r>
                </w:p>
              </w:tc>
              <w:tc>
                <w:tcPr>
                  <w:tcW w:w="1260" w:type="dxa"/>
                  <w:shd w:val="clear" w:color="auto" w:fill="auto"/>
                  <w:vAlign w:val="center"/>
                </w:tcPr>
                <w:p>
                  <w:pPr>
                    <w:pStyle w:val="41"/>
                    <w:rPr>
                      <w:szCs w:val="21"/>
                    </w:rPr>
                  </w:pPr>
                  <w:r>
                    <w:rPr>
                      <w:szCs w:val="21"/>
                    </w:rPr>
                    <w:t>7.0</w:t>
                  </w:r>
                </w:p>
              </w:tc>
              <w:tc>
                <w:tcPr>
                  <w:tcW w:w="1260" w:type="dxa"/>
                  <w:shd w:val="clear" w:color="auto" w:fill="auto"/>
                  <w:vAlign w:val="center"/>
                </w:tcPr>
                <w:p>
                  <w:pPr>
                    <w:pStyle w:val="41"/>
                    <w:rPr>
                      <w:szCs w:val="21"/>
                    </w:rPr>
                  </w:pPr>
                  <w:r>
                    <w:rPr>
                      <w:szCs w:val="21"/>
                    </w:rPr>
                    <w:t>6.9</w:t>
                  </w:r>
                </w:p>
              </w:tc>
              <w:tc>
                <w:tcPr>
                  <w:tcW w:w="1260" w:type="dxa"/>
                  <w:shd w:val="clear" w:color="auto" w:fill="auto"/>
                  <w:vAlign w:val="center"/>
                </w:tcPr>
                <w:p>
                  <w:pPr>
                    <w:pStyle w:val="41"/>
                    <w:rPr>
                      <w:szCs w:val="21"/>
                    </w:rPr>
                  </w:pPr>
                  <w:r>
                    <w:rPr>
                      <w:szCs w:val="21"/>
                    </w:rPr>
                    <w:t>6.9</w:t>
                  </w:r>
                </w:p>
              </w:tc>
              <w:tc>
                <w:tcPr>
                  <w:tcW w:w="1080" w:type="dxa"/>
                  <w:shd w:val="clear" w:color="auto" w:fill="auto"/>
                  <w:vAlign w:val="center"/>
                </w:tcPr>
                <w:p>
                  <w:pPr>
                    <w:pStyle w:val="41"/>
                    <w:rPr>
                      <w:b/>
                      <w:bCs/>
                      <w:szCs w:val="21"/>
                    </w:rPr>
                  </w:pPr>
                  <w:r>
                    <w:rPr>
                      <w:b/>
                      <w:bCs/>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rFonts w:hint="eastAsia"/>
                      <w:b/>
                      <w:bCs/>
                      <w:szCs w:val="21"/>
                    </w:rPr>
                    <w:t>COD</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33</w:t>
                  </w:r>
                </w:p>
              </w:tc>
              <w:tc>
                <w:tcPr>
                  <w:tcW w:w="1260" w:type="dxa"/>
                  <w:shd w:val="clear" w:color="auto" w:fill="D8D8D8" w:themeFill="background1" w:themeFillShade="D9"/>
                  <w:vAlign w:val="center"/>
                </w:tcPr>
                <w:p>
                  <w:pPr>
                    <w:pStyle w:val="41"/>
                    <w:rPr>
                      <w:b/>
                      <w:bCs/>
                      <w:szCs w:val="21"/>
                    </w:rPr>
                  </w:pPr>
                  <w:r>
                    <w:rPr>
                      <w:b/>
                      <w:bCs/>
                      <w:szCs w:val="21"/>
                    </w:rPr>
                    <w:t>38</w:t>
                  </w:r>
                </w:p>
              </w:tc>
              <w:tc>
                <w:tcPr>
                  <w:tcW w:w="1260" w:type="dxa"/>
                  <w:shd w:val="clear" w:color="auto" w:fill="D8D8D8" w:themeFill="background1" w:themeFillShade="D9"/>
                  <w:vAlign w:val="center"/>
                </w:tcPr>
                <w:p>
                  <w:pPr>
                    <w:pStyle w:val="41"/>
                    <w:rPr>
                      <w:b/>
                      <w:bCs/>
                      <w:szCs w:val="21"/>
                    </w:rPr>
                  </w:pPr>
                  <w:r>
                    <w:rPr>
                      <w:b/>
                      <w:bCs/>
                      <w:szCs w:val="21"/>
                    </w:rPr>
                    <w:t>35</w:t>
                  </w:r>
                </w:p>
              </w:tc>
              <w:tc>
                <w:tcPr>
                  <w:tcW w:w="1080" w:type="dxa"/>
                  <w:shd w:val="clear" w:color="auto" w:fill="D8D8D8" w:themeFill="background1" w:themeFillShade="D9"/>
                  <w:vAlign w:val="center"/>
                </w:tcPr>
                <w:p>
                  <w:pPr>
                    <w:pStyle w:val="41"/>
                    <w:rPr>
                      <w:b/>
                      <w:bCs/>
                      <w:szCs w:val="21"/>
                    </w:rPr>
                  </w:pPr>
                  <w:r>
                    <w:rPr>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rFonts w:hint="eastAsia"/>
                      <w:b/>
                      <w:bCs/>
                      <w:szCs w:val="21"/>
                    </w:rPr>
                    <w:t>BOD</w:t>
                  </w:r>
                  <w:r>
                    <w:rPr>
                      <w:b/>
                      <w:bCs/>
                      <w:szCs w:val="21"/>
                      <w:vertAlign w:val="subscript"/>
                    </w:rPr>
                    <w:t>5</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8.3</w:t>
                  </w:r>
                </w:p>
              </w:tc>
              <w:tc>
                <w:tcPr>
                  <w:tcW w:w="1260" w:type="dxa"/>
                  <w:shd w:val="clear" w:color="auto" w:fill="D8D8D8" w:themeFill="background1" w:themeFillShade="D9"/>
                  <w:vAlign w:val="center"/>
                </w:tcPr>
                <w:p>
                  <w:pPr>
                    <w:pStyle w:val="41"/>
                    <w:rPr>
                      <w:b/>
                      <w:bCs/>
                      <w:szCs w:val="21"/>
                    </w:rPr>
                  </w:pPr>
                  <w:r>
                    <w:rPr>
                      <w:b/>
                      <w:bCs/>
                      <w:szCs w:val="21"/>
                    </w:rPr>
                    <w:t>9.7</w:t>
                  </w:r>
                </w:p>
              </w:tc>
              <w:tc>
                <w:tcPr>
                  <w:tcW w:w="1260" w:type="dxa"/>
                  <w:shd w:val="clear" w:color="auto" w:fill="D8D8D8" w:themeFill="background1" w:themeFillShade="D9"/>
                  <w:vAlign w:val="center"/>
                </w:tcPr>
                <w:p>
                  <w:pPr>
                    <w:pStyle w:val="41"/>
                    <w:rPr>
                      <w:b/>
                      <w:bCs/>
                      <w:szCs w:val="21"/>
                    </w:rPr>
                  </w:pPr>
                  <w:r>
                    <w:rPr>
                      <w:b/>
                      <w:bCs/>
                      <w:szCs w:val="21"/>
                    </w:rPr>
                    <w:t>8.7</w:t>
                  </w:r>
                </w:p>
              </w:tc>
              <w:tc>
                <w:tcPr>
                  <w:tcW w:w="1080" w:type="dxa"/>
                  <w:shd w:val="clear" w:color="auto" w:fill="D8D8D8" w:themeFill="background1" w:themeFillShade="D9"/>
                  <w:vAlign w:val="center"/>
                </w:tcPr>
                <w:p>
                  <w:pPr>
                    <w:pStyle w:val="41"/>
                    <w:rPr>
                      <w:b/>
                      <w:bCs/>
                      <w:szCs w:val="21"/>
                    </w:rPr>
                  </w:pPr>
                  <w:r>
                    <w:rPr>
                      <w:b/>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悬浮物</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26</w:t>
                  </w:r>
                </w:p>
              </w:tc>
              <w:tc>
                <w:tcPr>
                  <w:tcW w:w="1260" w:type="dxa"/>
                  <w:shd w:val="clear" w:color="auto" w:fill="auto"/>
                  <w:vAlign w:val="center"/>
                </w:tcPr>
                <w:p>
                  <w:pPr>
                    <w:pStyle w:val="41"/>
                    <w:rPr>
                      <w:szCs w:val="21"/>
                    </w:rPr>
                  </w:pPr>
                  <w:r>
                    <w:rPr>
                      <w:szCs w:val="21"/>
                    </w:rPr>
                    <w:t>24</w:t>
                  </w:r>
                </w:p>
              </w:tc>
              <w:tc>
                <w:tcPr>
                  <w:tcW w:w="1260" w:type="dxa"/>
                  <w:shd w:val="clear" w:color="auto" w:fill="auto"/>
                  <w:vAlign w:val="center"/>
                </w:tcPr>
                <w:p>
                  <w:pPr>
                    <w:pStyle w:val="41"/>
                    <w:rPr>
                      <w:szCs w:val="21"/>
                    </w:rPr>
                  </w:pPr>
                  <w:r>
                    <w:rPr>
                      <w:szCs w:val="21"/>
                    </w:rPr>
                    <w:t>25</w:t>
                  </w:r>
                </w:p>
              </w:tc>
              <w:tc>
                <w:tcPr>
                  <w:tcW w:w="1080" w:type="dxa"/>
                  <w:shd w:val="clear" w:color="auto" w:fill="auto"/>
                  <w:vAlign w:val="center"/>
                </w:tcPr>
                <w:p>
                  <w:pPr>
                    <w:pStyle w:val="41"/>
                    <w:rPr>
                      <w:b/>
                      <w:bCs/>
                      <w:szCs w:val="21"/>
                    </w:rPr>
                  </w:pPr>
                  <w:r>
                    <w:rPr>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氨氮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0.59</w:t>
                  </w:r>
                </w:p>
              </w:tc>
              <w:tc>
                <w:tcPr>
                  <w:tcW w:w="1260" w:type="dxa"/>
                  <w:shd w:val="clear" w:color="auto" w:fill="auto"/>
                  <w:vAlign w:val="center"/>
                </w:tcPr>
                <w:p>
                  <w:pPr>
                    <w:pStyle w:val="41"/>
                    <w:rPr>
                      <w:szCs w:val="21"/>
                    </w:rPr>
                  </w:pPr>
                  <w:r>
                    <w:rPr>
                      <w:szCs w:val="21"/>
                    </w:rPr>
                    <w:t>0.57</w:t>
                  </w:r>
                </w:p>
              </w:tc>
              <w:tc>
                <w:tcPr>
                  <w:tcW w:w="1260" w:type="dxa"/>
                  <w:shd w:val="clear" w:color="auto" w:fill="auto"/>
                  <w:vAlign w:val="center"/>
                </w:tcPr>
                <w:p>
                  <w:pPr>
                    <w:pStyle w:val="41"/>
                    <w:rPr>
                      <w:szCs w:val="21"/>
                    </w:rPr>
                  </w:pPr>
                  <w:r>
                    <w:rPr>
                      <w:szCs w:val="21"/>
                    </w:rPr>
                    <w:t>0.58</w:t>
                  </w:r>
                </w:p>
              </w:tc>
              <w:tc>
                <w:tcPr>
                  <w:tcW w:w="1080" w:type="dxa"/>
                  <w:shd w:val="clear" w:color="auto" w:fill="auto"/>
                  <w:vAlign w:val="center"/>
                </w:tcPr>
                <w:p>
                  <w:pPr>
                    <w:pStyle w:val="41"/>
                    <w:rPr>
                      <w:b/>
                      <w:bCs/>
                      <w:szCs w:val="21"/>
                    </w:rPr>
                  </w:pPr>
                  <w:r>
                    <w:rPr>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D8D8D8" w:themeFill="background1" w:themeFillShade="D9"/>
                  <w:vAlign w:val="center"/>
                </w:tcPr>
                <w:p>
                  <w:pPr>
                    <w:pStyle w:val="41"/>
                    <w:rPr>
                      <w:b/>
                      <w:bCs/>
                      <w:szCs w:val="21"/>
                    </w:rPr>
                  </w:pPr>
                  <w:r>
                    <w:rPr>
                      <w:b/>
                      <w:bCs/>
                      <w:szCs w:val="21"/>
                    </w:rPr>
                    <w:t>总磷</w:t>
                  </w:r>
                </w:p>
              </w:tc>
              <w:tc>
                <w:tcPr>
                  <w:tcW w:w="1080" w:type="dxa"/>
                  <w:shd w:val="clear" w:color="auto" w:fill="D8D8D8" w:themeFill="background1" w:themeFillShade="D9"/>
                  <w:vAlign w:val="center"/>
                </w:tcPr>
                <w:p>
                  <w:pPr>
                    <w:pStyle w:val="41"/>
                    <w:rPr>
                      <w:b/>
                      <w:bCs/>
                      <w:szCs w:val="21"/>
                    </w:rPr>
                  </w:pPr>
                  <w:r>
                    <w:rPr>
                      <w:b/>
                      <w:bCs/>
                      <w:szCs w:val="21"/>
                    </w:rPr>
                    <w:t>mg/L</w:t>
                  </w:r>
                </w:p>
              </w:tc>
              <w:tc>
                <w:tcPr>
                  <w:tcW w:w="1260" w:type="dxa"/>
                  <w:shd w:val="clear" w:color="auto" w:fill="D8D8D8" w:themeFill="background1" w:themeFillShade="D9"/>
                  <w:vAlign w:val="center"/>
                </w:tcPr>
                <w:p>
                  <w:pPr>
                    <w:pStyle w:val="41"/>
                    <w:rPr>
                      <w:b/>
                      <w:bCs/>
                      <w:szCs w:val="21"/>
                    </w:rPr>
                  </w:pPr>
                  <w:r>
                    <w:rPr>
                      <w:b/>
                      <w:bCs/>
                      <w:szCs w:val="21"/>
                    </w:rPr>
                    <w:t>0.31</w:t>
                  </w:r>
                </w:p>
              </w:tc>
              <w:tc>
                <w:tcPr>
                  <w:tcW w:w="1260" w:type="dxa"/>
                  <w:shd w:val="clear" w:color="auto" w:fill="D8D8D8" w:themeFill="background1" w:themeFillShade="D9"/>
                  <w:vAlign w:val="center"/>
                </w:tcPr>
                <w:p>
                  <w:pPr>
                    <w:pStyle w:val="41"/>
                    <w:rPr>
                      <w:b/>
                      <w:bCs/>
                      <w:szCs w:val="21"/>
                    </w:rPr>
                  </w:pPr>
                  <w:r>
                    <w:rPr>
                      <w:b/>
                      <w:bCs/>
                      <w:szCs w:val="21"/>
                    </w:rPr>
                    <w:t>0.30</w:t>
                  </w:r>
                </w:p>
              </w:tc>
              <w:tc>
                <w:tcPr>
                  <w:tcW w:w="1260" w:type="dxa"/>
                  <w:shd w:val="clear" w:color="auto" w:fill="D8D8D8" w:themeFill="background1" w:themeFillShade="D9"/>
                  <w:vAlign w:val="center"/>
                </w:tcPr>
                <w:p>
                  <w:pPr>
                    <w:pStyle w:val="41"/>
                    <w:rPr>
                      <w:b/>
                      <w:bCs/>
                      <w:szCs w:val="21"/>
                    </w:rPr>
                  </w:pPr>
                  <w:r>
                    <w:rPr>
                      <w:b/>
                      <w:bCs/>
                      <w:szCs w:val="21"/>
                    </w:rPr>
                    <w:t>0.32</w:t>
                  </w:r>
                </w:p>
              </w:tc>
              <w:tc>
                <w:tcPr>
                  <w:tcW w:w="1080" w:type="dxa"/>
                  <w:shd w:val="clear" w:color="auto" w:fill="D8D8D8" w:themeFill="background1" w:themeFillShade="D9"/>
                  <w:vAlign w:val="center"/>
                </w:tcPr>
                <w:p>
                  <w:pPr>
                    <w:pStyle w:val="41"/>
                    <w:rPr>
                      <w:b/>
                      <w:bCs/>
                      <w:szCs w:val="21"/>
                    </w:rPr>
                  </w:pPr>
                  <w:r>
                    <w:rPr>
                      <w:b/>
                      <w:bCs/>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0" w:type="dxa"/>
                  <w:vMerge w:val="continue"/>
                  <w:vAlign w:val="center"/>
                </w:tcPr>
                <w:p>
                  <w:pPr>
                    <w:pStyle w:val="41"/>
                    <w:rPr>
                      <w:szCs w:val="21"/>
                    </w:rPr>
                  </w:pPr>
                </w:p>
              </w:tc>
              <w:tc>
                <w:tcPr>
                  <w:tcW w:w="1080" w:type="dxa"/>
                  <w:shd w:val="clear" w:color="auto" w:fill="auto"/>
                  <w:vAlign w:val="center"/>
                </w:tcPr>
                <w:p>
                  <w:pPr>
                    <w:pStyle w:val="41"/>
                    <w:rPr>
                      <w:szCs w:val="21"/>
                    </w:rPr>
                  </w:pPr>
                  <w:r>
                    <w:rPr>
                      <w:szCs w:val="21"/>
                    </w:rPr>
                    <w:t>总氮</w:t>
                  </w:r>
                </w:p>
              </w:tc>
              <w:tc>
                <w:tcPr>
                  <w:tcW w:w="1080" w:type="dxa"/>
                  <w:shd w:val="clear" w:color="auto" w:fill="auto"/>
                  <w:vAlign w:val="center"/>
                </w:tcPr>
                <w:p>
                  <w:pPr>
                    <w:pStyle w:val="41"/>
                    <w:rPr>
                      <w:szCs w:val="21"/>
                    </w:rPr>
                  </w:pPr>
                  <w:r>
                    <w:rPr>
                      <w:szCs w:val="21"/>
                    </w:rPr>
                    <w:t>mg/L</w:t>
                  </w:r>
                </w:p>
              </w:tc>
              <w:tc>
                <w:tcPr>
                  <w:tcW w:w="1260" w:type="dxa"/>
                  <w:shd w:val="clear" w:color="auto" w:fill="auto"/>
                  <w:vAlign w:val="center"/>
                </w:tcPr>
                <w:p>
                  <w:pPr>
                    <w:pStyle w:val="41"/>
                    <w:rPr>
                      <w:szCs w:val="21"/>
                    </w:rPr>
                  </w:pPr>
                  <w:r>
                    <w:rPr>
                      <w:szCs w:val="21"/>
                    </w:rPr>
                    <w:t>0.91</w:t>
                  </w:r>
                </w:p>
              </w:tc>
              <w:tc>
                <w:tcPr>
                  <w:tcW w:w="1260" w:type="dxa"/>
                  <w:shd w:val="clear" w:color="auto" w:fill="auto"/>
                  <w:vAlign w:val="center"/>
                </w:tcPr>
                <w:p>
                  <w:pPr>
                    <w:pStyle w:val="41"/>
                    <w:rPr>
                      <w:szCs w:val="21"/>
                    </w:rPr>
                  </w:pPr>
                  <w:r>
                    <w:rPr>
                      <w:szCs w:val="21"/>
                    </w:rPr>
                    <w:t>0.96</w:t>
                  </w:r>
                </w:p>
              </w:tc>
              <w:tc>
                <w:tcPr>
                  <w:tcW w:w="1260" w:type="dxa"/>
                  <w:shd w:val="clear" w:color="auto" w:fill="auto"/>
                  <w:vAlign w:val="center"/>
                </w:tcPr>
                <w:p>
                  <w:pPr>
                    <w:pStyle w:val="41"/>
                    <w:rPr>
                      <w:szCs w:val="21"/>
                    </w:rPr>
                  </w:pPr>
                  <w:r>
                    <w:rPr>
                      <w:szCs w:val="21"/>
                    </w:rPr>
                    <w:t>0.94</w:t>
                  </w:r>
                </w:p>
              </w:tc>
              <w:tc>
                <w:tcPr>
                  <w:tcW w:w="1080" w:type="dxa"/>
                  <w:shd w:val="clear" w:color="auto" w:fill="auto"/>
                  <w:vAlign w:val="center"/>
                </w:tcPr>
                <w:p>
                  <w:pPr>
                    <w:pStyle w:val="41"/>
                    <w:rPr>
                      <w:b/>
                      <w:bCs/>
                      <w:szCs w:val="21"/>
                    </w:rPr>
                  </w:pPr>
                  <w:r>
                    <w:rPr>
                      <w:b/>
                      <w:bCs/>
                      <w:szCs w:val="21"/>
                    </w:rPr>
                    <w:t>≤1.0</w:t>
                  </w:r>
                </w:p>
              </w:tc>
            </w:tr>
          </w:tbl>
          <w:p>
            <w:pPr>
              <w:pStyle w:val="34"/>
              <w:ind w:firstLine="480"/>
            </w:pPr>
            <w:r>
              <w:rPr>
                <w:rFonts w:hint="eastAsia"/>
              </w:rPr>
              <w:t>根据上表监测结果可知， W</w:t>
            </w:r>
            <w:r>
              <w:t>5</w:t>
            </w:r>
            <w:r>
              <w:rPr>
                <w:rFonts w:hint="eastAsia"/>
              </w:rPr>
              <w:t>鼻湖东侧灌溉排水渠和W</w:t>
            </w:r>
            <w:r>
              <w:t>6</w:t>
            </w:r>
            <w:r>
              <w:rPr>
                <w:rFonts w:hint="eastAsia"/>
              </w:rPr>
              <w:t>鼻湖南侧灌溉渠水质相对较高，所有因子均能达标外，其余监测断面均出现了不同程度的水质超标：</w:t>
            </w:r>
          </w:p>
          <w:p>
            <w:pPr>
              <w:pStyle w:val="34"/>
              <w:ind w:firstLine="480"/>
            </w:pPr>
            <w:r>
              <w:rPr>
                <w:rFonts w:hint="eastAsia"/>
              </w:rPr>
              <w:t>1）W</w:t>
            </w:r>
            <w:r>
              <w:t>1</w:t>
            </w:r>
            <w:r>
              <w:rPr>
                <w:rFonts w:hint="eastAsia"/>
              </w:rPr>
              <w:t>鼻湖渔业养殖区：BOD</w:t>
            </w:r>
            <w:r>
              <w:rPr>
                <w:vertAlign w:val="subscript"/>
              </w:rPr>
              <w:t>5</w:t>
            </w:r>
            <w:r>
              <w:rPr>
                <w:rFonts w:hint="eastAsia"/>
              </w:rPr>
              <w:t>和总磷超标，超标率为1</w:t>
            </w:r>
            <w:r>
              <w:t>00%</w:t>
            </w:r>
            <w:r>
              <w:rPr>
                <w:rFonts w:hint="eastAsia"/>
              </w:rPr>
              <w:t>，BOD</w:t>
            </w:r>
            <w:r>
              <w:rPr>
                <w:vertAlign w:val="subscript"/>
              </w:rPr>
              <w:t>5</w:t>
            </w:r>
            <w:r>
              <w:rPr>
                <w:rFonts w:hint="eastAsia"/>
              </w:rPr>
              <w:t>最大超标倍数为超标0</w:t>
            </w:r>
            <w:r>
              <w:t>.175</w:t>
            </w:r>
            <w:r>
              <w:rPr>
                <w:rFonts w:hint="eastAsia"/>
              </w:rPr>
              <w:t>倍；总磷最大超标倍数为超标2倍；</w:t>
            </w:r>
          </w:p>
          <w:p>
            <w:pPr>
              <w:pStyle w:val="34"/>
              <w:ind w:firstLine="480"/>
            </w:pPr>
            <w:r>
              <w:rPr>
                <w:rFonts w:hint="eastAsia"/>
              </w:rPr>
              <w:t>2）W</w:t>
            </w:r>
            <w:r>
              <w:t>2</w:t>
            </w:r>
            <w:r>
              <w:rPr>
                <w:rFonts w:hint="eastAsia"/>
              </w:rPr>
              <w:t>鼻湖渔光互补区：COD、BOD</w:t>
            </w:r>
            <w:r>
              <w:rPr>
                <w:vertAlign w:val="subscript"/>
              </w:rPr>
              <w:t>5</w:t>
            </w:r>
            <w:r>
              <w:rPr>
                <w:rFonts w:hint="eastAsia"/>
              </w:rPr>
              <w:t>和总磷超标，超标率1</w:t>
            </w:r>
            <w:r>
              <w:t>00%</w:t>
            </w:r>
            <w:r>
              <w:rPr>
                <w:rFonts w:hint="eastAsia"/>
              </w:rPr>
              <w:t>，COD最大超标倍数为超标0</w:t>
            </w:r>
            <w:r>
              <w:t>.75</w:t>
            </w:r>
            <w:r>
              <w:rPr>
                <w:rFonts w:hint="eastAsia"/>
              </w:rPr>
              <w:t>倍；BOD</w:t>
            </w:r>
            <w:r>
              <w:rPr>
                <w:vertAlign w:val="subscript"/>
              </w:rPr>
              <w:t>5</w:t>
            </w:r>
            <w:r>
              <w:rPr>
                <w:rFonts w:hint="eastAsia"/>
              </w:rPr>
              <w:t>最大超标倍数为1</w:t>
            </w:r>
            <w:r>
              <w:t>.175</w:t>
            </w:r>
            <w:r>
              <w:rPr>
                <w:rFonts w:hint="eastAsia"/>
              </w:rPr>
              <w:t>倍；总磷最大超标倍数为6</w:t>
            </w:r>
            <w:r>
              <w:t>.6</w:t>
            </w:r>
            <w:r>
              <w:rPr>
                <w:rFonts w:hint="eastAsia"/>
              </w:rPr>
              <w:t>倍；</w:t>
            </w:r>
          </w:p>
          <w:p>
            <w:pPr>
              <w:pStyle w:val="34"/>
              <w:ind w:firstLine="480"/>
            </w:pPr>
            <w:r>
              <w:rPr>
                <w:rFonts w:hint="eastAsia"/>
              </w:rPr>
              <w:t>3）W</w:t>
            </w:r>
            <w:r>
              <w:t>3</w:t>
            </w:r>
            <w:r>
              <w:rPr>
                <w:rFonts w:hint="eastAsia"/>
              </w:rPr>
              <w:t>鼻湖非渔业区：COD、BOD</w:t>
            </w:r>
            <w:r>
              <w:rPr>
                <w:vertAlign w:val="subscript"/>
              </w:rPr>
              <w:t>5</w:t>
            </w:r>
            <w:r>
              <w:rPr>
                <w:rFonts w:hint="eastAsia"/>
              </w:rPr>
              <w:t>和总磷超标，超标率1</w:t>
            </w:r>
            <w:r>
              <w:t>00%,COD</w:t>
            </w:r>
            <w:r>
              <w:rPr>
                <w:rFonts w:hint="eastAsia"/>
              </w:rPr>
              <w:t>最大超标倍数为超标</w:t>
            </w:r>
            <w:r>
              <w:t>0.4</w:t>
            </w:r>
            <w:r>
              <w:rPr>
                <w:rFonts w:hint="eastAsia"/>
              </w:rPr>
              <w:t>倍；BOD</w:t>
            </w:r>
            <w:r>
              <w:rPr>
                <w:vertAlign w:val="subscript"/>
              </w:rPr>
              <w:t>5</w:t>
            </w:r>
            <w:r>
              <w:rPr>
                <w:rFonts w:hint="eastAsia"/>
              </w:rPr>
              <w:t>最大超标倍数为0</w:t>
            </w:r>
            <w:r>
              <w:t>.775</w:t>
            </w:r>
            <w:r>
              <w:rPr>
                <w:rFonts w:hint="eastAsia"/>
              </w:rPr>
              <w:t>倍；总磷最大超标倍数为超标4</w:t>
            </w:r>
            <w:r>
              <w:t>.4</w:t>
            </w:r>
            <w:r>
              <w:rPr>
                <w:rFonts w:hint="eastAsia"/>
              </w:rPr>
              <w:t>倍；</w:t>
            </w:r>
          </w:p>
          <w:p>
            <w:pPr>
              <w:pStyle w:val="34"/>
              <w:ind w:firstLine="480"/>
            </w:pPr>
            <w:r>
              <w:rPr>
                <w:rFonts w:hint="eastAsia"/>
              </w:rPr>
              <w:t>4）W</w:t>
            </w:r>
            <w:r>
              <w:t>4</w:t>
            </w:r>
            <w:r>
              <w:rPr>
                <w:rFonts w:hint="eastAsia"/>
              </w:rPr>
              <w:t>鼻湖北侧灌溉排水渠：COD、BOD</w:t>
            </w:r>
            <w:r>
              <w:rPr>
                <w:vertAlign w:val="subscript"/>
              </w:rPr>
              <w:t>5</w:t>
            </w:r>
            <w:r>
              <w:rPr>
                <w:rFonts w:hint="eastAsia"/>
              </w:rPr>
              <w:t>和总磷超标，超标率1</w:t>
            </w:r>
            <w:r>
              <w:t>00%,COD</w:t>
            </w:r>
            <w:r>
              <w:rPr>
                <w:rFonts w:hint="eastAsia"/>
              </w:rPr>
              <w:t>最大超标倍数为超标0</w:t>
            </w:r>
            <w:r>
              <w:t>.15</w:t>
            </w:r>
            <w:r>
              <w:rPr>
                <w:rFonts w:hint="eastAsia"/>
              </w:rPr>
              <w:t>倍；BOD</w:t>
            </w:r>
            <w:r>
              <w:rPr>
                <w:vertAlign w:val="subscript"/>
              </w:rPr>
              <w:t>5</w:t>
            </w:r>
            <w:r>
              <w:rPr>
                <w:rFonts w:hint="eastAsia"/>
              </w:rPr>
              <w:t>最大超标倍数为0</w:t>
            </w:r>
            <w:r>
              <w:t>.425</w:t>
            </w:r>
            <w:r>
              <w:rPr>
                <w:rFonts w:hint="eastAsia"/>
              </w:rPr>
              <w:t>倍；总磷最大超标倍数为超标</w:t>
            </w:r>
            <w:r>
              <w:t>0.15</w:t>
            </w:r>
            <w:r>
              <w:rPr>
                <w:rFonts w:hint="eastAsia"/>
              </w:rPr>
              <w:t>倍；</w:t>
            </w:r>
          </w:p>
          <w:p>
            <w:pPr>
              <w:pStyle w:val="34"/>
              <w:ind w:firstLine="480"/>
            </w:pPr>
            <w:r>
              <w:rPr>
                <w:rFonts w:hint="eastAsia"/>
              </w:rPr>
              <w:t>5）W</w:t>
            </w:r>
            <w:r>
              <w:t>7</w:t>
            </w:r>
            <w:r>
              <w:rPr>
                <w:rFonts w:hint="eastAsia"/>
              </w:rPr>
              <w:t>鼻湖西侧灌溉排水渠：COD、BOD</w:t>
            </w:r>
            <w:r>
              <w:rPr>
                <w:vertAlign w:val="subscript"/>
              </w:rPr>
              <w:t>5</w:t>
            </w:r>
            <w:r>
              <w:rPr>
                <w:rFonts w:hint="eastAsia"/>
              </w:rPr>
              <w:t>和总磷超标，超标率1</w:t>
            </w:r>
            <w:r>
              <w:t>00%,COD</w:t>
            </w:r>
            <w:r>
              <w:rPr>
                <w:rFonts w:hint="eastAsia"/>
              </w:rPr>
              <w:t>最大超标倍数为超标</w:t>
            </w:r>
            <w:r>
              <w:t>0.9</w:t>
            </w:r>
            <w:r>
              <w:rPr>
                <w:rFonts w:hint="eastAsia"/>
              </w:rPr>
              <w:t>倍；BOD</w:t>
            </w:r>
            <w:r>
              <w:rPr>
                <w:vertAlign w:val="subscript"/>
              </w:rPr>
              <w:t>5</w:t>
            </w:r>
            <w:r>
              <w:rPr>
                <w:rFonts w:hint="eastAsia"/>
              </w:rPr>
              <w:t>最大超标倍数为</w:t>
            </w:r>
            <w:r>
              <w:t>1.425</w:t>
            </w:r>
            <w:r>
              <w:rPr>
                <w:rFonts w:hint="eastAsia"/>
              </w:rPr>
              <w:t>倍；总磷最大超标倍数为超标</w:t>
            </w:r>
            <w:r>
              <w:t>0.6</w:t>
            </w:r>
            <w:r>
              <w:rPr>
                <w:rFonts w:hint="eastAsia"/>
              </w:rPr>
              <w:t>倍。</w:t>
            </w:r>
          </w:p>
          <w:p>
            <w:pPr>
              <w:pStyle w:val="34"/>
              <w:ind w:firstLine="480"/>
            </w:pPr>
            <w:r>
              <w:rPr>
                <w:rFonts w:hint="eastAsia"/>
              </w:rPr>
              <w:t>超标原因：由于鼻湖长期的渔业养殖活动，导致鼻湖水质不能满足《地表水环境质量标准》（GB</w:t>
            </w:r>
            <w:r>
              <w:t>3838-2002</w:t>
            </w:r>
            <w:r>
              <w:rPr>
                <w:rFonts w:hint="eastAsia"/>
              </w:rPr>
              <w:t>）III类水质标准，尤其是鱼光互补区，由于光伏发电项目建设，导致水生植被生长缺乏光照，生长受到限制，水体自我净化能力下降。因此实施本项目，对鼻湖清淤疏浚，清理内源，并进行水生植被构建，促进水体自我净化，改善鼻湖及鼻湖周边渠道水质。</w:t>
            </w:r>
          </w:p>
          <w:p>
            <w:pPr>
              <w:pStyle w:val="34"/>
              <w:ind w:firstLine="480"/>
            </w:pPr>
            <w:r>
              <w:rPr>
                <w:rFonts w:hint="eastAsia"/>
              </w:rPr>
              <w:t>4、底泥质量</w:t>
            </w:r>
          </w:p>
          <w:p>
            <w:pPr>
              <w:pStyle w:val="34"/>
              <w:ind w:firstLine="480"/>
            </w:pPr>
            <w:r>
              <w:rPr>
                <w:rFonts w:hint="eastAsia"/>
              </w:rPr>
              <w:t>为了解鼻湖底泥质量，本次委托湖南乾诚检测有限公司于2</w:t>
            </w:r>
            <w:r>
              <w:t>023</w:t>
            </w:r>
            <w:r>
              <w:rPr>
                <w:rFonts w:hint="eastAsia"/>
              </w:rPr>
              <w:t>年8月1</w:t>
            </w:r>
            <w:r>
              <w:t>7</w:t>
            </w:r>
            <w:r>
              <w:rPr>
                <w:rFonts w:hint="eastAsia"/>
              </w:rPr>
              <w:t>日对鼻湖底泥进行了采样分析，检测结果如下：</w:t>
            </w:r>
          </w:p>
          <w:p>
            <w:pPr>
              <w:pStyle w:val="39"/>
              <w:spacing w:before="156"/>
            </w:pPr>
            <w:r>
              <w:rPr>
                <w:rFonts w:hint="eastAsia"/>
              </w:rPr>
              <w:t>表3</w:t>
            </w:r>
            <w:r>
              <w:t xml:space="preserve">-3  </w:t>
            </w:r>
            <w:r>
              <w:rPr>
                <w:rFonts w:hint="eastAsia"/>
              </w:rPr>
              <w:t>鼻湖底泥质量监测结果表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056"/>
              <w:gridCol w:w="1056"/>
              <w:gridCol w:w="846"/>
              <w:gridCol w:w="1056"/>
              <w:gridCol w:w="132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pPr>
                    <w:pStyle w:val="41"/>
                  </w:pPr>
                  <w:r>
                    <w:t>采样点位</w:t>
                  </w:r>
                </w:p>
              </w:tc>
              <w:tc>
                <w:tcPr>
                  <w:tcW w:w="0" w:type="auto"/>
                  <w:shd w:val="clear" w:color="auto" w:fill="auto"/>
                  <w:vAlign w:val="center"/>
                </w:tcPr>
                <w:p>
                  <w:pPr>
                    <w:pStyle w:val="41"/>
                  </w:pPr>
                  <w:r>
                    <w:t>采样深度</w:t>
                  </w:r>
                </w:p>
              </w:tc>
              <w:tc>
                <w:tcPr>
                  <w:tcW w:w="0" w:type="auto"/>
                  <w:shd w:val="clear" w:color="auto" w:fill="auto"/>
                  <w:vAlign w:val="center"/>
                </w:tcPr>
                <w:p>
                  <w:pPr>
                    <w:pStyle w:val="41"/>
                  </w:pPr>
                  <w:r>
                    <w:t>检测项目</w:t>
                  </w:r>
                </w:p>
              </w:tc>
              <w:tc>
                <w:tcPr>
                  <w:tcW w:w="0" w:type="auto"/>
                  <w:shd w:val="clear" w:color="auto" w:fill="auto"/>
                  <w:vAlign w:val="center"/>
                </w:tcPr>
                <w:p>
                  <w:pPr>
                    <w:pStyle w:val="41"/>
                  </w:pPr>
                  <w:r>
                    <w:t>单位</w:t>
                  </w:r>
                </w:p>
              </w:tc>
              <w:tc>
                <w:tcPr>
                  <w:tcW w:w="0" w:type="auto"/>
                  <w:shd w:val="clear" w:color="auto" w:fill="auto"/>
                  <w:vAlign w:val="center"/>
                </w:tcPr>
                <w:p>
                  <w:pPr>
                    <w:pStyle w:val="41"/>
                  </w:pPr>
                  <w:r>
                    <w:t>检测结果</w:t>
                  </w:r>
                </w:p>
              </w:tc>
              <w:tc>
                <w:tcPr>
                  <w:tcW w:w="0" w:type="auto"/>
                  <w:shd w:val="clear" w:color="auto" w:fill="auto"/>
                  <w:vAlign w:val="center"/>
                </w:tcPr>
                <w:p>
                  <w:pPr>
                    <w:pStyle w:val="41"/>
                  </w:pPr>
                  <w:r>
                    <w:t>筛选值</w:t>
                  </w:r>
                </w:p>
              </w:tc>
              <w:tc>
                <w:tcPr>
                  <w:tcW w:w="0" w:type="auto"/>
                </w:tcPr>
                <w:p>
                  <w:pPr>
                    <w:pStyle w:val="41"/>
                  </w:pPr>
                  <w:r>
                    <w:rPr>
                      <w:rFonts w:hint="eastAsia"/>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restart"/>
                  <w:shd w:val="clear" w:color="auto" w:fill="auto"/>
                  <w:vAlign w:val="center"/>
                </w:tcPr>
                <w:p>
                  <w:pPr>
                    <w:pStyle w:val="41"/>
                  </w:pPr>
                  <w:r>
                    <w:t>D1：鼻湖</w:t>
                  </w:r>
                  <w:r>
                    <w:br w:type="textWrapping"/>
                  </w:r>
                  <w:r>
                    <w:t>（渔业养殖区）</w:t>
                  </w:r>
                </w:p>
              </w:tc>
              <w:tc>
                <w:tcPr>
                  <w:tcW w:w="0" w:type="auto"/>
                  <w:vMerge w:val="restart"/>
                  <w:shd w:val="clear" w:color="auto" w:fill="auto"/>
                  <w:vAlign w:val="center"/>
                </w:tcPr>
                <w:p>
                  <w:pPr>
                    <w:pStyle w:val="41"/>
                  </w:pPr>
                  <w:r>
                    <w:t>0-0.2m</w:t>
                  </w:r>
                </w:p>
              </w:tc>
              <w:tc>
                <w:tcPr>
                  <w:tcW w:w="0" w:type="auto"/>
                  <w:shd w:val="clear" w:color="auto" w:fill="auto"/>
                  <w:vAlign w:val="center"/>
                </w:tcPr>
                <w:p>
                  <w:pPr>
                    <w:pStyle w:val="41"/>
                  </w:pPr>
                  <w:r>
                    <w:t>pH 值</w:t>
                  </w:r>
                </w:p>
              </w:tc>
              <w:tc>
                <w:tcPr>
                  <w:tcW w:w="0" w:type="auto"/>
                  <w:shd w:val="clear" w:color="auto" w:fill="auto"/>
                  <w:vAlign w:val="center"/>
                </w:tcPr>
                <w:p>
                  <w:pPr>
                    <w:pStyle w:val="41"/>
                  </w:pPr>
                  <w:r>
                    <w:t>无量纲</w:t>
                  </w:r>
                </w:p>
              </w:tc>
              <w:tc>
                <w:tcPr>
                  <w:tcW w:w="0" w:type="auto"/>
                  <w:shd w:val="clear" w:color="auto" w:fill="auto"/>
                  <w:vAlign w:val="center"/>
                </w:tcPr>
                <w:p>
                  <w:pPr>
                    <w:pStyle w:val="41"/>
                  </w:pPr>
                  <w:r>
                    <w:t>7.64</w:t>
                  </w:r>
                </w:p>
              </w:tc>
              <w:tc>
                <w:tcPr>
                  <w:tcW w:w="0" w:type="auto"/>
                  <w:shd w:val="clear" w:color="auto" w:fill="auto"/>
                  <w:vAlign w:val="center"/>
                </w:tcPr>
                <w:p>
                  <w:pPr>
                    <w:pStyle w:val="41"/>
                  </w:pPr>
                  <w:r>
                    <w:t>pH&gt;7.5</w:t>
                  </w:r>
                </w:p>
              </w:tc>
              <w:tc>
                <w:tcPr>
                  <w:tcW w:w="0" w:type="auto"/>
                </w:tcPr>
                <w:p>
                  <w:pPr>
                    <w:pStyle w:val="41"/>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镉</w:t>
                  </w:r>
                </w:p>
              </w:tc>
              <w:tc>
                <w:tcPr>
                  <w:tcW w:w="0" w:type="auto"/>
                  <w:shd w:val="clear" w:color="auto" w:fill="auto"/>
                  <w:vAlign w:val="center"/>
                </w:tcPr>
                <w:p>
                  <w:pPr>
                    <w:pStyle w:val="41"/>
                  </w:pPr>
                  <w:r>
                    <w:t>mg/kg</w:t>
                  </w:r>
                </w:p>
              </w:tc>
              <w:tc>
                <w:tcPr>
                  <w:tcW w:w="0" w:type="auto"/>
                  <w:shd w:val="clear" w:color="auto" w:fill="auto"/>
                  <w:vAlign w:val="center"/>
                </w:tcPr>
                <w:p>
                  <w:pPr>
                    <w:pStyle w:val="41"/>
                  </w:pPr>
                  <w:r>
                    <w:t>0.52</w:t>
                  </w:r>
                </w:p>
              </w:tc>
              <w:tc>
                <w:tcPr>
                  <w:tcW w:w="0" w:type="auto"/>
                  <w:shd w:val="clear" w:color="auto" w:fill="auto"/>
                  <w:vAlign w:val="center"/>
                </w:tcPr>
                <w:p>
                  <w:pPr>
                    <w:pStyle w:val="41"/>
                  </w:pPr>
                  <w:r>
                    <w:t>0.6</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汞</w:t>
                  </w:r>
                </w:p>
              </w:tc>
              <w:tc>
                <w:tcPr>
                  <w:tcW w:w="0" w:type="auto"/>
                  <w:shd w:val="clear" w:color="auto" w:fill="auto"/>
                  <w:vAlign w:val="center"/>
                </w:tcPr>
                <w:p>
                  <w:pPr>
                    <w:pStyle w:val="41"/>
                  </w:pPr>
                  <w:r>
                    <w:t>mg/kg</w:t>
                  </w:r>
                </w:p>
              </w:tc>
              <w:tc>
                <w:tcPr>
                  <w:tcW w:w="0" w:type="auto"/>
                  <w:shd w:val="clear" w:color="auto" w:fill="auto"/>
                  <w:vAlign w:val="center"/>
                </w:tcPr>
                <w:p>
                  <w:pPr>
                    <w:pStyle w:val="41"/>
                  </w:pPr>
                  <w:r>
                    <w:t>0.337</w:t>
                  </w:r>
                </w:p>
              </w:tc>
              <w:tc>
                <w:tcPr>
                  <w:tcW w:w="0" w:type="auto"/>
                  <w:shd w:val="clear" w:color="auto" w:fill="auto"/>
                  <w:vAlign w:val="center"/>
                </w:tcPr>
                <w:p>
                  <w:pPr>
                    <w:pStyle w:val="41"/>
                  </w:pPr>
                  <w:r>
                    <w:t>3.4</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砷</w:t>
                  </w:r>
                </w:p>
              </w:tc>
              <w:tc>
                <w:tcPr>
                  <w:tcW w:w="0" w:type="auto"/>
                  <w:shd w:val="clear" w:color="auto" w:fill="auto"/>
                  <w:vAlign w:val="center"/>
                </w:tcPr>
                <w:p>
                  <w:pPr>
                    <w:pStyle w:val="41"/>
                  </w:pPr>
                  <w:r>
                    <w:t>mg/kg</w:t>
                  </w:r>
                </w:p>
              </w:tc>
              <w:tc>
                <w:tcPr>
                  <w:tcW w:w="0" w:type="auto"/>
                  <w:shd w:val="clear" w:color="auto" w:fill="auto"/>
                  <w:vAlign w:val="center"/>
                </w:tcPr>
                <w:p>
                  <w:pPr>
                    <w:pStyle w:val="41"/>
                  </w:pPr>
                  <w:r>
                    <w:t>5.03</w:t>
                  </w:r>
                </w:p>
              </w:tc>
              <w:tc>
                <w:tcPr>
                  <w:tcW w:w="0" w:type="auto"/>
                  <w:shd w:val="clear" w:color="auto" w:fill="auto"/>
                  <w:vAlign w:val="center"/>
                </w:tcPr>
                <w:p>
                  <w:pPr>
                    <w:pStyle w:val="41"/>
                  </w:pPr>
                  <w:r>
                    <w:t>25</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铅</w:t>
                  </w:r>
                </w:p>
              </w:tc>
              <w:tc>
                <w:tcPr>
                  <w:tcW w:w="0" w:type="auto"/>
                  <w:shd w:val="clear" w:color="auto" w:fill="auto"/>
                  <w:vAlign w:val="center"/>
                </w:tcPr>
                <w:p>
                  <w:pPr>
                    <w:pStyle w:val="41"/>
                  </w:pPr>
                  <w:r>
                    <w:t>mg/kg</w:t>
                  </w:r>
                </w:p>
              </w:tc>
              <w:tc>
                <w:tcPr>
                  <w:tcW w:w="0" w:type="auto"/>
                  <w:shd w:val="clear" w:color="auto" w:fill="auto"/>
                  <w:vAlign w:val="center"/>
                </w:tcPr>
                <w:p>
                  <w:pPr>
                    <w:pStyle w:val="41"/>
                  </w:pPr>
                  <w:r>
                    <w:t>92</w:t>
                  </w:r>
                </w:p>
              </w:tc>
              <w:tc>
                <w:tcPr>
                  <w:tcW w:w="0" w:type="auto"/>
                  <w:shd w:val="clear" w:color="auto" w:fill="auto"/>
                  <w:vAlign w:val="center"/>
                </w:tcPr>
                <w:p>
                  <w:pPr>
                    <w:pStyle w:val="41"/>
                  </w:pPr>
                  <w:r>
                    <w:t>170</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D8D8D8" w:themeFill="background1" w:themeFillShade="D9"/>
                  <w:vAlign w:val="center"/>
                </w:tcPr>
                <w:p>
                  <w:pPr>
                    <w:pStyle w:val="41"/>
                    <w:rPr>
                      <w:b/>
                      <w:bCs/>
                    </w:rPr>
                  </w:pPr>
                  <w:r>
                    <w:rPr>
                      <w:b/>
                      <w:bCs/>
                    </w:rPr>
                    <w:t>总铬</w:t>
                  </w:r>
                </w:p>
              </w:tc>
              <w:tc>
                <w:tcPr>
                  <w:tcW w:w="0" w:type="auto"/>
                  <w:shd w:val="clear" w:color="auto" w:fill="D8D8D8" w:themeFill="background1" w:themeFillShade="D9"/>
                  <w:vAlign w:val="center"/>
                </w:tcPr>
                <w:p>
                  <w:pPr>
                    <w:pStyle w:val="41"/>
                    <w:rPr>
                      <w:b/>
                      <w:bCs/>
                    </w:rPr>
                  </w:pPr>
                  <w:r>
                    <w:rPr>
                      <w:b/>
                      <w:bCs/>
                    </w:rPr>
                    <w:t>mg/kg</w:t>
                  </w:r>
                </w:p>
              </w:tc>
              <w:tc>
                <w:tcPr>
                  <w:tcW w:w="0" w:type="auto"/>
                  <w:shd w:val="clear" w:color="auto" w:fill="D8D8D8" w:themeFill="background1" w:themeFillShade="D9"/>
                  <w:vAlign w:val="center"/>
                </w:tcPr>
                <w:p>
                  <w:pPr>
                    <w:pStyle w:val="41"/>
                    <w:rPr>
                      <w:b/>
                      <w:bCs/>
                    </w:rPr>
                  </w:pPr>
                  <w:r>
                    <w:rPr>
                      <w:b/>
                      <w:bCs/>
                    </w:rPr>
                    <w:t>598</w:t>
                  </w:r>
                </w:p>
              </w:tc>
              <w:tc>
                <w:tcPr>
                  <w:tcW w:w="0" w:type="auto"/>
                  <w:shd w:val="clear" w:color="auto" w:fill="D8D8D8" w:themeFill="background1" w:themeFillShade="D9"/>
                  <w:vAlign w:val="center"/>
                </w:tcPr>
                <w:p>
                  <w:pPr>
                    <w:pStyle w:val="41"/>
                    <w:rPr>
                      <w:b/>
                      <w:bCs/>
                    </w:rPr>
                  </w:pPr>
                  <w:r>
                    <w:rPr>
                      <w:b/>
                      <w:bCs/>
                    </w:rPr>
                    <w:t>250</w:t>
                  </w:r>
                </w:p>
              </w:tc>
              <w:tc>
                <w:tcPr>
                  <w:tcW w:w="0" w:type="auto"/>
                  <w:shd w:val="clear" w:color="auto" w:fill="D8D8D8" w:themeFill="background1" w:themeFillShade="D9"/>
                </w:tcPr>
                <w:p>
                  <w:pPr>
                    <w:pStyle w:val="41"/>
                    <w:rPr>
                      <w:b/>
                      <w:bCs/>
                    </w:rPr>
                  </w:pPr>
                  <w:r>
                    <w:rPr>
                      <w:rFonts w:hint="eastAsia"/>
                      <w:b/>
                      <w:bCs/>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铜</w:t>
                  </w:r>
                </w:p>
              </w:tc>
              <w:tc>
                <w:tcPr>
                  <w:tcW w:w="0" w:type="auto"/>
                  <w:shd w:val="clear" w:color="auto" w:fill="auto"/>
                  <w:vAlign w:val="center"/>
                </w:tcPr>
                <w:p>
                  <w:pPr>
                    <w:pStyle w:val="41"/>
                  </w:pPr>
                  <w:r>
                    <w:t>mg/kg</w:t>
                  </w:r>
                </w:p>
              </w:tc>
              <w:tc>
                <w:tcPr>
                  <w:tcW w:w="0" w:type="auto"/>
                  <w:shd w:val="clear" w:color="auto" w:fill="auto"/>
                  <w:vAlign w:val="center"/>
                </w:tcPr>
                <w:p>
                  <w:pPr>
                    <w:pStyle w:val="41"/>
                  </w:pPr>
                  <w:r>
                    <w:t>41</w:t>
                  </w:r>
                </w:p>
              </w:tc>
              <w:tc>
                <w:tcPr>
                  <w:tcW w:w="0" w:type="auto"/>
                  <w:shd w:val="clear" w:color="auto" w:fill="auto"/>
                  <w:vAlign w:val="center"/>
                </w:tcPr>
                <w:p>
                  <w:pPr>
                    <w:pStyle w:val="41"/>
                  </w:pPr>
                  <w:r>
                    <w:t>100</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镍</w:t>
                  </w:r>
                </w:p>
              </w:tc>
              <w:tc>
                <w:tcPr>
                  <w:tcW w:w="0" w:type="auto"/>
                  <w:shd w:val="clear" w:color="auto" w:fill="auto"/>
                  <w:vAlign w:val="center"/>
                </w:tcPr>
                <w:p>
                  <w:pPr>
                    <w:pStyle w:val="41"/>
                  </w:pPr>
                  <w:r>
                    <w:t>mg/kg</w:t>
                  </w:r>
                </w:p>
              </w:tc>
              <w:tc>
                <w:tcPr>
                  <w:tcW w:w="0" w:type="auto"/>
                  <w:shd w:val="clear" w:color="auto" w:fill="auto"/>
                  <w:vAlign w:val="center"/>
                </w:tcPr>
                <w:p>
                  <w:pPr>
                    <w:pStyle w:val="41"/>
                  </w:pPr>
                  <w:r>
                    <w:t>59</w:t>
                  </w:r>
                </w:p>
              </w:tc>
              <w:tc>
                <w:tcPr>
                  <w:tcW w:w="0" w:type="auto"/>
                  <w:shd w:val="clear" w:color="auto" w:fill="auto"/>
                  <w:vAlign w:val="center"/>
                </w:tcPr>
                <w:p>
                  <w:pPr>
                    <w:pStyle w:val="41"/>
                  </w:pPr>
                  <w:r>
                    <w:t>190</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D8D8D8" w:themeFill="background1" w:themeFillShade="D9"/>
                  <w:vAlign w:val="center"/>
                </w:tcPr>
                <w:p>
                  <w:pPr>
                    <w:pStyle w:val="41"/>
                    <w:rPr>
                      <w:b/>
                      <w:bCs/>
                    </w:rPr>
                  </w:pPr>
                  <w:r>
                    <w:rPr>
                      <w:b/>
                      <w:bCs/>
                    </w:rPr>
                    <w:t>锌</w:t>
                  </w:r>
                </w:p>
              </w:tc>
              <w:tc>
                <w:tcPr>
                  <w:tcW w:w="0" w:type="auto"/>
                  <w:shd w:val="clear" w:color="auto" w:fill="D8D8D8" w:themeFill="background1" w:themeFillShade="D9"/>
                  <w:vAlign w:val="center"/>
                </w:tcPr>
                <w:p>
                  <w:pPr>
                    <w:pStyle w:val="41"/>
                    <w:rPr>
                      <w:b/>
                      <w:bCs/>
                    </w:rPr>
                  </w:pPr>
                  <w:r>
                    <w:rPr>
                      <w:b/>
                      <w:bCs/>
                    </w:rPr>
                    <w:t>mg/kg</w:t>
                  </w:r>
                </w:p>
              </w:tc>
              <w:tc>
                <w:tcPr>
                  <w:tcW w:w="0" w:type="auto"/>
                  <w:shd w:val="clear" w:color="auto" w:fill="D8D8D8" w:themeFill="background1" w:themeFillShade="D9"/>
                  <w:vAlign w:val="center"/>
                </w:tcPr>
                <w:p>
                  <w:pPr>
                    <w:pStyle w:val="41"/>
                    <w:rPr>
                      <w:b/>
                      <w:bCs/>
                    </w:rPr>
                  </w:pPr>
                  <w:r>
                    <w:rPr>
                      <w:b/>
                      <w:bCs/>
                    </w:rPr>
                    <w:t>372</w:t>
                  </w:r>
                </w:p>
              </w:tc>
              <w:tc>
                <w:tcPr>
                  <w:tcW w:w="0" w:type="auto"/>
                  <w:shd w:val="clear" w:color="auto" w:fill="D8D8D8" w:themeFill="background1" w:themeFillShade="D9"/>
                  <w:vAlign w:val="center"/>
                </w:tcPr>
                <w:p>
                  <w:pPr>
                    <w:pStyle w:val="41"/>
                    <w:rPr>
                      <w:b/>
                      <w:bCs/>
                    </w:rPr>
                  </w:pPr>
                  <w:r>
                    <w:rPr>
                      <w:b/>
                      <w:bCs/>
                    </w:rPr>
                    <w:t>300</w:t>
                  </w:r>
                </w:p>
              </w:tc>
              <w:tc>
                <w:tcPr>
                  <w:tcW w:w="0" w:type="auto"/>
                  <w:shd w:val="clear" w:color="auto" w:fill="D8D8D8" w:themeFill="background1" w:themeFillShade="D9"/>
                </w:tcPr>
                <w:p>
                  <w:pPr>
                    <w:pStyle w:val="41"/>
                    <w:rPr>
                      <w:b/>
                      <w:bCs/>
                    </w:rPr>
                  </w:pPr>
                  <w:r>
                    <w:rPr>
                      <w:rFonts w:hint="eastAsia"/>
                      <w:b/>
                      <w:bCs/>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restart"/>
                  <w:shd w:val="clear" w:color="auto" w:fill="auto"/>
                  <w:vAlign w:val="center"/>
                </w:tcPr>
                <w:p>
                  <w:pPr>
                    <w:pStyle w:val="41"/>
                  </w:pPr>
                  <w:r>
                    <w:t>D2：鼻湖</w:t>
                  </w:r>
                  <w:r>
                    <w:br w:type="textWrapping"/>
                  </w:r>
                  <w:r>
                    <w:t>（鱼光互补区）</w:t>
                  </w:r>
                </w:p>
              </w:tc>
              <w:tc>
                <w:tcPr>
                  <w:tcW w:w="0" w:type="auto"/>
                  <w:vMerge w:val="restart"/>
                  <w:shd w:val="clear" w:color="auto" w:fill="auto"/>
                  <w:vAlign w:val="center"/>
                </w:tcPr>
                <w:p>
                  <w:pPr>
                    <w:pStyle w:val="41"/>
                  </w:pPr>
                  <w:r>
                    <w:t>0-0.2m</w:t>
                  </w:r>
                </w:p>
              </w:tc>
              <w:tc>
                <w:tcPr>
                  <w:tcW w:w="0" w:type="auto"/>
                  <w:shd w:val="clear" w:color="auto" w:fill="auto"/>
                  <w:vAlign w:val="center"/>
                </w:tcPr>
                <w:p>
                  <w:pPr>
                    <w:pStyle w:val="41"/>
                  </w:pPr>
                  <w:r>
                    <w:t>pH 值</w:t>
                  </w:r>
                </w:p>
              </w:tc>
              <w:tc>
                <w:tcPr>
                  <w:tcW w:w="0" w:type="auto"/>
                  <w:shd w:val="clear" w:color="auto" w:fill="auto"/>
                  <w:vAlign w:val="center"/>
                </w:tcPr>
                <w:p>
                  <w:pPr>
                    <w:pStyle w:val="41"/>
                  </w:pPr>
                  <w:r>
                    <w:t>无量纲</w:t>
                  </w:r>
                </w:p>
              </w:tc>
              <w:tc>
                <w:tcPr>
                  <w:tcW w:w="0" w:type="auto"/>
                  <w:shd w:val="clear" w:color="auto" w:fill="auto"/>
                  <w:vAlign w:val="center"/>
                </w:tcPr>
                <w:p>
                  <w:pPr>
                    <w:pStyle w:val="41"/>
                  </w:pPr>
                  <w:r>
                    <w:t>7.4</w:t>
                  </w:r>
                </w:p>
              </w:tc>
              <w:tc>
                <w:tcPr>
                  <w:tcW w:w="0" w:type="auto"/>
                  <w:shd w:val="clear" w:color="auto" w:fill="auto"/>
                  <w:vAlign w:val="center"/>
                </w:tcPr>
                <w:p>
                  <w:pPr>
                    <w:pStyle w:val="41"/>
                  </w:pPr>
                  <w:r>
                    <w:t>6.5＜pH≤7.5</w:t>
                  </w:r>
                </w:p>
              </w:tc>
              <w:tc>
                <w:tcPr>
                  <w:tcW w:w="0" w:type="auto"/>
                </w:tcPr>
                <w:p>
                  <w:pPr>
                    <w:pStyle w:val="41"/>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镉</w:t>
                  </w:r>
                </w:p>
              </w:tc>
              <w:tc>
                <w:tcPr>
                  <w:tcW w:w="0" w:type="auto"/>
                  <w:shd w:val="clear" w:color="auto" w:fill="auto"/>
                  <w:vAlign w:val="center"/>
                </w:tcPr>
                <w:p>
                  <w:pPr>
                    <w:pStyle w:val="41"/>
                  </w:pPr>
                  <w:r>
                    <w:t>mg/kg</w:t>
                  </w:r>
                </w:p>
              </w:tc>
              <w:tc>
                <w:tcPr>
                  <w:tcW w:w="0" w:type="auto"/>
                  <w:shd w:val="clear" w:color="auto" w:fill="auto"/>
                  <w:vAlign w:val="center"/>
                </w:tcPr>
                <w:p>
                  <w:pPr>
                    <w:pStyle w:val="41"/>
                  </w:pPr>
                  <w:r>
                    <w:t>0.19</w:t>
                  </w:r>
                </w:p>
              </w:tc>
              <w:tc>
                <w:tcPr>
                  <w:tcW w:w="0" w:type="auto"/>
                  <w:shd w:val="clear" w:color="auto" w:fill="auto"/>
                  <w:vAlign w:val="center"/>
                </w:tcPr>
                <w:p>
                  <w:pPr>
                    <w:pStyle w:val="41"/>
                  </w:pPr>
                  <w:r>
                    <w:t>0.3</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汞</w:t>
                  </w:r>
                </w:p>
              </w:tc>
              <w:tc>
                <w:tcPr>
                  <w:tcW w:w="0" w:type="auto"/>
                  <w:shd w:val="clear" w:color="auto" w:fill="auto"/>
                  <w:vAlign w:val="center"/>
                </w:tcPr>
                <w:p>
                  <w:pPr>
                    <w:pStyle w:val="41"/>
                  </w:pPr>
                  <w:r>
                    <w:t>mg/kg</w:t>
                  </w:r>
                </w:p>
              </w:tc>
              <w:tc>
                <w:tcPr>
                  <w:tcW w:w="0" w:type="auto"/>
                  <w:shd w:val="clear" w:color="auto" w:fill="auto"/>
                  <w:vAlign w:val="center"/>
                </w:tcPr>
                <w:p>
                  <w:pPr>
                    <w:pStyle w:val="41"/>
                  </w:pPr>
                  <w:r>
                    <w:t>0.389</w:t>
                  </w:r>
                </w:p>
              </w:tc>
              <w:tc>
                <w:tcPr>
                  <w:tcW w:w="0" w:type="auto"/>
                  <w:shd w:val="clear" w:color="auto" w:fill="auto"/>
                  <w:vAlign w:val="center"/>
                </w:tcPr>
                <w:p>
                  <w:pPr>
                    <w:pStyle w:val="41"/>
                  </w:pPr>
                  <w:r>
                    <w:t>2.4</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砷</w:t>
                  </w:r>
                </w:p>
              </w:tc>
              <w:tc>
                <w:tcPr>
                  <w:tcW w:w="0" w:type="auto"/>
                  <w:shd w:val="clear" w:color="auto" w:fill="auto"/>
                  <w:vAlign w:val="center"/>
                </w:tcPr>
                <w:p>
                  <w:pPr>
                    <w:pStyle w:val="41"/>
                  </w:pPr>
                  <w:r>
                    <w:t>mg/kg</w:t>
                  </w:r>
                </w:p>
              </w:tc>
              <w:tc>
                <w:tcPr>
                  <w:tcW w:w="0" w:type="auto"/>
                  <w:shd w:val="clear" w:color="auto" w:fill="auto"/>
                  <w:vAlign w:val="center"/>
                </w:tcPr>
                <w:p>
                  <w:pPr>
                    <w:pStyle w:val="41"/>
                  </w:pPr>
                  <w:r>
                    <w:t>6.08</w:t>
                  </w:r>
                </w:p>
              </w:tc>
              <w:tc>
                <w:tcPr>
                  <w:tcW w:w="0" w:type="auto"/>
                  <w:shd w:val="clear" w:color="auto" w:fill="auto"/>
                  <w:vAlign w:val="center"/>
                </w:tcPr>
                <w:p>
                  <w:pPr>
                    <w:pStyle w:val="41"/>
                  </w:pPr>
                  <w:r>
                    <w:t>30</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铅</w:t>
                  </w:r>
                </w:p>
              </w:tc>
              <w:tc>
                <w:tcPr>
                  <w:tcW w:w="0" w:type="auto"/>
                  <w:shd w:val="clear" w:color="auto" w:fill="auto"/>
                  <w:vAlign w:val="center"/>
                </w:tcPr>
                <w:p>
                  <w:pPr>
                    <w:pStyle w:val="41"/>
                  </w:pPr>
                  <w:r>
                    <w:t>mg/kg</w:t>
                  </w:r>
                </w:p>
              </w:tc>
              <w:tc>
                <w:tcPr>
                  <w:tcW w:w="0" w:type="auto"/>
                  <w:shd w:val="clear" w:color="auto" w:fill="auto"/>
                  <w:vAlign w:val="center"/>
                </w:tcPr>
                <w:p>
                  <w:pPr>
                    <w:pStyle w:val="41"/>
                  </w:pPr>
                  <w:r>
                    <w:t>80</w:t>
                  </w:r>
                </w:p>
              </w:tc>
              <w:tc>
                <w:tcPr>
                  <w:tcW w:w="0" w:type="auto"/>
                  <w:shd w:val="clear" w:color="auto" w:fill="auto"/>
                  <w:vAlign w:val="center"/>
                </w:tcPr>
                <w:p>
                  <w:pPr>
                    <w:pStyle w:val="41"/>
                  </w:pPr>
                  <w:r>
                    <w:t>120</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D8D8D8" w:themeFill="background1" w:themeFillShade="D9"/>
                  <w:vAlign w:val="center"/>
                </w:tcPr>
                <w:p>
                  <w:pPr>
                    <w:pStyle w:val="41"/>
                    <w:rPr>
                      <w:b/>
                      <w:bCs/>
                    </w:rPr>
                  </w:pPr>
                  <w:r>
                    <w:rPr>
                      <w:b/>
                      <w:bCs/>
                    </w:rPr>
                    <w:t>总铬</w:t>
                  </w:r>
                </w:p>
              </w:tc>
              <w:tc>
                <w:tcPr>
                  <w:tcW w:w="0" w:type="auto"/>
                  <w:shd w:val="clear" w:color="auto" w:fill="D8D8D8" w:themeFill="background1" w:themeFillShade="D9"/>
                  <w:vAlign w:val="center"/>
                </w:tcPr>
                <w:p>
                  <w:pPr>
                    <w:pStyle w:val="41"/>
                    <w:rPr>
                      <w:b/>
                      <w:bCs/>
                    </w:rPr>
                  </w:pPr>
                  <w:r>
                    <w:rPr>
                      <w:b/>
                      <w:bCs/>
                    </w:rPr>
                    <w:t>mg/kg</w:t>
                  </w:r>
                </w:p>
              </w:tc>
              <w:tc>
                <w:tcPr>
                  <w:tcW w:w="0" w:type="auto"/>
                  <w:shd w:val="clear" w:color="auto" w:fill="D8D8D8" w:themeFill="background1" w:themeFillShade="D9"/>
                  <w:vAlign w:val="center"/>
                </w:tcPr>
                <w:p>
                  <w:pPr>
                    <w:pStyle w:val="41"/>
                    <w:rPr>
                      <w:b/>
                      <w:bCs/>
                    </w:rPr>
                  </w:pPr>
                  <w:r>
                    <w:rPr>
                      <w:b/>
                      <w:bCs/>
                    </w:rPr>
                    <w:t>466</w:t>
                  </w:r>
                </w:p>
              </w:tc>
              <w:tc>
                <w:tcPr>
                  <w:tcW w:w="0" w:type="auto"/>
                  <w:shd w:val="clear" w:color="auto" w:fill="D8D8D8" w:themeFill="background1" w:themeFillShade="D9"/>
                  <w:vAlign w:val="center"/>
                </w:tcPr>
                <w:p>
                  <w:pPr>
                    <w:pStyle w:val="41"/>
                    <w:rPr>
                      <w:b/>
                      <w:bCs/>
                    </w:rPr>
                  </w:pPr>
                  <w:r>
                    <w:rPr>
                      <w:b/>
                      <w:bCs/>
                    </w:rPr>
                    <w:t>200</w:t>
                  </w:r>
                </w:p>
              </w:tc>
              <w:tc>
                <w:tcPr>
                  <w:tcW w:w="0" w:type="auto"/>
                  <w:shd w:val="clear" w:color="auto" w:fill="D8D8D8" w:themeFill="background1" w:themeFillShade="D9"/>
                </w:tcPr>
                <w:p>
                  <w:pPr>
                    <w:pStyle w:val="41"/>
                    <w:rPr>
                      <w:b/>
                      <w:bCs/>
                    </w:rPr>
                  </w:pPr>
                  <w:r>
                    <w:rPr>
                      <w:rFonts w:hint="eastAsia"/>
                      <w:b/>
                      <w:bCs/>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铜</w:t>
                  </w:r>
                </w:p>
              </w:tc>
              <w:tc>
                <w:tcPr>
                  <w:tcW w:w="0" w:type="auto"/>
                  <w:shd w:val="clear" w:color="auto" w:fill="auto"/>
                  <w:vAlign w:val="center"/>
                </w:tcPr>
                <w:p>
                  <w:pPr>
                    <w:pStyle w:val="41"/>
                  </w:pPr>
                  <w:r>
                    <w:t>mg/kg</w:t>
                  </w:r>
                </w:p>
              </w:tc>
              <w:tc>
                <w:tcPr>
                  <w:tcW w:w="0" w:type="auto"/>
                  <w:shd w:val="clear" w:color="auto" w:fill="auto"/>
                  <w:vAlign w:val="center"/>
                </w:tcPr>
                <w:p>
                  <w:pPr>
                    <w:pStyle w:val="41"/>
                  </w:pPr>
                  <w:r>
                    <w:t>26</w:t>
                  </w:r>
                </w:p>
              </w:tc>
              <w:tc>
                <w:tcPr>
                  <w:tcW w:w="0" w:type="auto"/>
                  <w:shd w:val="clear" w:color="auto" w:fill="auto"/>
                  <w:vAlign w:val="center"/>
                </w:tcPr>
                <w:p>
                  <w:pPr>
                    <w:pStyle w:val="41"/>
                  </w:pPr>
                  <w:r>
                    <w:t>100</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镍</w:t>
                  </w:r>
                </w:p>
              </w:tc>
              <w:tc>
                <w:tcPr>
                  <w:tcW w:w="0" w:type="auto"/>
                  <w:shd w:val="clear" w:color="auto" w:fill="auto"/>
                  <w:vAlign w:val="center"/>
                </w:tcPr>
                <w:p>
                  <w:pPr>
                    <w:pStyle w:val="41"/>
                  </w:pPr>
                  <w:r>
                    <w:t>mg/kg</w:t>
                  </w:r>
                </w:p>
              </w:tc>
              <w:tc>
                <w:tcPr>
                  <w:tcW w:w="0" w:type="auto"/>
                  <w:shd w:val="clear" w:color="auto" w:fill="auto"/>
                  <w:vAlign w:val="center"/>
                </w:tcPr>
                <w:p>
                  <w:pPr>
                    <w:pStyle w:val="41"/>
                  </w:pPr>
                  <w:r>
                    <w:t>43</w:t>
                  </w:r>
                </w:p>
              </w:tc>
              <w:tc>
                <w:tcPr>
                  <w:tcW w:w="0" w:type="auto"/>
                  <w:shd w:val="clear" w:color="auto" w:fill="auto"/>
                  <w:vAlign w:val="center"/>
                </w:tcPr>
                <w:p>
                  <w:pPr>
                    <w:pStyle w:val="41"/>
                  </w:pPr>
                  <w:r>
                    <w:t>100</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D8D8D8" w:themeFill="background1" w:themeFillShade="D9"/>
                  <w:vAlign w:val="center"/>
                </w:tcPr>
                <w:p>
                  <w:pPr>
                    <w:pStyle w:val="41"/>
                    <w:rPr>
                      <w:b/>
                      <w:bCs/>
                    </w:rPr>
                  </w:pPr>
                  <w:r>
                    <w:rPr>
                      <w:b/>
                      <w:bCs/>
                    </w:rPr>
                    <w:t>锌</w:t>
                  </w:r>
                </w:p>
              </w:tc>
              <w:tc>
                <w:tcPr>
                  <w:tcW w:w="0" w:type="auto"/>
                  <w:shd w:val="clear" w:color="auto" w:fill="D8D8D8" w:themeFill="background1" w:themeFillShade="D9"/>
                  <w:vAlign w:val="center"/>
                </w:tcPr>
                <w:p>
                  <w:pPr>
                    <w:pStyle w:val="41"/>
                    <w:rPr>
                      <w:b/>
                      <w:bCs/>
                    </w:rPr>
                  </w:pPr>
                  <w:r>
                    <w:rPr>
                      <w:b/>
                      <w:bCs/>
                    </w:rPr>
                    <w:t>mg/kg</w:t>
                  </w:r>
                </w:p>
              </w:tc>
              <w:tc>
                <w:tcPr>
                  <w:tcW w:w="0" w:type="auto"/>
                  <w:shd w:val="clear" w:color="auto" w:fill="D8D8D8" w:themeFill="background1" w:themeFillShade="D9"/>
                  <w:vAlign w:val="center"/>
                </w:tcPr>
                <w:p>
                  <w:pPr>
                    <w:pStyle w:val="41"/>
                    <w:rPr>
                      <w:b/>
                      <w:bCs/>
                    </w:rPr>
                  </w:pPr>
                  <w:r>
                    <w:rPr>
                      <w:b/>
                      <w:bCs/>
                    </w:rPr>
                    <w:t>322</w:t>
                  </w:r>
                </w:p>
              </w:tc>
              <w:tc>
                <w:tcPr>
                  <w:tcW w:w="0" w:type="auto"/>
                  <w:shd w:val="clear" w:color="auto" w:fill="D8D8D8" w:themeFill="background1" w:themeFillShade="D9"/>
                  <w:vAlign w:val="center"/>
                </w:tcPr>
                <w:p>
                  <w:pPr>
                    <w:pStyle w:val="41"/>
                    <w:rPr>
                      <w:b/>
                      <w:bCs/>
                    </w:rPr>
                  </w:pPr>
                  <w:r>
                    <w:rPr>
                      <w:b/>
                      <w:bCs/>
                    </w:rPr>
                    <w:t>250</w:t>
                  </w:r>
                </w:p>
              </w:tc>
              <w:tc>
                <w:tcPr>
                  <w:tcW w:w="0" w:type="auto"/>
                  <w:shd w:val="clear" w:color="auto" w:fill="D8D8D8" w:themeFill="background1" w:themeFillShade="D9"/>
                </w:tcPr>
                <w:p>
                  <w:pPr>
                    <w:pStyle w:val="41"/>
                    <w:rPr>
                      <w:b/>
                      <w:bCs/>
                    </w:rPr>
                  </w:pPr>
                  <w:r>
                    <w:rPr>
                      <w:rFonts w:hint="eastAsia"/>
                      <w:b/>
                      <w:bCs/>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restart"/>
                  <w:shd w:val="clear" w:color="auto" w:fill="auto"/>
                  <w:vAlign w:val="center"/>
                </w:tcPr>
                <w:p>
                  <w:pPr>
                    <w:pStyle w:val="41"/>
                  </w:pPr>
                  <w:r>
                    <w:t>D3：鼻湖</w:t>
                  </w:r>
                  <w:r>
                    <w:br w:type="textWrapping"/>
                  </w:r>
                  <w:r>
                    <w:t>（非渔业区）</w:t>
                  </w:r>
                </w:p>
              </w:tc>
              <w:tc>
                <w:tcPr>
                  <w:tcW w:w="0" w:type="auto"/>
                  <w:vMerge w:val="restart"/>
                  <w:shd w:val="clear" w:color="auto" w:fill="auto"/>
                  <w:vAlign w:val="center"/>
                </w:tcPr>
                <w:p>
                  <w:pPr>
                    <w:pStyle w:val="41"/>
                  </w:pPr>
                  <w:r>
                    <w:t>0-0.2m</w:t>
                  </w:r>
                </w:p>
              </w:tc>
              <w:tc>
                <w:tcPr>
                  <w:tcW w:w="0" w:type="auto"/>
                  <w:shd w:val="clear" w:color="auto" w:fill="auto"/>
                  <w:vAlign w:val="center"/>
                </w:tcPr>
                <w:p>
                  <w:pPr>
                    <w:pStyle w:val="41"/>
                  </w:pPr>
                  <w:r>
                    <w:t>pH 值</w:t>
                  </w:r>
                </w:p>
              </w:tc>
              <w:tc>
                <w:tcPr>
                  <w:tcW w:w="0" w:type="auto"/>
                  <w:shd w:val="clear" w:color="auto" w:fill="auto"/>
                  <w:vAlign w:val="center"/>
                </w:tcPr>
                <w:p>
                  <w:pPr>
                    <w:pStyle w:val="41"/>
                  </w:pPr>
                  <w:r>
                    <w:t>无量纲</w:t>
                  </w:r>
                </w:p>
              </w:tc>
              <w:tc>
                <w:tcPr>
                  <w:tcW w:w="0" w:type="auto"/>
                  <w:shd w:val="clear" w:color="auto" w:fill="auto"/>
                  <w:vAlign w:val="center"/>
                </w:tcPr>
                <w:p>
                  <w:pPr>
                    <w:pStyle w:val="41"/>
                  </w:pPr>
                  <w:r>
                    <w:t>7.99</w:t>
                  </w:r>
                </w:p>
              </w:tc>
              <w:tc>
                <w:tcPr>
                  <w:tcW w:w="0" w:type="auto"/>
                  <w:shd w:val="clear" w:color="auto" w:fill="auto"/>
                  <w:vAlign w:val="center"/>
                </w:tcPr>
                <w:p>
                  <w:pPr>
                    <w:pStyle w:val="41"/>
                  </w:pPr>
                  <w:r>
                    <w:t>pH&gt;7.5</w:t>
                  </w:r>
                </w:p>
              </w:tc>
              <w:tc>
                <w:tcPr>
                  <w:tcW w:w="0" w:type="auto"/>
                </w:tcPr>
                <w:p>
                  <w:pPr>
                    <w:pStyle w:val="41"/>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镉</w:t>
                  </w:r>
                </w:p>
              </w:tc>
              <w:tc>
                <w:tcPr>
                  <w:tcW w:w="0" w:type="auto"/>
                  <w:shd w:val="clear" w:color="auto" w:fill="auto"/>
                  <w:vAlign w:val="center"/>
                </w:tcPr>
                <w:p>
                  <w:pPr>
                    <w:pStyle w:val="41"/>
                  </w:pPr>
                  <w:r>
                    <w:t>mg/kg</w:t>
                  </w:r>
                </w:p>
              </w:tc>
              <w:tc>
                <w:tcPr>
                  <w:tcW w:w="0" w:type="auto"/>
                  <w:shd w:val="clear" w:color="auto" w:fill="auto"/>
                  <w:vAlign w:val="center"/>
                </w:tcPr>
                <w:p>
                  <w:pPr>
                    <w:pStyle w:val="41"/>
                  </w:pPr>
                  <w:r>
                    <w:t>0.58</w:t>
                  </w:r>
                </w:p>
              </w:tc>
              <w:tc>
                <w:tcPr>
                  <w:tcW w:w="0" w:type="auto"/>
                  <w:shd w:val="clear" w:color="auto" w:fill="auto"/>
                  <w:vAlign w:val="center"/>
                </w:tcPr>
                <w:p>
                  <w:pPr>
                    <w:pStyle w:val="41"/>
                  </w:pPr>
                  <w:r>
                    <w:t>0.6</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汞</w:t>
                  </w:r>
                </w:p>
              </w:tc>
              <w:tc>
                <w:tcPr>
                  <w:tcW w:w="0" w:type="auto"/>
                  <w:shd w:val="clear" w:color="auto" w:fill="auto"/>
                  <w:vAlign w:val="center"/>
                </w:tcPr>
                <w:p>
                  <w:pPr>
                    <w:pStyle w:val="41"/>
                  </w:pPr>
                  <w:r>
                    <w:t>mg/kg</w:t>
                  </w:r>
                </w:p>
              </w:tc>
              <w:tc>
                <w:tcPr>
                  <w:tcW w:w="0" w:type="auto"/>
                  <w:shd w:val="clear" w:color="auto" w:fill="auto"/>
                  <w:vAlign w:val="center"/>
                </w:tcPr>
                <w:p>
                  <w:pPr>
                    <w:pStyle w:val="41"/>
                  </w:pPr>
                  <w:r>
                    <w:t>0.344</w:t>
                  </w:r>
                </w:p>
              </w:tc>
              <w:tc>
                <w:tcPr>
                  <w:tcW w:w="0" w:type="auto"/>
                  <w:shd w:val="clear" w:color="auto" w:fill="auto"/>
                  <w:vAlign w:val="center"/>
                </w:tcPr>
                <w:p>
                  <w:pPr>
                    <w:pStyle w:val="41"/>
                  </w:pPr>
                  <w:r>
                    <w:t>3.4</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砷</w:t>
                  </w:r>
                </w:p>
              </w:tc>
              <w:tc>
                <w:tcPr>
                  <w:tcW w:w="0" w:type="auto"/>
                  <w:shd w:val="clear" w:color="auto" w:fill="auto"/>
                  <w:vAlign w:val="center"/>
                </w:tcPr>
                <w:p>
                  <w:pPr>
                    <w:pStyle w:val="41"/>
                  </w:pPr>
                  <w:r>
                    <w:t>mg/kg</w:t>
                  </w:r>
                </w:p>
              </w:tc>
              <w:tc>
                <w:tcPr>
                  <w:tcW w:w="0" w:type="auto"/>
                  <w:shd w:val="clear" w:color="auto" w:fill="auto"/>
                  <w:vAlign w:val="center"/>
                </w:tcPr>
                <w:p>
                  <w:pPr>
                    <w:pStyle w:val="41"/>
                  </w:pPr>
                  <w:r>
                    <w:t>15.0</w:t>
                  </w:r>
                </w:p>
              </w:tc>
              <w:tc>
                <w:tcPr>
                  <w:tcW w:w="0" w:type="auto"/>
                  <w:shd w:val="clear" w:color="auto" w:fill="auto"/>
                  <w:vAlign w:val="center"/>
                </w:tcPr>
                <w:p>
                  <w:pPr>
                    <w:pStyle w:val="41"/>
                  </w:pPr>
                  <w:r>
                    <w:t>25</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铅</w:t>
                  </w:r>
                </w:p>
              </w:tc>
              <w:tc>
                <w:tcPr>
                  <w:tcW w:w="0" w:type="auto"/>
                  <w:shd w:val="clear" w:color="auto" w:fill="auto"/>
                  <w:vAlign w:val="center"/>
                </w:tcPr>
                <w:p>
                  <w:pPr>
                    <w:pStyle w:val="41"/>
                  </w:pPr>
                  <w:r>
                    <w:t>mg/kg</w:t>
                  </w:r>
                </w:p>
              </w:tc>
              <w:tc>
                <w:tcPr>
                  <w:tcW w:w="0" w:type="auto"/>
                  <w:shd w:val="clear" w:color="auto" w:fill="auto"/>
                  <w:vAlign w:val="center"/>
                </w:tcPr>
                <w:p>
                  <w:pPr>
                    <w:pStyle w:val="41"/>
                  </w:pPr>
                  <w:r>
                    <w:t>89</w:t>
                  </w:r>
                </w:p>
              </w:tc>
              <w:tc>
                <w:tcPr>
                  <w:tcW w:w="0" w:type="auto"/>
                  <w:shd w:val="clear" w:color="auto" w:fill="auto"/>
                  <w:vAlign w:val="center"/>
                </w:tcPr>
                <w:p>
                  <w:pPr>
                    <w:pStyle w:val="41"/>
                  </w:pPr>
                  <w:r>
                    <w:t>170</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D8D8D8" w:themeFill="background1" w:themeFillShade="D9"/>
                  <w:vAlign w:val="center"/>
                </w:tcPr>
                <w:p>
                  <w:pPr>
                    <w:pStyle w:val="41"/>
                    <w:rPr>
                      <w:b/>
                      <w:bCs/>
                    </w:rPr>
                  </w:pPr>
                  <w:r>
                    <w:rPr>
                      <w:b/>
                      <w:bCs/>
                    </w:rPr>
                    <w:t>总铬</w:t>
                  </w:r>
                </w:p>
              </w:tc>
              <w:tc>
                <w:tcPr>
                  <w:tcW w:w="0" w:type="auto"/>
                  <w:shd w:val="clear" w:color="auto" w:fill="D8D8D8" w:themeFill="background1" w:themeFillShade="D9"/>
                  <w:vAlign w:val="center"/>
                </w:tcPr>
                <w:p>
                  <w:pPr>
                    <w:pStyle w:val="41"/>
                    <w:rPr>
                      <w:b/>
                      <w:bCs/>
                    </w:rPr>
                  </w:pPr>
                  <w:r>
                    <w:rPr>
                      <w:b/>
                      <w:bCs/>
                    </w:rPr>
                    <w:t>mg/kg</w:t>
                  </w:r>
                </w:p>
              </w:tc>
              <w:tc>
                <w:tcPr>
                  <w:tcW w:w="0" w:type="auto"/>
                  <w:shd w:val="clear" w:color="auto" w:fill="D8D8D8" w:themeFill="background1" w:themeFillShade="D9"/>
                  <w:vAlign w:val="center"/>
                </w:tcPr>
                <w:p>
                  <w:pPr>
                    <w:pStyle w:val="41"/>
                    <w:rPr>
                      <w:b/>
                      <w:bCs/>
                    </w:rPr>
                  </w:pPr>
                  <w:r>
                    <w:rPr>
                      <w:b/>
                      <w:bCs/>
                    </w:rPr>
                    <w:t>460</w:t>
                  </w:r>
                </w:p>
              </w:tc>
              <w:tc>
                <w:tcPr>
                  <w:tcW w:w="0" w:type="auto"/>
                  <w:shd w:val="clear" w:color="auto" w:fill="D8D8D8" w:themeFill="background1" w:themeFillShade="D9"/>
                  <w:vAlign w:val="center"/>
                </w:tcPr>
                <w:p>
                  <w:pPr>
                    <w:pStyle w:val="41"/>
                    <w:rPr>
                      <w:b/>
                      <w:bCs/>
                    </w:rPr>
                  </w:pPr>
                  <w:r>
                    <w:rPr>
                      <w:b/>
                      <w:bCs/>
                    </w:rPr>
                    <w:t>250</w:t>
                  </w:r>
                </w:p>
              </w:tc>
              <w:tc>
                <w:tcPr>
                  <w:tcW w:w="0" w:type="auto"/>
                  <w:shd w:val="clear" w:color="auto" w:fill="D8D8D8" w:themeFill="background1" w:themeFillShade="D9"/>
                </w:tcPr>
                <w:p>
                  <w:pPr>
                    <w:pStyle w:val="41"/>
                    <w:rPr>
                      <w:b/>
                      <w:bCs/>
                    </w:rPr>
                  </w:pPr>
                  <w:r>
                    <w:rPr>
                      <w:rFonts w:hint="eastAsia"/>
                      <w:b/>
                      <w:bCs/>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铜</w:t>
                  </w:r>
                </w:p>
              </w:tc>
              <w:tc>
                <w:tcPr>
                  <w:tcW w:w="0" w:type="auto"/>
                  <w:shd w:val="clear" w:color="auto" w:fill="auto"/>
                  <w:vAlign w:val="center"/>
                </w:tcPr>
                <w:p>
                  <w:pPr>
                    <w:pStyle w:val="41"/>
                  </w:pPr>
                  <w:r>
                    <w:t>mg/kg</w:t>
                  </w:r>
                </w:p>
              </w:tc>
              <w:tc>
                <w:tcPr>
                  <w:tcW w:w="0" w:type="auto"/>
                  <w:shd w:val="clear" w:color="auto" w:fill="auto"/>
                  <w:vAlign w:val="center"/>
                </w:tcPr>
                <w:p>
                  <w:pPr>
                    <w:pStyle w:val="41"/>
                  </w:pPr>
                  <w:r>
                    <w:t>45</w:t>
                  </w:r>
                </w:p>
              </w:tc>
              <w:tc>
                <w:tcPr>
                  <w:tcW w:w="0" w:type="auto"/>
                  <w:shd w:val="clear" w:color="auto" w:fill="auto"/>
                  <w:vAlign w:val="center"/>
                </w:tcPr>
                <w:p>
                  <w:pPr>
                    <w:pStyle w:val="41"/>
                  </w:pPr>
                  <w:r>
                    <w:t>100</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auto"/>
                  <w:vAlign w:val="center"/>
                </w:tcPr>
                <w:p>
                  <w:pPr>
                    <w:pStyle w:val="41"/>
                  </w:pPr>
                  <w:r>
                    <w:t>镍</w:t>
                  </w:r>
                </w:p>
              </w:tc>
              <w:tc>
                <w:tcPr>
                  <w:tcW w:w="0" w:type="auto"/>
                  <w:shd w:val="clear" w:color="auto" w:fill="auto"/>
                  <w:vAlign w:val="center"/>
                </w:tcPr>
                <w:p>
                  <w:pPr>
                    <w:pStyle w:val="41"/>
                  </w:pPr>
                  <w:r>
                    <w:t>mg/kg</w:t>
                  </w:r>
                </w:p>
              </w:tc>
              <w:tc>
                <w:tcPr>
                  <w:tcW w:w="0" w:type="auto"/>
                  <w:shd w:val="clear" w:color="auto" w:fill="auto"/>
                  <w:vAlign w:val="center"/>
                </w:tcPr>
                <w:p>
                  <w:pPr>
                    <w:pStyle w:val="41"/>
                  </w:pPr>
                  <w:r>
                    <w:t>51</w:t>
                  </w:r>
                </w:p>
              </w:tc>
              <w:tc>
                <w:tcPr>
                  <w:tcW w:w="0" w:type="auto"/>
                  <w:shd w:val="clear" w:color="auto" w:fill="auto"/>
                  <w:vAlign w:val="center"/>
                </w:tcPr>
                <w:p>
                  <w:pPr>
                    <w:pStyle w:val="41"/>
                  </w:pPr>
                  <w:r>
                    <w:t>190</w:t>
                  </w:r>
                </w:p>
              </w:tc>
              <w:tc>
                <w:tcPr>
                  <w:tcW w:w="0" w:type="auto"/>
                </w:tcPr>
                <w:p>
                  <w:pPr>
                    <w:pStyle w:val="41"/>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vAlign w:val="center"/>
                </w:tcPr>
                <w:p>
                  <w:pPr>
                    <w:pStyle w:val="41"/>
                  </w:pPr>
                </w:p>
              </w:tc>
              <w:tc>
                <w:tcPr>
                  <w:tcW w:w="0" w:type="auto"/>
                  <w:vMerge w:val="continue"/>
                  <w:shd w:val="clear" w:color="auto" w:fill="auto"/>
                  <w:vAlign w:val="center"/>
                </w:tcPr>
                <w:p>
                  <w:pPr>
                    <w:pStyle w:val="41"/>
                  </w:pPr>
                </w:p>
              </w:tc>
              <w:tc>
                <w:tcPr>
                  <w:tcW w:w="0" w:type="auto"/>
                  <w:shd w:val="clear" w:color="auto" w:fill="D8D8D8" w:themeFill="background1" w:themeFillShade="D9"/>
                  <w:vAlign w:val="center"/>
                </w:tcPr>
                <w:p>
                  <w:pPr>
                    <w:pStyle w:val="41"/>
                    <w:rPr>
                      <w:b/>
                      <w:bCs/>
                    </w:rPr>
                  </w:pPr>
                  <w:r>
                    <w:rPr>
                      <w:b/>
                      <w:bCs/>
                    </w:rPr>
                    <w:t>锌</w:t>
                  </w:r>
                </w:p>
              </w:tc>
              <w:tc>
                <w:tcPr>
                  <w:tcW w:w="0" w:type="auto"/>
                  <w:shd w:val="clear" w:color="auto" w:fill="D8D8D8" w:themeFill="background1" w:themeFillShade="D9"/>
                  <w:vAlign w:val="center"/>
                </w:tcPr>
                <w:p>
                  <w:pPr>
                    <w:pStyle w:val="41"/>
                    <w:rPr>
                      <w:b/>
                      <w:bCs/>
                    </w:rPr>
                  </w:pPr>
                  <w:r>
                    <w:rPr>
                      <w:b/>
                      <w:bCs/>
                    </w:rPr>
                    <w:t>mg/kg</w:t>
                  </w:r>
                </w:p>
              </w:tc>
              <w:tc>
                <w:tcPr>
                  <w:tcW w:w="0" w:type="auto"/>
                  <w:shd w:val="clear" w:color="auto" w:fill="D8D8D8" w:themeFill="background1" w:themeFillShade="D9"/>
                  <w:vAlign w:val="center"/>
                </w:tcPr>
                <w:p>
                  <w:pPr>
                    <w:pStyle w:val="41"/>
                    <w:rPr>
                      <w:b/>
                      <w:bCs/>
                    </w:rPr>
                  </w:pPr>
                  <w:r>
                    <w:rPr>
                      <w:b/>
                      <w:bCs/>
                    </w:rPr>
                    <w:t>377</w:t>
                  </w:r>
                </w:p>
              </w:tc>
              <w:tc>
                <w:tcPr>
                  <w:tcW w:w="0" w:type="auto"/>
                  <w:shd w:val="clear" w:color="auto" w:fill="D8D8D8" w:themeFill="background1" w:themeFillShade="D9"/>
                  <w:vAlign w:val="center"/>
                </w:tcPr>
                <w:p>
                  <w:pPr>
                    <w:pStyle w:val="41"/>
                    <w:rPr>
                      <w:b/>
                      <w:bCs/>
                    </w:rPr>
                  </w:pPr>
                  <w:r>
                    <w:rPr>
                      <w:b/>
                      <w:bCs/>
                    </w:rPr>
                    <w:t>300</w:t>
                  </w:r>
                </w:p>
              </w:tc>
              <w:tc>
                <w:tcPr>
                  <w:tcW w:w="0" w:type="auto"/>
                  <w:shd w:val="clear" w:color="auto" w:fill="D8D8D8" w:themeFill="background1" w:themeFillShade="D9"/>
                </w:tcPr>
                <w:p>
                  <w:pPr>
                    <w:pStyle w:val="41"/>
                    <w:rPr>
                      <w:b/>
                      <w:bCs/>
                    </w:rPr>
                  </w:pPr>
                  <w:r>
                    <w:rPr>
                      <w:rFonts w:hint="eastAsia"/>
                      <w:b/>
                      <w:bCs/>
                    </w:rPr>
                    <w:t>超标</w:t>
                  </w:r>
                </w:p>
              </w:tc>
            </w:tr>
          </w:tbl>
          <w:p>
            <w:pPr>
              <w:pStyle w:val="34"/>
              <w:ind w:firstLine="480"/>
            </w:pPr>
            <w:r>
              <w:rPr>
                <w:rFonts w:hint="eastAsia"/>
              </w:rPr>
              <w:t>由于目前我国我湖泊底泥环境质量标准，本次参照《土壤环境质量 农用地土壤污染风险管控标准（试行）》（GB</w:t>
            </w:r>
            <w:r>
              <w:t>15618-2018</w:t>
            </w:r>
            <w:r>
              <w:rPr>
                <w:rFonts w:hint="eastAsia"/>
              </w:rPr>
              <w:t>）中风险筛选值中其他标准进行分析，根据监测结果，所有监测点位总铬、锌均出现不同程度的超标：</w:t>
            </w:r>
          </w:p>
          <w:p>
            <w:pPr>
              <w:pStyle w:val="34"/>
              <w:ind w:firstLine="480"/>
            </w:pPr>
            <w:r>
              <w:rPr>
                <w:rFonts w:hint="eastAsia"/>
              </w:rPr>
              <w:t>1）D</w:t>
            </w:r>
            <w:r>
              <w:t>1</w:t>
            </w:r>
            <w:r>
              <w:rPr>
                <w:rFonts w:hint="eastAsia"/>
              </w:rPr>
              <w:t>鼻湖渔业养殖区：总铬超标倍数为1</w:t>
            </w:r>
            <w:r>
              <w:t>.392</w:t>
            </w:r>
            <w:r>
              <w:rPr>
                <w:rFonts w:hint="eastAsia"/>
              </w:rPr>
              <w:t>倍；锌超标倍数为0</w:t>
            </w:r>
            <w:r>
              <w:t>.24</w:t>
            </w:r>
            <w:r>
              <w:rPr>
                <w:rFonts w:hint="eastAsia"/>
              </w:rPr>
              <w:t>倍；</w:t>
            </w:r>
          </w:p>
          <w:p>
            <w:pPr>
              <w:pStyle w:val="34"/>
              <w:ind w:firstLine="480"/>
            </w:pPr>
            <w:r>
              <w:rPr>
                <w:rFonts w:hint="eastAsia"/>
              </w:rPr>
              <w:t>2）D</w:t>
            </w:r>
            <w:r>
              <w:t>2</w:t>
            </w:r>
            <w:r>
              <w:rPr>
                <w:rFonts w:hint="eastAsia"/>
              </w:rPr>
              <w:t>鼻湖鱼光互补区：总铬超标倍数为1</w:t>
            </w:r>
            <w:r>
              <w:t>.33</w:t>
            </w:r>
            <w:r>
              <w:rPr>
                <w:rFonts w:hint="eastAsia"/>
              </w:rPr>
              <w:t>倍；锌超标倍数为0</w:t>
            </w:r>
            <w:r>
              <w:t>.288</w:t>
            </w:r>
            <w:r>
              <w:rPr>
                <w:rFonts w:hint="eastAsia"/>
              </w:rPr>
              <w:t>倍；</w:t>
            </w:r>
          </w:p>
          <w:p>
            <w:pPr>
              <w:pStyle w:val="34"/>
              <w:ind w:firstLine="480"/>
            </w:pPr>
            <w:r>
              <w:rPr>
                <w:rFonts w:hint="eastAsia"/>
              </w:rPr>
              <w:t>3）D</w:t>
            </w:r>
            <w:r>
              <w:t>3</w:t>
            </w:r>
            <w:r>
              <w:rPr>
                <w:rFonts w:hint="eastAsia"/>
              </w:rPr>
              <w:t>鼻湖非渔业区：总铬超标倍数为0</w:t>
            </w:r>
            <w:r>
              <w:t>.84</w:t>
            </w:r>
            <w:r>
              <w:rPr>
                <w:rFonts w:hint="eastAsia"/>
              </w:rPr>
              <w:t>倍；锌超标倍数为0</w:t>
            </w:r>
            <w:r>
              <w:t>.257</w:t>
            </w:r>
            <w:r>
              <w:rPr>
                <w:rFonts w:hint="eastAsia"/>
              </w:rPr>
              <w:t>倍。</w:t>
            </w:r>
          </w:p>
          <w:p>
            <w:pPr>
              <w:pStyle w:val="34"/>
              <w:ind w:firstLine="480"/>
              <w:rPr>
                <w:u w:val="single"/>
              </w:rPr>
            </w:pPr>
            <w:r>
              <w:rPr>
                <w:rFonts w:hint="eastAsia"/>
                <w:u w:val="single"/>
              </w:rPr>
              <w:t>根据调查，鼻湖周边历史上未从事过存在重金属污染的企业及其他人为活动，且根据周边现有调查资料，鼻湖周边区域土壤均存在不同程度的铬和锌超标情况，因此鼻湖底泥铬、锌超过《土壤环境质量 农用地土壤污染风险管控标准（试行）》（GB</w:t>
            </w:r>
            <w:r>
              <w:rPr>
                <w:u w:val="single"/>
              </w:rPr>
              <w:t>15618-2018</w:t>
            </w:r>
            <w:r>
              <w:rPr>
                <w:rFonts w:hint="eastAsia"/>
                <w:u w:val="single"/>
              </w:rPr>
              <w:t>）中风险筛选值的原因主要为区域本底值超标。</w:t>
            </w:r>
          </w:p>
          <w:p>
            <w:pPr>
              <w:pStyle w:val="34"/>
              <w:ind w:firstLine="480"/>
            </w:pPr>
            <w:r>
              <w:rPr>
                <w:rFonts w:hint="eastAsia"/>
              </w:rPr>
              <w:t>5、声环境质量现状</w:t>
            </w:r>
          </w:p>
          <w:p>
            <w:pPr>
              <w:pStyle w:val="34"/>
              <w:ind w:firstLine="480"/>
            </w:pPr>
            <w:r>
              <w:rPr>
                <w:rFonts w:hint="eastAsia"/>
              </w:rPr>
              <w:t>为了解区域声环境质量现状，本次评价选取鼻湖周边6处敏感点进行声环境质量现状监测，委托湖南乾诚检测有限公司于2</w:t>
            </w:r>
            <w:r>
              <w:t>023</w:t>
            </w:r>
            <w:r>
              <w:rPr>
                <w:rFonts w:hint="eastAsia"/>
              </w:rPr>
              <w:t>年8月1</w:t>
            </w:r>
            <w:r>
              <w:t>7</w:t>
            </w:r>
            <w:r>
              <w:rPr>
                <w:rFonts w:hint="eastAsia"/>
              </w:rPr>
              <w:t>日～</w:t>
            </w:r>
            <w:r>
              <w:t>18</w:t>
            </w:r>
            <w:r>
              <w:rPr>
                <w:rFonts w:hint="eastAsia"/>
              </w:rPr>
              <w:t>日进行现场检测分析，监测结果如下：</w:t>
            </w:r>
          </w:p>
          <w:p>
            <w:pPr>
              <w:pStyle w:val="39"/>
              <w:spacing w:before="156"/>
            </w:pPr>
            <w:r>
              <w:rPr>
                <w:rFonts w:hint="eastAsia"/>
              </w:rPr>
              <w:t>表3</w:t>
            </w:r>
            <w:r>
              <w:t xml:space="preserve">-4  </w:t>
            </w:r>
            <w:r>
              <w:rPr>
                <w:rFonts w:hint="eastAsia"/>
              </w:rPr>
              <w:t>声环境质量现状监测结果</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0"/>
              <w:gridCol w:w="1224"/>
              <w:gridCol w:w="1046"/>
              <w:gridCol w:w="1224"/>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restart"/>
                  <w:shd w:val="clear" w:color="auto" w:fill="auto"/>
                  <w:vAlign w:val="center"/>
                </w:tcPr>
                <w:p>
                  <w:pPr>
                    <w:pStyle w:val="41"/>
                    <w:rPr>
                      <w:szCs w:val="21"/>
                    </w:rPr>
                  </w:pPr>
                  <w:r>
                    <w:rPr>
                      <w:szCs w:val="21"/>
                    </w:rPr>
                    <w:t>采样点位</w:t>
                  </w:r>
                </w:p>
              </w:tc>
              <w:tc>
                <w:tcPr>
                  <w:tcW w:w="0" w:type="auto"/>
                  <w:gridSpan w:val="4"/>
                  <w:shd w:val="clear" w:color="auto" w:fill="auto"/>
                  <w:vAlign w:val="center"/>
                </w:tcPr>
                <w:p>
                  <w:pPr>
                    <w:pStyle w:val="41"/>
                    <w:rPr>
                      <w:szCs w:val="21"/>
                    </w:rPr>
                  </w:pPr>
                  <w:r>
                    <w:rPr>
                      <w:szCs w:val="21"/>
                    </w:rPr>
                    <w:t>采样时间及检测结果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pPr>
                    <w:pStyle w:val="41"/>
                    <w:rPr>
                      <w:szCs w:val="21"/>
                    </w:rPr>
                  </w:pPr>
                </w:p>
              </w:tc>
              <w:tc>
                <w:tcPr>
                  <w:tcW w:w="0" w:type="auto"/>
                  <w:gridSpan w:val="2"/>
                  <w:shd w:val="clear" w:color="auto" w:fill="auto"/>
                  <w:vAlign w:val="center"/>
                </w:tcPr>
                <w:p>
                  <w:pPr>
                    <w:pStyle w:val="41"/>
                    <w:rPr>
                      <w:szCs w:val="21"/>
                    </w:rPr>
                  </w:pPr>
                  <w:r>
                    <w:rPr>
                      <w:szCs w:val="21"/>
                    </w:rPr>
                    <w:t>2023.08.17</w:t>
                  </w:r>
                </w:p>
              </w:tc>
              <w:tc>
                <w:tcPr>
                  <w:tcW w:w="0" w:type="auto"/>
                  <w:gridSpan w:val="2"/>
                  <w:shd w:val="clear" w:color="auto" w:fill="auto"/>
                  <w:vAlign w:val="center"/>
                </w:tcPr>
                <w:p>
                  <w:pPr>
                    <w:pStyle w:val="41"/>
                    <w:rPr>
                      <w:szCs w:val="21"/>
                    </w:rPr>
                  </w:pPr>
                  <w:r>
                    <w:rPr>
                      <w:szCs w:val="21"/>
                    </w:rPr>
                    <w:t>2023.08.18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pPr>
                    <w:pStyle w:val="41"/>
                    <w:rPr>
                      <w:szCs w:val="21"/>
                    </w:rPr>
                  </w:pPr>
                </w:p>
              </w:tc>
              <w:tc>
                <w:tcPr>
                  <w:tcW w:w="0" w:type="auto"/>
                  <w:shd w:val="clear" w:color="auto" w:fill="auto"/>
                  <w:vAlign w:val="center"/>
                </w:tcPr>
                <w:p>
                  <w:pPr>
                    <w:pStyle w:val="41"/>
                    <w:rPr>
                      <w:szCs w:val="21"/>
                    </w:rPr>
                  </w:pPr>
                  <w:r>
                    <w:rPr>
                      <w:szCs w:val="21"/>
                    </w:rPr>
                    <w:t>昼间（Leq）</w:t>
                  </w:r>
                </w:p>
              </w:tc>
              <w:tc>
                <w:tcPr>
                  <w:tcW w:w="0" w:type="auto"/>
                  <w:shd w:val="clear" w:color="auto" w:fill="auto"/>
                  <w:vAlign w:val="center"/>
                </w:tcPr>
                <w:p>
                  <w:pPr>
                    <w:pStyle w:val="41"/>
                    <w:rPr>
                      <w:szCs w:val="21"/>
                    </w:rPr>
                  </w:pPr>
                  <w:r>
                    <w:rPr>
                      <w:szCs w:val="21"/>
                    </w:rPr>
                    <w:t>夜间 Leq）</w:t>
                  </w:r>
                </w:p>
              </w:tc>
              <w:tc>
                <w:tcPr>
                  <w:tcW w:w="0" w:type="auto"/>
                  <w:shd w:val="clear" w:color="auto" w:fill="auto"/>
                  <w:vAlign w:val="center"/>
                </w:tcPr>
                <w:p>
                  <w:pPr>
                    <w:pStyle w:val="41"/>
                    <w:rPr>
                      <w:szCs w:val="21"/>
                    </w:rPr>
                  </w:pPr>
                  <w:r>
                    <w:rPr>
                      <w:szCs w:val="21"/>
                    </w:rPr>
                    <w:t>昼间（Leq）</w:t>
                  </w:r>
                </w:p>
              </w:tc>
              <w:tc>
                <w:tcPr>
                  <w:tcW w:w="0" w:type="auto"/>
                  <w:shd w:val="clear" w:color="auto" w:fill="auto"/>
                  <w:vAlign w:val="center"/>
                </w:tcPr>
                <w:p>
                  <w:pPr>
                    <w:pStyle w:val="41"/>
                    <w:rPr>
                      <w:szCs w:val="21"/>
                    </w:rPr>
                  </w:pPr>
                  <w:r>
                    <w:rPr>
                      <w:szCs w:val="21"/>
                    </w:rPr>
                    <w:t>夜间 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pPr>
                    <w:pStyle w:val="41"/>
                    <w:rPr>
                      <w:szCs w:val="21"/>
                    </w:rPr>
                  </w:pPr>
                  <w:r>
                    <w:rPr>
                      <w:szCs w:val="21"/>
                    </w:rPr>
                    <w:t>N1：上仓村五组居民点</w:t>
                  </w:r>
                </w:p>
              </w:tc>
              <w:tc>
                <w:tcPr>
                  <w:tcW w:w="0" w:type="auto"/>
                  <w:shd w:val="clear" w:color="auto" w:fill="auto"/>
                  <w:vAlign w:val="center"/>
                </w:tcPr>
                <w:p>
                  <w:pPr>
                    <w:pStyle w:val="41"/>
                    <w:rPr>
                      <w:szCs w:val="21"/>
                    </w:rPr>
                  </w:pPr>
                  <w:r>
                    <w:rPr>
                      <w:szCs w:val="21"/>
                    </w:rPr>
                    <w:t>57.2</w:t>
                  </w:r>
                </w:p>
              </w:tc>
              <w:tc>
                <w:tcPr>
                  <w:tcW w:w="0" w:type="auto"/>
                  <w:shd w:val="clear" w:color="auto" w:fill="auto"/>
                  <w:vAlign w:val="center"/>
                </w:tcPr>
                <w:p>
                  <w:pPr>
                    <w:pStyle w:val="41"/>
                    <w:rPr>
                      <w:szCs w:val="21"/>
                    </w:rPr>
                  </w:pPr>
                  <w:r>
                    <w:rPr>
                      <w:szCs w:val="21"/>
                    </w:rPr>
                    <w:t>45.1</w:t>
                  </w:r>
                </w:p>
              </w:tc>
              <w:tc>
                <w:tcPr>
                  <w:tcW w:w="0" w:type="auto"/>
                  <w:shd w:val="clear" w:color="auto" w:fill="auto"/>
                  <w:vAlign w:val="center"/>
                </w:tcPr>
                <w:p>
                  <w:pPr>
                    <w:pStyle w:val="41"/>
                    <w:rPr>
                      <w:szCs w:val="21"/>
                    </w:rPr>
                  </w:pPr>
                  <w:r>
                    <w:rPr>
                      <w:szCs w:val="21"/>
                    </w:rPr>
                    <w:t>56.9</w:t>
                  </w:r>
                </w:p>
              </w:tc>
              <w:tc>
                <w:tcPr>
                  <w:tcW w:w="0" w:type="auto"/>
                  <w:shd w:val="clear" w:color="auto" w:fill="auto"/>
                  <w:vAlign w:val="center"/>
                </w:tcPr>
                <w:p>
                  <w:pPr>
                    <w:pStyle w:val="41"/>
                    <w:rPr>
                      <w:szCs w:val="21"/>
                    </w:rPr>
                  </w:pPr>
                  <w:r>
                    <w:rPr>
                      <w:szCs w:val="21"/>
                    </w:rP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pPr>
                    <w:pStyle w:val="41"/>
                    <w:rPr>
                      <w:szCs w:val="21"/>
                    </w:rPr>
                  </w:pPr>
                  <w:r>
                    <w:rPr>
                      <w:szCs w:val="21"/>
                    </w:rPr>
                    <w:t>N2：向阳村三组居民点</w:t>
                  </w:r>
                </w:p>
              </w:tc>
              <w:tc>
                <w:tcPr>
                  <w:tcW w:w="0" w:type="auto"/>
                  <w:shd w:val="clear" w:color="auto" w:fill="auto"/>
                  <w:vAlign w:val="center"/>
                </w:tcPr>
                <w:p>
                  <w:pPr>
                    <w:pStyle w:val="41"/>
                    <w:rPr>
                      <w:szCs w:val="21"/>
                    </w:rPr>
                  </w:pPr>
                  <w:r>
                    <w:rPr>
                      <w:szCs w:val="21"/>
                    </w:rPr>
                    <w:t>52.4</w:t>
                  </w:r>
                </w:p>
              </w:tc>
              <w:tc>
                <w:tcPr>
                  <w:tcW w:w="0" w:type="auto"/>
                  <w:shd w:val="clear" w:color="auto" w:fill="auto"/>
                  <w:vAlign w:val="center"/>
                </w:tcPr>
                <w:p>
                  <w:pPr>
                    <w:pStyle w:val="41"/>
                    <w:rPr>
                      <w:szCs w:val="21"/>
                    </w:rPr>
                  </w:pPr>
                  <w:r>
                    <w:rPr>
                      <w:szCs w:val="21"/>
                    </w:rPr>
                    <w:t>43.5</w:t>
                  </w:r>
                </w:p>
              </w:tc>
              <w:tc>
                <w:tcPr>
                  <w:tcW w:w="0" w:type="auto"/>
                  <w:shd w:val="clear" w:color="auto" w:fill="auto"/>
                  <w:vAlign w:val="center"/>
                </w:tcPr>
                <w:p>
                  <w:pPr>
                    <w:pStyle w:val="41"/>
                    <w:rPr>
                      <w:szCs w:val="21"/>
                    </w:rPr>
                  </w:pPr>
                  <w:r>
                    <w:rPr>
                      <w:szCs w:val="21"/>
                    </w:rPr>
                    <w:t>53.2</w:t>
                  </w:r>
                </w:p>
              </w:tc>
              <w:tc>
                <w:tcPr>
                  <w:tcW w:w="0" w:type="auto"/>
                  <w:shd w:val="clear" w:color="auto" w:fill="auto"/>
                  <w:vAlign w:val="center"/>
                </w:tcPr>
                <w:p>
                  <w:pPr>
                    <w:pStyle w:val="41"/>
                    <w:rPr>
                      <w:szCs w:val="21"/>
                    </w:rPr>
                  </w:pPr>
                  <w:r>
                    <w:rPr>
                      <w:szCs w:val="21"/>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pPr>
                    <w:pStyle w:val="41"/>
                    <w:rPr>
                      <w:szCs w:val="21"/>
                    </w:rPr>
                  </w:pPr>
                  <w:r>
                    <w:rPr>
                      <w:szCs w:val="21"/>
                    </w:rPr>
                    <w:t>N3：仁寿村十一组居民点</w:t>
                  </w:r>
                </w:p>
              </w:tc>
              <w:tc>
                <w:tcPr>
                  <w:tcW w:w="0" w:type="auto"/>
                  <w:shd w:val="clear" w:color="auto" w:fill="auto"/>
                  <w:vAlign w:val="center"/>
                </w:tcPr>
                <w:p>
                  <w:pPr>
                    <w:pStyle w:val="41"/>
                    <w:rPr>
                      <w:szCs w:val="21"/>
                    </w:rPr>
                  </w:pPr>
                  <w:r>
                    <w:rPr>
                      <w:szCs w:val="21"/>
                    </w:rPr>
                    <w:t>55.6</w:t>
                  </w:r>
                </w:p>
              </w:tc>
              <w:tc>
                <w:tcPr>
                  <w:tcW w:w="0" w:type="auto"/>
                  <w:shd w:val="clear" w:color="auto" w:fill="auto"/>
                  <w:vAlign w:val="center"/>
                </w:tcPr>
                <w:p>
                  <w:pPr>
                    <w:pStyle w:val="41"/>
                    <w:rPr>
                      <w:szCs w:val="21"/>
                    </w:rPr>
                  </w:pPr>
                  <w:r>
                    <w:rPr>
                      <w:szCs w:val="21"/>
                    </w:rPr>
                    <w:t>45.3</w:t>
                  </w:r>
                </w:p>
              </w:tc>
              <w:tc>
                <w:tcPr>
                  <w:tcW w:w="0" w:type="auto"/>
                  <w:shd w:val="clear" w:color="auto" w:fill="auto"/>
                  <w:vAlign w:val="center"/>
                </w:tcPr>
                <w:p>
                  <w:pPr>
                    <w:pStyle w:val="41"/>
                    <w:rPr>
                      <w:szCs w:val="21"/>
                    </w:rPr>
                  </w:pPr>
                  <w:r>
                    <w:rPr>
                      <w:szCs w:val="21"/>
                    </w:rPr>
                    <w:t>56.1</w:t>
                  </w:r>
                </w:p>
              </w:tc>
              <w:tc>
                <w:tcPr>
                  <w:tcW w:w="0" w:type="auto"/>
                  <w:shd w:val="clear" w:color="auto" w:fill="auto"/>
                  <w:vAlign w:val="center"/>
                </w:tcPr>
                <w:p>
                  <w:pPr>
                    <w:pStyle w:val="41"/>
                    <w:rPr>
                      <w:szCs w:val="21"/>
                    </w:rPr>
                  </w:pPr>
                  <w:r>
                    <w:rPr>
                      <w:szCs w:val="21"/>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pPr>
                    <w:pStyle w:val="41"/>
                    <w:rPr>
                      <w:szCs w:val="21"/>
                    </w:rPr>
                  </w:pPr>
                  <w:r>
                    <w:rPr>
                      <w:szCs w:val="21"/>
                    </w:rPr>
                    <w:t>N4：金沙台村金沙洲居民点</w:t>
                  </w:r>
                </w:p>
              </w:tc>
              <w:tc>
                <w:tcPr>
                  <w:tcW w:w="0" w:type="auto"/>
                  <w:shd w:val="clear" w:color="auto" w:fill="auto"/>
                  <w:vAlign w:val="center"/>
                </w:tcPr>
                <w:p>
                  <w:pPr>
                    <w:pStyle w:val="41"/>
                    <w:rPr>
                      <w:szCs w:val="21"/>
                    </w:rPr>
                  </w:pPr>
                  <w:r>
                    <w:rPr>
                      <w:szCs w:val="21"/>
                    </w:rPr>
                    <w:t>52.1</w:t>
                  </w:r>
                </w:p>
              </w:tc>
              <w:tc>
                <w:tcPr>
                  <w:tcW w:w="0" w:type="auto"/>
                  <w:shd w:val="clear" w:color="auto" w:fill="auto"/>
                  <w:vAlign w:val="center"/>
                </w:tcPr>
                <w:p>
                  <w:pPr>
                    <w:pStyle w:val="41"/>
                    <w:rPr>
                      <w:szCs w:val="21"/>
                    </w:rPr>
                  </w:pPr>
                  <w:r>
                    <w:rPr>
                      <w:szCs w:val="21"/>
                    </w:rPr>
                    <w:t>42.3</w:t>
                  </w:r>
                </w:p>
              </w:tc>
              <w:tc>
                <w:tcPr>
                  <w:tcW w:w="0" w:type="auto"/>
                  <w:shd w:val="clear" w:color="auto" w:fill="auto"/>
                  <w:vAlign w:val="center"/>
                </w:tcPr>
                <w:p>
                  <w:pPr>
                    <w:pStyle w:val="41"/>
                    <w:rPr>
                      <w:szCs w:val="21"/>
                    </w:rPr>
                  </w:pPr>
                  <w:r>
                    <w:rPr>
                      <w:szCs w:val="21"/>
                    </w:rPr>
                    <w:t>51.9</w:t>
                  </w:r>
                </w:p>
              </w:tc>
              <w:tc>
                <w:tcPr>
                  <w:tcW w:w="0" w:type="auto"/>
                  <w:shd w:val="clear" w:color="auto" w:fill="auto"/>
                  <w:vAlign w:val="center"/>
                </w:tcPr>
                <w:p>
                  <w:pPr>
                    <w:pStyle w:val="41"/>
                    <w:rPr>
                      <w:szCs w:val="21"/>
                    </w:rPr>
                  </w:pPr>
                  <w:r>
                    <w:rPr>
                      <w:szCs w:val="21"/>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pPr>
                    <w:pStyle w:val="41"/>
                    <w:rPr>
                      <w:szCs w:val="21"/>
                    </w:rPr>
                  </w:pPr>
                  <w:r>
                    <w:rPr>
                      <w:szCs w:val="21"/>
                    </w:rPr>
                    <w:t>N5：白沙村二组居民点</w:t>
                  </w:r>
                </w:p>
              </w:tc>
              <w:tc>
                <w:tcPr>
                  <w:tcW w:w="0" w:type="auto"/>
                  <w:shd w:val="clear" w:color="auto" w:fill="auto"/>
                  <w:vAlign w:val="center"/>
                </w:tcPr>
                <w:p>
                  <w:pPr>
                    <w:pStyle w:val="41"/>
                    <w:rPr>
                      <w:szCs w:val="21"/>
                    </w:rPr>
                  </w:pPr>
                  <w:r>
                    <w:rPr>
                      <w:szCs w:val="21"/>
                    </w:rPr>
                    <w:t>56.7</w:t>
                  </w:r>
                </w:p>
              </w:tc>
              <w:tc>
                <w:tcPr>
                  <w:tcW w:w="0" w:type="auto"/>
                  <w:shd w:val="clear" w:color="auto" w:fill="auto"/>
                  <w:vAlign w:val="center"/>
                </w:tcPr>
                <w:p>
                  <w:pPr>
                    <w:pStyle w:val="41"/>
                    <w:rPr>
                      <w:szCs w:val="21"/>
                    </w:rPr>
                  </w:pPr>
                  <w:r>
                    <w:rPr>
                      <w:szCs w:val="21"/>
                    </w:rPr>
                    <w:t>44.2</w:t>
                  </w:r>
                </w:p>
              </w:tc>
              <w:tc>
                <w:tcPr>
                  <w:tcW w:w="0" w:type="auto"/>
                  <w:shd w:val="clear" w:color="auto" w:fill="auto"/>
                  <w:vAlign w:val="center"/>
                </w:tcPr>
                <w:p>
                  <w:pPr>
                    <w:pStyle w:val="41"/>
                    <w:rPr>
                      <w:szCs w:val="21"/>
                    </w:rPr>
                  </w:pPr>
                  <w:r>
                    <w:rPr>
                      <w:szCs w:val="21"/>
                    </w:rPr>
                    <w:t>55.8</w:t>
                  </w:r>
                </w:p>
              </w:tc>
              <w:tc>
                <w:tcPr>
                  <w:tcW w:w="0" w:type="auto"/>
                  <w:shd w:val="clear" w:color="auto" w:fill="auto"/>
                  <w:vAlign w:val="center"/>
                </w:tcPr>
                <w:p>
                  <w:pPr>
                    <w:pStyle w:val="41"/>
                    <w:rPr>
                      <w:szCs w:val="21"/>
                    </w:rPr>
                  </w:pPr>
                  <w:r>
                    <w:rPr>
                      <w:szCs w:val="21"/>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pPr>
                    <w:pStyle w:val="41"/>
                    <w:rPr>
                      <w:szCs w:val="21"/>
                    </w:rPr>
                  </w:pPr>
                  <w:r>
                    <w:rPr>
                      <w:szCs w:val="21"/>
                    </w:rPr>
                    <w:t>N6：双湖村十二组居民点</w:t>
                  </w:r>
                </w:p>
              </w:tc>
              <w:tc>
                <w:tcPr>
                  <w:tcW w:w="0" w:type="auto"/>
                  <w:shd w:val="clear" w:color="auto" w:fill="auto"/>
                  <w:vAlign w:val="center"/>
                </w:tcPr>
                <w:p>
                  <w:pPr>
                    <w:pStyle w:val="41"/>
                    <w:rPr>
                      <w:szCs w:val="21"/>
                    </w:rPr>
                  </w:pPr>
                  <w:r>
                    <w:rPr>
                      <w:szCs w:val="21"/>
                    </w:rPr>
                    <w:t>55.6</w:t>
                  </w:r>
                </w:p>
              </w:tc>
              <w:tc>
                <w:tcPr>
                  <w:tcW w:w="0" w:type="auto"/>
                  <w:shd w:val="clear" w:color="auto" w:fill="auto"/>
                  <w:vAlign w:val="center"/>
                </w:tcPr>
                <w:p>
                  <w:pPr>
                    <w:pStyle w:val="41"/>
                    <w:rPr>
                      <w:szCs w:val="21"/>
                    </w:rPr>
                  </w:pPr>
                  <w:r>
                    <w:rPr>
                      <w:szCs w:val="21"/>
                    </w:rPr>
                    <w:t>42.8</w:t>
                  </w:r>
                </w:p>
              </w:tc>
              <w:tc>
                <w:tcPr>
                  <w:tcW w:w="0" w:type="auto"/>
                  <w:shd w:val="clear" w:color="auto" w:fill="auto"/>
                  <w:vAlign w:val="center"/>
                </w:tcPr>
                <w:p>
                  <w:pPr>
                    <w:pStyle w:val="41"/>
                    <w:rPr>
                      <w:szCs w:val="21"/>
                    </w:rPr>
                  </w:pPr>
                  <w:r>
                    <w:rPr>
                      <w:szCs w:val="21"/>
                    </w:rPr>
                    <w:t>55.8</w:t>
                  </w:r>
                </w:p>
              </w:tc>
              <w:tc>
                <w:tcPr>
                  <w:tcW w:w="0" w:type="auto"/>
                  <w:shd w:val="clear" w:color="auto" w:fill="auto"/>
                  <w:vAlign w:val="center"/>
                </w:tcPr>
                <w:p>
                  <w:pPr>
                    <w:pStyle w:val="41"/>
                    <w:rPr>
                      <w:szCs w:val="21"/>
                    </w:rPr>
                  </w:pPr>
                  <w:r>
                    <w:rPr>
                      <w:szCs w:val="21"/>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pPr>
                    <w:pStyle w:val="41"/>
                    <w:rPr>
                      <w:b/>
                      <w:bCs/>
                      <w:szCs w:val="21"/>
                    </w:rPr>
                  </w:pPr>
                  <w:r>
                    <w:rPr>
                      <w:b/>
                      <w:bCs/>
                      <w:szCs w:val="21"/>
                    </w:rPr>
                    <w:t>《声环境质量标准》（GB 3096-2008） 表 1 中 2 类标准</w:t>
                  </w:r>
                </w:p>
              </w:tc>
              <w:tc>
                <w:tcPr>
                  <w:tcW w:w="0" w:type="auto"/>
                  <w:shd w:val="clear" w:color="auto" w:fill="auto"/>
                  <w:vAlign w:val="center"/>
                </w:tcPr>
                <w:p>
                  <w:pPr>
                    <w:pStyle w:val="41"/>
                    <w:rPr>
                      <w:b/>
                      <w:bCs/>
                      <w:szCs w:val="21"/>
                    </w:rPr>
                  </w:pPr>
                  <w:r>
                    <w:rPr>
                      <w:b/>
                      <w:bCs/>
                      <w:szCs w:val="21"/>
                    </w:rPr>
                    <w:t>60</w:t>
                  </w:r>
                </w:p>
              </w:tc>
              <w:tc>
                <w:tcPr>
                  <w:tcW w:w="0" w:type="auto"/>
                  <w:shd w:val="clear" w:color="auto" w:fill="auto"/>
                  <w:vAlign w:val="center"/>
                </w:tcPr>
                <w:p>
                  <w:pPr>
                    <w:pStyle w:val="41"/>
                    <w:rPr>
                      <w:b/>
                      <w:bCs/>
                      <w:szCs w:val="21"/>
                    </w:rPr>
                  </w:pPr>
                  <w:r>
                    <w:rPr>
                      <w:b/>
                      <w:bCs/>
                      <w:szCs w:val="21"/>
                    </w:rPr>
                    <w:t>50</w:t>
                  </w:r>
                </w:p>
              </w:tc>
              <w:tc>
                <w:tcPr>
                  <w:tcW w:w="0" w:type="auto"/>
                  <w:shd w:val="clear" w:color="auto" w:fill="auto"/>
                  <w:vAlign w:val="center"/>
                </w:tcPr>
                <w:p>
                  <w:pPr>
                    <w:pStyle w:val="41"/>
                    <w:rPr>
                      <w:b/>
                      <w:bCs/>
                      <w:szCs w:val="21"/>
                    </w:rPr>
                  </w:pPr>
                  <w:r>
                    <w:rPr>
                      <w:b/>
                      <w:bCs/>
                      <w:szCs w:val="21"/>
                    </w:rPr>
                    <w:t>60</w:t>
                  </w:r>
                </w:p>
              </w:tc>
              <w:tc>
                <w:tcPr>
                  <w:tcW w:w="0" w:type="auto"/>
                  <w:shd w:val="clear" w:color="auto" w:fill="auto"/>
                  <w:vAlign w:val="center"/>
                </w:tcPr>
                <w:p>
                  <w:pPr>
                    <w:pStyle w:val="41"/>
                    <w:rPr>
                      <w:b/>
                      <w:bCs/>
                      <w:szCs w:val="21"/>
                    </w:rPr>
                  </w:pPr>
                  <w:r>
                    <w:rPr>
                      <w:b/>
                      <w:bCs/>
                      <w:szCs w:val="21"/>
                    </w:rPr>
                    <w:t>50</w:t>
                  </w:r>
                </w:p>
              </w:tc>
            </w:tr>
          </w:tbl>
          <w:p>
            <w:pPr>
              <w:pStyle w:val="34"/>
              <w:ind w:firstLine="480"/>
            </w:pPr>
            <w:r>
              <w:rPr>
                <w:rFonts w:hint="eastAsia"/>
              </w:rPr>
              <w:t>根据监测结果可知，鼻湖周边所有声环境质量监测点昼间、夜间声环境质量现状均能满足《声环境质量标准》（GB</w:t>
            </w:r>
            <w:r>
              <w:t>3096-2008</w:t>
            </w:r>
            <w:r>
              <w:rPr>
                <w:rFonts w:hint="eastAsia"/>
              </w:rPr>
              <w:t>）表1中2类标准。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831" w:type="dxa"/>
            <w:vAlign w:val="center"/>
          </w:tcPr>
          <w:p>
            <w:pPr>
              <w:pStyle w:val="41"/>
            </w:pPr>
            <w:r>
              <w:rPr>
                <w:rFonts w:hint="eastAsia"/>
                <w:bCs/>
              </w:rPr>
              <w:t>与项目有关的原有环境污染和生态破坏问题</w:t>
            </w:r>
          </w:p>
        </w:tc>
        <w:tc>
          <w:tcPr>
            <w:tcW w:w="8326" w:type="dxa"/>
            <w:vAlign w:val="center"/>
          </w:tcPr>
          <w:p>
            <w:pPr>
              <w:pStyle w:val="34"/>
              <w:ind w:firstLine="480"/>
            </w:pPr>
            <w:r>
              <w:rPr>
                <w:rFonts w:hint="eastAsia"/>
              </w:rPr>
              <w:t>鼻湖属洞庭湖水系，是湘阴县生态发展和人民生产生活的主要湖泊。由于湖泊常年的缺乏管理和历史混乱开采原因，部分地段是无堤无坝的自然状态，湖泊防洪能力低，洪水期，湖泊两岸垮塌严重，造成了巨大的损失。加上鼻湖的养殖业，农业面源污染等已严重影响了湖泊的水质。</w:t>
            </w:r>
          </w:p>
          <w:p>
            <w:pPr>
              <w:pStyle w:val="34"/>
              <w:ind w:firstLine="480"/>
            </w:pPr>
            <w:r>
              <w:rPr>
                <w:rFonts w:hint="eastAsia"/>
              </w:rPr>
              <w:t>根据地表水环境质量现状监测结果和鼻湖底泥质量监测结果，各监测点位（断面）均出现了不同程度的超标，鼻湖及周边沟渠水质环境相对较差，亟须治理。因此，才有了本项目的实施。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31" w:type="dxa"/>
            <w:vAlign w:val="center"/>
          </w:tcPr>
          <w:p>
            <w:pPr>
              <w:pStyle w:val="41"/>
            </w:pPr>
            <w:r>
              <w:rPr>
                <w:rFonts w:hint="eastAsia"/>
              </w:rPr>
              <w:t>生态环境保护目标</w:t>
            </w:r>
          </w:p>
        </w:tc>
        <w:tc>
          <w:tcPr>
            <w:tcW w:w="8326" w:type="dxa"/>
            <w:vAlign w:val="center"/>
          </w:tcPr>
          <w:p>
            <w:pPr>
              <w:pStyle w:val="34"/>
              <w:ind w:firstLine="480"/>
            </w:pPr>
            <w:r>
              <w:rPr>
                <w:rFonts w:hint="eastAsia"/>
              </w:rPr>
              <w:t>1、环境空气保护目标</w:t>
            </w:r>
          </w:p>
          <w:p>
            <w:pPr>
              <w:pStyle w:val="34"/>
              <w:ind w:firstLine="480"/>
            </w:pPr>
            <w:r>
              <w:rPr>
                <w:rFonts w:hint="eastAsia"/>
              </w:rPr>
              <w:t>本次调查鼻湖及治理干渠周边5</w:t>
            </w:r>
            <w:r>
              <w:t>00</w:t>
            </w:r>
            <w:r>
              <w:rPr>
                <w:rFonts w:hint="eastAsia"/>
              </w:rPr>
              <w:t>m范围内环境空气保护目标，具体如下：</w:t>
            </w:r>
          </w:p>
          <w:p>
            <w:pPr>
              <w:pStyle w:val="39"/>
              <w:spacing w:before="156"/>
            </w:pPr>
            <w:r>
              <w:rPr>
                <w:rFonts w:hint="eastAsia"/>
              </w:rPr>
              <w:t>表3</w:t>
            </w:r>
            <w:r>
              <w:t xml:space="preserve">-5  </w:t>
            </w:r>
            <w:r>
              <w:rPr>
                <w:rFonts w:hint="eastAsia"/>
              </w:rPr>
              <w:t>环境空气保护目标一览表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50"/>
              <w:gridCol w:w="1177"/>
              <w:gridCol w:w="1068"/>
              <w:gridCol w:w="561"/>
              <w:gridCol w:w="1057"/>
              <w:gridCol w:w="561"/>
              <w:gridCol w:w="809"/>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Merge w:val="restart"/>
                  <w:vAlign w:val="center"/>
                </w:tcPr>
                <w:p>
                  <w:pPr>
                    <w:pStyle w:val="41"/>
                  </w:pPr>
                  <w:r>
                    <w:rPr>
                      <w:rFonts w:hint="eastAsia"/>
                    </w:rPr>
                    <w:t>名称</w:t>
                  </w:r>
                </w:p>
              </w:tc>
              <w:tc>
                <w:tcPr>
                  <w:tcW w:w="1386" w:type="pct"/>
                  <w:gridSpan w:val="2"/>
                  <w:vAlign w:val="center"/>
                </w:tcPr>
                <w:p>
                  <w:pPr>
                    <w:pStyle w:val="41"/>
                  </w:pPr>
                  <w:r>
                    <w:rPr>
                      <w:rFonts w:hint="eastAsia"/>
                    </w:rPr>
                    <w:t>坐标</w:t>
                  </w:r>
                </w:p>
              </w:tc>
              <w:tc>
                <w:tcPr>
                  <w:tcW w:w="346" w:type="pct"/>
                  <w:vMerge w:val="restart"/>
                  <w:vAlign w:val="center"/>
                </w:tcPr>
                <w:p>
                  <w:pPr>
                    <w:pStyle w:val="41"/>
                  </w:pPr>
                  <w:r>
                    <w:rPr>
                      <w:rFonts w:hint="eastAsia"/>
                    </w:rPr>
                    <w:t>保护</w:t>
                  </w:r>
                </w:p>
                <w:p>
                  <w:pPr>
                    <w:pStyle w:val="41"/>
                  </w:pPr>
                  <w:r>
                    <w:rPr>
                      <w:rFonts w:hint="eastAsia"/>
                    </w:rPr>
                    <w:t>内容</w:t>
                  </w:r>
                </w:p>
              </w:tc>
              <w:tc>
                <w:tcPr>
                  <w:tcW w:w="652" w:type="pct"/>
                  <w:vMerge w:val="restart"/>
                  <w:vAlign w:val="center"/>
                </w:tcPr>
                <w:p>
                  <w:pPr>
                    <w:pStyle w:val="41"/>
                  </w:pPr>
                  <w:r>
                    <w:rPr>
                      <w:rFonts w:hint="eastAsia"/>
                    </w:rPr>
                    <w:t>保护对象</w:t>
                  </w:r>
                </w:p>
              </w:tc>
              <w:tc>
                <w:tcPr>
                  <w:tcW w:w="346" w:type="pct"/>
                  <w:vMerge w:val="restart"/>
                </w:tcPr>
                <w:p>
                  <w:pPr>
                    <w:pStyle w:val="41"/>
                  </w:pPr>
                  <w:r>
                    <w:rPr>
                      <w:rFonts w:hint="eastAsia"/>
                    </w:rPr>
                    <w:t>环境</w:t>
                  </w:r>
                </w:p>
                <w:p>
                  <w:pPr>
                    <w:pStyle w:val="41"/>
                  </w:pPr>
                  <w:r>
                    <w:rPr>
                      <w:rFonts w:hint="eastAsia"/>
                    </w:rPr>
                    <w:t>功能</w:t>
                  </w:r>
                </w:p>
              </w:tc>
              <w:tc>
                <w:tcPr>
                  <w:tcW w:w="499" w:type="pct"/>
                  <w:vMerge w:val="restart"/>
                  <w:vAlign w:val="center"/>
                </w:tcPr>
                <w:p>
                  <w:pPr>
                    <w:pStyle w:val="41"/>
                  </w:pPr>
                  <w:r>
                    <w:rPr>
                      <w:rFonts w:hint="eastAsia"/>
                    </w:rPr>
                    <w:t>相对鼻</w:t>
                  </w:r>
                </w:p>
                <w:p>
                  <w:pPr>
                    <w:pStyle w:val="41"/>
                  </w:pPr>
                  <w:r>
                    <w:rPr>
                      <w:rFonts w:hint="eastAsia"/>
                    </w:rPr>
                    <w:t>湖方位</w:t>
                  </w:r>
                </w:p>
              </w:tc>
              <w:tc>
                <w:tcPr>
                  <w:tcW w:w="813" w:type="pct"/>
                  <w:vMerge w:val="restart"/>
                  <w:vAlign w:val="center"/>
                </w:tcPr>
                <w:p>
                  <w:pPr>
                    <w:pStyle w:val="41"/>
                  </w:pPr>
                  <w:r>
                    <w:rPr>
                      <w:rFonts w:hint="eastAsia"/>
                    </w:rPr>
                    <w:t>相对工程区</w:t>
                  </w:r>
                </w:p>
                <w:p>
                  <w:pPr>
                    <w:pStyle w:val="41"/>
                  </w:pPr>
                  <w:r>
                    <w:rPr>
                      <w:rFonts w:hint="eastAsia"/>
                    </w:rPr>
                    <w:t>边界距离/m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Merge w:val="continue"/>
                  <w:vAlign w:val="center"/>
                </w:tcPr>
                <w:p>
                  <w:pPr>
                    <w:pStyle w:val="41"/>
                  </w:pPr>
                </w:p>
              </w:tc>
              <w:tc>
                <w:tcPr>
                  <w:tcW w:w="727" w:type="pct"/>
                  <w:vAlign w:val="center"/>
                </w:tcPr>
                <w:p>
                  <w:pPr>
                    <w:pStyle w:val="41"/>
                  </w:pPr>
                  <w:r>
                    <w:rPr>
                      <w:rFonts w:hint="eastAsia"/>
                    </w:rPr>
                    <w:t>东经</w:t>
                  </w:r>
                </w:p>
              </w:tc>
              <w:tc>
                <w:tcPr>
                  <w:tcW w:w="659" w:type="pct"/>
                  <w:vAlign w:val="center"/>
                </w:tcPr>
                <w:p>
                  <w:pPr>
                    <w:pStyle w:val="41"/>
                  </w:pPr>
                  <w:r>
                    <w:rPr>
                      <w:rFonts w:hint="eastAsia"/>
                    </w:rPr>
                    <w:t>北纬</w:t>
                  </w:r>
                </w:p>
              </w:tc>
              <w:tc>
                <w:tcPr>
                  <w:tcW w:w="346" w:type="pct"/>
                  <w:vMerge w:val="continue"/>
                  <w:vAlign w:val="center"/>
                </w:tcPr>
                <w:p>
                  <w:pPr>
                    <w:pStyle w:val="41"/>
                  </w:pPr>
                </w:p>
              </w:tc>
              <w:tc>
                <w:tcPr>
                  <w:tcW w:w="652" w:type="pct"/>
                  <w:vMerge w:val="continue"/>
                  <w:vAlign w:val="center"/>
                </w:tcPr>
                <w:p>
                  <w:pPr>
                    <w:pStyle w:val="41"/>
                  </w:pPr>
                </w:p>
              </w:tc>
              <w:tc>
                <w:tcPr>
                  <w:tcW w:w="346" w:type="pct"/>
                  <w:vMerge w:val="continue"/>
                </w:tcPr>
                <w:p>
                  <w:pPr>
                    <w:pStyle w:val="41"/>
                  </w:pPr>
                </w:p>
              </w:tc>
              <w:tc>
                <w:tcPr>
                  <w:tcW w:w="499" w:type="pct"/>
                  <w:vMerge w:val="continue"/>
                  <w:vAlign w:val="center"/>
                </w:tcPr>
                <w:p>
                  <w:pPr>
                    <w:pStyle w:val="41"/>
                  </w:pPr>
                </w:p>
              </w:tc>
              <w:tc>
                <w:tcPr>
                  <w:tcW w:w="813"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上仓村五组</w:t>
                  </w:r>
                </w:p>
              </w:tc>
              <w:tc>
                <w:tcPr>
                  <w:tcW w:w="727" w:type="pct"/>
                  <w:vAlign w:val="bottom"/>
                </w:tcPr>
                <w:p>
                  <w:pPr>
                    <w:pStyle w:val="41"/>
                  </w:pPr>
                  <w:r>
                    <w:rPr>
                      <w:sz w:val="20"/>
                      <w:szCs w:val="20"/>
                    </w:rPr>
                    <w:t>112.770176</w:t>
                  </w:r>
                </w:p>
              </w:tc>
              <w:tc>
                <w:tcPr>
                  <w:tcW w:w="659" w:type="pct"/>
                  <w:vAlign w:val="bottom"/>
                </w:tcPr>
                <w:p>
                  <w:pPr>
                    <w:pStyle w:val="41"/>
                  </w:pPr>
                  <w:r>
                    <w:rPr>
                      <w:sz w:val="20"/>
                      <w:szCs w:val="20"/>
                    </w:rPr>
                    <w:t>28.607011</w:t>
                  </w:r>
                </w:p>
              </w:tc>
              <w:tc>
                <w:tcPr>
                  <w:tcW w:w="346" w:type="pct"/>
                  <w:vAlign w:val="center"/>
                </w:tcPr>
                <w:p>
                  <w:pPr>
                    <w:pStyle w:val="41"/>
                  </w:pPr>
                  <w:r>
                    <w:rPr>
                      <w:rFonts w:hint="eastAsia"/>
                    </w:rPr>
                    <w:t>居民</w:t>
                  </w:r>
                </w:p>
              </w:tc>
              <w:tc>
                <w:tcPr>
                  <w:tcW w:w="652" w:type="pct"/>
                  <w:vAlign w:val="center"/>
                </w:tcPr>
                <w:p>
                  <w:pPr>
                    <w:pStyle w:val="41"/>
                  </w:pPr>
                  <w:r>
                    <w:t>约100人</w:t>
                  </w:r>
                </w:p>
              </w:tc>
              <w:tc>
                <w:tcPr>
                  <w:tcW w:w="346" w:type="pct"/>
                </w:tcPr>
                <w:p>
                  <w:pPr>
                    <w:pStyle w:val="41"/>
                  </w:pPr>
                  <w:r>
                    <w:rPr>
                      <w:rFonts w:hint="eastAsia"/>
                    </w:rPr>
                    <w:t>2类</w:t>
                  </w:r>
                </w:p>
              </w:tc>
              <w:tc>
                <w:tcPr>
                  <w:tcW w:w="499" w:type="pct"/>
                  <w:vAlign w:val="center"/>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上仓村四组</w:t>
                  </w:r>
                </w:p>
              </w:tc>
              <w:tc>
                <w:tcPr>
                  <w:tcW w:w="727" w:type="pct"/>
                  <w:vAlign w:val="bottom"/>
                </w:tcPr>
                <w:p>
                  <w:pPr>
                    <w:pStyle w:val="41"/>
                  </w:pPr>
                  <w:r>
                    <w:rPr>
                      <w:sz w:val="20"/>
                      <w:szCs w:val="20"/>
                    </w:rPr>
                    <w:t>112.774687</w:t>
                  </w:r>
                </w:p>
              </w:tc>
              <w:tc>
                <w:tcPr>
                  <w:tcW w:w="659" w:type="pct"/>
                  <w:vAlign w:val="bottom"/>
                </w:tcPr>
                <w:p>
                  <w:pPr>
                    <w:pStyle w:val="41"/>
                  </w:pPr>
                  <w:r>
                    <w:rPr>
                      <w:sz w:val="20"/>
                      <w:szCs w:val="20"/>
                    </w:rPr>
                    <w:t>28.606897</w:t>
                  </w:r>
                </w:p>
              </w:tc>
              <w:tc>
                <w:tcPr>
                  <w:tcW w:w="346" w:type="pct"/>
                </w:tcPr>
                <w:p>
                  <w:pPr>
                    <w:pStyle w:val="41"/>
                  </w:pPr>
                  <w:r>
                    <w:rPr>
                      <w:rFonts w:hint="eastAsia"/>
                    </w:rPr>
                    <w:t>居民</w:t>
                  </w:r>
                </w:p>
              </w:tc>
              <w:tc>
                <w:tcPr>
                  <w:tcW w:w="652" w:type="pct"/>
                  <w:vAlign w:val="center"/>
                </w:tcPr>
                <w:p>
                  <w:pPr>
                    <w:pStyle w:val="41"/>
                  </w:pPr>
                  <w:r>
                    <w:t>约80人</w:t>
                  </w:r>
                </w:p>
              </w:tc>
              <w:tc>
                <w:tcPr>
                  <w:tcW w:w="346" w:type="pct"/>
                </w:tcPr>
                <w:p>
                  <w:pPr>
                    <w:pStyle w:val="41"/>
                  </w:pPr>
                  <w:r>
                    <w:rPr>
                      <w:rFonts w:hint="eastAsia"/>
                    </w:rPr>
                    <w:t>2类</w:t>
                  </w:r>
                </w:p>
              </w:tc>
              <w:tc>
                <w:tcPr>
                  <w:tcW w:w="499" w:type="pct"/>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上仓村七组</w:t>
                  </w:r>
                </w:p>
              </w:tc>
              <w:tc>
                <w:tcPr>
                  <w:tcW w:w="727" w:type="pct"/>
                  <w:vAlign w:val="bottom"/>
                </w:tcPr>
                <w:p>
                  <w:pPr>
                    <w:pStyle w:val="41"/>
                  </w:pPr>
                  <w:r>
                    <w:rPr>
                      <w:sz w:val="20"/>
                      <w:szCs w:val="20"/>
                    </w:rPr>
                    <w:t>112.772536</w:t>
                  </w:r>
                </w:p>
              </w:tc>
              <w:tc>
                <w:tcPr>
                  <w:tcW w:w="659" w:type="pct"/>
                  <w:vAlign w:val="bottom"/>
                </w:tcPr>
                <w:p>
                  <w:pPr>
                    <w:pStyle w:val="41"/>
                  </w:pPr>
                  <w:r>
                    <w:rPr>
                      <w:sz w:val="20"/>
                      <w:szCs w:val="20"/>
                    </w:rPr>
                    <w:t>28.603109</w:t>
                  </w:r>
                </w:p>
              </w:tc>
              <w:tc>
                <w:tcPr>
                  <w:tcW w:w="346" w:type="pct"/>
                </w:tcPr>
                <w:p>
                  <w:pPr>
                    <w:pStyle w:val="41"/>
                  </w:pPr>
                  <w:r>
                    <w:rPr>
                      <w:rFonts w:hint="eastAsia"/>
                    </w:rPr>
                    <w:t>居民</w:t>
                  </w:r>
                </w:p>
              </w:tc>
              <w:tc>
                <w:tcPr>
                  <w:tcW w:w="652" w:type="pct"/>
                  <w:vAlign w:val="center"/>
                </w:tcPr>
                <w:p>
                  <w:pPr>
                    <w:pStyle w:val="41"/>
                  </w:pPr>
                  <w:r>
                    <w:t>约100人</w:t>
                  </w:r>
                </w:p>
              </w:tc>
              <w:tc>
                <w:tcPr>
                  <w:tcW w:w="346" w:type="pct"/>
                </w:tcPr>
                <w:p>
                  <w:pPr>
                    <w:pStyle w:val="41"/>
                  </w:pPr>
                  <w:r>
                    <w:rPr>
                      <w:rFonts w:hint="eastAsia"/>
                    </w:rPr>
                    <w:t>2类</w:t>
                  </w:r>
                </w:p>
              </w:tc>
              <w:tc>
                <w:tcPr>
                  <w:tcW w:w="499" w:type="pct"/>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双华村十一组</w:t>
                  </w:r>
                </w:p>
              </w:tc>
              <w:tc>
                <w:tcPr>
                  <w:tcW w:w="727" w:type="pct"/>
                  <w:vAlign w:val="bottom"/>
                </w:tcPr>
                <w:p>
                  <w:pPr>
                    <w:pStyle w:val="41"/>
                  </w:pPr>
                  <w:r>
                    <w:rPr>
                      <w:sz w:val="20"/>
                      <w:szCs w:val="20"/>
                    </w:rPr>
                    <w:t>112.781350</w:t>
                  </w:r>
                </w:p>
              </w:tc>
              <w:tc>
                <w:tcPr>
                  <w:tcW w:w="659" w:type="pct"/>
                  <w:vAlign w:val="bottom"/>
                </w:tcPr>
                <w:p>
                  <w:pPr>
                    <w:pStyle w:val="41"/>
                  </w:pPr>
                  <w:r>
                    <w:rPr>
                      <w:sz w:val="20"/>
                      <w:szCs w:val="20"/>
                    </w:rPr>
                    <w:t>28.603623</w:t>
                  </w:r>
                </w:p>
              </w:tc>
              <w:tc>
                <w:tcPr>
                  <w:tcW w:w="346" w:type="pct"/>
                </w:tcPr>
                <w:p>
                  <w:pPr>
                    <w:pStyle w:val="41"/>
                  </w:pPr>
                  <w:r>
                    <w:rPr>
                      <w:rFonts w:hint="eastAsia"/>
                    </w:rPr>
                    <w:t>居民</w:t>
                  </w:r>
                </w:p>
              </w:tc>
              <w:tc>
                <w:tcPr>
                  <w:tcW w:w="652" w:type="pct"/>
                  <w:vAlign w:val="center"/>
                </w:tcPr>
                <w:p>
                  <w:pPr>
                    <w:pStyle w:val="41"/>
                  </w:pPr>
                  <w:r>
                    <w:t>约100人</w:t>
                  </w:r>
                </w:p>
              </w:tc>
              <w:tc>
                <w:tcPr>
                  <w:tcW w:w="346" w:type="pct"/>
                </w:tcPr>
                <w:p>
                  <w:pPr>
                    <w:pStyle w:val="41"/>
                  </w:pPr>
                  <w:r>
                    <w:rPr>
                      <w:rFonts w:hint="eastAsia"/>
                    </w:rPr>
                    <w:t>2类</w:t>
                  </w:r>
                </w:p>
              </w:tc>
              <w:tc>
                <w:tcPr>
                  <w:tcW w:w="499" w:type="pct"/>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吴家湾</w:t>
                  </w:r>
                </w:p>
              </w:tc>
              <w:tc>
                <w:tcPr>
                  <w:tcW w:w="727" w:type="pct"/>
                  <w:vAlign w:val="bottom"/>
                </w:tcPr>
                <w:p>
                  <w:pPr>
                    <w:pStyle w:val="41"/>
                  </w:pPr>
                  <w:r>
                    <w:rPr>
                      <w:sz w:val="20"/>
                      <w:szCs w:val="20"/>
                    </w:rPr>
                    <w:t>112.787727</w:t>
                  </w:r>
                </w:p>
              </w:tc>
              <w:tc>
                <w:tcPr>
                  <w:tcW w:w="659" w:type="pct"/>
                  <w:vAlign w:val="bottom"/>
                </w:tcPr>
                <w:p>
                  <w:pPr>
                    <w:pStyle w:val="41"/>
                  </w:pPr>
                  <w:r>
                    <w:rPr>
                      <w:sz w:val="20"/>
                      <w:szCs w:val="20"/>
                    </w:rPr>
                    <w:t>28.609029</w:t>
                  </w:r>
                </w:p>
              </w:tc>
              <w:tc>
                <w:tcPr>
                  <w:tcW w:w="346" w:type="pct"/>
                </w:tcPr>
                <w:p>
                  <w:pPr>
                    <w:pStyle w:val="41"/>
                  </w:pPr>
                  <w:r>
                    <w:rPr>
                      <w:rFonts w:hint="eastAsia"/>
                    </w:rPr>
                    <w:t>居民</w:t>
                  </w:r>
                </w:p>
              </w:tc>
              <w:tc>
                <w:tcPr>
                  <w:tcW w:w="652" w:type="pct"/>
                  <w:vAlign w:val="center"/>
                </w:tcPr>
                <w:p>
                  <w:pPr>
                    <w:pStyle w:val="41"/>
                  </w:pPr>
                  <w:r>
                    <w:t>约110人</w:t>
                  </w:r>
                </w:p>
              </w:tc>
              <w:tc>
                <w:tcPr>
                  <w:tcW w:w="346" w:type="pct"/>
                </w:tcPr>
                <w:p>
                  <w:pPr>
                    <w:pStyle w:val="41"/>
                  </w:pPr>
                  <w:r>
                    <w:rPr>
                      <w:rFonts w:hint="eastAsia"/>
                    </w:rPr>
                    <w:t>2类</w:t>
                  </w:r>
                </w:p>
              </w:tc>
              <w:tc>
                <w:tcPr>
                  <w:tcW w:w="499" w:type="pct"/>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双华村十组</w:t>
                  </w:r>
                </w:p>
              </w:tc>
              <w:tc>
                <w:tcPr>
                  <w:tcW w:w="727" w:type="pct"/>
                  <w:vAlign w:val="bottom"/>
                </w:tcPr>
                <w:p>
                  <w:pPr>
                    <w:pStyle w:val="41"/>
                  </w:pPr>
                  <w:r>
                    <w:rPr>
                      <w:sz w:val="20"/>
                      <w:szCs w:val="20"/>
                    </w:rPr>
                    <w:t>112.789173</w:t>
                  </w:r>
                </w:p>
              </w:tc>
              <w:tc>
                <w:tcPr>
                  <w:tcW w:w="659" w:type="pct"/>
                  <w:vAlign w:val="bottom"/>
                </w:tcPr>
                <w:p>
                  <w:pPr>
                    <w:pStyle w:val="41"/>
                  </w:pPr>
                  <w:r>
                    <w:rPr>
                      <w:sz w:val="20"/>
                      <w:szCs w:val="20"/>
                    </w:rPr>
                    <w:t>28.602918</w:t>
                  </w:r>
                </w:p>
              </w:tc>
              <w:tc>
                <w:tcPr>
                  <w:tcW w:w="346" w:type="pct"/>
                </w:tcPr>
                <w:p>
                  <w:pPr>
                    <w:pStyle w:val="41"/>
                  </w:pPr>
                  <w:r>
                    <w:rPr>
                      <w:rFonts w:hint="eastAsia"/>
                    </w:rPr>
                    <w:t>居民</w:t>
                  </w:r>
                </w:p>
              </w:tc>
              <w:tc>
                <w:tcPr>
                  <w:tcW w:w="652" w:type="pct"/>
                  <w:vAlign w:val="center"/>
                </w:tcPr>
                <w:p>
                  <w:pPr>
                    <w:pStyle w:val="41"/>
                  </w:pPr>
                  <w:r>
                    <w:t>约120人</w:t>
                  </w:r>
                </w:p>
              </w:tc>
              <w:tc>
                <w:tcPr>
                  <w:tcW w:w="346" w:type="pct"/>
                </w:tcPr>
                <w:p>
                  <w:pPr>
                    <w:pStyle w:val="41"/>
                  </w:pPr>
                  <w:r>
                    <w:rPr>
                      <w:rFonts w:hint="eastAsia"/>
                    </w:rPr>
                    <w:t>2类</w:t>
                  </w:r>
                </w:p>
              </w:tc>
              <w:tc>
                <w:tcPr>
                  <w:tcW w:w="499" w:type="pct"/>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向阳村三组</w:t>
                  </w:r>
                </w:p>
              </w:tc>
              <w:tc>
                <w:tcPr>
                  <w:tcW w:w="727" w:type="pct"/>
                  <w:vAlign w:val="bottom"/>
                </w:tcPr>
                <w:p>
                  <w:pPr>
                    <w:pStyle w:val="41"/>
                  </w:pPr>
                  <w:r>
                    <w:rPr>
                      <w:sz w:val="20"/>
                      <w:szCs w:val="20"/>
                    </w:rPr>
                    <w:t>112.777333</w:t>
                  </w:r>
                </w:p>
              </w:tc>
              <w:tc>
                <w:tcPr>
                  <w:tcW w:w="659" w:type="pct"/>
                  <w:vAlign w:val="bottom"/>
                </w:tcPr>
                <w:p>
                  <w:pPr>
                    <w:pStyle w:val="41"/>
                  </w:pPr>
                  <w:r>
                    <w:rPr>
                      <w:sz w:val="20"/>
                      <w:szCs w:val="20"/>
                    </w:rPr>
                    <w:t>28.597607</w:t>
                  </w:r>
                </w:p>
              </w:tc>
              <w:tc>
                <w:tcPr>
                  <w:tcW w:w="346" w:type="pct"/>
                </w:tcPr>
                <w:p>
                  <w:pPr>
                    <w:pStyle w:val="41"/>
                  </w:pPr>
                  <w:r>
                    <w:rPr>
                      <w:rFonts w:hint="eastAsia"/>
                    </w:rPr>
                    <w:t>居民</w:t>
                  </w:r>
                </w:p>
              </w:tc>
              <w:tc>
                <w:tcPr>
                  <w:tcW w:w="652" w:type="pct"/>
                  <w:vAlign w:val="center"/>
                </w:tcPr>
                <w:p>
                  <w:pPr>
                    <w:pStyle w:val="41"/>
                  </w:pPr>
                  <w:r>
                    <w:t>约90人</w:t>
                  </w:r>
                </w:p>
              </w:tc>
              <w:tc>
                <w:tcPr>
                  <w:tcW w:w="346" w:type="pct"/>
                </w:tcPr>
                <w:p>
                  <w:pPr>
                    <w:pStyle w:val="41"/>
                  </w:pPr>
                  <w:r>
                    <w:rPr>
                      <w:rFonts w:hint="eastAsia"/>
                    </w:rPr>
                    <w:t>2类</w:t>
                  </w:r>
                </w:p>
              </w:tc>
              <w:tc>
                <w:tcPr>
                  <w:tcW w:w="499" w:type="pct"/>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向阳村二组</w:t>
                  </w:r>
                </w:p>
              </w:tc>
              <w:tc>
                <w:tcPr>
                  <w:tcW w:w="727" w:type="pct"/>
                  <w:vAlign w:val="bottom"/>
                </w:tcPr>
                <w:p>
                  <w:pPr>
                    <w:pStyle w:val="41"/>
                  </w:pPr>
                  <w:r>
                    <w:rPr>
                      <w:sz w:val="20"/>
                      <w:szCs w:val="20"/>
                    </w:rPr>
                    <w:t>112.783672</w:t>
                  </w:r>
                </w:p>
              </w:tc>
              <w:tc>
                <w:tcPr>
                  <w:tcW w:w="659" w:type="pct"/>
                  <w:vAlign w:val="bottom"/>
                </w:tcPr>
                <w:p>
                  <w:pPr>
                    <w:pStyle w:val="41"/>
                  </w:pPr>
                  <w:r>
                    <w:rPr>
                      <w:sz w:val="20"/>
                      <w:szCs w:val="20"/>
                    </w:rPr>
                    <w:t>28.598578</w:t>
                  </w:r>
                </w:p>
              </w:tc>
              <w:tc>
                <w:tcPr>
                  <w:tcW w:w="346" w:type="pct"/>
                </w:tcPr>
                <w:p>
                  <w:pPr>
                    <w:pStyle w:val="41"/>
                  </w:pPr>
                  <w:r>
                    <w:rPr>
                      <w:rFonts w:hint="eastAsia"/>
                    </w:rPr>
                    <w:t>居民</w:t>
                  </w:r>
                </w:p>
              </w:tc>
              <w:tc>
                <w:tcPr>
                  <w:tcW w:w="652" w:type="pct"/>
                  <w:vAlign w:val="center"/>
                </w:tcPr>
                <w:p>
                  <w:pPr>
                    <w:pStyle w:val="41"/>
                  </w:pPr>
                  <w:r>
                    <w:t>约130人</w:t>
                  </w:r>
                </w:p>
              </w:tc>
              <w:tc>
                <w:tcPr>
                  <w:tcW w:w="346" w:type="pct"/>
                </w:tcPr>
                <w:p>
                  <w:pPr>
                    <w:pStyle w:val="41"/>
                  </w:pPr>
                  <w:r>
                    <w:rPr>
                      <w:rFonts w:hint="eastAsia"/>
                    </w:rPr>
                    <w:t>2类</w:t>
                  </w:r>
                </w:p>
              </w:tc>
              <w:tc>
                <w:tcPr>
                  <w:tcW w:w="499" w:type="pct"/>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向阳村四组</w:t>
                  </w:r>
                </w:p>
              </w:tc>
              <w:tc>
                <w:tcPr>
                  <w:tcW w:w="727" w:type="pct"/>
                  <w:vAlign w:val="bottom"/>
                </w:tcPr>
                <w:p>
                  <w:pPr>
                    <w:pStyle w:val="41"/>
                  </w:pPr>
                  <w:r>
                    <w:rPr>
                      <w:sz w:val="20"/>
                      <w:szCs w:val="20"/>
                    </w:rPr>
                    <w:t>112.783196</w:t>
                  </w:r>
                </w:p>
              </w:tc>
              <w:tc>
                <w:tcPr>
                  <w:tcW w:w="659" w:type="pct"/>
                  <w:vAlign w:val="bottom"/>
                </w:tcPr>
                <w:p>
                  <w:pPr>
                    <w:pStyle w:val="41"/>
                  </w:pPr>
                  <w:r>
                    <w:rPr>
                      <w:sz w:val="20"/>
                      <w:szCs w:val="20"/>
                    </w:rPr>
                    <w:t>28.594219</w:t>
                  </w:r>
                </w:p>
              </w:tc>
              <w:tc>
                <w:tcPr>
                  <w:tcW w:w="346" w:type="pct"/>
                </w:tcPr>
                <w:p>
                  <w:pPr>
                    <w:pStyle w:val="41"/>
                  </w:pPr>
                  <w:r>
                    <w:rPr>
                      <w:rFonts w:hint="eastAsia"/>
                    </w:rPr>
                    <w:t>居民</w:t>
                  </w:r>
                </w:p>
              </w:tc>
              <w:tc>
                <w:tcPr>
                  <w:tcW w:w="652" w:type="pct"/>
                  <w:vAlign w:val="center"/>
                </w:tcPr>
                <w:p>
                  <w:pPr>
                    <w:pStyle w:val="41"/>
                  </w:pPr>
                  <w:r>
                    <w:t>约90人</w:t>
                  </w:r>
                </w:p>
              </w:tc>
              <w:tc>
                <w:tcPr>
                  <w:tcW w:w="346" w:type="pct"/>
                </w:tcPr>
                <w:p>
                  <w:pPr>
                    <w:pStyle w:val="41"/>
                  </w:pPr>
                  <w:r>
                    <w:rPr>
                      <w:rFonts w:hint="eastAsia"/>
                    </w:rPr>
                    <w:t>2类</w:t>
                  </w:r>
                </w:p>
              </w:tc>
              <w:tc>
                <w:tcPr>
                  <w:tcW w:w="499" w:type="pct"/>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高湖村</w:t>
                  </w:r>
                </w:p>
              </w:tc>
              <w:tc>
                <w:tcPr>
                  <w:tcW w:w="727" w:type="pct"/>
                  <w:vAlign w:val="bottom"/>
                </w:tcPr>
                <w:p>
                  <w:pPr>
                    <w:pStyle w:val="41"/>
                  </w:pPr>
                  <w:r>
                    <w:rPr>
                      <w:sz w:val="20"/>
                      <w:szCs w:val="20"/>
                    </w:rPr>
                    <w:t>112.789592</w:t>
                  </w:r>
                </w:p>
              </w:tc>
              <w:tc>
                <w:tcPr>
                  <w:tcW w:w="659" w:type="pct"/>
                  <w:vAlign w:val="bottom"/>
                </w:tcPr>
                <w:p>
                  <w:pPr>
                    <w:pStyle w:val="41"/>
                  </w:pPr>
                  <w:r>
                    <w:rPr>
                      <w:sz w:val="20"/>
                      <w:szCs w:val="20"/>
                    </w:rPr>
                    <w:t>28.587195</w:t>
                  </w:r>
                </w:p>
              </w:tc>
              <w:tc>
                <w:tcPr>
                  <w:tcW w:w="346" w:type="pct"/>
                </w:tcPr>
                <w:p>
                  <w:pPr>
                    <w:pStyle w:val="41"/>
                  </w:pPr>
                  <w:r>
                    <w:rPr>
                      <w:rFonts w:hint="eastAsia"/>
                    </w:rPr>
                    <w:t>居民</w:t>
                  </w:r>
                </w:p>
              </w:tc>
              <w:tc>
                <w:tcPr>
                  <w:tcW w:w="652" w:type="pct"/>
                  <w:vAlign w:val="center"/>
                </w:tcPr>
                <w:p>
                  <w:pPr>
                    <w:pStyle w:val="41"/>
                  </w:pPr>
                  <w:r>
                    <w:t>约100人</w:t>
                  </w:r>
                </w:p>
              </w:tc>
              <w:tc>
                <w:tcPr>
                  <w:tcW w:w="346" w:type="pct"/>
                </w:tcPr>
                <w:p>
                  <w:pPr>
                    <w:pStyle w:val="41"/>
                  </w:pPr>
                  <w:r>
                    <w:rPr>
                      <w:rFonts w:hint="eastAsia"/>
                    </w:rPr>
                    <w:t>2类</w:t>
                  </w:r>
                </w:p>
              </w:tc>
              <w:tc>
                <w:tcPr>
                  <w:tcW w:w="499" w:type="pct"/>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月行垸</w:t>
                  </w:r>
                </w:p>
              </w:tc>
              <w:tc>
                <w:tcPr>
                  <w:tcW w:w="727" w:type="pct"/>
                  <w:vAlign w:val="bottom"/>
                </w:tcPr>
                <w:p>
                  <w:pPr>
                    <w:pStyle w:val="41"/>
                  </w:pPr>
                  <w:r>
                    <w:rPr>
                      <w:sz w:val="20"/>
                      <w:szCs w:val="20"/>
                    </w:rPr>
                    <w:t>112.795455</w:t>
                  </w:r>
                </w:p>
              </w:tc>
              <w:tc>
                <w:tcPr>
                  <w:tcW w:w="659" w:type="pct"/>
                  <w:vAlign w:val="bottom"/>
                </w:tcPr>
                <w:p>
                  <w:pPr>
                    <w:pStyle w:val="41"/>
                  </w:pPr>
                  <w:r>
                    <w:rPr>
                      <w:sz w:val="20"/>
                      <w:szCs w:val="20"/>
                    </w:rPr>
                    <w:t>28.586947</w:t>
                  </w:r>
                </w:p>
              </w:tc>
              <w:tc>
                <w:tcPr>
                  <w:tcW w:w="346" w:type="pct"/>
                </w:tcPr>
                <w:p>
                  <w:pPr>
                    <w:pStyle w:val="41"/>
                  </w:pPr>
                  <w:r>
                    <w:rPr>
                      <w:rFonts w:hint="eastAsia"/>
                    </w:rPr>
                    <w:t>居民</w:t>
                  </w:r>
                </w:p>
              </w:tc>
              <w:tc>
                <w:tcPr>
                  <w:tcW w:w="652" w:type="pct"/>
                  <w:vAlign w:val="center"/>
                </w:tcPr>
                <w:p>
                  <w:pPr>
                    <w:pStyle w:val="41"/>
                  </w:pPr>
                  <w:r>
                    <w:t>约120人</w:t>
                  </w:r>
                </w:p>
              </w:tc>
              <w:tc>
                <w:tcPr>
                  <w:tcW w:w="346" w:type="pct"/>
                </w:tcPr>
                <w:p>
                  <w:pPr>
                    <w:pStyle w:val="41"/>
                  </w:pPr>
                  <w:r>
                    <w:rPr>
                      <w:rFonts w:hint="eastAsia"/>
                    </w:rPr>
                    <w:t>2类</w:t>
                  </w:r>
                </w:p>
              </w:tc>
              <w:tc>
                <w:tcPr>
                  <w:tcW w:w="499" w:type="pct"/>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田脚湖</w:t>
                  </w:r>
                </w:p>
              </w:tc>
              <w:tc>
                <w:tcPr>
                  <w:tcW w:w="727" w:type="pct"/>
                  <w:vAlign w:val="bottom"/>
                </w:tcPr>
                <w:p>
                  <w:pPr>
                    <w:pStyle w:val="41"/>
                  </w:pPr>
                  <w:r>
                    <w:rPr>
                      <w:sz w:val="20"/>
                      <w:szCs w:val="20"/>
                    </w:rPr>
                    <w:t>112.787936</w:t>
                  </w:r>
                </w:p>
              </w:tc>
              <w:tc>
                <w:tcPr>
                  <w:tcW w:w="659" w:type="pct"/>
                  <w:vAlign w:val="bottom"/>
                </w:tcPr>
                <w:p>
                  <w:pPr>
                    <w:pStyle w:val="41"/>
                  </w:pPr>
                  <w:r>
                    <w:rPr>
                      <w:sz w:val="20"/>
                      <w:szCs w:val="20"/>
                    </w:rPr>
                    <w:t>28.582017</w:t>
                  </w:r>
                </w:p>
              </w:tc>
              <w:tc>
                <w:tcPr>
                  <w:tcW w:w="346" w:type="pct"/>
                </w:tcPr>
                <w:p>
                  <w:pPr>
                    <w:pStyle w:val="41"/>
                  </w:pPr>
                  <w:r>
                    <w:rPr>
                      <w:rFonts w:hint="eastAsia"/>
                    </w:rPr>
                    <w:t>居民</w:t>
                  </w:r>
                </w:p>
              </w:tc>
              <w:tc>
                <w:tcPr>
                  <w:tcW w:w="652" w:type="pct"/>
                  <w:vAlign w:val="center"/>
                </w:tcPr>
                <w:p>
                  <w:pPr>
                    <w:pStyle w:val="41"/>
                  </w:pPr>
                  <w:r>
                    <w:t>约110人</w:t>
                  </w:r>
                </w:p>
              </w:tc>
              <w:tc>
                <w:tcPr>
                  <w:tcW w:w="346" w:type="pct"/>
                </w:tcPr>
                <w:p>
                  <w:pPr>
                    <w:pStyle w:val="41"/>
                  </w:pPr>
                  <w:r>
                    <w:rPr>
                      <w:rFonts w:hint="eastAsia"/>
                    </w:rPr>
                    <w:t>2类</w:t>
                  </w:r>
                </w:p>
              </w:tc>
              <w:tc>
                <w:tcPr>
                  <w:tcW w:w="499" w:type="pct"/>
                </w:tcPr>
                <w:p>
                  <w:pPr>
                    <w:pStyle w:val="41"/>
                  </w:pPr>
                  <w:r>
                    <w:rPr>
                      <w:rFonts w:hint="eastAsia"/>
                    </w:rPr>
                    <w:t>E</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仁寿村十组</w:t>
                  </w:r>
                </w:p>
              </w:tc>
              <w:tc>
                <w:tcPr>
                  <w:tcW w:w="727" w:type="pct"/>
                  <w:vAlign w:val="bottom"/>
                </w:tcPr>
                <w:p>
                  <w:pPr>
                    <w:pStyle w:val="41"/>
                  </w:pPr>
                  <w:r>
                    <w:rPr>
                      <w:sz w:val="20"/>
                      <w:szCs w:val="20"/>
                    </w:rPr>
                    <w:t>112.781121</w:t>
                  </w:r>
                </w:p>
              </w:tc>
              <w:tc>
                <w:tcPr>
                  <w:tcW w:w="659" w:type="pct"/>
                  <w:vAlign w:val="bottom"/>
                </w:tcPr>
                <w:p>
                  <w:pPr>
                    <w:pStyle w:val="41"/>
                  </w:pPr>
                  <w:r>
                    <w:rPr>
                      <w:sz w:val="20"/>
                      <w:szCs w:val="20"/>
                    </w:rPr>
                    <w:t>28.575279</w:t>
                  </w:r>
                </w:p>
              </w:tc>
              <w:tc>
                <w:tcPr>
                  <w:tcW w:w="346" w:type="pct"/>
                </w:tcPr>
                <w:p>
                  <w:pPr>
                    <w:pStyle w:val="41"/>
                  </w:pPr>
                  <w:r>
                    <w:rPr>
                      <w:rFonts w:hint="eastAsia"/>
                    </w:rPr>
                    <w:t>居民</w:t>
                  </w:r>
                </w:p>
              </w:tc>
              <w:tc>
                <w:tcPr>
                  <w:tcW w:w="652" w:type="pct"/>
                  <w:vAlign w:val="center"/>
                </w:tcPr>
                <w:p>
                  <w:pPr>
                    <w:pStyle w:val="41"/>
                  </w:pPr>
                  <w:r>
                    <w:t>约130人</w:t>
                  </w:r>
                </w:p>
              </w:tc>
              <w:tc>
                <w:tcPr>
                  <w:tcW w:w="346" w:type="pct"/>
                </w:tcPr>
                <w:p>
                  <w:pPr>
                    <w:pStyle w:val="41"/>
                  </w:pPr>
                  <w:r>
                    <w:rPr>
                      <w:rFonts w:hint="eastAsia"/>
                    </w:rPr>
                    <w:t>2类</w:t>
                  </w:r>
                </w:p>
              </w:tc>
              <w:tc>
                <w:tcPr>
                  <w:tcW w:w="499" w:type="pct"/>
                  <w:vAlign w:val="center"/>
                </w:tcPr>
                <w:p>
                  <w:pPr>
                    <w:pStyle w:val="41"/>
                  </w:pPr>
                  <w:r>
                    <w:rPr>
                      <w:rFonts w:hint="eastAsia"/>
                    </w:rPr>
                    <w:t>S</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仁寿村十一组</w:t>
                  </w:r>
                </w:p>
              </w:tc>
              <w:tc>
                <w:tcPr>
                  <w:tcW w:w="727" w:type="pct"/>
                  <w:vAlign w:val="bottom"/>
                </w:tcPr>
                <w:p>
                  <w:pPr>
                    <w:pStyle w:val="41"/>
                  </w:pPr>
                  <w:r>
                    <w:rPr>
                      <w:sz w:val="20"/>
                      <w:szCs w:val="20"/>
                    </w:rPr>
                    <w:t>112.781502</w:t>
                  </w:r>
                </w:p>
              </w:tc>
              <w:tc>
                <w:tcPr>
                  <w:tcW w:w="659" w:type="pct"/>
                  <w:vAlign w:val="bottom"/>
                </w:tcPr>
                <w:p>
                  <w:pPr>
                    <w:pStyle w:val="41"/>
                  </w:pPr>
                  <w:r>
                    <w:rPr>
                      <w:sz w:val="20"/>
                      <w:szCs w:val="20"/>
                    </w:rPr>
                    <w:t>28.570710</w:t>
                  </w:r>
                </w:p>
              </w:tc>
              <w:tc>
                <w:tcPr>
                  <w:tcW w:w="346" w:type="pct"/>
                </w:tcPr>
                <w:p>
                  <w:pPr>
                    <w:pStyle w:val="41"/>
                  </w:pPr>
                  <w:r>
                    <w:rPr>
                      <w:rFonts w:hint="eastAsia"/>
                    </w:rPr>
                    <w:t>居民</w:t>
                  </w:r>
                </w:p>
              </w:tc>
              <w:tc>
                <w:tcPr>
                  <w:tcW w:w="652" w:type="pct"/>
                  <w:vAlign w:val="center"/>
                </w:tcPr>
                <w:p>
                  <w:pPr>
                    <w:pStyle w:val="41"/>
                  </w:pPr>
                  <w:r>
                    <w:t>约100人</w:t>
                  </w:r>
                </w:p>
              </w:tc>
              <w:tc>
                <w:tcPr>
                  <w:tcW w:w="346" w:type="pct"/>
                </w:tcPr>
                <w:p>
                  <w:pPr>
                    <w:pStyle w:val="41"/>
                  </w:pPr>
                  <w:r>
                    <w:rPr>
                      <w:rFonts w:hint="eastAsia"/>
                    </w:rPr>
                    <w:t>2类</w:t>
                  </w:r>
                </w:p>
              </w:tc>
              <w:tc>
                <w:tcPr>
                  <w:tcW w:w="499" w:type="pct"/>
                  <w:vAlign w:val="center"/>
                </w:tcPr>
                <w:p>
                  <w:pPr>
                    <w:pStyle w:val="41"/>
                  </w:pPr>
                  <w:r>
                    <w:rPr>
                      <w:rFonts w:hint="eastAsia"/>
                    </w:rPr>
                    <w:t>S</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黄家湾</w:t>
                  </w:r>
                </w:p>
              </w:tc>
              <w:tc>
                <w:tcPr>
                  <w:tcW w:w="727" w:type="pct"/>
                  <w:vAlign w:val="bottom"/>
                </w:tcPr>
                <w:p>
                  <w:pPr>
                    <w:pStyle w:val="41"/>
                  </w:pPr>
                  <w:r>
                    <w:rPr>
                      <w:sz w:val="20"/>
                      <w:szCs w:val="20"/>
                    </w:rPr>
                    <w:t>112.781102</w:t>
                  </w:r>
                </w:p>
              </w:tc>
              <w:tc>
                <w:tcPr>
                  <w:tcW w:w="659" w:type="pct"/>
                  <w:vAlign w:val="bottom"/>
                </w:tcPr>
                <w:p>
                  <w:pPr>
                    <w:pStyle w:val="41"/>
                  </w:pPr>
                  <w:r>
                    <w:rPr>
                      <w:sz w:val="20"/>
                      <w:szCs w:val="20"/>
                    </w:rPr>
                    <w:t>28.565570</w:t>
                  </w:r>
                </w:p>
              </w:tc>
              <w:tc>
                <w:tcPr>
                  <w:tcW w:w="346" w:type="pct"/>
                </w:tcPr>
                <w:p>
                  <w:pPr>
                    <w:pStyle w:val="41"/>
                  </w:pPr>
                  <w:r>
                    <w:rPr>
                      <w:rFonts w:hint="eastAsia"/>
                    </w:rPr>
                    <w:t>居民</w:t>
                  </w:r>
                </w:p>
              </w:tc>
              <w:tc>
                <w:tcPr>
                  <w:tcW w:w="652" w:type="pct"/>
                  <w:vAlign w:val="center"/>
                </w:tcPr>
                <w:p>
                  <w:pPr>
                    <w:pStyle w:val="41"/>
                  </w:pPr>
                  <w:r>
                    <w:t>约90人</w:t>
                  </w:r>
                </w:p>
              </w:tc>
              <w:tc>
                <w:tcPr>
                  <w:tcW w:w="346" w:type="pct"/>
                </w:tcPr>
                <w:p>
                  <w:pPr>
                    <w:pStyle w:val="41"/>
                  </w:pPr>
                  <w:r>
                    <w:rPr>
                      <w:rFonts w:hint="eastAsia"/>
                    </w:rPr>
                    <w:t>2类</w:t>
                  </w:r>
                </w:p>
              </w:tc>
              <w:tc>
                <w:tcPr>
                  <w:tcW w:w="499" w:type="pct"/>
                  <w:vAlign w:val="center"/>
                </w:tcPr>
                <w:p>
                  <w:pPr>
                    <w:pStyle w:val="41"/>
                  </w:pPr>
                  <w:r>
                    <w:rPr>
                      <w:rFonts w:hint="eastAsia"/>
                    </w:rPr>
                    <w:t>S</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大岭村</w:t>
                  </w:r>
                </w:p>
              </w:tc>
              <w:tc>
                <w:tcPr>
                  <w:tcW w:w="727" w:type="pct"/>
                  <w:vAlign w:val="bottom"/>
                </w:tcPr>
                <w:p>
                  <w:pPr>
                    <w:pStyle w:val="41"/>
                  </w:pPr>
                  <w:r>
                    <w:rPr>
                      <w:sz w:val="20"/>
                      <w:szCs w:val="20"/>
                    </w:rPr>
                    <w:t>112.770252</w:t>
                  </w:r>
                </w:p>
              </w:tc>
              <w:tc>
                <w:tcPr>
                  <w:tcW w:w="659" w:type="pct"/>
                  <w:vAlign w:val="bottom"/>
                </w:tcPr>
                <w:p>
                  <w:pPr>
                    <w:pStyle w:val="41"/>
                  </w:pPr>
                  <w:r>
                    <w:rPr>
                      <w:sz w:val="20"/>
                      <w:szCs w:val="20"/>
                    </w:rPr>
                    <w:t>28.576954</w:t>
                  </w:r>
                </w:p>
              </w:tc>
              <w:tc>
                <w:tcPr>
                  <w:tcW w:w="346" w:type="pct"/>
                </w:tcPr>
                <w:p>
                  <w:pPr>
                    <w:pStyle w:val="41"/>
                  </w:pPr>
                  <w:r>
                    <w:rPr>
                      <w:rFonts w:hint="eastAsia"/>
                    </w:rPr>
                    <w:t>居民</w:t>
                  </w:r>
                </w:p>
              </w:tc>
              <w:tc>
                <w:tcPr>
                  <w:tcW w:w="652" w:type="pct"/>
                  <w:vAlign w:val="center"/>
                </w:tcPr>
                <w:p>
                  <w:pPr>
                    <w:pStyle w:val="41"/>
                  </w:pPr>
                  <w:r>
                    <w:t>约100人</w:t>
                  </w:r>
                </w:p>
              </w:tc>
              <w:tc>
                <w:tcPr>
                  <w:tcW w:w="346" w:type="pct"/>
                </w:tcPr>
                <w:p>
                  <w:pPr>
                    <w:pStyle w:val="41"/>
                  </w:pPr>
                  <w:r>
                    <w:rPr>
                      <w:rFonts w:hint="eastAsia"/>
                    </w:rPr>
                    <w:t>2类</w:t>
                  </w:r>
                </w:p>
              </w:tc>
              <w:tc>
                <w:tcPr>
                  <w:tcW w:w="499" w:type="pct"/>
                  <w:vAlign w:val="center"/>
                </w:tcPr>
                <w:p>
                  <w:pPr>
                    <w:pStyle w:val="41"/>
                  </w:pPr>
                  <w:r>
                    <w:rPr>
                      <w:rFonts w:hint="eastAsia"/>
                    </w:rPr>
                    <w:t>W</w:t>
                  </w:r>
                </w:p>
              </w:tc>
              <w:tc>
                <w:tcPr>
                  <w:tcW w:w="813" w:type="pct"/>
                  <w:vAlign w:val="center"/>
                </w:tcPr>
                <w:p>
                  <w:pPr>
                    <w:pStyle w:val="41"/>
                  </w:pPr>
                  <w:r>
                    <w:rPr>
                      <w:rFonts w:hint="eastAsia"/>
                    </w:rPr>
                    <w:t>1</w:t>
                  </w: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金沙村</w:t>
                  </w:r>
                </w:p>
              </w:tc>
              <w:tc>
                <w:tcPr>
                  <w:tcW w:w="727" w:type="pct"/>
                  <w:vAlign w:val="bottom"/>
                </w:tcPr>
                <w:p>
                  <w:pPr>
                    <w:pStyle w:val="41"/>
                  </w:pPr>
                  <w:r>
                    <w:rPr>
                      <w:sz w:val="20"/>
                      <w:szCs w:val="20"/>
                    </w:rPr>
                    <w:t>112.765626</w:t>
                  </w:r>
                </w:p>
              </w:tc>
              <w:tc>
                <w:tcPr>
                  <w:tcW w:w="659" w:type="pct"/>
                  <w:vAlign w:val="bottom"/>
                </w:tcPr>
                <w:p>
                  <w:pPr>
                    <w:pStyle w:val="41"/>
                  </w:pPr>
                  <w:r>
                    <w:rPr>
                      <w:sz w:val="20"/>
                      <w:szCs w:val="20"/>
                    </w:rPr>
                    <w:t>28.587119</w:t>
                  </w:r>
                </w:p>
              </w:tc>
              <w:tc>
                <w:tcPr>
                  <w:tcW w:w="346" w:type="pct"/>
                </w:tcPr>
                <w:p>
                  <w:pPr>
                    <w:pStyle w:val="41"/>
                  </w:pPr>
                  <w:r>
                    <w:rPr>
                      <w:rFonts w:hint="eastAsia"/>
                    </w:rPr>
                    <w:t>居民</w:t>
                  </w:r>
                </w:p>
              </w:tc>
              <w:tc>
                <w:tcPr>
                  <w:tcW w:w="652" w:type="pct"/>
                  <w:vAlign w:val="center"/>
                </w:tcPr>
                <w:p>
                  <w:pPr>
                    <w:pStyle w:val="41"/>
                  </w:pPr>
                  <w:r>
                    <w:t>约90人</w:t>
                  </w:r>
                </w:p>
              </w:tc>
              <w:tc>
                <w:tcPr>
                  <w:tcW w:w="346" w:type="pct"/>
                </w:tcPr>
                <w:p>
                  <w:pPr>
                    <w:pStyle w:val="41"/>
                  </w:pPr>
                  <w:r>
                    <w:rPr>
                      <w:rFonts w:hint="eastAsia"/>
                    </w:rPr>
                    <w:t>2类</w:t>
                  </w:r>
                </w:p>
              </w:tc>
              <w:tc>
                <w:tcPr>
                  <w:tcW w:w="499" w:type="pct"/>
                </w:tcPr>
                <w:p>
                  <w:pPr>
                    <w:pStyle w:val="41"/>
                  </w:pPr>
                  <w:r>
                    <w:rPr>
                      <w:rFonts w:hint="eastAsia"/>
                    </w:rPr>
                    <w:t>W</w:t>
                  </w:r>
                </w:p>
              </w:tc>
              <w:tc>
                <w:tcPr>
                  <w:tcW w:w="813" w:type="pct"/>
                  <w:vAlign w:val="center"/>
                </w:tcPr>
                <w:p>
                  <w:pPr>
                    <w:pStyle w:val="41"/>
                  </w:pPr>
                  <w:r>
                    <w:rPr>
                      <w:rFonts w:hint="eastAsia"/>
                    </w:rPr>
                    <w:t>2</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孔家山</w:t>
                  </w:r>
                </w:p>
              </w:tc>
              <w:tc>
                <w:tcPr>
                  <w:tcW w:w="727" w:type="pct"/>
                  <w:vAlign w:val="bottom"/>
                </w:tcPr>
                <w:p>
                  <w:pPr>
                    <w:pStyle w:val="41"/>
                  </w:pPr>
                  <w:r>
                    <w:rPr>
                      <w:sz w:val="20"/>
                      <w:szCs w:val="20"/>
                    </w:rPr>
                    <w:t>112.760372</w:t>
                  </w:r>
                </w:p>
              </w:tc>
              <w:tc>
                <w:tcPr>
                  <w:tcW w:w="659" w:type="pct"/>
                  <w:vAlign w:val="bottom"/>
                </w:tcPr>
                <w:p>
                  <w:pPr>
                    <w:pStyle w:val="41"/>
                  </w:pPr>
                  <w:r>
                    <w:rPr>
                      <w:sz w:val="20"/>
                      <w:szCs w:val="20"/>
                    </w:rPr>
                    <w:t>28.593001</w:t>
                  </w:r>
                </w:p>
              </w:tc>
              <w:tc>
                <w:tcPr>
                  <w:tcW w:w="346" w:type="pct"/>
                </w:tcPr>
                <w:p>
                  <w:pPr>
                    <w:pStyle w:val="41"/>
                  </w:pPr>
                  <w:r>
                    <w:rPr>
                      <w:rFonts w:hint="eastAsia"/>
                    </w:rPr>
                    <w:t>居民</w:t>
                  </w:r>
                </w:p>
              </w:tc>
              <w:tc>
                <w:tcPr>
                  <w:tcW w:w="652" w:type="pct"/>
                  <w:vAlign w:val="center"/>
                </w:tcPr>
                <w:p>
                  <w:pPr>
                    <w:pStyle w:val="41"/>
                  </w:pPr>
                  <w:r>
                    <w:t>约110人</w:t>
                  </w:r>
                </w:p>
              </w:tc>
              <w:tc>
                <w:tcPr>
                  <w:tcW w:w="346" w:type="pct"/>
                </w:tcPr>
                <w:p>
                  <w:pPr>
                    <w:pStyle w:val="41"/>
                  </w:pPr>
                  <w:r>
                    <w:rPr>
                      <w:rFonts w:hint="eastAsia"/>
                    </w:rPr>
                    <w:t>2类</w:t>
                  </w:r>
                </w:p>
              </w:tc>
              <w:tc>
                <w:tcPr>
                  <w:tcW w:w="499" w:type="pct"/>
                </w:tcPr>
                <w:p>
                  <w:pPr>
                    <w:pStyle w:val="41"/>
                  </w:pPr>
                  <w:r>
                    <w:rPr>
                      <w:rFonts w:hint="eastAsia"/>
                    </w:rPr>
                    <w:t>W</w:t>
                  </w:r>
                </w:p>
              </w:tc>
              <w:tc>
                <w:tcPr>
                  <w:tcW w:w="813" w:type="pct"/>
                  <w:vAlign w:val="center"/>
                </w:tcPr>
                <w:p>
                  <w:pPr>
                    <w:pStyle w:val="41"/>
                  </w:pPr>
                  <w:r>
                    <w:rPr>
                      <w:rFonts w:hint="eastAsia"/>
                    </w:rPr>
                    <w:t>8</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五星村六组</w:t>
                  </w:r>
                </w:p>
              </w:tc>
              <w:tc>
                <w:tcPr>
                  <w:tcW w:w="727" w:type="pct"/>
                  <w:vAlign w:val="bottom"/>
                </w:tcPr>
                <w:p>
                  <w:pPr>
                    <w:pStyle w:val="41"/>
                  </w:pPr>
                  <w:r>
                    <w:rPr>
                      <w:sz w:val="20"/>
                      <w:szCs w:val="20"/>
                    </w:rPr>
                    <w:t>112.751578</w:t>
                  </w:r>
                </w:p>
              </w:tc>
              <w:tc>
                <w:tcPr>
                  <w:tcW w:w="659" w:type="pct"/>
                  <w:vAlign w:val="bottom"/>
                </w:tcPr>
                <w:p>
                  <w:pPr>
                    <w:pStyle w:val="41"/>
                  </w:pPr>
                  <w:r>
                    <w:rPr>
                      <w:sz w:val="20"/>
                      <w:szCs w:val="20"/>
                    </w:rPr>
                    <w:t>28.593477</w:t>
                  </w:r>
                </w:p>
              </w:tc>
              <w:tc>
                <w:tcPr>
                  <w:tcW w:w="346" w:type="pct"/>
                </w:tcPr>
                <w:p>
                  <w:pPr>
                    <w:pStyle w:val="41"/>
                  </w:pPr>
                  <w:r>
                    <w:rPr>
                      <w:rFonts w:hint="eastAsia"/>
                    </w:rPr>
                    <w:t>居民</w:t>
                  </w:r>
                </w:p>
              </w:tc>
              <w:tc>
                <w:tcPr>
                  <w:tcW w:w="652" w:type="pct"/>
                  <w:vAlign w:val="center"/>
                </w:tcPr>
                <w:p>
                  <w:pPr>
                    <w:pStyle w:val="41"/>
                  </w:pPr>
                  <w:r>
                    <w:t>约100人</w:t>
                  </w:r>
                </w:p>
              </w:tc>
              <w:tc>
                <w:tcPr>
                  <w:tcW w:w="346" w:type="pct"/>
                </w:tcPr>
                <w:p>
                  <w:pPr>
                    <w:pStyle w:val="41"/>
                  </w:pPr>
                  <w:r>
                    <w:rPr>
                      <w:rFonts w:hint="eastAsia"/>
                    </w:rPr>
                    <w:t>2类</w:t>
                  </w:r>
                </w:p>
              </w:tc>
              <w:tc>
                <w:tcPr>
                  <w:tcW w:w="499" w:type="pct"/>
                </w:tcPr>
                <w:p>
                  <w:pPr>
                    <w:pStyle w:val="41"/>
                  </w:pPr>
                  <w:r>
                    <w:rPr>
                      <w:rFonts w:hint="eastAsia"/>
                    </w:rPr>
                    <w:t>W</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白沙村九组</w:t>
                  </w:r>
                </w:p>
              </w:tc>
              <w:tc>
                <w:tcPr>
                  <w:tcW w:w="727" w:type="pct"/>
                  <w:vAlign w:val="bottom"/>
                </w:tcPr>
                <w:p>
                  <w:pPr>
                    <w:pStyle w:val="41"/>
                  </w:pPr>
                  <w:r>
                    <w:rPr>
                      <w:sz w:val="20"/>
                      <w:szCs w:val="20"/>
                    </w:rPr>
                    <w:t>112.753120</w:t>
                  </w:r>
                </w:p>
              </w:tc>
              <w:tc>
                <w:tcPr>
                  <w:tcW w:w="659" w:type="pct"/>
                  <w:vAlign w:val="bottom"/>
                </w:tcPr>
                <w:p>
                  <w:pPr>
                    <w:pStyle w:val="41"/>
                  </w:pPr>
                  <w:r>
                    <w:rPr>
                      <w:sz w:val="20"/>
                      <w:szCs w:val="20"/>
                    </w:rPr>
                    <w:t>28.597950</w:t>
                  </w:r>
                </w:p>
              </w:tc>
              <w:tc>
                <w:tcPr>
                  <w:tcW w:w="346" w:type="pct"/>
                </w:tcPr>
                <w:p>
                  <w:pPr>
                    <w:pStyle w:val="41"/>
                  </w:pPr>
                  <w:r>
                    <w:rPr>
                      <w:rFonts w:hint="eastAsia"/>
                    </w:rPr>
                    <w:t>居民</w:t>
                  </w:r>
                </w:p>
              </w:tc>
              <w:tc>
                <w:tcPr>
                  <w:tcW w:w="652" w:type="pct"/>
                  <w:vAlign w:val="center"/>
                </w:tcPr>
                <w:p>
                  <w:pPr>
                    <w:pStyle w:val="41"/>
                  </w:pPr>
                  <w:r>
                    <w:t>约90人</w:t>
                  </w:r>
                </w:p>
              </w:tc>
              <w:tc>
                <w:tcPr>
                  <w:tcW w:w="346" w:type="pct"/>
                </w:tcPr>
                <w:p>
                  <w:pPr>
                    <w:pStyle w:val="41"/>
                  </w:pPr>
                  <w:r>
                    <w:rPr>
                      <w:rFonts w:hint="eastAsia"/>
                    </w:rPr>
                    <w:t>2类</w:t>
                  </w:r>
                </w:p>
              </w:tc>
              <w:tc>
                <w:tcPr>
                  <w:tcW w:w="499" w:type="pct"/>
                </w:tcPr>
                <w:p>
                  <w:pPr>
                    <w:pStyle w:val="41"/>
                  </w:pPr>
                  <w:r>
                    <w:rPr>
                      <w:rFonts w:hint="eastAsia"/>
                    </w:rPr>
                    <w:t>W</w:t>
                  </w:r>
                </w:p>
              </w:tc>
              <w:tc>
                <w:tcPr>
                  <w:tcW w:w="813" w:type="pct"/>
                  <w:vAlign w:val="center"/>
                </w:tcPr>
                <w:p>
                  <w:pPr>
                    <w:pStyle w:val="41"/>
                  </w:pPr>
                  <w:r>
                    <w:rPr>
                      <w:rFonts w:hint="eastAsia"/>
                    </w:rPr>
                    <w:t>3</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白沙村二组</w:t>
                  </w:r>
                </w:p>
              </w:tc>
              <w:tc>
                <w:tcPr>
                  <w:tcW w:w="727" w:type="pct"/>
                  <w:vAlign w:val="bottom"/>
                </w:tcPr>
                <w:p>
                  <w:pPr>
                    <w:pStyle w:val="41"/>
                  </w:pPr>
                  <w:r>
                    <w:rPr>
                      <w:sz w:val="20"/>
                      <w:szCs w:val="20"/>
                    </w:rPr>
                    <w:t>112.756299</w:t>
                  </w:r>
                </w:p>
              </w:tc>
              <w:tc>
                <w:tcPr>
                  <w:tcW w:w="659" w:type="pct"/>
                  <w:vAlign w:val="bottom"/>
                </w:tcPr>
                <w:p>
                  <w:pPr>
                    <w:pStyle w:val="41"/>
                  </w:pPr>
                  <w:r>
                    <w:rPr>
                      <w:sz w:val="20"/>
                      <w:szCs w:val="20"/>
                    </w:rPr>
                    <w:t>28.599663</w:t>
                  </w:r>
                </w:p>
              </w:tc>
              <w:tc>
                <w:tcPr>
                  <w:tcW w:w="346" w:type="pct"/>
                </w:tcPr>
                <w:p>
                  <w:pPr>
                    <w:pStyle w:val="41"/>
                  </w:pPr>
                  <w:r>
                    <w:rPr>
                      <w:rFonts w:hint="eastAsia"/>
                    </w:rPr>
                    <w:t>居民</w:t>
                  </w:r>
                </w:p>
              </w:tc>
              <w:tc>
                <w:tcPr>
                  <w:tcW w:w="652" w:type="pct"/>
                  <w:vAlign w:val="center"/>
                </w:tcPr>
                <w:p>
                  <w:pPr>
                    <w:pStyle w:val="41"/>
                  </w:pPr>
                  <w:r>
                    <w:t>约90人</w:t>
                  </w:r>
                </w:p>
              </w:tc>
              <w:tc>
                <w:tcPr>
                  <w:tcW w:w="346" w:type="pct"/>
                </w:tcPr>
                <w:p>
                  <w:pPr>
                    <w:pStyle w:val="41"/>
                  </w:pPr>
                  <w:r>
                    <w:rPr>
                      <w:rFonts w:hint="eastAsia"/>
                    </w:rPr>
                    <w:t>2类</w:t>
                  </w:r>
                </w:p>
              </w:tc>
              <w:tc>
                <w:tcPr>
                  <w:tcW w:w="499" w:type="pct"/>
                </w:tcPr>
                <w:p>
                  <w:pPr>
                    <w:pStyle w:val="41"/>
                  </w:pPr>
                  <w:r>
                    <w:rPr>
                      <w:rFonts w:hint="eastAsia"/>
                    </w:rPr>
                    <w:t>W</w:t>
                  </w:r>
                </w:p>
              </w:tc>
              <w:tc>
                <w:tcPr>
                  <w:tcW w:w="813" w:type="pct"/>
                  <w:vAlign w:val="center"/>
                </w:tcPr>
                <w:p>
                  <w:pPr>
                    <w:pStyle w:val="41"/>
                  </w:pPr>
                  <w:r>
                    <w:rPr>
                      <w:rFonts w:hint="eastAsia"/>
                    </w:rPr>
                    <w:t>2</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白沙村八组</w:t>
                  </w:r>
                </w:p>
              </w:tc>
              <w:tc>
                <w:tcPr>
                  <w:tcW w:w="727" w:type="pct"/>
                  <w:vAlign w:val="bottom"/>
                </w:tcPr>
                <w:p>
                  <w:pPr>
                    <w:pStyle w:val="41"/>
                  </w:pPr>
                  <w:r>
                    <w:rPr>
                      <w:sz w:val="20"/>
                      <w:szCs w:val="20"/>
                    </w:rPr>
                    <w:t>112.754053</w:t>
                  </w:r>
                </w:p>
              </w:tc>
              <w:tc>
                <w:tcPr>
                  <w:tcW w:w="659" w:type="pct"/>
                  <w:vAlign w:val="bottom"/>
                </w:tcPr>
                <w:p>
                  <w:pPr>
                    <w:pStyle w:val="41"/>
                  </w:pPr>
                  <w:r>
                    <w:rPr>
                      <w:sz w:val="20"/>
                      <w:szCs w:val="20"/>
                    </w:rPr>
                    <w:t>28.602633</w:t>
                  </w:r>
                </w:p>
              </w:tc>
              <w:tc>
                <w:tcPr>
                  <w:tcW w:w="346" w:type="pct"/>
                </w:tcPr>
                <w:p>
                  <w:pPr>
                    <w:pStyle w:val="41"/>
                  </w:pPr>
                  <w:r>
                    <w:rPr>
                      <w:rFonts w:hint="eastAsia"/>
                    </w:rPr>
                    <w:t>居民</w:t>
                  </w:r>
                </w:p>
              </w:tc>
              <w:tc>
                <w:tcPr>
                  <w:tcW w:w="652" w:type="pct"/>
                  <w:vAlign w:val="center"/>
                </w:tcPr>
                <w:p>
                  <w:pPr>
                    <w:pStyle w:val="41"/>
                  </w:pPr>
                  <w:r>
                    <w:t>约100人</w:t>
                  </w:r>
                </w:p>
              </w:tc>
              <w:tc>
                <w:tcPr>
                  <w:tcW w:w="346" w:type="pct"/>
                </w:tcPr>
                <w:p>
                  <w:pPr>
                    <w:pStyle w:val="41"/>
                  </w:pPr>
                  <w:r>
                    <w:rPr>
                      <w:rFonts w:hint="eastAsia"/>
                    </w:rPr>
                    <w:t>2类</w:t>
                  </w:r>
                </w:p>
              </w:tc>
              <w:tc>
                <w:tcPr>
                  <w:tcW w:w="499" w:type="pct"/>
                </w:tcPr>
                <w:p>
                  <w:pPr>
                    <w:pStyle w:val="41"/>
                  </w:pPr>
                  <w:r>
                    <w:rPr>
                      <w:rFonts w:hint="eastAsia"/>
                    </w:rPr>
                    <w:t>W</w:t>
                  </w:r>
                </w:p>
              </w:tc>
              <w:tc>
                <w:tcPr>
                  <w:tcW w:w="813" w:type="pct"/>
                  <w:vAlign w:val="center"/>
                </w:tcPr>
                <w:p>
                  <w:pPr>
                    <w:pStyle w:val="41"/>
                  </w:pPr>
                  <w:r>
                    <w:rPr>
                      <w:rFonts w:hint="eastAsia"/>
                    </w:rPr>
                    <w:t>6</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白沙村七组</w:t>
                  </w:r>
                </w:p>
              </w:tc>
              <w:tc>
                <w:tcPr>
                  <w:tcW w:w="727" w:type="pct"/>
                  <w:vAlign w:val="bottom"/>
                </w:tcPr>
                <w:p>
                  <w:pPr>
                    <w:pStyle w:val="41"/>
                  </w:pPr>
                  <w:r>
                    <w:rPr>
                      <w:sz w:val="20"/>
                      <w:szCs w:val="20"/>
                    </w:rPr>
                    <w:t>112.751978</w:t>
                  </w:r>
                </w:p>
              </w:tc>
              <w:tc>
                <w:tcPr>
                  <w:tcW w:w="659" w:type="pct"/>
                  <w:vAlign w:val="bottom"/>
                </w:tcPr>
                <w:p>
                  <w:pPr>
                    <w:pStyle w:val="41"/>
                  </w:pPr>
                  <w:r>
                    <w:rPr>
                      <w:sz w:val="20"/>
                      <w:szCs w:val="20"/>
                    </w:rPr>
                    <w:t>28.614892</w:t>
                  </w:r>
                </w:p>
              </w:tc>
              <w:tc>
                <w:tcPr>
                  <w:tcW w:w="346" w:type="pct"/>
                </w:tcPr>
                <w:p>
                  <w:pPr>
                    <w:pStyle w:val="41"/>
                  </w:pPr>
                  <w:r>
                    <w:rPr>
                      <w:rFonts w:hint="eastAsia"/>
                    </w:rPr>
                    <w:t>居民</w:t>
                  </w:r>
                </w:p>
              </w:tc>
              <w:tc>
                <w:tcPr>
                  <w:tcW w:w="652" w:type="pct"/>
                  <w:vAlign w:val="center"/>
                </w:tcPr>
                <w:p>
                  <w:pPr>
                    <w:pStyle w:val="41"/>
                  </w:pPr>
                  <w:r>
                    <w:t>约130人</w:t>
                  </w:r>
                </w:p>
              </w:tc>
              <w:tc>
                <w:tcPr>
                  <w:tcW w:w="346" w:type="pct"/>
                </w:tcPr>
                <w:p>
                  <w:pPr>
                    <w:pStyle w:val="41"/>
                  </w:pPr>
                  <w:r>
                    <w:rPr>
                      <w:rFonts w:hint="eastAsia"/>
                    </w:rPr>
                    <w:t>2类</w:t>
                  </w:r>
                </w:p>
              </w:tc>
              <w:tc>
                <w:tcPr>
                  <w:tcW w:w="499" w:type="pct"/>
                  <w:vAlign w:val="center"/>
                </w:tcPr>
                <w:p>
                  <w:pPr>
                    <w:pStyle w:val="41"/>
                  </w:pPr>
                  <w:r>
                    <w:rPr>
                      <w:rFonts w:hint="eastAsia"/>
                    </w:rPr>
                    <w:t>N</w:t>
                  </w:r>
                </w:p>
              </w:tc>
              <w:tc>
                <w:tcPr>
                  <w:tcW w:w="813" w:type="pct"/>
                  <w:vAlign w:val="center"/>
                </w:tcPr>
                <w:p>
                  <w:pPr>
                    <w:pStyle w:val="41"/>
                  </w:pPr>
                  <w:r>
                    <w:rPr>
                      <w:rFonts w:hint="eastAsia"/>
                    </w:rPr>
                    <w:t>3</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白沙村十四组</w:t>
                  </w:r>
                </w:p>
              </w:tc>
              <w:tc>
                <w:tcPr>
                  <w:tcW w:w="727" w:type="pct"/>
                  <w:vAlign w:val="bottom"/>
                </w:tcPr>
                <w:p>
                  <w:pPr>
                    <w:pStyle w:val="41"/>
                  </w:pPr>
                  <w:r>
                    <w:rPr>
                      <w:sz w:val="20"/>
                      <w:szCs w:val="20"/>
                    </w:rPr>
                    <w:t>112.749027</w:t>
                  </w:r>
                </w:p>
              </w:tc>
              <w:tc>
                <w:tcPr>
                  <w:tcW w:w="659" w:type="pct"/>
                  <w:vAlign w:val="bottom"/>
                </w:tcPr>
                <w:p>
                  <w:pPr>
                    <w:pStyle w:val="41"/>
                  </w:pPr>
                  <w:r>
                    <w:rPr>
                      <w:sz w:val="20"/>
                      <w:szCs w:val="20"/>
                    </w:rPr>
                    <w:t>28.613597</w:t>
                  </w:r>
                </w:p>
              </w:tc>
              <w:tc>
                <w:tcPr>
                  <w:tcW w:w="346" w:type="pct"/>
                </w:tcPr>
                <w:p>
                  <w:pPr>
                    <w:pStyle w:val="41"/>
                  </w:pPr>
                  <w:r>
                    <w:rPr>
                      <w:rFonts w:hint="eastAsia"/>
                    </w:rPr>
                    <w:t>居民</w:t>
                  </w:r>
                </w:p>
              </w:tc>
              <w:tc>
                <w:tcPr>
                  <w:tcW w:w="652" w:type="pct"/>
                  <w:vAlign w:val="center"/>
                </w:tcPr>
                <w:p>
                  <w:pPr>
                    <w:pStyle w:val="41"/>
                  </w:pPr>
                  <w:r>
                    <w:t>约110人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双湖村十二组</w:t>
                  </w:r>
                </w:p>
              </w:tc>
              <w:tc>
                <w:tcPr>
                  <w:tcW w:w="727" w:type="pct"/>
                  <w:vAlign w:val="bottom"/>
                </w:tcPr>
                <w:p>
                  <w:pPr>
                    <w:pStyle w:val="41"/>
                  </w:pPr>
                  <w:r>
                    <w:rPr>
                      <w:sz w:val="20"/>
                      <w:szCs w:val="20"/>
                    </w:rPr>
                    <w:t>112.755042</w:t>
                  </w:r>
                </w:p>
              </w:tc>
              <w:tc>
                <w:tcPr>
                  <w:tcW w:w="659" w:type="pct"/>
                  <w:vAlign w:val="bottom"/>
                </w:tcPr>
                <w:p>
                  <w:pPr>
                    <w:pStyle w:val="41"/>
                  </w:pPr>
                  <w:r>
                    <w:rPr>
                      <w:sz w:val="20"/>
                      <w:szCs w:val="20"/>
                    </w:rPr>
                    <w:t>28.615292</w:t>
                  </w:r>
                </w:p>
              </w:tc>
              <w:tc>
                <w:tcPr>
                  <w:tcW w:w="346" w:type="pct"/>
                </w:tcPr>
                <w:p>
                  <w:pPr>
                    <w:pStyle w:val="41"/>
                  </w:pPr>
                  <w:r>
                    <w:rPr>
                      <w:rFonts w:hint="eastAsia"/>
                    </w:rPr>
                    <w:t>居民</w:t>
                  </w:r>
                </w:p>
              </w:tc>
              <w:tc>
                <w:tcPr>
                  <w:tcW w:w="652" w:type="pct"/>
                  <w:vAlign w:val="center"/>
                </w:tcPr>
                <w:p>
                  <w:pPr>
                    <w:pStyle w:val="41"/>
                  </w:pPr>
                  <w:r>
                    <w:t>约120人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老港村四组</w:t>
                  </w:r>
                </w:p>
              </w:tc>
              <w:tc>
                <w:tcPr>
                  <w:tcW w:w="727" w:type="pct"/>
                  <w:vAlign w:val="bottom"/>
                </w:tcPr>
                <w:p>
                  <w:pPr>
                    <w:pStyle w:val="41"/>
                  </w:pPr>
                  <w:r>
                    <w:rPr>
                      <w:sz w:val="20"/>
                      <w:szCs w:val="20"/>
                    </w:rPr>
                    <w:t>112.752568</w:t>
                  </w:r>
                </w:p>
              </w:tc>
              <w:tc>
                <w:tcPr>
                  <w:tcW w:w="659" w:type="pct"/>
                  <w:vAlign w:val="bottom"/>
                </w:tcPr>
                <w:p>
                  <w:pPr>
                    <w:pStyle w:val="41"/>
                  </w:pPr>
                  <w:r>
                    <w:rPr>
                      <w:sz w:val="20"/>
                      <w:szCs w:val="20"/>
                    </w:rPr>
                    <w:t>28.615767</w:t>
                  </w:r>
                </w:p>
              </w:tc>
              <w:tc>
                <w:tcPr>
                  <w:tcW w:w="346" w:type="pct"/>
                </w:tcPr>
                <w:p>
                  <w:pPr>
                    <w:pStyle w:val="41"/>
                  </w:pPr>
                  <w:r>
                    <w:rPr>
                      <w:rFonts w:hint="eastAsia"/>
                    </w:rPr>
                    <w:t>居民</w:t>
                  </w:r>
                </w:p>
              </w:tc>
              <w:tc>
                <w:tcPr>
                  <w:tcW w:w="652" w:type="pct"/>
                  <w:vAlign w:val="center"/>
                </w:tcPr>
                <w:p>
                  <w:pPr>
                    <w:pStyle w:val="41"/>
                  </w:pPr>
                  <w:r>
                    <w:t>约110人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老港村五组</w:t>
                  </w:r>
                </w:p>
              </w:tc>
              <w:tc>
                <w:tcPr>
                  <w:tcW w:w="727" w:type="pct"/>
                  <w:vAlign w:val="bottom"/>
                </w:tcPr>
                <w:p>
                  <w:pPr>
                    <w:pStyle w:val="41"/>
                  </w:pPr>
                  <w:r>
                    <w:rPr>
                      <w:sz w:val="20"/>
                      <w:szCs w:val="20"/>
                    </w:rPr>
                    <w:t>112.753215</w:t>
                  </w:r>
                </w:p>
              </w:tc>
              <w:tc>
                <w:tcPr>
                  <w:tcW w:w="659" w:type="pct"/>
                  <w:vAlign w:val="bottom"/>
                </w:tcPr>
                <w:p>
                  <w:pPr>
                    <w:pStyle w:val="41"/>
                  </w:pPr>
                  <w:r>
                    <w:rPr>
                      <w:sz w:val="20"/>
                      <w:szCs w:val="20"/>
                    </w:rPr>
                    <w:t>28.618737</w:t>
                  </w:r>
                </w:p>
              </w:tc>
              <w:tc>
                <w:tcPr>
                  <w:tcW w:w="346" w:type="pct"/>
                </w:tcPr>
                <w:p>
                  <w:pPr>
                    <w:pStyle w:val="41"/>
                  </w:pPr>
                  <w:r>
                    <w:rPr>
                      <w:rFonts w:hint="eastAsia"/>
                    </w:rPr>
                    <w:t>居民</w:t>
                  </w:r>
                </w:p>
              </w:tc>
              <w:tc>
                <w:tcPr>
                  <w:tcW w:w="652" w:type="pct"/>
                  <w:vAlign w:val="center"/>
                </w:tcPr>
                <w:p>
                  <w:pPr>
                    <w:pStyle w:val="41"/>
                  </w:pPr>
                  <w:r>
                    <w:t>约130人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老港村六组</w:t>
                  </w:r>
                </w:p>
              </w:tc>
              <w:tc>
                <w:tcPr>
                  <w:tcW w:w="727" w:type="pct"/>
                  <w:vAlign w:val="bottom"/>
                </w:tcPr>
                <w:p>
                  <w:pPr>
                    <w:pStyle w:val="41"/>
                  </w:pPr>
                  <w:r>
                    <w:rPr>
                      <w:sz w:val="20"/>
                      <w:szCs w:val="20"/>
                    </w:rPr>
                    <w:t>112.750074</w:t>
                  </w:r>
                </w:p>
              </w:tc>
              <w:tc>
                <w:tcPr>
                  <w:tcW w:w="659" w:type="pct"/>
                  <w:vAlign w:val="bottom"/>
                </w:tcPr>
                <w:p>
                  <w:pPr>
                    <w:pStyle w:val="41"/>
                  </w:pPr>
                  <w:r>
                    <w:rPr>
                      <w:sz w:val="20"/>
                      <w:szCs w:val="20"/>
                    </w:rPr>
                    <w:t>28.621383</w:t>
                  </w:r>
                </w:p>
              </w:tc>
              <w:tc>
                <w:tcPr>
                  <w:tcW w:w="346" w:type="pct"/>
                </w:tcPr>
                <w:p>
                  <w:pPr>
                    <w:pStyle w:val="41"/>
                  </w:pPr>
                  <w:r>
                    <w:rPr>
                      <w:rFonts w:hint="eastAsia"/>
                    </w:rPr>
                    <w:t>居民</w:t>
                  </w:r>
                </w:p>
              </w:tc>
              <w:tc>
                <w:tcPr>
                  <w:tcW w:w="652" w:type="pct"/>
                  <w:vAlign w:val="center"/>
                </w:tcPr>
                <w:p>
                  <w:pPr>
                    <w:pStyle w:val="41"/>
                  </w:pPr>
                  <w:r>
                    <w:t>约80人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武洲村五组</w:t>
                  </w:r>
                </w:p>
              </w:tc>
              <w:tc>
                <w:tcPr>
                  <w:tcW w:w="727" w:type="pct"/>
                  <w:vAlign w:val="bottom"/>
                </w:tcPr>
                <w:p>
                  <w:pPr>
                    <w:pStyle w:val="41"/>
                  </w:pPr>
                  <w:r>
                    <w:rPr>
                      <w:sz w:val="20"/>
                      <w:szCs w:val="20"/>
                    </w:rPr>
                    <w:t>112.746838</w:t>
                  </w:r>
                </w:p>
              </w:tc>
              <w:tc>
                <w:tcPr>
                  <w:tcW w:w="659" w:type="pct"/>
                  <w:vAlign w:val="bottom"/>
                </w:tcPr>
                <w:p>
                  <w:pPr>
                    <w:pStyle w:val="41"/>
                  </w:pPr>
                  <w:r>
                    <w:rPr>
                      <w:sz w:val="20"/>
                      <w:szCs w:val="20"/>
                    </w:rPr>
                    <w:t>28.621630</w:t>
                  </w:r>
                </w:p>
              </w:tc>
              <w:tc>
                <w:tcPr>
                  <w:tcW w:w="346" w:type="pct"/>
                </w:tcPr>
                <w:p>
                  <w:pPr>
                    <w:pStyle w:val="41"/>
                  </w:pPr>
                  <w:r>
                    <w:rPr>
                      <w:rFonts w:hint="eastAsia"/>
                    </w:rPr>
                    <w:t>居民</w:t>
                  </w:r>
                </w:p>
              </w:tc>
              <w:tc>
                <w:tcPr>
                  <w:tcW w:w="652" w:type="pct"/>
                  <w:vAlign w:val="center"/>
                </w:tcPr>
                <w:p>
                  <w:pPr>
                    <w:pStyle w:val="41"/>
                  </w:pPr>
                  <w:r>
                    <w:t>约130人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大有村四组</w:t>
                  </w:r>
                </w:p>
              </w:tc>
              <w:tc>
                <w:tcPr>
                  <w:tcW w:w="727" w:type="pct"/>
                  <w:vAlign w:val="bottom"/>
                </w:tcPr>
                <w:p>
                  <w:pPr>
                    <w:pStyle w:val="41"/>
                  </w:pPr>
                  <w:r>
                    <w:rPr>
                      <w:sz w:val="20"/>
                      <w:szCs w:val="20"/>
                    </w:rPr>
                    <w:t>112.741318</w:t>
                  </w:r>
                </w:p>
              </w:tc>
              <w:tc>
                <w:tcPr>
                  <w:tcW w:w="659" w:type="pct"/>
                  <w:vAlign w:val="bottom"/>
                </w:tcPr>
                <w:p>
                  <w:pPr>
                    <w:pStyle w:val="41"/>
                  </w:pPr>
                  <w:r>
                    <w:rPr>
                      <w:sz w:val="20"/>
                      <w:szCs w:val="20"/>
                    </w:rPr>
                    <w:t>28.622887</w:t>
                  </w:r>
                </w:p>
              </w:tc>
              <w:tc>
                <w:tcPr>
                  <w:tcW w:w="346" w:type="pct"/>
                </w:tcPr>
                <w:p>
                  <w:pPr>
                    <w:pStyle w:val="41"/>
                  </w:pPr>
                  <w:r>
                    <w:rPr>
                      <w:rFonts w:hint="eastAsia"/>
                    </w:rPr>
                    <w:t>居民</w:t>
                  </w:r>
                </w:p>
              </w:tc>
              <w:tc>
                <w:tcPr>
                  <w:tcW w:w="652" w:type="pct"/>
                  <w:vAlign w:val="center"/>
                </w:tcPr>
                <w:p>
                  <w:pPr>
                    <w:pStyle w:val="41"/>
                  </w:pPr>
                  <w:r>
                    <w:t>约110人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合同村十组</w:t>
                  </w:r>
                </w:p>
              </w:tc>
              <w:tc>
                <w:tcPr>
                  <w:tcW w:w="727" w:type="pct"/>
                  <w:vAlign w:val="bottom"/>
                </w:tcPr>
                <w:p>
                  <w:pPr>
                    <w:pStyle w:val="41"/>
                  </w:pPr>
                  <w:r>
                    <w:rPr>
                      <w:sz w:val="20"/>
                      <w:szCs w:val="20"/>
                    </w:rPr>
                    <w:t>112.742898</w:t>
                  </w:r>
                </w:p>
              </w:tc>
              <w:tc>
                <w:tcPr>
                  <w:tcW w:w="659" w:type="pct"/>
                  <w:vAlign w:val="bottom"/>
                </w:tcPr>
                <w:p>
                  <w:pPr>
                    <w:pStyle w:val="41"/>
                  </w:pPr>
                  <w:r>
                    <w:rPr>
                      <w:sz w:val="20"/>
                      <w:szCs w:val="20"/>
                    </w:rPr>
                    <w:t>28.629245</w:t>
                  </w:r>
                </w:p>
              </w:tc>
              <w:tc>
                <w:tcPr>
                  <w:tcW w:w="346" w:type="pct"/>
                </w:tcPr>
                <w:p>
                  <w:pPr>
                    <w:pStyle w:val="41"/>
                  </w:pPr>
                  <w:r>
                    <w:rPr>
                      <w:rFonts w:hint="eastAsia"/>
                    </w:rPr>
                    <w:t>居民</w:t>
                  </w:r>
                </w:p>
              </w:tc>
              <w:tc>
                <w:tcPr>
                  <w:tcW w:w="652" w:type="pct"/>
                  <w:vAlign w:val="center"/>
                </w:tcPr>
                <w:p>
                  <w:pPr>
                    <w:pStyle w:val="41"/>
                  </w:pPr>
                  <w:r>
                    <w:t>约110人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合同村十一组</w:t>
                  </w:r>
                </w:p>
              </w:tc>
              <w:tc>
                <w:tcPr>
                  <w:tcW w:w="727" w:type="pct"/>
                  <w:vAlign w:val="bottom"/>
                </w:tcPr>
                <w:p>
                  <w:pPr>
                    <w:pStyle w:val="41"/>
                  </w:pPr>
                  <w:r>
                    <w:rPr>
                      <w:sz w:val="20"/>
                      <w:szCs w:val="20"/>
                    </w:rPr>
                    <w:t>112.742917</w:t>
                  </w:r>
                </w:p>
              </w:tc>
              <w:tc>
                <w:tcPr>
                  <w:tcW w:w="659" w:type="pct"/>
                  <w:vAlign w:val="bottom"/>
                </w:tcPr>
                <w:p>
                  <w:pPr>
                    <w:pStyle w:val="41"/>
                  </w:pPr>
                  <w:r>
                    <w:rPr>
                      <w:sz w:val="20"/>
                      <w:szCs w:val="20"/>
                    </w:rPr>
                    <w:t>28.631834</w:t>
                  </w:r>
                </w:p>
              </w:tc>
              <w:tc>
                <w:tcPr>
                  <w:tcW w:w="346" w:type="pct"/>
                </w:tcPr>
                <w:p>
                  <w:pPr>
                    <w:pStyle w:val="41"/>
                  </w:pPr>
                  <w:r>
                    <w:rPr>
                      <w:rFonts w:hint="eastAsia"/>
                    </w:rPr>
                    <w:t>居民</w:t>
                  </w:r>
                </w:p>
              </w:tc>
              <w:tc>
                <w:tcPr>
                  <w:tcW w:w="652" w:type="pct"/>
                  <w:vAlign w:val="center"/>
                </w:tcPr>
                <w:p>
                  <w:pPr>
                    <w:pStyle w:val="41"/>
                  </w:pPr>
                  <w:r>
                    <w:t>约130人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合同村十二组</w:t>
                  </w:r>
                </w:p>
              </w:tc>
              <w:tc>
                <w:tcPr>
                  <w:tcW w:w="727" w:type="pct"/>
                  <w:vAlign w:val="bottom"/>
                </w:tcPr>
                <w:p>
                  <w:pPr>
                    <w:pStyle w:val="41"/>
                  </w:pPr>
                  <w:r>
                    <w:rPr>
                      <w:sz w:val="20"/>
                      <w:szCs w:val="20"/>
                    </w:rPr>
                    <w:t>112.745030</w:t>
                  </w:r>
                </w:p>
              </w:tc>
              <w:tc>
                <w:tcPr>
                  <w:tcW w:w="659" w:type="pct"/>
                  <w:vAlign w:val="bottom"/>
                </w:tcPr>
                <w:p>
                  <w:pPr>
                    <w:pStyle w:val="41"/>
                  </w:pPr>
                  <w:r>
                    <w:rPr>
                      <w:sz w:val="20"/>
                      <w:szCs w:val="20"/>
                    </w:rPr>
                    <w:t>28.633242</w:t>
                  </w:r>
                </w:p>
              </w:tc>
              <w:tc>
                <w:tcPr>
                  <w:tcW w:w="346" w:type="pct"/>
                </w:tcPr>
                <w:p>
                  <w:pPr>
                    <w:pStyle w:val="41"/>
                  </w:pPr>
                  <w:r>
                    <w:rPr>
                      <w:rFonts w:hint="eastAsia"/>
                    </w:rPr>
                    <w:t>居民</w:t>
                  </w:r>
                </w:p>
              </w:tc>
              <w:tc>
                <w:tcPr>
                  <w:tcW w:w="652" w:type="pct"/>
                  <w:vAlign w:val="center"/>
                </w:tcPr>
                <w:p>
                  <w:pPr>
                    <w:pStyle w:val="41"/>
                  </w:pPr>
                  <w:r>
                    <w:t>约110人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合同村五组</w:t>
                  </w:r>
                </w:p>
              </w:tc>
              <w:tc>
                <w:tcPr>
                  <w:tcW w:w="727" w:type="pct"/>
                  <w:vAlign w:val="bottom"/>
                </w:tcPr>
                <w:p>
                  <w:pPr>
                    <w:pStyle w:val="41"/>
                  </w:pPr>
                  <w:r>
                    <w:rPr>
                      <w:sz w:val="20"/>
                      <w:szCs w:val="20"/>
                    </w:rPr>
                    <w:t>112.756565</w:t>
                  </w:r>
                </w:p>
              </w:tc>
              <w:tc>
                <w:tcPr>
                  <w:tcW w:w="659" w:type="pct"/>
                  <w:vAlign w:val="bottom"/>
                </w:tcPr>
                <w:p>
                  <w:pPr>
                    <w:pStyle w:val="41"/>
                  </w:pPr>
                  <w:r>
                    <w:rPr>
                      <w:sz w:val="20"/>
                      <w:szCs w:val="20"/>
                    </w:rPr>
                    <w:t>28.628940</w:t>
                  </w:r>
                </w:p>
              </w:tc>
              <w:tc>
                <w:tcPr>
                  <w:tcW w:w="346" w:type="pct"/>
                </w:tcPr>
                <w:p>
                  <w:pPr>
                    <w:pStyle w:val="41"/>
                  </w:pPr>
                  <w:r>
                    <w:rPr>
                      <w:rFonts w:hint="eastAsia"/>
                    </w:rPr>
                    <w:t>居民</w:t>
                  </w:r>
                </w:p>
              </w:tc>
              <w:tc>
                <w:tcPr>
                  <w:tcW w:w="652" w:type="pct"/>
                  <w:vAlign w:val="center"/>
                </w:tcPr>
                <w:p>
                  <w:pPr>
                    <w:pStyle w:val="41"/>
                  </w:pPr>
                  <w:r>
                    <w:t>约120人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合同村六组</w:t>
                  </w:r>
                </w:p>
              </w:tc>
              <w:tc>
                <w:tcPr>
                  <w:tcW w:w="727" w:type="pct"/>
                  <w:vAlign w:val="bottom"/>
                </w:tcPr>
                <w:p>
                  <w:pPr>
                    <w:pStyle w:val="41"/>
                  </w:pPr>
                  <w:r>
                    <w:rPr>
                      <w:sz w:val="20"/>
                      <w:szCs w:val="20"/>
                    </w:rPr>
                    <w:t>112.752339</w:t>
                  </w:r>
                </w:p>
              </w:tc>
              <w:tc>
                <w:tcPr>
                  <w:tcW w:w="659" w:type="pct"/>
                  <w:vAlign w:val="bottom"/>
                </w:tcPr>
                <w:p>
                  <w:pPr>
                    <w:pStyle w:val="41"/>
                  </w:pPr>
                  <w:r>
                    <w:rPr>
                      <w:sz w:val="20"/>
                      <w:szCs w:val="20"/>
                    </w:rPr>
                    <w:t>28.630273</w:t>
                  </w:r>
                </w:p>
              </w:tc>
              <w:tc>
                <w:tcPr>
                  <w:tcW w:w="346" w:type="pct"/>
                </w:tcPr>
                <w:p>
                  <w:pPr>
                    <w:pStyle w:val="41"/>
                  </w:pPr>
                  <w:r>
                    <w:rPr>
                      <w:rFonts w:hint="eastAsia"/>
                    </w:rPr>
                    <w:t>居民</w:t>
                  </w:r>
                </w:p>
              </w:tc>
              <w:tc>
                <w:tcPr>
                  <w:tcW w:w="652" w:type="pct"/>
                  <w:vAlign w:val="center"/>
                </w:tcPr>
                <w:p>
                  <w:pPr>
                    <w:pStyle w:val="41"/>
                  </w:pPr>
                  <w:r>
                    <w:t>约130人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合同村七组</w:t>
                  </w:r>
                </w:p>
              </w:tc>
              <w:tc>
                <w:tcPr>
                  <w:tcW w:w="727" w:type="pct"/>
                  <w:vAlign w:val="bottom"/>
                </w:tcPr>
                <w:p>
                  <w:pPr>
                    <w:pStyle w:val="41"/>
                  </w:pPr>
                  <w:r>
                    <w:rPr>
                      <w:sz w:val="20"/>
                      <w:szCs w:val="20"/>
                    </w:rPr>
                    <w:t>112.753310</w:t>
                  </w:r>
                </w:p>
              </w:tc>
              <w:tc>
                <w:tcPr>
                  <w:tcW w:w="659" w:type="pct"/>
                  <w:vAlign w:val="bottom"/>
                </w:tcPr>
                <w:p>
                  <w:pPr>
                    <w:pStyle w:val="41"/>
                  </w:pPr>
                  <w:r>
                    <w:rPr>
                      <w:sz w:val="20"/>
                      <w:szCs w:val="20"/>
                    </w:rPr>
                    <w:t>28.627532</w:t>
                  </w:r>
                </w:p>
              </w:tc>
              <w:tc>
                <w:tcPr>
                  <w:tcW w:w="346" w:type="pct"/>
                </w:tcPr>
                <w:p>
                  <w:pPr>
                    <w:pStyle w:val="41"/>
                  </w:pPr>
                  <w:r>
                    <w:rPr>
                      <w:rFonts w:hint="eastAsia"/>
                    </w:rPr>
                    <w:t>居民</w:t>
                  </w:r>
                </w:p>
              </w:tc>
              <w:tc>
                <w:tcPr>
                  <w:tcW w:w="652" w:type="pct"/>
                  <w:vAlign w:val="center"/>
                </w:tcPr>
                <w:p>
                  <w:pPr>
                    <w:pStyle w:val="41"/>
                  </w:pPr>
                  <w:r>
                    <w:t>约90人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合同村二组</w:t>
                  </w:r>
                </w:p>
              </w:tc>
              <w:tc>
                <w:tcPr>
                  <w:tcW w:w="727" w:type="pct"/>
                  <w:vAlign w:val="bottom"/>
                </w:tcPr>
                <w:p>
                  <w:pPr>
                    <w:pStyle w:val="41"/>
                  </w:pPr>
                  <w:r>
                    <w:rPr>
                      <w:sz w:val="20"/>
                      <w:szCs w:val="20"/>
                    </w:rPr>
                    <w:t>112.756499</w:t>
                  </w:r>
                </w:p>
              </w:tc>
              <w:tc>
                <w:tcPr>
                  <w:tcW w:w="659" w:type="pct"/>
                  <w:vAlign w:val="bottom"/>
                </w:tcPr>
                <w:p>
                  <w:pPr>
                    <w:pStyle w:val="41"/>
                  </w:pPr>
                  <w:r>
                    <w:rPr>
                      <w:sz w:val="20"/>
                      <w:szCs w:val="20"/>
                    </w:rPr>
                    <w:t>28.633861</w:t>
                  </w:r>
                </w:p>
              </w:tc>
              <w:tc>
                <w:tcPr>
                  <w:tcW w:w="346" w:type="pct"/>
                </w:tcPr>
                <w:p>
                  <w:pPr>
                    <w:pStyle w:val="41"/>
                  </w:pPr>
                  <w:r>
                    <w:rPr>
                      <w:rFonts w:hint="eastAsia"/>
                    </w:rPr>
                    <w:t>居民</w:t>
                  </w:r>
                </w:p>
              </w:tc>
              <w:tc>
                <w:tcPr>
                  <w:tcW w:w="652" w:type="pct"/>
                  <w:vAlign w:val="center"/>
                </w:tcPr>
                <w:p>
                  <w:pPr>
                    <w:pStyle w:val="41"/>
                  </w:pPr>
                  <w:r>
                    <w:t>约110人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合同村四组</w:t>
                  </w:r>
                </w:p>
              </w:tc>
              <w:tc>
                <w:tcPr>
                  <w:tcW w:w="727" w:type="pct"/>
                  <w:vAlign w:val="bottom"/>
                </w:tcPr>
                <w:p>
                  <w:pPr>
                    <w:pStyle w:val="41"/>
                  </w:pPr>
                  <w:r>
                    <w:rPr>
                      <w:sz w:val="20"/>
                      <w:szCs w:val="20"/>
                    </w:rPr>
                    <w:t>112.759211</w:t>
                  </w:r>
                </w:p>
              </w:tc>
              <w:tc>
                <w:tcPr>
                  <w:tcW w:w="659" w:type="pct"/>
                  <w:vAlign w:val="bottom"/>
                </w:tcPr>
                <w:p>
                  <w:pPr>
                    <w:pStyle w:val="41"/>
                  </w:pPr>
                  <w:r>
                    <w:rPr>
                      <w:sz w:val="20"/>
                      <w:szCs w:val="20"/>
                    </w:rPr>
                    <w:t>28.635217</w:t>
                  </w:r>
                </w:p>
              </w:tc>
              <w:tc>
                <w:tcPr>
                  <w:tcW w:w="346" w:type="pct"/>
                </w:tcPr>
                <w:p>
                  <w:pPr>
                    <w:pStyle w:val="41"/>
                  </w:pPr>
                  <w:r>
                    <w:rPr>
                      <w:rFonts w:hint="eastAsia"/>
                    </w:rPr>
                    <w:t>居民</w:t>
                  </w:r>
                </w:p>
              </w:tc>
              <w:tc>
                <w:tcPr>
                  <w:tcW w:w="652" w:type="pct"/>
                  <w:vAlign w:val="center"/>
                </w:tcPr>
                <w:p>
                  <w:pPr>
                    <w:pStyle w:val="41"/>
                  </w:pPr>
                  <w:r>
                    <w:t>约120人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老港村十一组</w:t>
                  </w:r>
                </w:p>
              </w:tc>
              <w:tc>
                <w:tcPr>
                  <w:tcW w:w="727" w:type="pct"/>
                  <w:vAlign w:val="bottom"/>
                </w:tcPr>
                <w:p>
                  <w:pPr>
                    <w:pStyle w:val="41"/>
                  </w:pPr>
                  <w:r>
                    <w:rPr>
                      <w:sz w:val="20"/>
                      <w:szCs w:val="20"/>
                    </w:rPr>
                    <w:t>112.761329</w:t>
                  </w:r>
                </w:p>
              </w:tc>
              <w:tc>
                <w:tcPr>
                  <w:tcW w:w="659" w:type="pct"/>
                  <w:vAlign w:val="bottom"/>
                </w:tcPr>
                <w:p>
                  <w:pPr>
                    <w:pStyle w:val="41"/>
                  </w:pPr>
                  <w:r>
                    <w:rPr>
                      <w:sz w:val="20"/>
                      <w:szCs w:val="20"/>
                    </w:rPr>
                    <w:t>28.625366</w:t>
                  </w:r>
                </w:p>
              </w:tc>
              <w:tc>
                <w:tcPr>
                  <w:tcW w:w="346" w:type="pct"/>
                </w:tcPr>
                <w:p>
                  <w:pPr>
                    <w:pStyle w:val="41"/>
                  </w:pPr>
                  <w:r>
                    <w:rPr>
                      <w:rFonts w:hint="eastAsia"/>
                    </w:rPr>
                    <w:t>居民</w:t>
                  </w:r>
                </w:p>
              </w:tc>
              <w:tc>
                <w:tcPr>
                  <w:tcW w:w="652" w:type="pct"/>
                  <w:vAlign w:val="center"/>
                </w:tcPr>
                <w:p>
                  <w:pPr>
                    <w:pStyle w:val="41"/>
                  </w:pPr>
                  <w:r>
                    <w:t>约90人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7" w:type="pct"/>
                  <w:vAlign w:val="center"/>
                </w:tcPr>
                <w:p>
                  <w:pPr>
                    <w:pStyle w:val="41"/>
                  </w:pPr>
                  <w:r>
                    <w:rPr>
                      <w:rFonts w:hint="eastAsia"/>
                    </w:rPr>
                    <w:t>双湖村七组</w:t>
                  </w:r>
                </w:p>
              </w:tc>
              <w:tc>
                <w:tcPr>
                  <w:tcW w:w="727" w:type="pct"/>
                  <w:vAlign w:val="bottom"/>
                </w:tcPr>
                <w:p>
                  <w:pPr>
                    <w:pStyle w:val="41"/>
                  </w:pPr>
                  <w:r>
                    <w:rPr>
                      <w:sz w:val="20"/>
                      <w:szCs w:val="20"/>
                    </w:rPr>
                    <w:t>112.764042</w:t>
                  </w:r>
                </w:p>
              </w:tc>
              <w:tc>
                <w:tcPr>
                  <w:tcW w:w="659" w:type="pct"/>
                  <w:vAlign w:val="bottom"/>
                </w:tcPr>
                <w:p>
                  <w:pPr>
                    <w:pStyle w:val="41"/>
                  </w:pPr>
                  <w:r>
                    <w:rPr>
                      <w:sz w:val="20"/>
                      <w:szCs w:val="20"/>
                    </w:rPr>
                    <w:t>28.615063</w:t>
                  </w:r>
                </w:p>
              </w:tc>
              <w:tc>
                <w:tcPr>
                  <w:tcW w:w="346" w:type="pct"/>
                </w:tcPr>
                <w:p>
                  <w:pPr>
                    <w:pStyle w:val="41"/>
                  </w:pPr>
                  <w:r>
                    <w:rPr>
                      <w:rFonts w:hint="eastAsia"/>
                    </w:rPr>
                    <w:t>居民</w:t>
                  </w:r>
                </w:p>
              </w:tc>
              <w:tc>
                <w:tcPr>
                  <w:tcW w:w="652" w:type="pct"/>
                  <w:vAlign w:val="center"/>
                </w:tcPr>
                <w:p>
                  <w:pPr>
                    <w:pStyle w:val="41"/>
                  </w:pPr>
                  <w:r>
                    <w:t>约80人</w:t>
                  </w:r>
                </w:p>
              </w:tc>
              <w:tc>
                <w:tcPr>
                  <w:tcW w:w="346" w:type="pct"/>
                </w:tcPr>
                <w:p>
                  <w:pPr>
                    <w:pStyle w:val="41"/>
                  </w:pPr>
                  <w:r>
                    <w:rPr>
                      <w:rFonts w:hint="eastAsia"/>
                    </w:rPr>
                    <w:t>2类</w:t>
                  </w:r>
                </w:p>
              </w:tc>
              <w:tc>
                <w:tcPr>
                  <w:tcW w:w="499" w:type="pct"/>
                </w:tcPr>
                <w:p>
                  <w:pPr>
                    <w:pStyle w:val="41"/>
                  </w:pPr>
                  <w:r>
                    <w:rPr>
                      <w:rFonts w:hint="eastAsia"/>
                    </w:rPr>
                    <w:t>N</w:t>
                  </w:r>
                </w:p>
              </w:tc>
              <w:tc>
                <w:tcPr>
                  <w:tcW w:w="813" w:type="pct"/>
                  <w:vAlign w:val="center"/>
                </w:tcPr>
                <w:p>
                  <w:pPr>
                    <w:pStyle w:val="41"/>
                  </w:pPr>
                  <w:r>
                    <w:rPr>
                      <w:rFonts w:hint="eastAsia"/>
                    </w:rPr>
                    <w:t>1</w:t>
                  </w:r>
                  <w:r>
                    <w:t>0</w:t>
                  </w:r>
                </w:p>
              </w:tc>
            </w:tr>
          </w:tbl>
          <w:p>
            <w:pPr>
              <w:pStyle w:val="34"/>
              <w:ind w:firstLine="480"/>
            </w:pPr>
            <w:r>
              <w:rPr>
                <w:rFonts w:hint="eastAsia"/>
              </w:rPr>
              <w:t>2、声环境保护目标</w:t>
            </w:r>
          </w:p>
          <w:p>
            <w:pPr>
              <w:pStyle w:val="34"/>
              <w:ind w:firstLine="480"/>
            </w:pPr>
            <w:r>
              <w:rPr>
                <w:rFonts w:hint="eastAsia"/>
              </w:rPr>
              <w:t>本次调查鼻湖及治理干渠周边2</w:t>
            </w:r>
            <w:r>
              <w:t>00</w:t>
            </w:r>
            <w:r>
              <w:rPr>
                <w:rFonts w:hint="eastAsia"/>
              </w:rPr>
              <w:t>m范围内声环境保护目标，具体如下：</w:t>
            </w:r>
          </w:p>
          <w:p>
            <w:pPr>
              <w:pStyle w:val="39"/>
              <w:spacing w:before="156"/>
            </w:pPr>
            <w:r>
              <w:rPr>
                <w:rFonts w:hint="eastAsia"/>
              </w:rPr>
              <w:t>表3</w:t>
            </w:r>
            <w:r>
              <w:t xml:space="preserve">-6  </w:t>
            </w:r>
            <w:r>
              <w:rPr>
                <w:rFonts w:hint="eastAsia"/>
              </w:rPr>
              <w:t>声环境保护目标一览表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72"/>
              <w:gridCol w:w="1042"/>
              <w:gridCol w:w="944"/>
              <w:gridCol w:w="496"/>
              <w:gridCol w:w="935"/>
              <w:gridCol w:w="496"/>
              <w:gridCol w:w="714"/>
              <w:gridCol w:w="1166"/>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Merge w:val="restart"/>
                  <w:vAlign w:val="center"/>
                </w:tcPr>
                <w:p>
                  <w:pPr>
                    <w:pStyle w:val="41"/>
                  </w:pPr>
                  <w:r>
                    <w:rPr>
                      <w:rFonts w:hint="eastAsia"/>
                    </w:rPr>
                    <w:t>名称</w:t>
                  </w:r>
                </w:p>
              </w:tc>
              <w:tc>
                <w:tcPr>
                  <w:tcW w:w="1226" w:type="pct"/>
                  <w:gridSpan w:val="2"/>
                  <w:vAlign w:val="center"/>
                </w:tcPr>
                <w:p>
                  <w:pPr>
                    <w:pStyle w:val="41"/>
                  </w:pPr>
                  <w:r>
                    <w:rPr>
                      <w:rFonts w:hint="eastAsia"/>
                    </w:rPr>
                    <w:t>坐标</w:t>
                  </w:r>
                </w:p>
              </w:tc>
              <w:tc>
                <w:tcPr>
                  <w:tcW w:w="306" w:type="pct"/>
                  <w:vMerge w:val="restart"/>
                  <w:vAlign w:val="center"/>
                </w:tcPr>
                <w:p>
                  <w:pPr>
                    <w:pStyle w:val="41"/>
                  </w:pPr>
                  <w:r>
                    <w:rPr>
                      <w:rFonts w:hint="eastAsia"/>
                    </w:rPr>
                    <w:t>保护</w:t>
                  </w:r>
                </w:p>
                <w:p>
                  <w:pPr>
                    <w:pStyle w:val="41"/>
                  </w:pPr>
                  <w:r>
                    <w:rPr>
                      <w:rFonts w:hint="eastAsia"/>
                    </w:rPr>
                    <w:t>内容</w:t>
                  </w:r>
                </w:p>
              </w:tc>
              <w:tc>
                <w:tcPr>
                  <w:tcW w:w="577" w:type="pct"/>
                  <w:vMerge w:val="restart"/>
                  <w:vAlign w:val="center"/>
                </w:tcPr>
                <w:p>
                  <w:pPr>
                    <w:pStyle w:val="41"/>
                  </w:pPr>
                  <w:r>
                    <w:rPr>
                      <w:rFonts w:hint="eastAsia"/>
                    </w:rPr>
                    <w:t>保护对象</w:t>
                  </w:r>
                </w:p>
              </w:tc>
              <w:tc>
                <w:tcPr>
                  <w:tcW w:w="306" w:type="pct"/>
                  <w:vMerge w:val="restart"/>
                  <w:vAlign w:val="center"/>
                </w:tcPr>
                <w:p>
                  <w:pPr>
                    <w:pStyle w:val="41"/>
                  </w:pPr>
                  <w:r>
                    <w:rPr>
                      <w:rFonts w:hint="eastAsia"/>
                    </w:rPr>
                    <w:t>环境</w:t>
                  </w:r>
                </w:p>
                <w:p>
                  <w:pPr>
                    <w:pStyle w:val="41"/>
                  </w:pPr>
                  <w:r>
                    <w:rPr>
                      <w:rFonts w:hint="eastAsia"/>
                    </w:rPr>
                    <w:t>功能</w:t>
                  </w:r>
                </w:p>
              </w:tc>
              <w:tc>
                <w:tcPr>
                  <w:tcW w:w="441" w:type="pct"/>
                  <w:vMerge w:val="restart"/>
                  <w:vAlign w:val="center"/>
                </w:tcPr>
                <w:p>
                  <w:pPr>
                    <w:pStyle w:val="41"/>
                  </w:pPr>
                  <w:r>
                    <w:rPr>
                      <w:rFonts w:hint="eastAsia"/>
                    </w:rPr>
                    <w:t>相对鼻</w:t>
                  </w:r>
                </w:p>
                <w:p>
                  <w:pPr>
                    <w:pStyle w:val="41"/>
                  </w:pPr>
                  <w:r>
                    <w:rPr>
                      <w:rFonts w:hint="eastAsia"/>
                    </w:rPr>
                    <w:t>湖方位</w:t>
                  </w:r>
                </w:p>
              </w:tc>
              <w:tc>
                <w:tcPr>
                  <w:tcW w:w="720" w:type="pct"/>
                  <w:vMerge w:val="restart"/>
                  <w:vAlign w:val="center"/>
                </w:tcPr>
                <w:p>
                  <w:pPr>
                    <w:pStyle w:val="41"/>
                  </w:pPr>
                  <w:r>
                    <w:rPr>
                      <w:rFonts w:hint="eastAsia"/>
                    </w:rPr>
                    <w:t>相对工程区</w:t>
                  </w:r>
                </w:p>
                <w:p>
                  <w:pPr>
                    <w:pStyle w:val="41"/>
                  </w:pPr>
                  <w:r>
                    <w:rPr>
                      <w:rFonts w:hint="eastAsia"/>
                    </w:rPr>
                    <w:t>边界距离/m</w:t>
                  </w:r>
                </w:p>
              </w:tc>
              <w:tc>
                <w:tcPr>
                  <w:tcW w:w="577" w:type="pct"/>
                  <w:vMerge w:val="restart"/>
                  <w:vAlign w:val="center"/>
                </w:tcPr>
                <w:p>
                  <w:pPr>
                    <w:pStyle w:val="41"/>
                  </w:pPr>
                  <w:r>
                    <w:rPr>
                      <w:rFonts w:hint="eastAsia"/>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Merge w:val="continue"/>
                  <w:vAlign w:val="center"/>
                </w:tcPr>
                <w:p>
                  <w:pPr>
                    <w:pStyle w:val="41"/>
                  </w:pPr>
                </w:p>
              </w:tc>
              <w:tc>
                <w:tcPr>
                  <w:tcW w:w="643" w:type="pct"/>
                  <w:vAlign w:val="center"/>
                </w:tcPr>
                <w:p>
                  <w:pPr>
                    <w:pStyle w:val="41"/>
                  </w:pPr>
                  <w:r>
                    <w:rPr>
                      <w:rFonts w:hint="eastAsia"/>
                    </w:rPr>
                    <w:t>东经</w:t>
                  </w:r>
                </w:p>
              </w:tc>
              <w:tc>
                <w:tcPr>
                  <w:tcW w:w="583" w:type="pct"/>
                  <w:vAlign w:val="center"/>
                </w:tcPr>
                <w:p>
                  <w:pPr>
                    <w:pStyle w:val="41"/>
                  </w:pPr>
                  <w:r>
                    <w:rPr>
                      <w:rFonts w:hint="eastAsia"/>
                    </w:rPr>
                    <w:t>北纬</w:t>
                  </w:r>
                </w:p>
              </w:tc>
              <w:tc>
                <w:tcPr>
                  <w:tcW w:w="306" w:type="pct"/>
                  <w:vMerge w:val="continue"/>
                  <w:vAlign w:val="center"/>
                </w:tcPr>
                <w:p>
                  <w:pPr>
                    <w:pStyle w:val="41"/>
                  </w:pPr>
                </w:p>
              </w:tc>
              <w:tc>
                <w:tcPr>
                  <w:tcW w:w="577" w:type="pct"/>
                  <w:vMerge w:val="continue"/>
                  <w:vAlign w:val="center"/>
                </w:tcPr>
                <w:p>
                  <w:pPr>
                    <w:pStyle w:val="41"/>
                  </w:pPr>
                </w:p>
              </w:tc>
              <w:tc>
                <w:tcPr>
                  <w:tcW w:w="306" w:type="pct"/>
                  <w:vMerge w:val="continue"/>
                  <w:vAlign w:val="center"/>
                </w:tcPr>
                <w:p>
                  <w:pPr>
                    <w:pStyle w:val="41"/>
                  </w:pPr>
                </w:p>
              </w:tc>
              <w:tc>
                <w:tcPr>
                  <w:tcW w:w="441" w:type="pct"/>
                  <w:vMerge w:val="continue"/>
                  <w:vAlign w:val="center"/>
                </w:tcPr>
                <w:p>
                  <w:pPr>
                    <w:pStyle w:val="41"/>
                  </w:pPr>
                </w:p>
              </w:tc>
              <w:tc>
                <w:tcPr>
                  <w:tcW w:w="720" w:type="pct"/>
                  <w:vMerge w:val="continue"/>
                  <w:vAlign w:val="center"/>
                </w:tcPr>
                <w:p>
                  <w:pPr>
                    <w:pStyle w:val="41"/>
                  </w:pPr>
                </w:p>
              </w:tc>
              <w:tc>
                <w:tcPr>
                  <w:tcW w:w="577"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上仓村五组</w:t>
                  </w:r>
                </w:p>
              </w:tc>
              <w:tc>
                <w:tcPr>
                  <w:tcW w:w="643" w:type="pct"/>
                  <w:vAlign w:val="center"/>
                </w:tcPr>
                <w:p>
                  <w:pPr>
                    <w:pStyle w:val="41"/>
                  </w:pPr>
                  <w:r>
                    <w:rPr>
                      <w:sz w:val="20"/>
                      <w:szCs w:val="20"/>
                    </w:rPr>
                    <w:t>112.770176</w:t>
                  </w:r>
                </w:p>
              </w:tc>
              <w:tc>
                <w:tcPr>
                  <w:tcW w:w="583" w:type="pct"/>
                  <w:vAlign w:val="center"/>
                </w:tcPr>
                <w:p>
                  <w:pPr>
                    <w:pStyle w:val="41"/>
                  </w:pPr>
                  <w:r>
                    <w:rPr>
                      <w:sz w:val="20"/>
                      <w:szCs w:val="20"/>
                    </w:rPr>
                    <w:t>28.607011</w:t>
                  </w:r>
                </w:p>
              </w:tc>
              <w:tc>
                <w:tcPr>
                  <w:tcW w:w="306" w:type="pct"/>
                  <w:vAlign w:val="center"/>
                </w:tcPr>
                <w:p>
                  <w:pPr>
                    <w:pStyle w:val="41"/>
                  </w:pPr>
                  <w:r>
                    <w:rPr>
                      <w:rFonts w:hint="eastAsia"/>
                    </w:rPr>
                    <w:t>居民</w:t>
                  </w:r>
                </w:p>
              </w:tc>
              <w:tc>
                <w:tcPr>
                  <w:tcW w:w="577" w:type="pct"/>
                  <w:vAlign w:val="center"/>
                </w:tcPr>
                <w:p>
                  <w:pPr>
                    <w:pStyle w:val="41"/>
                  </w:pPr>
                  <w:r>
                    <w:t>约50人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上仓村四组</w:t>
                  </w:r>
                </w:p>
              </w:tc>
              <w:tc>
                <w:tcPr>
                  <w:tcW w:w="643" w:type="pct"/>
                  <w:vAlign w:val="center"/>
                </w:tcPr>
                <w:p>
                  <w:pPr>
                    <w:pStyle w:val="41"/>
                  </w:pPr>
                  <w:r>
                    <w:rPr>
                      <w:sz w:val="20"/>
                      <w:szCs w:val="20"/>
                    </w:rPr>
                    <w:t>112.774687</w:t>
                  </w:r>
                </w:p>
              </w:tc>
              <w:tc>
                <w:tcPr>
                  <w:tcW w:w="583" w:type="pct"/>
                  <w:vAlign w:val="center"/>
                </w:tcPr>
                <w:p>
                  <w:pPr>
                    <w:pStyle w:val="41"/>
                  </w:pPr>
                  <w:r>
                    <w:rPr>
                      <w:sz w:val="20"/>
                      <w:szCs w:val="20"/>
                    </w:rPr>
                    <w:t>28.606897</w:t>
                  </w:r>
                </w:p>
              </w:tc>
              <w:tc>
                <w:tcPr>
                  <w:tcW w:w="306" w:type="pct"/>
                  <w:vAlign w:val="center"/>
                </w:tcPr>
                <w:p>
                  <w:pPr>
                    <w:pStyle w:val="41"/>
                  </w:pPr>
                  <w:r>
                    <w:rPr>
                      <w:rFonts w:hint="eastAsia"/>
                    </w:rPr>
                    <w:t>居民</w:t>
                  </w:r>
                </w:p>
              </w:tc>
              <w:tc>
                <w:tcPr>
                  <w:tcW w:w="577" w:type="pct"/>
                  <w:vAlign w:val="center"/>
                </w:tcPr>
                <w:p>
                  <w:pPr>
                    <w:pStyle w:val="41"/>
                  </w:pPr>
                  <w:r>
                    <w:t>约80人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上仓村七组</w:t>
                  </w:r>
                </w:p>
              </w:tc>
              <w:tc>
                <w:tcPr>
                  <w:tcW w:w="643" w:type="pct"/>
                  <w:vAlign w:val="center"/>
                </w:tcPr>
                <w:p>
                  <w:pPr>
                    <w:pStyle w:val="41"/>
                  </w:pPr>
                  <w:r>
                    <w:rPr>
                      <w:sz w:val="20"/>
                      <w:szCs w:val="20"/>
                    </w:rPr>
                    <w:t>112.772536</w:t>
                  </w:r>
                </w:p>
              </w:tc>
              <w:tc>
                <w:tcPr>
                  <w:tcW w:w="583" w:type="pct"/>
                  <w:vAlign w:val="center"/>
                </w:tcPr>
                <w:p>
                  <w:pPr>
                    <w:pStyle w:val="41"/>
                  </w:pPr>
                  <w:r>
                    <w:rPr>
                      <w:sz w:val="20"/>
                      <w:szCs w:val="20"/>
                    </w:rPr>
                    <w:t>28.603109</w:t>
                  </w:r>
                </w:p>
              </w:tc>
              <w:tc>
                <w:tcPr>
                  <w:tcW w:w="306" w:type="pct"/>
                  <w:vAlign w:val="center"/>
                </w:tcPr>
                <w:p>
                  <w:pPr>
                    <w:pStyle w:val="41"/>
                  </w:pPr>
                  <w:r>
                    <w:rPr>
                      <w:rFonts w:hint="eastAsia"/>
                    </w:rPr>
                    <w:t>居民</w:t>
                  </w:r>
                </w:p>
              </w:tc>
              <w:tc>
                <w:tcPr>
                  <w:tcW w:w="577" w:type="pct"/>
                  <w:vAlign w:val="center"/>
                </w:tcPr>
                <w:p>
                  <w:pPr>
                    <w:pStyle w:val="41"/>
                  </w:pPr>
                  <w:r>
                    <w:t>约60人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双华村十一组</w:t>
                  </w:r>
                </w:p>
              </w:tc>
              <w:tc>
                <w:tcPr>
                  <w:tcW w:w="643" w:type="pct"/>
                  <w:vAlign w:val="center"/>
                </w:tcPr>
                <w:p>
                  <w:pPr>
                    <w:pStyle w:val="41"/>
                  </w:pPr>
                  <w:r>
                    <w:rPr>
                      <w:sz w:val="20"/>
                      <w:szCs w:val="20"/>
                    </w:rPr>
                    <w:t>112.781350</w:t>
                  </w:r>
                </w:p>
              </w:tc>
              <w:tc>
                <w:tcPr>
                  <w:tcW w:w="583" w:type="pct"/>
                  <w:vAlign w:val="center"/>
                </w:tcPr>
                <w:p>
                  <w:pPr>
                    <w:pStyle w:val="41"/>
                  </w:pPr>
                  <w:r>
                    <w:rPr>
                      <w:sz w:val="20"/>
                      <w:szCs w:val="20"/>
                    </w:rPr>
                    <w:t>28.603623</w:t>
                  </w:r>
                </w:p>
              </w:tc>
              <w:tc>
                <w:tcPr>
                  <w:tcW w:w="306" w:type="pct"/>
                  <w:vAlign w:val="center"/>
                </w:tcPr>
                <w:p>
                  <w:pPr>
                    <w:pStyle w:val="41"/>
                  </w:pPr>
                  <w:r>
                    <w:rPr>
                      <w:rFonts w:hint="eastAsia"/>
                    </w:rPr>
                    <w:t>居民</w:t>
                  </w:r>
                </w:p>
              </w:tc>
              <w:tc>
                <w:tcPr>
                  <w:tcW w:w="577" w:type="pct"/>
                  <w:vAlign w:val="center"/>
                </w:tcPr>
                <w:p>
                  <w:pPr>
                    <w:pStyle w:val="41"/>
                  </w:pPr>
                  <w:r>
                    <w:t>约80人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吴家湾</w:t>
                  </w:r>
                </w:p>
              </w:tc>
              <w:tc>
                <w:tcPr>
                  <w:tcW w:w="643" w:type="pct"/>
                  <w:vAlign w:val="center"/>
                </w:tcPr>
                <w:p>
                  <w:pPr>
                    <w:pStyle w:val="41"/>
                  </w:pPr>
                  <w:r>
                    <w:rPr>
                      <w:sz w:val="20"/>
                      <w:szCs w:val="20"/>
                    </w:rPr>
                    <w:t>112.787727</w:t>
                  </w:r>
                </w:p>
              </w:tc>
              <w:tc>
                <w:tcPr>
                  <w:tcW w:w="583" w:type="pct"/>
                  <w:vAlign w:val="center"/>
                </w:tcPr>
                <w:p>
                  <w:pPr>
                    <w:pStyle w:val="41"/>
                  </w:pPr>
                  <w:r>
                    <w:rPr>
                      <w:sz w:val="20"/>
                      <w:szCs w:val="20"/>
                    </w:rPr>
                    <w:t>28.609029</w:t>
                  </w:r>
                </w:p>
              </w:tc>
              <w:tc>
                <w:tcPr>
                  <w:tcW w:w="306" w:type="pct"/>
                  <w:vAlign w:val="center"/>
                </w:tcPr>
                <w:p>
                  <w:pPr>
                    <w:pStyle w:val="41"/>
                  </w:pPr>
                  <w:r>
                    <w:rPr>
                      <w:rFonts w:hint="eastAsia"/>
                    </w:rPr>
                    <w:t>居民</w:t>
                  </w:r>
                </w:p>
              </w:tc>
              <w:tc>
                <w:tcPr>
                  <w:tcW w:w="577" w:type="pct"/>
                  <w:vAlign w:val="center"/>
                </w:tcPr>
                <w:p>
                  <w:pPr>
                    <w:pStyle w:val="41"/>
                  </w:pPr>
                  <w:r>
                    <w:t>约70人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双华村十组</w:t>
                  </w:r>
                </w:p>
              </w:tc>
              <w:tc>
                <w:tcPr>
                  <w:tcW w:w="643" w:type="pct"/>
                  <w:vAlign w:val="center"/>
                </w:tcPr>
                <w:p>
                  <w:pPr>
                    <w:pStyle w:val="41"/>
                  </w:pPr>
                  <w:r>
                    <w:rPr>
                      <w:sz w:val="20"/>
                      <w:szCs w:val="20"/>
                    </w:rPr>
                    <w:t>112.789173</w:t>
                  </w:r>
                </w:p>
              </w:tc>
              <w:tc>
                <w:tcPr>
                  <w:tcW w:w="583" w:type="pct"/>
                  <w:vAlign w:val="center"/>
                </w:tcPr>
                <w:p>
                  <w:pPr>
                    <w:pStyle w:val="41"/>
                  </w:pPr>
                  <w:r>
                    <w:rPr>
                      <w:sz w:val="20"/>
                      <w:szCs w:val="20"/>
                    </w:rPr>
                    <w:t>28.602918</w:t>
                  </w:r>
                </w:p>
              </w:tc>
              <w:tc>
                <w:tcPr>
                  <w:tcW w:w="306" w:type="pct"/>
                  <w:vAlign w:val="center"/>
                </w:tcPr>
                <w:p>
                  <w:pPr>
                    <w:pStyle w:val="41"/>
                  </w:pPr>
                  <w:r>
                    <w:rPr>
                      <w:rFonts w:hint="eastAsia"/>
                    </w:rPr>
                    <w:t>居民</w:t>
                  </w:r>
                </w:p>
              </w:tc>
              <w:tc>
                <w:tcPr>
                  <w:tcW w:w="577" w:type="pct"/>
                  <w:vAlign w:val="center"/>
                </w:tcPr>
                <w:p>
                  <w:pPr>
                    <w:pStyle w:val="41"/>
                  </w:pPr>
                  <w:r>
                    <w:t>约80人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向阳村三组</w:t>
                  </w:r>
                </w:p>
              </w:tc>
              <w:tc>
                <w:tcPr>
                  <w:tcW w:w="643" w:type="pct"/>
                  <w:vAlign w:val="center"/>
                </w:tcPr>
                <w:p>
                  <w:pPr>
                    <w:pStyle w:val="41"/>
                  </w:pPr>
                  <w:r>
                    <w:rPr>
                      <w:sz w:val="20"/>
                      <w:szCs w:val="20"/>
                    </w:rPr>
                    <w:t>112.777333</w:t>
                  </w:r>
                </w:p>
              </w:tc>
              <w:tc>
                <w:tcPr>
                  <w:tcW w:w="583" w:type="pct"/>
                  <w:vAlign w:val="center"/>
                </w:tcPr>
                <w:p>
                  <w:pPr>
                    <w:pStyle w:val="41"/>
                  </w:pPr>
                  <w:r>
                    <w:rPr>
                      <w:sz w:val="20"/>
                      <w:szCs w:val="20"/>
                    </w:rPr>
                    <w:t>28.597607</w:t>
                  </w:r>
                </w:p>
              </w:tc>
              <w:tc>
                <w:tcPr>
                  <w:tcW w:w="306" w:type="pct"/>
                  <w:vAlign w:val="center"/>
                </w:tcPr>
                <w:p>
                  <w:pPr>
                    <w:pStyle w:val="41"/>
                  </w:pPr>
                  <w:r>
                    <w:rPr>
                      <w:rFonts w:hint="eastAsia"/>
                    </w:rPr>
                    <w:t>居民</w:t>
                  </w:r>
                </w:p>
              </w:tc>
              <w:tc>
                <w:tcPr>
                  <w:tcW w:w="577" w:type="pct"/>
                  <w:vAlign w:val="center"/>
                </w:tcPr>
                <w:p>
                  <w:pPr>
                    <w:pStyle w:val="41"/>
                  </w:pPr>
                  <w:r>
                    <w:t>约50人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向阳村二组</w:t>
                  </w:r>
                </w:p>
              </w:tc>
              <w:tc>
                <w:tcPr>
                  <w:tcW w:w="643" w:type="pct"/>
                  <w:vAlign w:val="center"/>
                </w:tcPr>
                <w:p>
                  <w:pPr>
                    <w:pStyle w:val="41"/>
                  </w:pPr>
                  <w:r>
                    <w:rPr>
                      <w:sz w:val="20"/>
                      <w:szCs w:val="20"/>
                    </w:rPr>
                    <w:t>112.783672</w:t>
                  </w:r>
                </w:p>
              </w:tc>
              <w:tc>
                <w:tcPr>
                  <w:tcW w:w="583" w:type="pct"/>
                  <w:vAlign w:val="center"/>
                </w:tcPr>
                <w:p>
                  <w:pPr>
                    <w:pStyle w:val="41"/>
                  </w:pPr>
                  <w:r>
                    <w:rPr>
                      <w:sz w:val="20"/>
                      <w:szCs w:val="20"/>
                    </w:rPr>
                    <w:t>28.598578</w:t>
                  </w:r>
                </w:p>
              </w:tc>
              <w:tc>
                <w:tcPr>
                  <w:tcW w:w="306" w:type="pct"/>
                  <w:vAlign w:val="center"/>
                </w:tcPr>
                <w:p>
                  <w:pPr>
                    <w:pStyle w:val="41"/>
                  </w:pPr>
                  <w:r>
                    <w:rPr>
                      <w:rFonts w:hint="eastAsia"/>
                    </w:rPr>
                    <w:t>居民</w:t>
                  </w:r>
                </w:p>
              </w:tc>
              <w:tc>
                <w:tcPr>
                  <w:tcW w:w="577" w:type="pct"/>
                  <w:vAlign w:val="center"/>
                </w:tcPr>
                <w:p>
                  <w:pPr>
                    <w:pStyle w:val="41"/>
                  </w:pPr>
                  <w:r>
                    <w:t>约70人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向阳村四组</w:t>
                  </w:r>
                </w:p>
              </w:tc>
              <w:tc>
                <w:tcPr>
                  <w:tcW w:w="643" w:type="pct"/>
                  <w:vAlign w:val="center"/>
                </w:tcPr>
                <w:p>
                  <w:pPr>
                    <w:pStyle w:val="41"/>
                  </w:pPr>
                  <w:r>
                    <w:rPr>
                      <w:sz w:val="20"/>
                      <w:szCs w:val="20"/>
                    </w:rPr>
                    <w:t>112.783196</w:t>
                  </w:r>
                </w:p>
              </w:tc>
              <w:tc>
                <w:tcPr>
                  <w:tcW w:w="583" w:type="pct"/>
                  <w:vAlign w:val="center"/>
                </w:tcPr>
                <w:p>
                  <w:pPr>
                    <w:pStyle w:val="41"/>
                  </w:pPr>
                  <w:r>
                    <w:rPr>
                      <w:sz w:val="20"/>
                      <w:szCs w:val="20"/>
                    </w:rPr>
                    <w:t>28.594219</w:t>
                  </w:r>
                </w:p>
              </w:tc>
              <w:tc>
                <w:tcPr>
                  <w:tcW w:w="306" w:type="pct"/>
                  <w:vAlign w:val="center"/>
                </w:tcPr>
                <w:p>
                  <w:pPr>
                    <w:pStyle w:val="41"/>
                  </w:pPr>
                  <w:r>
                    <w:rPr>
                      <w:rFonts w:hint="eastAsia"/>
                    </w:rPr>
                    <w:t>居民</w:t>
                  </w:r>
                </w:p>
              </w:tc>
              <w:tc>
                <w:tcPr>
                  <w:tcW w:w="577" w:type="pct"/>
                  <w:vAlign w:val="center"/>
                </w:tcPr>
                <w:p>
                  <w:pPr>
                    <w:pStyle w:val="41"/>
                  </w:pPr>
                  <w:r>
                    <w:t>约90人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高湖村</w:t>
                  </w:r>
                </w:p>
              </w:tc>
              <w:tc>
                <w:tcPr>
                  <w:tcW w:w="643" w:type="pct"/>
                  <w:vAlign w:val="center"/>
                </w:tcPr>
                <w:p>
                  <w:pPr>
                    <w:pStyle w:val="41"/>
                  </w:pPr>
                  <w:r>
                    <w:rPr>
                      <w:sz w:val="20"/>
                      <w:szCs w:val="20"/>
                    </w:rPr>
                    <w:t>112.789592</w:t>
                  </w:r>
                </w:p>
              </w:tc>
              <w:tc>
                <w:tcPr>
                  <w:tcW w:w="583" w:type="pct"/>
                  <w:vAlign w:val="center"/>
                </w:tcPr>
                <w:p>
                  <w:pPr>
                    <w:pStyle w:val="41"/>
                  </w:pPr>
                  <w:r>
                    <w:rPr>
                      <w:sz w:val="20"/>
                      <w:szCs w:val="20"/>
                    </w:rPr>
                    <w:t>28.587195</w:t>
                  </w:r>
                </w:p>
              </w:tc>
              <w:tc>
                <w:tcPr>
                  <w:tcW w:w="306" w:type="pct"/>
                  <w:vAlign w:val="center"/>
                </w:tcPr>
                <w:p>
                  <w:pPr>
                    <w:pStyle w:val="41"/>
                  </w:pPr>
                  <w:r>
                    <w:rPr>
                      <w:rFonts w:hint="eastAsia"/>
                    </w:rPr>
                    <w:t>居民</w:t>
                  </w:r>
                </w:p>
              </w:tc>
              <w:tc>
                <w:tcPr>
                  <w:tcW w:w="577" w:type="pct"/>
                  <w:vAlign w:val="center"/>
                </w:tcPr>
                <w:p>
                  <w:pPr>
                    <w:pStyle w:val="41"/>
                  </w:pPr>
                  <w:r>
                    <w:t>约60人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月行垸</w:t>
                  </w:r>
                </w:p>
              </w:tc>
              <w:tc>
                <w:tcPr>
                  <w:tcW w:w="643" w:type="pct"/>
                  <w:vAlign w:val="center"/>
                </w:tcPr>
                <w:p>
                  <w:pPr>
                    <w:pStyle w:val="41"/>
                  </w:pPr>
                  <w:r>
                    <w:rPr>
                      <w:sz w:val="20"/>
                      <w:szCs w:val="20"/>
                    </w:rPr>
                    <w:t>112.795455</w:t>
                  </w:r>
                </w:p>
              </w:tc>
              <w:tc>
                <w:tcPr>
                  <w:tcW w:w="583" w:type="pct"/>
                  <w:vAlign w:val="center"/>
                </w:tcPr>
                <w:p>
                  <w:pPr>
                    <w:pStyle w:val="41"/>
                  </w:pPr>
                  <w:r>
                    <w:rPr>
                      <w:sz w:val="20"/>
                      <w:szCs w:val="20"/>
                    </w:rPr>
                    <w:t>28.586947</w:t>
                  </w:r>
                </w:p>
              </w:tc>
              <w:tc>
                <w:tcPr>
                  <w:tcW w:w="306" w:type="pct"/>
                  <w:vAlign w:val="center"/>
                </w:tcPr>
                <w:p>
                  <w:pPr>
                    <w:pStyle w:val="41"/>
                  </w:pPr>
                  <w:r>
                    <w:rPr>
                      <w:rFonts w:hint="eastAsia"/>
                    </w:rPr>
                    <w:t>居民</w:t>
                  </w:r>
                </w:p>
              </w:tc>
              <w:tc>
                <w:tcPr>
                  <w:tcW w:w="577" w:type="pct"/>
                  <w:vAlign w:val="center"/>
                </w:tcPr>
                <w:p>
                  <w:pPr>
                    <w:pStyle w:val="41"/>
                  </w:pPr>
                  <w:r>
                    <w:t>约50人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田脚湖</w:t>
                  </w:r>
                </w:p>
              </w:tc>
              <w:tc>
                <w:tcPr>
                  <w:tcW w:w="643" w:type="pct"/>
                  <w:vAlign w:val="center"/>
                </w:tcPr>
                <w:p>
                  <w:pPr>
                    <w:pStyle w:val="41"/>
                  </w:pPr>
                  <w:r>
                    <w:rPr>
                      <w:sz w:val="20"/>
                      <w:szCs w:val="20"/>
                    </w:rPr>
                    <w:t>112.787936</w:t>
                  </w:r>
                </w:p>
              </w:tc>
              <w:tc>
                <w:tcPr>
                  <w:tcW w:w="583" w:type="pct"/>
                  <w:vAlign w:val="center"/>
                </w:tcPr>
                <w:p>
                  <w:pPr>
                    <w:pStyle w:val="41"/>
                  </w:pPr>
                  <w:r>
                    <w:rPr>
                      <w:sz w:val="20"/>
                      <w:szCs w:val="20"/>
                    </w:rPr>
                    <w:t>28.582017</w:t>
                  </w:r>
                </w:p>
              </w:tc>
              <w:tc>
                <w:tcPr>
                  <w:tcW w:w="306" w:type="pct"/>
                  <w:vAlign w:val="center"/>
                </w:tcPr>
                <w:p>
                  <w:pPr>
                    <w:pStyle w:val="41"/>
                  </w:pPr>
                  <w:r>
                    <w:rPr>
                      <w:rFonts w:hint="eastAsia"/>
                    </w:rPr>
                    <w:t>居民</w:t>
                  </w:r>
                </w:p>
              </w:tc>
              <w:tc>
                <w:tcPr>
                  <w:tcW w:w="577" w:type="pct"/>
                  <w:vAlign w:val="center"/>
                </w:tcPr>
                <w:p>
                  <w:pPr>
                    <w:pStyle w:val="41"/>
                  </w:pPr>
                  <w:r>
                    <w:t>约60人</w:t>
                  </w:r>
                </w:p>
              </w:tc>
              <w:tc>
                <w:tcPr>
                  <w:tcW w:w="306" w:type="pct"/>
                  <w:vAlign w:val="center"/>
                </w:tcPr>
                <w:p>
                  <w:pPr>
                    <w:pStyle w:val="41"/>
                  </w:pPr>
                  <w:r>
                    <w:rPr>
                      <w:rFonts w:hint="eastAsia"/>
                    </w:rPr>
                    <w:t>2类</w:t>
                  </w:r>
                </w:p>
              </w:tc>
              <w:tc>
                <w:tcPr>
                  <w:tcW w:w="441" w:type="pct"/>
                  <w:vAlign w:val="center"/>
                </w:tcPr>
                <w:p>
                  <w:pPr>
                    <w:pStyle w:val="41"/>
                  </w:pPr>
                  <w:r>
                    <w:rPr>
                      <w:rFonts w:hint="eastAsia"/>
                    </w:rPr>
                    <w:t>E</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仁寿村十组</w:t>
                  </w:r>
                </w:p>
              </w:tc>
              <w:tc>
                <w:tcPr>
                  <w:tcW w:w="643" w:type="pct"/>
                  <w:vAlign w:val="center"/>
                </w:tcPr>
                <w:p>
                  <w:pPr>
                    <w:pStyle w:val="41"/>
                  </w:pPr>
                  <w:r>
                    <w:rPr>
                      <w:sz w:val="20"/>
                      <w:szCs w:val="20"/>
                    </w:rPr>
                    <w:t>112.781121</w:t>
                  </w:r>
                </w:p>
              </w:tc>
              <w:tc>
                <w:tcPr>
                  <w:tcW w:w="583" w:type="pct"/>
                  <w:vAlign w:val="center"/>
                </w:tcPr>
                <w:p>
                  <w:pPr>
                    <w:pStyle w:val="41"/>
                  </w:pPr>
                  <w:r>
                    <w:rPr>
                      <w:sz w:val="20"/>
                      <w:szCs w:val="20"/>
                    </w:rPr>
                    <w:t>28.575279</w:t>
                  </w:r>
                </w:p>
              </w:tc>
              <w:tc>
                <w:tcPr>
                  <w:tcW w:w="306" w:type="pct"/>
                  <w:vAlign w:val="center"/>
                </w:tcPr>
                <w:p>
                  <w:pPr>
                    <w:pStyle w:val="41"/>
                  </w:pPr>
                  <w:r>
                    <w:rPr>
                      <w:rFonts w:hint="eastAsia"/>
                    </w:rPr>
                    <w:t>居民</w:t>
                  </w:r>
                </w:p>
              </w:tc>
              <w:tc>
                <w:tcPr>
                  <w:tcW w:w="577" w:type="pct"/>
                  <w:vAlign w:val="center"/>
                </w:tcPr>
                <w:p>
                  <w:pPr>
                    <w:pStyle w:val="41"/>
                  </w:pPr>
                  <w:r>
                    <w:t>约80人</w:t>
                  </w:r>
                </w:p>
              </w:tc>
              <w:tc>
                <w:tcPr>
                  <w:tcW w:w="306" w:type="pct"/>
                  <w:vAlign w:val="center"/>
                </w:tcPr>
                <w:p>
                  <w:pPr>
                    <w:pStyle w:val="41"/>
                  </w:pPr>
                  <w:r>
                    <w:rPr>
                      <w:rFonts w:hint="eastAsia"/>
                    </w:rPr>
                    <w:t>2类</w:t>
                  </w:r>
                </w:p>
              </w:tc>
              <w:tc>
                <w:tcPr>
                  <w:tcW w:w="441" w:type="pct"/>
                  <w:vAlign w:val="center"/>
                </w:tcPr>
                <w:p>
                  <w:pPr>
                    <w:pStyle w:val="41"/>
                  </w:pPr>
                  <w:r>
                    <w:rPr>
                      <w:rFonts w:hint="eastAsia"/>
                    </w:rPr>
                    <w:t>S</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仁寿村十一组</w:t>
                  </w:r>
                </w:p>
              </w:tc>
              <w:tc>
                <w:tcPr>
                  <w:tcW w:w="643" w:type="pct"/>
                  <w:vAlign w:val="center"/>
                </w:tcPr>
                <w:p>
                  <w:pPr>
                    <w:pStyle w:val="41"/>
                  </w:pPr>
                  <w:r>
                    <w:rPr>
                      <w:sz w:val="20"/>
                      <w:szCs w:val="20"/>
                    </w:rPr>
                    <w:t>112.781502</w:t>
                  </w:r>
                </w:p>
              </w:tc>
              <w:tc>
                <w:tcPr>
                  <w:tcW w:w="583" w:type="pct"/>
                  <w:vAlign w:val="center"/>
                </w:tcPr>
                <w:p>
                  <w:pPr>
                    <w:pStyle w:val="41"/>
                  </w:pPr>
                  <w:r>
                    <w:rPr>
                      <w:sz w:val="20"/>
                      <w:szCs w:val="20"/>
                    </w:rPr>
                    <w:t>28.570710</w:t>
                  </w:r>
                </w:p>
              </w:tc>
              <w:tc>
                <w:tcPr>
                  <w:tcW w:w="306" w:type="pct"/>
                  <w:vAlign w:val="center"/>
                </w:tcPr>
                <w:p>
                  <w:pPr>
                    <w:pStyle w:val="41"/>
                  </w:pPr>
                  <w:r>
                    <w:rPr>
                      <w:rFonts w:hint="eastAsia"/>
                    </w:rPr>
                    <w:t>居民</w:t>
                  </w:r>
                </w:p>
              </w:tc>
              <w:tc>
                <w:tcPr>
                  <w:tcW w:w="577" w:type="pct"/>
                  <w:vAlign w:val="center"/>
                </w:tcPr>
                <w:p>
                  <w:pPr>
                    <w:pStyle w:val="41"/>
                  </w:pPr>
                  <w:r>
                    <w:t>约50人</w:t>
                  </w:r>
                </w:p>
              </w:tc>
              <w:tc>
                <w:tcPr>
                  <w:tcW w:w="306" w:type="pct"/>
                  <w:vAlign w:val="center"/>
                </w:tcPr>
                <w:p>
                  <w:pPr>
                    <w:pStyle w:val="41"/>
                  </w:pPr>
                  <w:r>
                    <w:rPr>
                      <w:rFonts w:hint="eastAsia"/>
                    </w:rPr>
                    <w:t>2类</w:t>
                  </w:r>
                </w:p>
              </w:tc>
              <w:tc>
                <w:tcPr>
                  <w:tcW w:w="441" w:type="pct"/>
                  <w:vAlign w:val="center"/>
                </w:tcPr>
                <w:p>
                  <w:pPr>
                    <w:pStyle w:val="41"/>
                  </w:pPr>
                  <w:r>
                    <w:rPr>
                      <w:rFonts w:hint="eastAsia"/>
                    </w:rPr>
                    <w:t>S</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黄家湾</w:t>
                  </w:r>
                </w:p>
              </w:tc>
              <w:tc>
                <w:tcPr>
                  <w:tcW w:w="643" w:type="pct"/>
                  <w:vAlign w:val="center"/>
                </w:tcPr>
                <w:p>
                  <w:pPr>
                    <w:pStyle w:val="41"/>
                  </w:pPr>
                  <w:r>
                    <w:rPr>
                      <w:sz w:val="20"/>
                      <w:szCs w:val="20"/>
                    </w:rPr>
                    <w:t>112.781102</w:t>
                  </w:r>
                </w:p>
              </w:tc>
              <w:tc>
                <w:tcPr>
                  <w:tcW w:w="583" w:type="pct"/>
                  <w:vAlign w:val="center"/>
                </w:tcPr>
                <w:p>
                  <w:pPr>
                    <w:pStyle w:val="41"/>
                  </w:pPr>
                  <w:r>
                    <w:rPr>
                      <w:sz w:val="20"/>
                      <w:szCs w:val="20"/>
                    </w:rPr>
                    <w:t>28.565570</w:t>
                  </w:r>
                </w:p>
              </w:tc>
              <w:tc>
                <w:tcPr>
                  <w:tcW w:w="306" w:type="pct"/>
                  <w:vAlign w:val="center"/>
                </w:tcPr>
                <w:p>
                  <w:pPr>
                    <w:pStyle w:val="41"/>
                  </w:pPr>
                  <w:r>
                    <w:rPr>
                      <w:rFonts w:hint="eastAsia"/>
                    </w:rPr>
                    <w:t>居民</w:t>
                  </w:r>
                </w:p>
              </w:tc>
              <w:tc>
                <w:tcPr>
                  <w:tcW w:w="577" w:type="pct"/>
                  <w:vAlign w:val="center"/>
                </w:tcPr>
                <w:p>
                  <w:pPr>
                    <w:pStyle w:val="41"/>
                  </w:pPr>
                  <w:r>
                    <w:t>约40人</w:t>
                  </w:r>
                </w:p>
              </w:tc>
              <w:tc>
                <w:tcPr>
                  <w:tcW w:w="306" w:type="pct"/>
                  <w:vAlign w:val="center"/>
                </w:tcPr>
                <w:p>
                  <w:pPr>
                    <w:pStyle w:val="41"/>
                  </w:pPr>
                  <w:r>
                    <w:rPr>
                      <w:rFonts w:hint="eastAsia"/>
                    </w:rPr>
                    <w:t>2类</w:t>
                  </w:r>
                </w:p>
              </w:tc>
              <w:tc>
                <w:tcPr>
                  <w:tcW w:w="441" w:type="pct"/>
                  <w:vAlign w:val="center"/>
                </w:tcPr>
                <w:p>
                  <w:pPr>
                    <w:pStyle w:val="41"/>
                  </w:pPr>
                  <w:r>
                    <w:rPr>
                      <w:rFonts w:hint="eastAsia"/>
                    </w:rPr>
                    <w:t>S</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大岭村</w:t>
                  </w:r>
                </w:p>
              </w:tc>
              <w:tc>
                <w:tcPr>
                  <w:tcW w:w="643" w:type="pct"/>
                  <w:vAlign w:val="center"/>
                </w:tcPr>
                <w:p>
                  <w:pPr>
                    <w:pStyle w:val="41"/>
                  </w:pPr>
                  <w:r>
                    <w:rPr>
                      <w:sz w:val="20"/>
                      <w:szCs w:val="20"/>
                    </w:rPr>
                    <w:t>112.770252</w:t>
                  </w:r>
                </w:p>
              </w:tc>
              <w:tc>
                <w:tcPr>
                  <w:tcW w:w="583" w:type="pct"/>
                  <w:vAlign w:val="center"/>
                </w:tcPr>
                <w:p>
                  <w:pPr>
                    <w:pStyle w:val="41"/>
                  </w:pPr>
                  <w:r>
                    <w:rPr>
                      <w:sz w:val="20"/>
                      <w:szCs w:val="20"/>
                    </w:rPr>
                    <w:t>28.576954</w:t>
                  </w:r>
                </w:p>
              </w:tc>
              <w:tc>
                <w:tcPr>
                  <w:tcW w:w="306" w:type="pct"/>
                  <w:vAlign w:val="center"/>
                </w:tcPr>
                <w:p>
                  <w:pPr>
                    <w:pStyle w:val="41"/>
                  </w:pPr>
                  <w:r>
                    <w:rPr>
                      <w:rFonts w:hint="eastAsia"/>
                    </w:rPr>
                    <w:t>居民</w:t>
                  </w:r>
                </w:p>
              </w:tc>
              <w:tc>
                <w:tcPr>
                  <w:tcW w:w="577" w:type="pct"/>
                  <w:vAlign w:val="center"/>
                </w:tcPr>
                <w:p>
                  <w:pPr>
                    <w:pStyle w:val="41"/>
                  </w:pPr>
                  <w:r>
                    <w:t>约70人</w:t>
                  </w:r>
                </w:p>
              </w:tc>
              <w:tc>
                <w:tcPr>
                  <w:tcW w:w="306" w:type="pct"/>
                  <w:vAlign w:val="center"/>
                </w:tcPr>
                <w:p>
                  <w:pPr>
                    <w:pStyle w:val="41"/>
                  </w:pPr>
                  <w:r>
                    <w:rPr>
                      <w:rFonts w:hint="eastAsia"/>
                    </w:rPr>
                    <w:t>2类</w:t>
                  </w:r>
                </w:p>
              </w:tc>
              <w:tc>
                <w:tcPr>
                  <w:tcW w:w="441" w:type="pct"/>
                  <w:vAlign w:val="center"/>
                </w:tcPr>
                <w:p>
                  <w:pPr>
                    <w:pStyle w:val="41"/>
                  </w:pPr>
                  <w:r>
                    <w:rPr>
                      <w:rFonts w:hint="eastAsia"/>
                    </w:rPr>
                    <w:t>W</w:t>
                  </w:r>
                </w:p>
              </w:tc>
              <w:tc>
                <w:tcPr>
                  <w:tcW w:w="720" w:type="pct"/>
                  <w:vAlign w:val="center"/>
                </w:tcPr>
                <w:p>
                  <w:pPr>
                    <w:pStyle w:val="41"/>
                  </w:pPr>
                  <w:r>
                    <w:rPr>
                      <w:rFonts w:hint="eastAsia"/>
                    </w:rPr>
                    <w:t>1</w:t>
                  </w:r>
                  <w:r>
                    <w:t>50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金沙村</w:t>
                  </w:r>
                </w:p>
              </w:tc>
              <w:tc>
                <w:tcPr>
                  <w:tcW w:w="643" w:type="pct"/>
                  <w:vAlign w:val="center"/>
                </w:tcPr>
                <w:p>
                  <w:pPr>
                    <w:pStyle w:val="41"/>
                  </w:pPr>
                  <w:r>
                    <w:rPr>
                      <w:sz w:val="20"/>
                      <w:szCs w:val="20"/>
                    </w:rPr>
                    <w:t>112.765626</w:t>
                  </w:r>
                </w:p>
              </w:tc>
              <w:tc>
                <w:tcPr>
                  <w:tcW w:w="583" w:type="pct"/>
                  <w:vAlign w:val="center"/>
                </w:tcPr>
                <w:p>
                  <w:pPr>
                    <w:pStyle w:val="41"/>
                  </w:pPr>
                  <w:r>
                    <w:rPr>
                      <w:sz w:val="20"/>
                      <w:szCs w:val="20"/>
                    </w:rPr>
                    <w:t>28.587119</w:t>
                  </w:r>
                </w:p>
              </w:tc>
              <w:tc>
                <w:tcPr>
                  <w:tcW w:w="306" w:type="pct"/>
                  <w:vAlign w:val="center"/>
                </w:tcPr>
                <w:p>
                  <w:pPr>
                    <w:pStyle w:val="41"/>
                  </w:pPr>
                  <w:r>
                    <w:rPr>
                      <w:rFonts w:hint="eastAsia"/>
                    </w:rPr>
                    <w:t>居民</w:t>
                  </w:r>
                </w:p>
              </w:tc>
              <w:tc>
                <w:tcPr>
                  <w:tcW w:w="577" w:type="pct"/>
                  <w:vAlign w:val="center"/>
                </w:tcPr>
                <w:p>
                  <w:pPr>
                    <w:pStyle w:val="41"/>
                  </w:pPr>
                  <w:r>
                    <w:t>约80人</w:t>
                  </w:r>
                </w:p>
              </w:tc>
              <w:tc>
                <w:tcPr>
                  <w:tcW w:w="306" w:type="pct"/>
                  <w:vAlign w:val="center"/>
                </w:tcPr>
                <w:p>
                  <w:pPr>
                    <w:pStyle w:val="41"/>
                  </w:pPr>
                  <w:r>
                    <w:rPr>
                      <w:rFonts w:hint="eastAsia"/>
                    </w:rPr>
                    <w:t>2类</w:t>
                  </w:r>
                </w:p>
              </w:tc>
              <w:tc>
                <w:tcPr>
                  <w:tcW w:w="441" w:type="pct"/>
                  <w:vAlign w:val="center"/>
                </w:tcPr>
                <w:p>
                  <w:pPr>
                    <w:pStyle w:val="41"/>
                  </w:pPr>
                  <w:r>
                    <w:rPr>
                      <w:rFonts w:hint="eastAsia"/>
                    </w:rPr>
                    <w:t>W</w:t>
                  </w:r>
                </w:p>
              </w:tc>
              <w:tc>
                <w:tcPr>
                  <w:tcW w:w="720" w:type="pct"/>
                  <w:vAlign w:val="center"/>
                </w:tcPr>
                <w:p>
                  <w:pPr>
                    <w:pStyle w:val="41"/>
                  </w:pPr>
                  <w:r>
                    <w:rPr>
                      <w:rFonts w:hint="eastAsia"/>
                    </w:rPr>
                    <w:t>2</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孔家山</w:t>
                  </w:r>
                </w:p>
              </w:tc>
              <w:tc>
                <w:tcPr>
                  <w:tcW w:w="643" w:type="pct"/>
                  <w:vAlign w:val="center"/>
                </w:tcPr>
                <w:p>
                  <w:pPr>
                    <w:pStyle w:val="41"/>
                  </w:pPr>
                  <w:r>
                    <w:rPr>
                      <w:sz w:val="20"/>
                      <w:szCs w:val="20"/>
                    </w:rPr>
                    <w:t>112.760372</w:t>
                  </w:r>
                </w:p>
              </w:tc>
              <w:tc>
                <w:tcPr>
                  <w:tcW w:w="583" w:type="pct"/>
                  <w:vAlign w:val="center"/>
                </w:tcPr>
                <w:p>
                  <w:pPr>
                    <w:pStyle w:val="41"/>
                  </w:pPr>
                  <w:r>
                    <w:rPr>
                      <w:sz w:val="20"/>
                      <w:szCs w:val="20"/>
                    </w:rPr>
                    <w:t>28.593001</w:t>
                  </w:r>
                </w:p>
              </w:tc>
              <w:tc>
                <w:tcPr>
                  <w:tcW w:w="306" w:type="pct"/>
                  <w:vAlign w:val="center"/>
                </w:tcPr>
                <w:p>
                  <w:pPr>
                    <w:pStyle w:val="41"/>
                  </w:pPr>
                  <w:r>
                    <w:rPr>
                      <w:rFonts w:hint="eastAsia"/>
                    </w:rPr>
                    <w:t>居民</w:t>
                  </w:r>
                </w:p>
              </w:tc>
              <w:tc>
                <w:tcPr>
                  <w:tcW w:w="577" w:type="pct"/>
                  <w:vAlign w:val="center"/>
                </w:tcPr>
                <w:p>
                  <w:pPr>
                    <w:pStyle w:val="41"/>
                  </w:pPr>
                  <w:r>
                    <w:t>约60人</w:t>
                  </w:r>
                </w:p>
              </w:tc>
              <w:tc>
                <w:tcPr>
                  <w:tcW w:w="306" w:type="pct"/>
                  <w:vAlign w:val="center"/>
                </w:tcPr>
                <w:p>
                  <w:pPr>
                    <w:pStyle w:val="41"/>
                  </w:pPr>
                  <w:r>
                    <w:rPr>
                      <w:rFonts w:hint="eastAsia"/>
                    </w:rPr>
                    <w:t>2类</w:t>
                  </w:r>
                </w:p>
              </w:tc>
              <w:tc>
                <w:tcPr>
                  <w:tcW w:w="441" w:type="pct"/>
                  <w:vAlign w:val="center"/>
                </w:tcPr>
                <w:p>
                  <w:pPr>
                    <w:pStyle w:val="41"/>
                  </w:pPr>
                  <w:r>
                    <w:rPr>
                      <w:rFonts w:hint="eastAsia"/>
                    </w:rPr>
                    <w:t>W</w:t>
                  </w:r>
                </w:p>
              </w:tc>
              <w:tc>
                <w:tcPr>
                  <w:tcW w:w="720" w:type="pct"/>
                  <w:vAlign w:val="center"/>
                </w:tcPr>
                <w:p>
                  <w:pPr>
                    <w:pStyle w:val="41"/>
                  </w:pPr>
                  <w:r>
                    <w:rPr>
                      <w:rFonts w:hint="eastAsia"/>
                    </w:rPr>
                    <w:t>8</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五星村六组</w:t>
                  </w:r>
                </w:p>
              </w:tc>
              <w:tc>
                <w:tcPr>
                  <w:tcW w:w="643" w:type="pct"/>
                  <w:vAlign w:val="center"/>
                </w:tcPr>
                <w:p>
                  <w:pPr>
                    <w:pStyle w:val="41"/>
                  </w:pPr>
                  <w:r>
                    <w:rPr>
                      <w:sz w:val="20"/>
                      <w:szCs w:val="20"/>
                    </w:rPr>
                    <w:t>112.751578</w:t>
                  </w:r>
                </w:p>
              </w:tc>
              <w:tc>
                <w:tcPr>
                  <w:tcW w:w="583" w:type="pct"/>
                  <w:vAlign w:val="center"/>
                </w:tcPr>
                <w:p>
                  <w:pPr>
                    <w:pStyle w:val="41"/>
                  </w:pPr>
                  <w:r>
                    <w:rPr>
                      <w:sz w:val="20"/>
                      <w:szCs w:val="20"/>
                    </w:rPr>
                    <w:t>28.593477</w:t>
                  </w:r>
                </w:p>
              </w:tc>
              <w:tc>
                <w:tcPr>
                  <w:tcW w:w="306" w:type="pct"/>
                  <w:vAlign w:val="center"/>
                </w:tcPr>
                <w:p>
                  <w:pPr>
                    <w:pStyle w:val="41"/>
                  </w:pPr>
                  <w:r>
                    <w:rPr>
                      <w:rFonts w:hint="eastAsia"/>
                    </w:rPr>
                    <w:t>居民</w:t>
                  </w:r>
                </w:p>
              </w:tc>
              <w:tc>
                <w:tcPr>
                  <w:tcW w:w="577" w:type="pct"/>
                  <w:vAlign w:val="center"/>
                </w:tcPr>
                <w:p>
                  <w:pPr>
                    <w:pStyle w:val="41"/>
                  </w:pPr>
                  <w:r>
                    <w:t>约60人</w:t>
                  </w:r>
                </w:p>
              </w:tc>
              <w:tc>
                <w:tcPr>
                  <w:tcW w:w="306" w:type="pct"/>
                  <w:vAlign w:val="center"/>
                </w:tcPr>
                <w:p>
                  <w:pPr>
                    <w:pStyle w:val="41"/>
                  </w:pPr>
                  <w:r>
                    <w:rPr>
                      <w:rFonts w:hint="eastAsia"/>
                    </w:rPr>
                    <w:t>2类</w:t>
                  </w:r>
                </w:p>
              </w:tc>
              <w:tc>
                <w:tcPr>
                  <w:tcW w:w="441" w:type="pct"/>
                  <w:vAlign w:val="center"/>
                </w:tcPr>
                <w:p>
                  <w:pPr>
                    <w:pStyle w:val="41"/>
                  </w:pPr>
                  <w:r>
                    <w:rPr>
                      <w:rFonts w:hint="eastAsia"/>
                    </w:rPr>
                    <w:t>W</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白沙村二组</w:t>
                  </w:r>
                </w:p>
              </w:tc>
              <w:tc>
                <w:tcPr>
                  <w:tcW w:w="643" w:type="pct"/>
                  <w:vAlign w:val="center"/>
                </w:tcPr>
                <w:p>
                  <w:pPr>
                    <w:pStyle w:val="41"/>
                  </w:pPr>
                  <w:r>
                    <w:rPr>
                      <w:sz w:val="20"/>
                      <w:szCs w:val="20"/>
                    </w:rPr>
                    <w:t>112.756299</w:t>
                  </w:r>
                </w:p>
              </w:tc>
              <w:tc>
                <w:tcPr>
                  <w:tcW w:w="583" w:type="pct"/>
                  <w:vAlign w:val="center"/>
                </w:tcPr>
                <w:p>
                  <w:pPr>
                    <w:pStyle w:val="41"/>
                  </w:pPr>
                  <w:r>
                    <w:rPr>
                      <w:sz w:val="20"/>
                      <w:szCs w:val="20"/>
                    </w:rPr>
                    <w:t>28.599663</w:t>
                  </w:r>
                </w:p>
              </w:tc>
              <w:tc>
                <w:tcPr>
                  <w:tcW w:w="306" w:type="pct"/>
                  <w:vAlign w:val="center"/>
                </w:tcPr>
                <w:p>
                  <w:pPr>
                    <w:pStyle w:val="41"/>
                  </w:pPr>
                  <w:r>
                    <w:rPr>
                      <w:rFonts w:hint="eastAsia"/>
                    </w:rPr>
                    <w:t>居民</w:t>
                  </w:r>
                </w:p>
              </w:tc>
              <w:tc>
                <w:tcPr>
                  <w:tcW w:w="577" w:type="pct"/>
                  <w:vAlign w:val="center"/>
                </w:tcPr>
                <w:p>
                  <w:pPr>
                    <w:pStyle w:val="41"/>
                  </w:pPr>
                  <w:r>
                    <w:t>约70人</w:t>
                  </w:r>
                </w:p>
              </w:tc>
              <w:tc>
                <w:tcPr>
                  <w:tcW w:w="306" w:type="pct"/>
                  <w:vAlign w:val="center"/>
                </w:tcPr>
                <w:p>
                  <w:pPr>
                    <w:pStyle w:val="41"/>
                  </w:pPr>
                  <w:r>
                    <w:rPr>
                      <w:rFonts w:hint="eastAsia"/>
                    </w:rPr>
                    <w:t>2类</w:t>
                  </w:r>
                </w:p>
              </w:tc>
              <w:tc>
                <w:tcPr>
                  <w:tcW w:w="441" w:type="pct"/>
                  <w:vAlign w:val="center"/>
                </w:tcPr>
                <w:p>
                  <w:pPr>
                    <w:pStyle w:val="41"/>
                  </w:pPr>
                  <w:r>
                    <w:rPr>
                      <w:rFonts w:hint="eastAsia"/>
                    </w:rPr>
                    <w:t>W</w:t>
                  </w:r>
                </w:p>
              </w:tc>
              <w:tc>
                <w:tcPr>
                  <w:tcW w:w="720" w:type="pct"/>
                  <w:vAlign w:val="center"/>
                </w:tcPr>
                <w:p>
                  <w:pPr>
                    <w:pStyle w:val="41"/>
                  </w:pPr>
                  <w:r>
                    <w:rPr>
                      <w:rFonts w:hint="eastAsia"/>
                    </w:rPr>
                    <w:t>2</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白沙村八组</w:t>
                  </w:r>
                </w:p>
              </w:tc>
              <w:tc>
                <w:tcPr>
                  <w:tcW w:w="643" w:type="pct"/>
                  <w:vAlign w:val="center"/>
                </w:tcPr>
                <w:p>
                  <w:pPr>
                    <w:pStyle w:val="41"/>
                  </w:pPr>
                  <w:r>
                    <w:rPr>
                      <w:sz w:val="20"/>
                      <w:szCs w:val="20"/>
                    </w:rPr>
                    <w:t>112.754053</w:t>
                  </w:r>
                </w:p>
              </w:tc>
              <w:tc>
                <w:tcPr>
                  <w:tcW w:w="583" w:type="pct"/>
                  <w:vAlign w:val="center"/>
                </w:tcPr>
                <w:p>
                  <w:pPr>
                    <w:pStyle w:val="41"/>
                  </w:pPr>
                  <w:r>
                    <w:rPr>
                      <w:sz w:val="20"/>
                      <w:szCs w:val="20"/>
                    </w:rPr>
                    <w:t>28.602633</w:t>
                  </w:r>
                </w:p>
              </w:tc>
              <w:tc>
                <w:tcPr>
                  <w:tcW w:w="306" w:type="pct"/>
                  <w:vAlign w:val="center"/>
                </w:tcPr>
                <w:p>
                  <w:pPr>
                    <w:pStyle w:val="41"/>
                  </w:pPr>
                  <w:r>
                    <w:rPr>
                      <w:rFonts w:hint="eastAsia"/>
                    </w:rPr>
                    <w:t>居民</w:t>
                  </w:r>
                </w:p>
              </w:tc>
              <w:tc>
                <w:tcPr>
                  <w:tcW w:w="577" w:type="pct"/>
                  <w:vAlign w:val="center"/>
                </w:tcPr>
                <w:p>
                  <w:pPr>
                    <w:pStyle w:val="41"/>
                  </w:pPr>
                  <w:r>
                    <w:t>约40人</w:t>
                  </w:r>
                </w:p>
              </w:tc>
              <w:tc>
                <w:tcPr>
                  <w:tcW w:w="306" w:type="pct"/>
                  <w:vAlign w:val="center"/>
                </w:tcPr>
                <w:p>
                  <w:pPr>
                    <w:pStyle w:val="41"/>
                  </w:pPr>
                  <w:r>
                    <w:rPr>
                      <w:rFonts w:hint="eastAsia"/>
                    </w:rPr>
                    <w:t>2类</w:t>
                  </w:r>
                </w:p>
              </w:tc>
              <w:tc>
                <w:tcPr>
                  <w:tcW w:w="441" w:type="pct"/>
                  <w:vAlign w:val="center"/>
                </w:tcPr>
                <w:p>
                  <w:pPr>
                    <w:pStyle w:val="41"/>
                  </w:pPr>
                  <w:r>
                    <w:rPr>
                      <w:rFonts w:hint="eastAsia"/>
                    </w:rPr>
                    <w:t>W</w:t>
                  </w:r>
                </w:p>
              </w:tc>
              <w:tc>
                <w:tcPr>
                  <w:tcW w:w="720" w:type="pct"/>
                  <w:vAlign w:val="center"/>
                </w:tcPr>
                <w:p>
                  <w:pPr>
                    <w:pStyle w:val="41"/>
                  </w:pPr>
                  <w:r>
                    <w:rPr>
                      <w:rFonts w:hint="eastAsia"/>
                    </w:rPr>
                    <w:t>6</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白沙村十四组</w:t>
                  </w:r>
                </w:p>
              </w:tc>
              <w:tc>
                <w:tcPr>
                  <w:tcW w:w="643" w:type="pct"/>
                  <w:vAlign w:val="center"/>
                </w:tcPr>
                <w:p>
                  <w:pPr>
                    <w:pStyle w:val="41"/>
                  </w:pPr>
                  <w:r>
                    <w:rPr>
                      <w:sz w:val="20"/>
                      <w:szCs w:val="20"/>
                    </w:rPr>
                    <w:t>112.749027</w:t>
                  </w:r>
                </w:p>
              </w:tc>
              <w:tc>
                <w:tcPr>
                  <w:tcW w:w="583" w:type="pct"/>
                  <w:vAlign w:val="center"/>
                </w:tcPr>
                <w:p>
                  <w:pPr>
                    <w:pStyle w:val="41"/>
                  </w:pPr>
                  <w:r>
                    <w:rPr>
                      <w:sz w:val="20"/>
                      <w:szCs w:val="20"/>
                    </w:rPr>
                    <w:t>28.613597</w:t>
                  </w:r>
                </w:p>
              </w:tc>
              <w:tc>
                <w:tcPr>
                  <w:tcW w:w="306" w:type="pct"/>
                  <w:vAlign w:val="center"/>
                </w:tcPr>
                <w:p>
                  <w:pPr>
                    <w:pStyle w:val="41"/>
                  </w:pPr>
                  <w:r>
                    <w:rPr>
                      <w:rFonts w:hint="eastAsia"/>
                    </w:rPr>
                    <w:t>居民</w:t>
                  </w:r>
                </w:p>
              </w:tc>
              <w:tc>
                <w:tcPr>
                  <w:tcW w:w="577" w:type="pct"/>
                  <w:vAlign w:val="center"/>
                </w:tcPr>
                <w:p>
                  <w:pPr>
                    <w:pStyle w:val="41"/>
                  </w:pPr>
                  <w:r>
                    <w:t>约50人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双湖村十二组</w:t>
                  </w:r>
                </w:p>
              </w:tc>
              <w:tc>
                <w:tcPr>
                  <w:tcW w:w="643" w:type="pct"/>
                  <w:vAlign w:val="center"/>
                </w:tcPr>
                <w:p>
                  <w:pPr>
                    <w:pStyle w:val="41"/>
                  </w:pPr>
                  <w:r>
                    <w:rPr>
                      <w:sz w:val="20"/>
                      <w:szCs w:val="20"/>
                    </w:rPr>
                    <w:t>112.755042</w:t>
                  </w:r>
                </w:p>
              </w:tc>
              <w:tc>
                <w:tcPr>
                  <w:tcW w:w="583" w:type="pct"/>
                  <w:vAlign w:val="center"/>
                </w:tcPr>
                <w:p>
                  <w:pPr>
                    <w:pStyle w:val="41"/>
                  </w:pPr>
                  <w:r>
                    <w:rPr>
                      <w:sz w:val="20"/>
                      <w:szCs w:val="20"/>
                    </w:rPr>
                    <w:t>28.615292</w:t>
                  </w:r>
                </w:p>
              </w:tc>
              <w:tc>
                <w:tcPr>
                  <w:tcW w:w="306" w:type="pct"/>
                  <w:vAlign w:val="center"/>
                </w:tcPr>
                <w:p>
                  <w:pPr>
                    <w:pStyle w:val="41"/>
                  </w:pPr>
                  <w:r>
                    <w:rPr>
                      <w:rFonts w:hint="eastAsia"/>
                    </w:rPr>
                    <w:t>居民</w:t>
                  </w:r>
                </w:p>
              </w:tc>
              <w:tc>
                <w:tcPr>
                  <w:tcW w:w="577" w:type="pct"/>
                  <w:vAlign w:val="center"/>
                </w:tcPr>
                <w:p>
                  <w:pPr>
                    <w:pStyle w:val="41"/>
                  </w:pPr>
                  <w:r>
                    <w:t>约70人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老港村四组</w:t>
                  </w:r>
                </w:p>
              </w:tc>
              <w:tc>
                <w:tcPr>
                  <w:tcW w:w="643" w:type="pct"/>
                  <w:vAlign w:val="center"/>
                </w:tcPr>
                <w:p>
                  <w:pPr>
                    <w:pStyle w:val="41"/>
                  </w:pPr>
                  <w:r>
                    <w:rPr>
                      <w:sz w:val="20"/>
                      <w:szCs w:val="20"/>
                    </w:rPr>
                    <w:t>112.752568</w:t>
                  </w:r>
                </w:p>
              </w:tc>
              <w:tc>
                <w:tcPr>
                  <w:tcW w:w="583" w:type="pct"/>
                  <w:vAlign w:val="center"/>
                </w:tcPr>
                <w:p>
                  <w:pPr>
                    <w:pStyle w:val="41"/>
                  </w:pPr>
                  <w:r>
                    <w:rPr>
                      <w:sz w:val="20"/>
                      <w:szCs w:val="20"/>
                    </w:rPr>
                    <w:t>28.615767</w:t>
                  </w:r>
                </w:p>
              </w:tc>
              <w:tc>
                <w:tcPr>
                  <w:tcW w:w="306" w:type="pct"/>
                  <w:vAlign w:val="center"/>
                </w:tcPr>
                <w:p>
                  <w:pPr>
                    <w:pStyle w:val="41"/>
                  </w:pPr>
                  <w:r>
                    <w:rPr>
                      <w:rFonts w:hint="eastAsia"/>
                    </w:rPr>
                    <w:t>居民</w:t>
                  </w:r>
                </w:p>
              </w:tc>
              <w:tc>
                <w:tcPr>
                  <w:tcW w:w="577" w:type="pct"/>
                  <w:vAlign w:val="center"/>
                </w:tcPr>
                <w:p>
                  <w:pPr>
                    <w:pStyle w:val="41"/>
                  </w:pPr>
                  <w:r>
                    <w:t>约50人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老港村五组</w:t>
                  </w:r>
                </w:p>
              </w:tc>
              <w:tc>
                <w:tcPr>
                  <w:tcW w:w="643" w:type="pct"/>
                  <w:vAlign w:val="center"/>
                </w:tcPr>
                <w:p>
                  <w:pPr>
                    <w:pStyle w:val="41"/>
                  </w:pPr>
                  <w:r>
                    <w:rPr>
                      <w:sz w:val="20"/>
                      <w:szCs w:val="20"/>
                    </w:rPr>
                    <w:t>112.753215</w:t>
                  </w:r>
                </w:p>
              </w:tc>
              <w:tc>
                <w:tcPr>
                  <w:tcW w:w="583" w:type="pct"/>
                  <w:vAlign w:val="center"/>
                </w:tcPr>
                <w:p>
                  <w:pPr>
                    <w:pStyle w:val="41"/>
                  </w:pPr>
                  <w:r>
                    <w:rPr>
                      <w:sz w:val="20"/>
                      <w:szCs w:val="20"/>
                    </w:rPr>
                    <w:t>28.618737</w:t>
                  </w:r>
                </w:p>
              </w:tc>
              <w:tc>
                <w:tcPr>
                  <w:tcW w:w="306" w:type="pct"/>
                  <w:vAlign w:val="center"/>
                </w:tcPr>
                <w:p>
                  <w:pPr>
                    <w:pStyle w:val="41"/>
                  </w:pPr>
                  <w:r>
                    <w:rPr>
                      <w:rFonts w:hint="eastAsia"/>
                    </w:rPr>
                    <w:t>居民</w:t>
                  </w:r>
                </w:p>
              </w:tc>
              <w:tc>
                <w:tcPr>
                  <w:tcW w:w="577" w:type="pct"/>
                  <w:vAlign w:val="center"/>
                </w:tcPr>
                <w:p>
                  <w:pPr>
                    <w:pStyle w:val="41"/>
                  </w:pPr>
                  <w:r>
                    <w:t>约40人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老港村六组</w:t>
                  </w:r>
                </w:p>
              </w:tc>
              <w:tc>
                <w:tcPr>
                  <w:tcW w:w="643" w:type="pct"/>
                  <w:vAlign w:val="center"/>
                </w:tcPr>
                <w:p>
                  <w:pPr>
                    <w:pStyle w:val="41"/>
                  </w:pPr>
                  <w:r>
                    <w:rPr>
                      <w:sz w:val="20"/>
                      <w:szCs w:val="20"/>
                    </w:rPr>
                    <w:t>112.750074</w:t>
                  </w:r>
                </w:p>
              </w:tc>
              <w:tc>
                <w:tcPr>
                  <w:tcW w:w="583" w:type="pct"/>
                  <w:vAlign w:val="center"/>
                </w:tcPr>
                <w:p>
                  <w:pPr>
                    <w:pStyle w:val="41"/>
                  </w:pPr>
                  <w:r>
                    <w:rPr>
                      <w:sz w:val="20"/>
                      <w:szCs w:val="20"/>
                    </w:rPr>
                    <w:t>28.621383</w:t>
                  </w:r>
                </w:p>
              </w:tc>
              <w:tc>
                <w:tcPr>
                  <w:tcW w:w="306" w:type="pct"/>
                  <w:vAlign w:val="center"/>
                </w:tcPr>
                <w:p>
                  <w:pPr>
                    <w:pStyle w:val="41"/>
                  </w:pPr>
                  <w:r>
                    <w:rPr>
                      <w:rFonts w:hint="eastAsia"/>
                    </w:rPr>
                    <w:t>居民</w:t>
                  </w:r>
                </w:p>
              </w:tc>
              <w:tc>
                <w:tcPr>
                  <w:tcW w:w="577" w:type="pct"/>
                  <w:vAlign w:val="center"/>
                </w:tcPr>
                <w:p>
                  <w:pPr>
                    <w:pStyle w:val="41"/>
                  </w:pPr>
                  <w:r>
                    <w:t>约50人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武洲村五组</w:t>
                  </w:r>
                </w:p>
              </w:tc>
              <w:tc>
                <w:tcPr>
                  <w:tcW w:w="643" w:type="pct"/>
                  <w:vAlign w:val="center"/>
                </w:tcPr>
                <w:p>
                  <w:pPr>
                    <w:pStyle w:val="41"/>
                  </w:pPr>
                  <w:r>
                    <w:rPr>
                      <w:sz w:val="20"/>
                      <w:szCs w:val="20"/>
                    </w:rPr>
                    <w:t>112.746838</w:t>
                  </w:r>
                </w:p>
              </w:tc>
              <w:tc>
                <w:tcPr>
                  <w:tcW w:w="583" w:type="pct"/>
                  <w:vAlign w:val="center"/>
                </w:tcPr>
                <w:p>
                  <w:pPr>
                    <w:pStyle w:val="41"/>
                  </w:pPr>
                  <w:r>
                    <w:rPr>
                      <w:sz w:val="20"/>
                      <w:szCs w:val="20"/>
                    </w:rPr>
                    <w:t>28.621630</w:t>
                  </w:r>
                </w:p>
              </w:tc>
              <w:tc>
                <w:tcPr>
                  <w:tcW w:w="306" w:type="pct"/>
                  <w:vAlign w:val="center"/>
                </w:tcPr>
                <w:p>
                  <w:pPr>
                    <w:pStyle w:val="41"/>
                  </w:pPr>
                  <w:r>
                    <w:rPr>
                      <w:rFonts w:hint="eastAsia"/>
                    </w:rPr>
                    <w:t>居民</w:t>
                  </w:r>
                </w:p>
              </w:tc>
              <w:tc>
                <w:tcPr>
                  <w:tcW w:w="577" w:type="pct"/>
                  <w:vAlign w:val="center"/>
                </w:tcPr>
                <w:p>
                  <w:pPr>
                    <w:pStyle w:val="41"/>
                  </w:pPr>
                  <w:r>
                    <w:t>约80人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大有村四组</w:t>
                  </w:r>
                </w:p>
              </w:tc>
              <w:tc>
                <w:tcPr>
                  <w:tcW w:w="643" w:type="pct"/>
                  <w:vAlign w:val="center"/>
                </w:tcPr>
                <w:p>
                  <w:pPr>
                    <w:pStyle w:val="41"/>
                  </w:pPr>
                  <w:r>
                    <w:rPr>
                      <w:sz w:val="20"/>
                      <w:szCs w:val="20"/>
                    </w:rPr>
                    <w:t>112.741318</w:t>
                  </w:r>
                </w:p>
              </w:tc>
              <w:tc>
                <w:tcPr>
                  <w:tcW w:w="583" w:type="pct"/>
                  <w:vAlign w:val="center"/>
                </w:tcPr>
                <w:p>
                  <w:pPr>
                    <w:pStyle w:val="41"/>
                  </w:pPr>
                  <w:r>
                    <w:rPr>
                      <w:sz w:val="20"/>
                      <w:szCs w:val="20"/>
                    </w:rPr>
                    <w:t>28.622887</w:t>
                  </w:r>
                </w:p>
              </w:tc>
              <w:tc>
                <w:tcPr>
                  <w:tcW w:w="306" w:type="pct"/>
                  <w:vAlign w:val="center"/>
                </w:tcPr>
                <w:p>
                  <w:pPr>
                    <w:pStyle w:val="41"/>
                  </w:pPr>
                  <w:r>
                    <w:rPr>
                      <w:rFonts w:hint="eastAsia"/>
                    </w:rPr>
                    <w:t>居民</w:t>
                  </w:r>
                </w:p>
              </w:tc>
              <w:tc>
                <w:tcPr>
                  <w:tcW w:w="577" w:type="pct"/>
                  <w:vAlign w:val="center"/>
                </w:tcPr>
                <w:p>
                  <w:pPr>
                    <w:pStyle w:val="41"/>
                  </w:pPr>
                  <w:r>
                    <w:t>约70人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合同村十组</w:t>
                  </w:r>
                </w:p>
              </w:tc>
              <w:tc>
                <w:tcPr>
                  <w:tcW w:w="643" w:type="pct"/>
                  <w:vAlign w:val="center"/>
                </w:tcPr>
                <w:p>
                  <w:pPr>
                    <w:pStyle w:val="41"/>
                  </w:pPr>
                  <w:r>
                    <w:rPr>
                      <w:sz w:val="20"/>
                      <w:szCs w:val="20"/>
                    </w:rPr>
                    <w:t>112.742898</w:t>
                  </w:r>
                </w:p>
              </w:tc>
              <w:tc>
                <w:tcPr>
                  <w:tcW w:w="583" w:type="pct"/>
                  <w:vAlign w:val="center"/>
                </w:tcPr>
                <w:p>
                  <w:pPr>
                    <w:pStyle w:val="41"/>
                  </w:pPr>
                  <w:r>
                    <w:rPr>
                      <w:sz w:val="20"/>
                      <w:szCs w:val="20"/>
                    </w:rPr>
                    <w:t>28.629245</w:t>
                  </w:r>
                </w:p>
              </w:tc>
              <w:tc>
                <w:tcPr>
                  <w:tcW w:w="306" w:type="pct"/>
                  <w:vAlign w:val="center"/>
                </w:tcPr>
                <w:p>
                  <w:pPr>
                    <w:pStyle w:val="41"/>
                  </w:pPr>
                  <w:r>
                    <w:rPr>
                      <w:rFonts w:hint="eastAsia"/>
                    </w:rPr>
                    <w:t>居民</w:t>
                  </w:r>
                </w:p>
              </w:tc>
              <w:tc>
                <w:tcPr>
                  <w:tcW w:w="577" w:type="pct"/>
                  <w:vAlign w:val="center"/>
                </w:tcPr>
                <w:p>
                  <w:pPr>
                    <w:pStyle w:val="41"/>
                  </w:pPr>
                  <w:r>
                    <w:t>约80人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合同村十一组</w:t>
                  </w:r>
                </w:p>
              </w:tc>
              <w:tc>
                <w:tcPr>
                  <w:tcW w:w="643" w:type="pct"/>
                  <w:vAlign w:val="center"/>
                </w:tcPr>
                <w:p>
                  <w:pPr>
                    <w:pStyle w:val="41"/>
                  </w:pPr>
                  <w:r>
                    <w:rPr>
                      <w:sz w:val="20"/>
                      <w:szCs w:val="20"/>
                    </w:rPr>
                    <w:t>112.742917</w:t>
                  </w:r>
                </w:p>
              </w:tc>
              <w:tc>
                <w:tcPr>
                  <w:tcW w:w="583" w:type="pct"/>
                  <w:vAlign w:val="center"/>
                </w:tcPr>
                <w:p>
                  <w:pPr>
                    <w:pStyle w:val="41"/>
                  </w:pPr>
                  <w:r>
                    <w:rPr>
                      <w:sz w:val="20"/>
                      <w:szCs w:val="20"/>
                    </w:rPr>
                    <w:t>28.631834</w:t>
                  </w:r>
                </w:p>
              </w:tc>
              <w:tc>
                <w:tcPr>
                  <w:tcW w:w="306" w:type="pct"/>
                  <w:vAlign w:val="center"/>
                </w:tcPr>
                <w:p>
                  <w:pPr>
                    <w:pStyle w:val="41"/>
                  </w:pPr>
                  <w:r>
                    <w:rPr>
                      <w:rFonts w:hint="eastAsia"/>
                    </w:rPr>
                    <w:t>居民</w:t>
                  </w:r>
                </w:p>
              </w:tc>
              <w:tc>
                <w:tcPr>
                  <w:tcW w:w="577" w:type="pct"/>
                  <w:vAlign w:val="center"/>
                </w:tcPr>
                <w:p>
                  <w:pPr>
                    <w:pStyle w:val="41"/>
                  </w:pPr>
                  <w:r>
                    <w:t>约60人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合同村十二组</w:t>
                  </w:r>
                </w:p>
              </w:tc>
              <w:tc>
                <w:tcPr>
                  <w:tcW w:w="643" w:type="pct"/>
                  <w:vAlign w:val="center"/>
                </w:tcPr>
                <w:p>
                  <w:pPr>
                    <w:pStyle w:val="41"/>
                  </w:pPr>
                  <w:r>
                    <w:rPr>
                      <w:sz w:val="20"/>
                      <w:szCs w:val="20"/>
                    </w:rPr>
                    <w:t>112.745030</w:t>
                  </w:r>
                </w:p>
              </w:tc>
              <w:tc>
                <w:tcPr>
                  <w:tcW w:w="583" w:type="pct"/>
                  <w:vAlign w:val="center"/>
                </w:tcPr>
                <w:p>
                  <w:pPr>
                    <w:pStyle w:val="41"/>
                  </w:pPr>
                  <w:r>
                    <w:rPr>
                      <w:sz w:val="20"/>
                      <w:szCs w:val="20"/>
                    </w:rPr>
                    <w:t>28.633242</w:t>
                  </w:r>
                </w:p>
              </w:tc>
              <w:tc>
                <w:tcPr>
                  <w:tcW w:w="306" w:type="pct"/>
                  <w:vAlign w:val="center"/>
                </w:tcPr>
                <w:p>
                  <w:pPr>
                    <w:pStyle w:val="41"/>
                  </w:pPr>
                  <w:r>
                    <w:rPr>
                      <w:rFonts w:hint="eastAsia"/>
                    </w:rPr>
                    <w:t>居民</w:t>
                  </w:r>
                </w:p>
              </w:tc>
              <w:tc>
                <w:tcPr>
                  <w:tcW w:w="577" w:type="pct"/>
                  <w:vAlign w:val="center"/>
                </w:tcPr>
                <w:p>
                  <w:pPr>
                    <w:pStyle w:val="41"/>
                  </w:pPr>
                  <w:r>
                    <w:t>约50人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合同村五组</w:t>
                  </w:r>
                </w:p>
              </w:tc>
              <w:tc>
                <w:tcPr>
                  <w:tcW w:w="643" w:type="pct"/>
                  <w:vAlign w:val="center"/>
                </w:tcPr>
                <w:p>
                  <w:pPr>
                    <w:pStyle w:val="41"/>
                  </w:pPr>
                  <w:r>
                    <w:rPr>
                      <w:sz w:val="20"/>
                      <w:szCs w:val="20"/>
                    </w:rPr>
                    <w:t>112.756565</w:t>
                  </w:r>
                </w:p>
              </w:tc>
              <w:tc>
                <w:tcPr>
                  <w:tcW w:w="583" w:type="pct"/>
                  <w:vAlign w:val="center"/>
                </w:tcPr>
                <w:p>
                  <w:pPr>
                    <w:pStyle w:val="41"/>
                  </w:pPr>
                  <w:r>
                    <w:rPr>
                      <w:sz w:val="20"/>
                      <w:szCs w:val="20"/>
                    </w:rPr>
                    <w:t>28.628940</w:t>
                  </w:r>
                </w:p>
              </w:tc>
              <w:tc>
                <w:tcPr>
                  <w:tcW w:w="306" w:type="pct"/>
                  <w:vAlign w:val="center"/>
                </w:tcPr>
                <w:p>
                  <w:pPr>
                    <w:pStyle w:val="41"/>
                  </w:pPr>
                  <w:r>
                    <w:rPr>
                      <w:rFonts w:hint="eastAsia"/>
                    </w:rPr>
                    <w:t>居民</w:t>
                  </w:r>
                </w:p>
              </w:tc>
              <w:tc>
                <w:tcPr>
                  <w:tcW w:w="577" w:type="pct"/>
                  <w:vAlign w:val="center"/>
                </w:tcPr>
                <w:p>
                  <w:pPr>
                    <w:pStyle w:val="41"/>
                  </w:pPr>
                  <w:r>
                    <w:t>约60人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合同村六组</w:t>
                  </w:r>
                </w:p>
              </w:tc>
              <w:tc>
                <w:tcPr>
                  <w:tcW w:w="643" w:type="pct"/>
                  <w:vAlign w:val="center"/>
                </w:tcPr>
                <w:p>
                  <w:pPr>
                    <w:pStyle w:val="41"/>
                  </w:pPr>
                  <w:r>
                    <w:rPr>
                      <w:sz w:val="20"/>
                      <w:szCs w:val="20"/>
                    </w:rPr>
                    <w:t>112.752339</w:t>
                  </w:r>
                </w:p>
              </w:tc>
              <w:tc>
                <w:tcPr>
                  <w:tcW w:w="583" w:type="pct"/>
                  <w:vAlign w:val="center"/>
                </w:tcPr>
                <w:p>
                  <w:pPr>
                    <w:pStyle w:val="41"/>
                  </w:pPr>
                  <w:r>
                    <w:rPr>
                      <w:sz w:val="20"/>
                      <w:szCs w:val="20"/>
                    </w:rPr>
                    <w:t>28.630273</w:t>
                  </w:r>
                </w:p>
              </w:tc>
              <w:tc>
                <w:tcPr>
                  <w:tcW w:w="306" w:type="pct"/>
                  <w:vAlign w:val="center"/>
                </w:tcPr>
                <w:p>
                  <w:pPr>
                    <w:pStyle w:val="41"/>
                  </w:pPr>
                  <w:r>
                    <w:rPr>
                      <w:rFonts w:hint="eastAsia"/>
                    </w:rPr>
                    <w:t>居民</w:t>
                  </w:r>
                </w:p>
              </w:tc>
              <w:tc>
                <w:tcPr>
                  <w:tcW w:w="577" w:type="pct"/>
                  <w:vAlign w:val="center"/>
                </w:tcPr>
                <w:p>
                  <w:pPr>
                    <w:pStyle w:val="41"/>
                  </w:pPr>
                  <w:r>
                    <w:t>约60人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合同村七组</w:t>
                  </w:r>
                </w:p>
              </w:tc>
              <w:tc>
                <w:tcPr>
                  <w:tcW w:w="643" w:type="pct"/>
                  <w:vAlign w:val="center"/>
                </w:tcPr>
                <w:p>
                  <w:pPr>
                    <w:pStyle w:val="41"/>
                  </w:pPr>
                  <w:r>
                    <w:rPr>
                      <w:sz w:val="20"/>
                      <w:szCs w:val="20"/>
                    </w:rPr>
                    <w:t>112.753310</w:t>
                  </w:r>
                </w:p>
              </w:tc>
              <w:tc>
                <w:tcPr>
                  <w:tcW w:w="583" w:type="pct"/>
                  <w:vAlign w:val="center"/>
                </w:tcPr>
                <w:p>
                  <w:pPr>
                    <w:pStyle w:val="41"/>
                  </w:pPr>
                  <w:r>
                    <w:rPr>
                      <w:sz w:val="20"/>
                      <w:szCs w:val="20"/>
                    </w:rPr>
                    <w:t>28.627532</w:t>
                  </w:r>
                </w:p>
              </w:tc>
              <w:tc>
                <w:tcPr>
                  <w:tcW w:w="306" w:type="pct"/>
                  <w:vAlign w:val="center"/>
                </w:tcPr>
                <w:p>
                  <w:pPr>
                    <w:pStyle w:val="41"/>
                  </w:pPr>
                  <w:r>
                    <w:rPr>
                      <w:rFonts w:hint="eastAsia"/>
                    </w:rPr>
                    <w:t>居民</w:t>
                  </w:r>
                </w:p>
              </w:tc>
              <w:tc>
                <w:tcPr>
                  <w:tcW w:w="577" w:type="pct"/>
                  <w:vAlign w:val="center"/>
                </w:tcPr>
                <w:p>
                  <w:pPr>
                    <w:pStyle w:val="41"/>
                  </w:pPr>
                  <w:r>
                    <w:t>约40人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合同村二组</w:t>
                  </w:r>
                </w:p>
              </w:tc>
              <w:tc>
                <w:tcPr>
                  <w:tcW w:w="643" w:type="pct"/>
                  <w:vAlign w:val="center"/>
                </w:tcPr>
                <w:p>
                  <w:pPr>
                    <w:pStyle w:val="41"/>
                  </w:pPr>
                  <w:r>
                    <w:rPr>
                      <w:sz w:val="20"/>
                      <w:szCs w:val="20"/>
                    </w:rPr>
                    <w:t>112.756499</w:t>
                  </w:r>
                </w:p>
              </w:tc>
              <w:tc>
                <w:tcPr>
                  <w:tcW w:w="583" w:type="pct"/>
                  <w:vAlign w:val="center"/>
                </w:tcPr>
                <w:p>
                  <w:pPr>
                    <w:pStyle w:val="41"/>
                  </w:pPr>
                  <w:r>
                    <w:rPr>
                      <w:sz w:val="20"/>
                      <w:szCs w:val="20"/>
                    </w:rPr>
                    <w:t>28.633861</w:t>
                  </w:r>
                </w:p>
              </w:tc>
              <w:tc>
                <w:tcPr>
                  <w:tcW w:w="306" w:type="pct"/>
                  <w:vAlign w:val="center"/>
                </w:tcPr>
                <w:p>
                  <w:pPr>
                    <w:pStyle w:val="41"/>
                  </w:pPr>
                  <w:r>
                    <w:rPr>
                      <w:rFonts w:hint="eastAsia"/>
                    </w:rPr>
                    <w:t>居民</w:t>
                  </w:r>
                </w:p>
              </w:tc>
              <w:tc>
                <w:tcPr>
                  <w:tcW w:w="577" w:type="pct"/>
                  <w:vAlign w:val="center"/>
                </w:tcPr>
                <w:p>
                  <w:pPr>
                    <w:pStyle w:val="41"/>
                  </w:pPr>
                  <w:r>
                    <w:t>约50人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合同村四组</w:t>
                  </w:r>
                </w:p>
              </w:tc>
              <w:tc>
                <w:tcPr>
                  <w:tcW w:w="643" w:type="pct"/>
                  <w:vAlign w:val="center"/>
                </w:tcPr>
                <w:p>
                  <w:pPr>
                    <w:pStyle w:val="41"/>
                  </w:pPr>
                  <w:r>
                    <w:rPr>
                      <w:sz w:val="20"/>
                      <w:szCs w:val="20"/>
                    </w:rPr>
                    <w:t>112.759211</w:t>
                  </w:r>
                </w:p>
              </w:tc>
              <w:tc>
                <w:tcPr>
                  <w:tcW w:w="583" w:type="pct"/>
                  <w:vAlign w:val="center"/>
                </w:tcPr>
                <w:p>
                  <w:pPr>
                    <w:pStyle w:val="41"/>
                  </w:pPr>
                  <w:r>
                    <w:rPr>
                      <w:sz w:val="20"/>
                      <w:szCs w:val="20"/>
                    </w:rPr>
                    <w:t>28.635217</w:t>
                  </w:r>
                </w:p>
              </w:tc>
              <w:tc>
                <w:tcPr>
                  <w:tcW w:w="306" w:type="pct"/>
                  <w:vAlign w:val="center"/>
                </w:tcPr>
                <w:p>
                  <w:pPr>
                    <w:pStyle w:val="41"/>
                  </w:pPr>
                  <w:r>
                    <w:rPr>
                      <w:rFonts w:hint="eastAsia"/>
                    </w:rPr>
                    <w:t>居民</w:t>
                  </w:r>
                </w:p>
              </w:tc>
              <w:tc>
                <w:tcPr>
                  <w:tcW w:w="577" w:type="pct"/>
                  <w:vAlign w:val="center"/>
                </w:tcPr>
                <w:p>
                  <w:pPr>
                    <w:pStyle w:val="41"/>
                  </w:pPr>
                  <w:r>
                    <w:t>约50人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老港村十一组</w:t>
                  </w:r>
                </w:p>
              </w:tc>
              <w:tc>
                <w:tcPr>
                  <w:tcW w:w="643" w:type="pct"/>
                  <w:vAlign w:val="center"/>
                </w:tcPr>
                <w:p>
                  <w:pPr>
                    <w:pStyle w:val="41"/>
                  </w:pPr>
                  <w:r>
                    <w:rPr>
                      <w:sz w:val="20"/>
                      <w:szCs w:val="20"/>
                    </w:rPr>
                    <w:t>112.761329</w:t>
                  </w:r>
                </w:p>
              </w:tc>
              <w:tc>
                <w:tcPr>
                  <w:tcW w:w="583" w:type="pct"/>
                  <w:vAlign w:val="center"/>
                </w:tcPr>
                <w:p>
                  <w:pPr>
                    <w:pStyle w:val="41"/>
                  </w:pPr>
                  <w:r>
                    <w:rPr>
                      <w:sz w:val="20"/>
                      <w:szCs w:val="20"/>
                    </w:rPr>
                    <w:t>28.625366</w:t>
                  </w:r>
                </w:p>
              </w:tc>
              <w:tc>
                <w:tcPr>
                  <w:tcW w:w="306" w:type="pct"/>
                  <w:vAlign w:val="center"/>
                </w:tcPr>
                <w:p>
                  <w:pPr>
                    <w:pStyle w:val="41"/>
                  </w:pPr>
                  <w:r>
                    <w:rPr>
                      <w:rFonts w:hint="eastAsia"/>
                    </w:rPr>
                    <w:t>居民</w:t>
                  </w:r>
                </w:p>
              </w:tc>
              <w:tc>
                <w:tcPr>
                  <w:tcW w:w="577" w:type="pct"/>
                  <w:vAlign w:val="center"/>
                </w:tcPr>
                <w:p>
                  <w:pPr>
                    <w:pStyle w:val="41"/>
                  </w:pPr>
                  <w:r>
                    <w:t>约70人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无隔离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47" w:type="pct"/>
                  <w:vAlign w:val="center"/>
                </w:tcPr>
                <w:p>
                  <w:pPr>
                    <w:pStyle w:val="41"/>
                  </w:pPr>
                  <w:r>
                    <w:rPr>
                      <w:rFonts w:hint="eastAsia"/>
                    </w:rPr>
                    <w:t>双湖村七组</w:t>
                  </w:r>
                </w:p>
              </w:tc>
              <w:tc>
                <w:tcPr>
                  <w:tcW w:w="643" w:type="pct"/>
                  <w:vAlign w:val="center"/>
                </w:tcPr>
                <w:p>
                  <w:pPr>
                    <w:pStyle w:val="41"/>
                  </w:pPr>
                  <w:r>
                    <w:rPr>
                      <w:sz w:val="20"/>
                      <w:szCs w:val="20"/>
                    </w:rPr>
                    <w:t>112.764042</w:t>
                  </w:r>
                </w:p>
              </w:tc>
              <w:tc>
                <w:tcPr>
                  <w:tcW w:w="583" w:type="pct"/>
                  <w:vAlign w:val="center"/>
                </w:tcPr>
                <w:p>
                  <w:pPr>
                    <w:pStyle w:val="41"/>
                  </w:pPr>
                  <w:r>
                    <w:rPr>
                      <w:sz w:val="20"/>
                      <w:szCs w:val="20"/>
                    </w:rPr>
                    <w:t>28.615063</w:t>
                  </w:r>
                </w:p>
              </w:tc>
              <w:tc>
                <w:tcPr>
                  <w:tcW w:w="306" w:type="pct"/>
                  <w:vAlign w:val="center"/>
                </w:tcPr>
                <w:p>
                  <w:pPr>
                    <w:pStyle w:val="41"/>
                  </w:pPr>
                  <w:r>
                    <w:rPr>
                      <w:rFonts w:hint="eastAsia"/>
                    </w:rPr>
                    <w:t>居民</w:t>
                  </w:r>
                </w:p>
              </w:tc>
              <w:tc>
                <w:tcPr>
                  <w:tcW w:w="577" w:type="pct"/>
                  <w:vAlign w:val="center"/>
                </w:tcPr>
                <w:p>
                  <w:pPr>
                    <w:pStyle w:val="41"/>
                  </w:pPr>
                  <w:r>
                    <w:t>约60人</w:t>
                  </w:r>
                </w:p>
              </w:tc>
              <w:tc>
                <w:tcPr>
                  <w:tcW w:w="306" w:type="pct"/>
                  <w:vAlign w:val="center"/>
                </w:tcPr>
                <w:p>
                  <w:pPr>
                    <w:pStyle w:val="41"/>
                  </w:pPr>
                  <w:r>
                    <w:rPr>
                      <w:rFonts w:hint="eastAsia"/>
                    </w:rPr>
                    <w:t>2类</w:t>
                  </w:r>
                </w:p>
              </w:tc>
              <w:tc>
                <w:tcPr>
                  <w:tcW w:w="441" w:type="pct"/>
                  <w:vAlign w:val="center"/>
                </w:tcPr>
                <w:p>
                  <w:pPr>
                    <w:pStyle w:val="41"/>
                  </w:pPr>
                  <w:r>
                    <w:rPr>
                      <w:rFonts w:hint="eastAsia"/>
                    </w:rPr>
                    <w:t>N</w:t>
                  </w:r>
                </w:p>
              </w:tc>
              <w:tc>
                <w:tcPr>
                  <w:tcW w:w="720" w:type="pct"/>
                  <w:vAlign w:val="center"/>
                </w:tcPr>
                <w:p>
                  <w:pPr>
                    <w:pStyle w:val="41"/>
                  </w:pPr>
                  <w:r>
                    <w:rPr>
                      <w:rFonts w:hint="eastAsia"/>
                    </w:rPr>
                    <w:t>1</w:t>
                  </w:r>
                  <w:r>
                    <w:t>0</w:t>
                  </w:r>
                </w:p>
              </w:tc>
              <w:tc>
                <w:tcPr>
                  <w:tcW w:w="577" w:type="pct"/>
                  <w:vAlign w:val="center"/>
                </w:tcPr>
                <w:p>
                  <w:pPr>
                    <w:pStyle w:val="41"/>
                  </w:pPr>
                  <w:r>
                    <w:rPr>
                      <w:rFonts w:hint="eastAsia"/>
                    </w:rPr>
                    <w:t>2</w:t>
                  </w:r>
                  <w:r>
                    <w:t>~3</w:t>
                  </w:r>
                  <w:r>
                    <w:rPr>
                      <w:rFonts w:hint="eastAsia"/>
                    </w:rPr>
                    <w:t>层，</w:t>
                  </w:r>
                </w:p>
              </w:tc>
            </w:tr>
          </w:tbl>
          <w:p>
            <w:pPr>
              <w:pStyle w:val="34"/>
              <w:ind w:firstLine="480"/>
            </w:pPr>
            <w:r>
              <w:rPr>
                <w:rFonts w:hint="eastAsia"/>
              </w:rPr>
              <w:t>3、地表水环境保护目标</w:t>
            </w:r>
          </w:p>
          <w:p>
            <w:pPr>
              <w:pStyle w:val="34"/>
              <w:ind w:firstLine="480"/>
            </w:pPr>
            <w:r>
              <w:rPr>
                <w:rFonts w:hint="eastAsia"/>
              </w:rPr>
              <w:t>本项目地表水环境保护目标如下：</w:t>
            </w:r>
          </w:p>
          <w:p>
            <w:pPr>
              <w:pStyle w:val="39"/>
              <w:spacing w:before="156"/>
            </w:pPr>
            <w:r>
              <w:rPr>
                <w:rFonts w:hint="eastAsia"/>
              </w:rPr>
              <w:t>表3</w:t>
            </w:r>
            <w:r>
              <w:t xml:space="preserve">-7  </w:t>
            </w:r>
            <w:r>
              <w:rPr>
                <w:rFonts w:hint="eastAsia"/>
              </w:rPr>
              <w:t>地表水环境保护目标一览表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451"/>
              <w:gridCol w:w="2458"/>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tcPr>
                <w:p>
                  <w:pPr>
                    <w:pStyle w:val="41"/>
                  </w:pPr>
                  <w:r>
                    <w:rPr>
                      <w:rFonts w:hint="eastAsia"/>
                    </w:rPr>
                    <w:t>名称</w:t>
                  </w:r>
                </w:p>
              </w:tc>
              <w:tc>
                <w:tcPr>
                  <w:tcW w:w="1513" w:type="pct"/>
                </w:tcPr>
                <w:p>
                  <w:pPr>
                    <w:pStyle w:val="41"/>
                  </w:pPr>
                  <w:r>
                    <w:rPr>
                      <w:rFonts w:hint="eastAsia"/>
                    </w:rPr>
                    <w:t>主要功能</w:t>
                  </w:r>
                </w:p>
              </w:tc>
              <w:tc>
                <w:tcPr>
                  <w:tcW w:w="1517" w:type="pct"/>
                </w:tcPr>
                <w:p>
                  <w:pPr>
                    <w:pStyle w:val="41"/>
                  </w:pPr>
                  <w:r>
                    <w:rPr>
                      <w:rFonts w:hint="eastAsia"/>
                    </w:rPr>
                    <w:t>方位距离</w:t>
                  </w:r>
                </w:p>
              </w:tc>
              <w:tc>
                <w:tcPr>
                  <w:tcW w:w="759" w:type="pct"/>
                </w:tcPr>
                <w:p>
                  <w:pPr>
                    <w:pStyle w:val="41"/>
                  </w:pPr>
                  <w:r>
                    <w:rPr>
                      <w:rFonts w:hint="eastAsia"/>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tcPr>
                <w:p>
                  <w:pPr>
                    <w:pStyle w:val="41"/>
                  </w:pPr>
                  <w:r>
                    <w:rPr>
                      <w:rFonts w:hint="eastAsia"/>
                    </w:rPr>
                    <w:t>鼻湖</w:t>
                  </w:r>
                </w:p>
              </w:tc>
              <w:tc>
                <w:tcPr>
                  <w:tcW w:w="1513" w:type="pct"/>
                </w:tcPr>
                <w:p>
                  <w:pPr>
                    <w:pStyle w:val="41"/>
                  </w:pPr>
                  <w:r>
                    <w:rPr>
                      <w:rFonts w:hint="eastAsia"/>
                    </w:rPr>
                    <w:t>渔业用水、农业用水</w:t>
                  </w:r>
                </w:p>
              </w:tc>
              <w:tc>
                <w:tcPr>
                  <w:tcW w:w="1517" w:type="pct"/>
                </w:tcPr>
                <w:p>
                  <w:pPr>
                    <w:pStyle w:val="41"/>
                  </w:pPr>
                  <w:r>
                    <w:rPr>
                      <w:rFonts w:hint="eastAsia"/>
                    </w:rPr>
                    <w:t>/</w:t>
                  </w:r>
                </w:p>
              </w:tc>
              <w:tc>
                <w:tcPr>
                  <w:tcW w:w="759" w:type="pct"/>
                </w:tcPr>
                <w:p>
                  <w:pPr>
                    <w:pStyle w:val="41"/>
                  </w:pPr>
                  <w:r>
                    <w:rPr>
                      <w:rFonts w:hint="eastAsia"/>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tcPr>
                <w:p>
                  <w:pPr>
                    <w:pStyle w:val="41"/>
                  </w:pPr>
                  <w:r>
                    <w:rPr>
                      <w:rFonts w:hint="eastAsia"/>
                    </w:rPr>
                    <w:t>周边灌溉排水渠</w:t>
                  </w:r>
                </w:p>
              </w:tc>
              <w:tc>
                <w:tcPr>
                  <w:tcW w:w="1513" w:type="pct"/>
                </w:tcPr>
                <w:p>
                  <w:pPr>
                    <w:pStyle w:val="41"/>
                  </w:pPr>
                  <w:r>
                    <w:rPr>
                      <w:rFonts w:hint="eastAsia"/>
                    </w:rPr>
                    <w:t>农业用水</w:t>
                  </w:r>
                </w:p>
              </w:tc>
              <w:tc>
                <w:tcPr>
                  <w:tcW w:w="1517" w:type="pct"/>
                </w:tcPr>
                <w:p>
                  <w:pPr>
                    <w:pStyle w:val="41"/>
                  </w:pPr>
                  <w:r>
                    <w:rPr>
                      <w:rFonts w:hint="eastAsia"/>
                    </w:rPr>
                    <w:t>/</w:t>
                  </w:r>
                </w:p>
              </w:tc>
              <w:tc>
                <w:tcPr>
                  <w:tcW w:w="759" w:type="pct"/>
                </w:tcPr>
                <w:p>
                  <w:pPr>
                    <w:pStyle w:val="41"/>
                  </w:pPr>
                  <w:r>
                    <w:rPr>
                      <w:rFonts w:hint="eastAsia"/>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tcPr>
                <w:p>
                  <w:pPr>
                    <w:pStyle w:val="41"/>
                  </w:pPr>
                  <w:r>
                    <w:rPr>
                      <w:rFonts w:hint="eastAsia"/>
                    </w:rPr>
                    <w:t>湘江</w:t>
                  </w:r>
                </w:p>
              </w:tc>
              <w:tc>
                <w:tcPr>
                  <w:tcW w:w="1513" w:type="pct"/>
                </w:tcPr>
                <w:p>
                  <w:pPr>
                    <w:pStyle w:val="41"/>
                  </w:pPr>
                  <w:r>
                    <w:rPr>
                      <w:rFonts w:hint="eastAsia"/>
                    </w:rPr>
                    <w:t>渔业用水区</w:t>
                  </w:r>
                </w:p>
              </w:tc>
              <w:tc>
                <w:tcPr>
                  <w:tcW w:w="1517" w:type="pct"/>
                </w:tcPr>
                <w:p>
                  <w:pPr>
                    <w:pStyle w:val="41"/>
                  </w:pPr>
                  <w:r>
                    <w:rPr>
                      <w:rFonts w:hint="eastAsia"/>
                    </w:rPr>
                    <w:t>位于鼻湖东侧1</w:t>
                  </w:r>
                  <w:r>
                    <w:t>600</w:t>
                  </w:r>
                  <w:r>
                    <w:rPr>
                      <w:rFonts w:hint="eastAsia"/>
                    </w:rPr>
                    <w:t>m</w:t>
                  </w:r>
                </w:p>
              </w:tc>
              <w:tc>
                <w:tcPr>
                  <w:tcW w:w="759" w:type="pct"/>
                </w:tcPr>
                <w:p>
                  <w:pPr>
                    <w:pStyle w:val="41"/>
                  </w:pPr>
                  <w:r>
                    <w:rPr>
                      <w:rFonts w:hint="eastAsia"/>
                    </w:rPr>
                    <w:t>Ⅲ类</w:t>
                  </w:r>
                </w:p>
              </w:tc>
            </w:tr>
          </w:tbl>
          <w:p>
            <w:pPr>
              <w:pStyle w:val="34"/>
              <w:ind w:firstLine="480"/>
            </w:pPr>
          </w:p>
          <w:p>
            <w:pPr>
              <w:pStyle w:val="34"/>
              <w:ind w:firstLine="4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831" w:type="dxa"/>
            <w:vAlign w:val="center"/>
          </w:tcPr>
          <w:p>
            <w:pPr>
              <w:pStyle w:val="41"/>
            </w:pPr>
            <w:r>
              <w:rPr>
                <w:rFonts w:hint="eastAsia"/>
              </w:rPr>
              <w:t>评价</w:t>
            </w:r>
          </w:p>
          <w:p>
            <w:pPr>
              <w:pStyle w:val="41"/>
            </w:pPr>
            <w:r>
              <w:rPr>
                <w:rFonts w:hint="eastAsia"/>
              </w:rPr>
              <w:t>标准</w:t>
            </w:r>
          </w:p>
        </w:tc>
        <w:tc>
          <w:tcPr>
            <w:tcW w:w="8326" w:type="dxa"/>
            <w:vAlign w:val="center"/>
          </w:tcPr>
          <w:p>
            <w:pPr>
              <w:pStyle w:val="34"/>
              <w:ind w:firstLine="480"/>
            </w:pPr>
            <w:r>
              <w:t>1、环境质量标准</w:t>
            </w:r>
          </w:p>
          <w:p>
            <w:pPr>
              <w:pStyle w:val="34"/>
              <w:ind w:firstLine="480"/>
            </w:pPr>
            <w:r>
              <w:t>（1）环境空气质量标准</w:t>
            </w:r>
          </w:p>
          <w:p>
            <w:pPr>
              <w:pStyle w:val="34"/>
              <w:ind w:firstLine="480"/>
            </w:pPr>
            <w:r>
              <w:t>本项目所在区域环境空气质量执行《环境空气质量标准》（GB3095-2012）二级标准，氨、硫化氢执行《环境影响评价技术导则大气环境》（HJ2.2-2018）附录D中污染物浓度限值，详见下表：</w:t>
            </w:r>
          </w:p>
          <w:p>
            <w:pPr>
              <w:pStyle w:val="39"/>
              <w:spacing w:before="156"/>
              <w:rPr>
                <w:vertAlign w:val="superscript"/>
              </w:rPr>
            </w:pPr>
            <w:r>
              <w:t>表3-8                项目所在区域环境空气质量标准            单位：μg/m</w:t>
            </w:r>
            <w:r>
              <w:rPr>
                <w:vertAlign w:val="superscript"/>
              </w:rPr>
              <w:t>3</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993"/>
              <w:gridCol w:w="1552"/>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782" w:type="pct"/>
                  <w:vAlign w:val="center"/>
                </w:tcPr>
                <w:p>
                  <w:pPr>
                    <w:pStyle w:val="41"/>
                  </w:pPr>
                  <w:r>
                    <w:t>评价因子</w:t>
                  </w:r>
                </w:p>
              </w:tc>
              <w:tc>
                <w:tcPr>
                  <w:tcW w:w="1230" w:type="pct"/>
                  <w:vAlign w:val="center"/>
                </w:tcPr>
                <w:p>
                  <w:pPr>
                    <w:pStyle w:val="41"/>
                  </w:pPr>
                  <w:r>
                    <w:t>取值时段</w:t>
                  </w:r>
                </w:p>
              </w:tc>
              <w:tc>
                <w:tcPr>
                  <w:tcW w:w="958" w:type="pct"/>
                  <w:vAlign w:val="center"/>
                </w:tcPr>
                <w:p>
                  <w:pPr>
                    <w:pStyle w:val="41"/>
                  </w:pPr>
                  <w:r>
                    <w:t>标准值</w:t>
                  </w:r>
                </w:p>
              </w:tc>
              <w:tc>
                <w:tcPr>
                  <w:tcW w:w="2028" w:type="pct"/>
                  <w:vAlign w:val="center"/>
                </w:tcPr>
                <w:p>
                  <w:pPr>
                    <w:pStyle w:val="41"/>
                  </w:pPr>
                  <w: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restart"/>
                  <w:vAlign w:val="center"/>
                </w:tcPr>
                <w:p>
                  <w:pPr>
                    <w:pStyle w:val="41"/>
                  </w:pPr>
                  <w:r>
                    <w:t>SO</w:t>
                  </w:r>
                  <w:r>
                    <w:rPr>
                      <w:vertAlign w:val="subscript"/>
                    </w:rPr>
                    <w:t>2</w:t>
                  </w:r>
                </w:p>
              </w:tc>
              <w:tc>
                <w:tcPr>
                  <w:tcW w:w="1230" w:type="pct"/>
                  <w:vAlign w:val="center"/>
                </w:tcPr>
                <w:p>
                  <w:pPr>
                    <w:pStyle w:val="41"/>
                  </w:pPr>
                  <w:r>
                    <w:t>年平均</w:t>
                  </w:r>
                </w:p>
              </w:tc>
              <w:tc>
                <w:tcPr>
                  <w:tcW w:w="958" w:type="pct"/>
                  <w:vAlign w:val="center"/>
                </w:tcPr>
                <w:p>
                  <w:pPr>
                    <w:pStyle w:val="41"/>
                  </w:pPr>
                  <w:r>
                    <w:t>60</w:t>
                  </w:r>
                </w:p>
              </w:tc>
              <w:tc>
                <w:tcPr>
                  <w:tcW w:w="2028" w:type="pct"/>
                  <w:vMerge w:val="restart"/>
                  <w:vAlign w:val="center"/>
                </w:tcPr>
                <w:p>
                  <w:pPr>
                    <w:pStyle w:val="41"/>
                  </w:pPr>
                  <w: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continue"/>
                  <w:vAlign w:val="center"/>
                </w:tcPr>
                <w:p>
                  <w:pPr>
                    <w:pStyle w:val="41"/>
                  </w:pPr>
                </w:p>
              </w:tc>
              <w:tc>
                <w:tcPr>
                  <w:tcW w:w="1230" w:type="pct"/>
                  <w:vAlign w:val="center"/>
                </w:tcPr>
                <w:p>
                  <w:pPr>
                    <w:pStyle w:val="41"/>
                  </w:pPr>
                  <w:r>
                    <w:t>24小时平均</w:t>
                  </w:r>
                </w:p>
              </w:tc>
              <w:tc>
                <w:tcPr>
                  <w:tcW w:w="958" w:type="pct"/>
                  <w:vAlign w:val="center"/>
                </w:tcPr>
                <w:p>
                  <w:pPr>
                    <w:pStyle w:val="41"/>
                  </w:pPr>
                  <w:r>
                    <w:t>150</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continue"/>
                  <w:vAlign w:val="center"/>
                </w:tcPr>
                <w:p>
                  <w:pPr>
                    <w:pStyle w:val="41"/>
                  </w:pPr>
                </w:p>
              </w:tc>
              <w:tc>
                <w:tcPr>
                  <w:tcW w:w="1230" w:type="pct"/>
                  <w:vAlign w:val="center"/>
                </w:tcPr>
                <w:p>
                  <w:pPr>
                    <w:pStyle w:val="41"/>
                  </w:pPr>
                  <w:r>
                    <w:t>1小时平均</w:t>
                  </w:r>
                </w:p>
              </w:tc>
              <w:tc>
                <w:tcPr>
                  <w:tcW w:w="958" w:type="pct"/>
                  <w:vAlign w:val="center"/>
                </w:tcPr>
                <w:p>
                  <w:pPr>
                    <w:pStyle w:val="41"/>
                  </w:pPr>
                  <w:r>
                    <w:t>500</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restart"/>
                  <w:vAlign w:val="center"/>
                </w:tcPr>
                <w:p>
                  <w:pPr>
                    <w:pStyle w:val="41"/>
                  </w:pPr>
                  <w:r>
                    <w:t>NO</w:t>
                  </w:r>
                  <w:r>
                    <w:rPr>
                      <w:vertAlign w:val="subscript"/>
                    </w:rPr>
                    <w:t>2</w:t>
                  </w:r>
                </w:p>
              </w:tc>
              <w:tc>
                <w:tcPr>
                  <w:tcW w:w="1230" w:type="pct"/>
                  <w:vAlign w:val="center"/>
                </w:tcPr>
                <w:p>
                  <w:pPr>
                    <w:pStyle w:val="41"/>
                  </w:pPr>
                  <w:r>
                    <w:t>年平均</w:t>
                  </w:r>
                </w:p>
              </w:tc>
              <w:tc>
                <w:tcPr>
                  <w:tcW w:w="958" w:type="pct"/>
                  <w:vAlign w:val="center"/>
                </w:tcPr>
                <w:p>
                  <w:pPr>
                    <w:pStyle w:val="41"/>
                  </w:pPr>
                  <w:r>
                    <w:t>40</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continue"/>
                  <w:vAlign w:val="center"/>
                </w:tcPr>
                <w:p>
                  <w:pPr>
                    <w:pStyle w:val="41"/>
                  </w:pPr>
                </w:p>
              </w:tc>
              <w:tc>
                <w:tcPr>
                  <w:tcW w:w="1230" w:type="pct"/>
                  <w:vAlign w:val="center"/>
                </w:tcPr>
                <w:p>
                  <w:pPr>
                    <w:pStyle w:val="41"/>
                  </w:pPr>
                  <w:r>
                    <w:t>24小时平均</w:t>
                  </w:r>
                </w:p>
              </w:tc>
              <w:tc>
                <w:tcPr>
                  <w:tcW w:w="958" w:type="pct"/>
                  <w:vAlign w:val="center"/>
                </w:tcPr>
                <w:p>
                  <w:pPr>
                    <w:pStyle w:val="41"/>
                  </w:pPr>
                  <w:r>
                    <w:t>80</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continue"/>
                  <w:vAlign w:val="center"/>
                </w:tcPr>
                <w:p>
                  <w:pPr>
                    <w:pStyle w:val="41"/>
                  </w:pPr>
                </w:p>
              </w:tc>
              <w:tc>
                <w:tcPr>
                  <w:tcW w:w="1230" w:type="pct"/>
                  <w:vAlign w:val="center"/>
                </w:tcPr>
                <w:p>
                  <w:pPr>
                    <w:pStyle w:val="41"/>
                  </w:pPr>
                  <w:r>
                    <w:t>1小时平均</w:t>
                  </w:r>
                </w:p>
              </w:tc>
              <w:tc>
                <w:tcPr>
                  <w:tcW w:w="958" w:type="pct"/>
                  <w:vAlign w:val="center"/>
                </w:tcPr>
                <w:p>
                  <w:pPr>
                    <w:pStyle w:val="41"/>
                  </w:pPr>
                  <w:r>
                    <w:t>200</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restart"/>
                  <w:vAlign w:val="center"/>
                </w:tcPr>
                <w:p>
                  <w:pPr>
                    <w:pStyle w:val="41"/>
                  </w:pPr>
                  <w:r>
                    <w:t>PM</w:t>
                  </w:r>
                  <w:r>
                    <w:rPr>
                      <w:vertAlign w:val="subscript"/>
                    </w:rPr>
                    <w:t>10</w:t>
                  </w:r>
                </w:p>
              </w:tc>
              <w:tc>
                <w:tcPr>
                  <w:tcW w:w="1230" w:type="pct"/>
                  <w:vAlign w:val="center"/>
                </w:tcPr>
                <w:p>
                  <w:pPr>
                    <w:pStyle w:val="41"/>
                  </w:pPr>
                  <w:r>
                    <w:t>年平均</w:t>
                  </w:r>
                </w:p>
              </w:tc>
              <w:tc>
                <w:tcPr>
                  <w:tcW w:w="958" w:type="pct"/>
                  <w:vAlign w:val="center"/>
                </w:tcPr>
                <w:p>
                  <w:pPr>
                    <w:pStyle w:val="41"/>
                  </w:pPr>
                  <w:r>
                    <w:t>70</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continue"/>
                  <w:vAlign w:val="center"/>
                </w:tcPr>
                <w:p>
                  <w:pPr>
                    <w:pStyle w:val="41"/>
                  </w:pPr>
                </w:p>
              </w:tc>
              <w:tc>
                <w:tcPr>
                  <w:tcW w:w="1230" w:type="pct"/>
                  <w:vAlign w:val="center"/>
                </w:tcPr>
                <w:p>
                  <w:pPr>
                    <w:pStyle w:val="41"/>
                  </w:pPr>
                  <w:r>
                    <w:t>24小时平均</w:t>
                  </w:r>
                </w:p>
              </w:tc>
              <w:tc>
                <w:tcPr>
                  <w:tcW w:w="958" w:type="pct"/>
                  <w:vAlign w:val="center"/>
                </w:tcPr>
                <w:p>
                  <w:pPr>
                    <w:pStyle w:val="41"/>
                  </w:pPr>
                  <w:r>
                    <w:t>150</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restart"/>
                  <w:vAlign w:val="center"/>
                </w:tcPr>
                <w:p>
                  <w:pPr>
                    <w:pStyle w:val="41"/>
                  </w:pPr>
                  <w:r>
                    <w:t>PM</w:t>
                  </w:r>
                  <w:r>
                    <w:rPr>
                      <w:vertAlign w:val="subscript"/>
                    </w:rPr>
                    <w:t>2.5</w:t>
                  </w:r>
                </w:p>
              </w:tc>
              <w:tc>
                <w:tcPr>
                  <w:tcW w:w="1230" w:type="pct"/>
                  <w:vAlign w:val="center"/>
                </w:tcPr>
                <w:p>
                  <w:pPr>
                    <w:pStyle w:val="41"/>
                  </w:pPr>
                  <w:r>
                    <w:t>24小时平均</w:t>
                  </w:r>
                </w:p>
              </w:tc>
              <w:tc>
                <w:tcPr>
                  <w:tcW w:w="958" w:type="pct"/>
                  <w:vAlign w:val="center"/>
                </w:tcPr>
                <w:p>
                  <w:pPr>
                    <w:pStyle w:val="41"/>
                  </w:pPr>
                  <w:r>
                    <w:t>75</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continue"/>
                  <w:vAlign w:val="center"/>
                </w:tcPr>
                <w:p>
                  <w:pPr>
                    <w:pStyle w:val="41"/>
                  </w:pPr>
                </w:p>
              </w:tc>
              <w:tc>
                <w:tcPr>
                  <w:tcW w:w="1230" w:type="pct"/>
                  <w:vAlign w:val="center"/>
                </w:tcPr>
                <w:p>
                  <w:pPr>
                    <w:pStyle w:val="41"/>
                  </w:pPr>
                  <w:r>
                    <w:t>年平均</w:t>
                  </w:r>
                </w:p>
              </w:tc>
              <w:tc>
                <w:tcPr>
                  <w:tcW w:w="958" w:type="pct"/>
                  <w:vAlign w:val="center"/>
                </w:tcPr>
                <w:p>
                  <w:pPr>
                    <w:pStyle w:val="41"/>
                  </w:pPr>
                  <w:r>
                    <w:t>35</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restart"/>
                  <w:vAlign w:val="center"/>
                </w:tcPr>
                <w:p>
                  <w:pPr>
                    <w:pStyle w:val="41"/>
                  </w:pPr>
                  <w:r>
                    <w:t>O</w:t>
                  </w:r>
                  <w:r>
                    <w:rPr>
                      <w:vertAlign w:val="subscript"/>
                    </w:rPr>
                    <w:t>3</w:t>
                  </w:r>
                </w:p>
              </w:tc>
              <w:tc>
                <w:tcPr>
                  <w:tcW w:w="1230" w:type="pct"/>
                  <w:vAlign w:val="center"/>
                </w:tcPr>
                <w:p>
                  <w:pPr>
                    <w:pStyle w:val="41"/>
                  </w:pPr>
                  <w:r>
                    <w:t>日最大8小时平均</w:t>
                  </w:r>
                </w:p>
              </w:tc>
              <w:tc>
                <w:tcPr>
                  <w:tcW w:w="958" w:type="pct"/>
                  <w:vAlign w:val="center"/>
                </w:tcPr>
                <w:p>
                  <w:pPr>
                    <w:pStyle w:val="41"/>
                  </w:pPr>
                  <w:r>
                    <w:t>160</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continue"/>
                  <w:vAlign w:val="center"/>
                </w:tcPr>
                <w:p>
                  <w:pPr>
                    <w:pStyle w:val="41"/>
                  </w:pPr>
                </w:p>
              </w:tc>
              <w:tc>
                <w:tcPr>
                  <w:tcW w:w="1230" w:type="pct"/>
                  <w:vAlign w:val="center"/>
                </w:tcPr>
                <w:p>
                  <w:pPr>
                    <w:pStyle w:val="41"/>
                  </w:pPr>
                  <w:r>
                    <w:t>1小时平均</w:t>
                  </w:r>
                </w:p>
              </w:tc>
              <w:tc>
                <w:tcPr>
                  <w:tcW w:w="958" w:type="pct"/>
                  <w:vAlign w:val="center"/>
                </w:tcPr>
                <w:p>
                  <w:pPr>
                    <w:pStyle w:val="41"/>
                  </w:pPr>
                  <w:r>
                    <w:t>200</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82" w:type="pct"/>
                  <w:vMerge w:val="restart"/>
                  <w:vAlign w:val="center"/>
                </w:tcPr>
                <w:p>
                  <w:pPr>
                    <w:pStyle w:val="41"/>
                  </w:pPr>
                  <w:r>
                    <w:t>CO</w:t>
                  </w:r>
                </w:p>
              </w:tc>
              <w:tc>
                <w:tcPr>
                  <w:tcW w:w="1230" w:type="pct"/>
                  <w:vAlign w:val="center"/>
                </w:tcPr>
                <w:p>
                  <w:pPr>
                    <w:pStyle w:val="41"/>
                  </w:pPr>
                  <w:r>
                    <w:t>24小时平均</w:t>
                  </w:r>
                </w:p>
              </w:tc>
              <w:tc>
                <w:tcPr>
                  <w:tcW w:w="958" w:type="pct"/>
                  <w:vAlign w:val="center"/>
                </w:tcPr>
                <w:p>
                  <w:pPr>
                    <w:pStyle w:val="41"/>
                  </w:pPr>
                  <w:r>
                    <w:t>4mg/m</w:t>
                  </w:r>
                  <w:r>
                    <w:rPr>
                      <w:vertAlign w:val="superscript"/>
                    </w:rPr>
                    <w:t>3</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82" w:type="pct"/>
                  <w:vMerge w:val="continue"/>
                  <w:vAlign w:val="center"/>
                </w:tcPr>
                <w:p>
                  <w:pPr>
                    <w:pStyle w:val="41"/>
                  </w:pPr>
                </w:p>
              </w:tc>
              <w:tc>
                <w:tcPr>
                  <w:tcW w:w="1230" w:type="pct"/>
                  <w:vAlign w:val="center"/>
                </w:tcPr>
                <w:p>
                  <w:pPr>
                    <w:pStyle w:val="41"/>
                  </w:pPr>
                  <w:r>
                    <w:t>1小时平均</w:t>
                  </w:r>
                </w:p>
              </w:tc>
              <w:tc>
                <w:tcPr>
                  <w:tcW w:w="958" w:type="pct"/>
                  <w:vAlign w:val="center"/>
                </w:tcPr>
                <w:p>
                  <w:pPr>
                    <w:pStyle w:val="41"/>
                  </w:pPr>
                  <w:r>
                    <w:t>10mg/m</w:t>
                  </w:r>
                  <w:r>
                    <w:rPr>
                      <w:vertAlign w:val="superscript"/>
                    </w:rPr>
                    <w:t>3</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82" w:type="pct"/>
                  <w:vMerge w:val="restart"/>
                  <w:vAlign w:val="center"/>
                </w:tcPr>
                <w:p>
                  <w:pPr>
                    <w:pStyle w:val="41"/>
                  </w:pPr>
                  <w:r>
                    <w:t>TSP</w:t>
                  </w:r>
                </w:p>
              </w:tc>
              <w:tc>
                <w:tcPr>
                  <w:tcW w:w="1230" w:type="pct"/>
                  <w:vAlign w:val="center"/>
                </w:tcPr>
                <w:p>
                  <w:pPr>
                    <w:pStyle w:val="41"/>
                  </w:pPr>
                  <w:r>
                    <w:t>年平均</w:t>
                  </w:r>
                </w:p>
              </w:tc>
              <w:tc>
                <w:tcPr>
                  <w:tcW w:w="958" w:type="pct"/>
                  <w:vAlign w:val="center"/>
                </w:tcPr>
                <w:p>
                  <w:pPr>
                    <w:pStyle w:val="41"/>
                  </w:pPr>
                  <w:r>
                    <w:t>200</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82" w:type="pct"/>
                  <w:vMerge w:val="continue"/>
                  <w:vAlign w:val="center"/>
                </w:tcPr>
                <w:p>
                  <w:pPr>
                    <w:pStyle w:val="41"/>
                  </w:pPr>
                </w:p>
              </w:tc>
              <w:tc>
                <w:tcPr>
                  <w:tcW w:w="1230" w:type="pct"/>
                  <w:vAlign w:val="center"/>
                </w:tcPr>
                <w:p>
                  <w:pPr>
                    <w:pStyle w:val="41"/>
                  </w:pPr>
                  <w:r>
                    <w:t>24小时平均</w:t>
                  </w:r>
                </w:p>
              </w:tc>
              <w:tc>
                <w:tcPr>
                  <w:tcW w:w="958" w:type="pct"/>
                  <w:vAlign w:val="center"/>
                </w:tcPr>
                <w:p>
                  <w:pPr>
                    <w:pStyle w:val="41"/>
                  </w:pPr>
                  <w:r>
                    <w:t>300</w:t>
                  </w:r>
                </w:p>
              </w:tc>
              <w:tc>
                <w:tcPr>
                  <w:tcW w:w="2028" w:type="pct"/>
                  <w:vMerge w:val="continue"/>
                  <w:vAlign w:val="center"/>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82" w:type="pct"/>
                  <w:vAlign w:val="center"/>
                </w:tcPr>
                <w:p>
                  <w:pPr>
                    <w:pStyle w:val="41"/>
                  </w:pPr>
                  <w:r>
                    <w:t>氨</w:t>
                  </w:r>
                </w:p>
              </w:tc>
              <w:tc>
                <w:tcPr>
                  <w:tcW w:w="1230" w:type="pct"/>
                  <w:vAlign w:val="center"/>
                </w:tcPr>
                <w:p>
                  <w:pPr>
                    <w:pStyle w:val="41"/>
                  </w:pPr>
                  <w:r>
                    <w:t>1h平均</w:t>
                  </w:r>
                </w:p>
              </w:tc>
              <w:tc>
                <w:tcPr>
                  <w:tcW w:w="958" w:type="pct"/>
                  <w:vAlign w:val="center"/>
                </w:tcPr>
                <w:p>
                  <w:pPr>
                    <w:pStyle w:val="41"/>
                  </w:pPr>
                  <w:r>
                    <w:t>200</w:t>
                  </w:r>
                </w:p>
              </w:tc>
              <w:tc>
                <w:tcPr>
                  <w:tcW w:w="2028" w:type="pct"/>
                  <w:vMerge w:val="restart"/>
                  <w:vAlign w:val="center"/>
                </w:tcPr>
                <w:p>
                  <w:pPr>
                    <w:pStyle w:val="41"/>
                  </w:pPr>
                  <w:r>
                    <w:t>《环境影响评价技术导则大气环境》（HJ2.2-2018）附录D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82" w:type="pct"/>
                  <w:vAlign w:val="center"/>
                </w:tcPr>
                <w:p>
                  <w:pPr>
                    <w:pStyle w:val="41"/>
                  </w:pPr>
                  <w:r>
                    <w:t>硫化氢</w:t>
                  </w:r>
                </w:p>
              </w:tc>
              <w:tc>
                <w:tcPr>
                  <w:tcW w:w="1230" w:type="pct"/>
                  <w:vAlign w:val="center"/>
                </w:tcPr>
                <w:p>
                  <w:pPr>
                    <w:pStyle w:val="41"/>
                  </w:pPr>
                  <w:r>
                    <w:t>1h平均</w:t>
                  </w:r>
                </w:p>
              </w:tc>
              <w:tc>
                <w:tcPr>
                  <w:tcW w:w="958" w:type="pct"/>
                  <w:vAlign w:val="center"/>
                </w:tcPr>
                <w:p>
                  <w:pPr>
                    <w:pStyle w:val="41"/>
                  </w:pPr>
                  <w:r>
                    <w:t>10</w:t>
                  </w:r>
                </w:p>
              </w:tc>
              <w:tc>
                <w:tcPr>
                  <w:tcW w:w="2028" w:type="pct"/>
                  <w:vMerge w:val="continue"/>
                  <w:vAlign w:val="center"/>
                </w:tcPr>
                <w:p>
                  <w:pPr>
                    <w:pStyle w:val="41"/>
                  </w:pPr>
                </w:p>
              </w:tc>
            </w:tr>
          </w:tbl>
          <w:p>
            <w:pPr>
              <w:pStyle w:val="34"/>
              <w:ind w:firstLine="480"/>
            </w:pPr>
            <w:r>
              <w:t>（2）地表水环境质量标准</w:t>
            </w:r>
          </w:p>
          <w:p>
            <w:pPr>
              <w:pStyle w:val="34"/>
              <w:ind w:firstLine="480"/>
            </w:pPr>
            <w:r>
              <w:t>本项目</w:t>
            </w:r>
            <w:r>
              <w:rPr>
                <w:rFonts w:hint="eastAsia"/>
              </w:rPr>
              <w:t>鼻湖</w:t>
            </w:r>
            <w:r>
              <w:t>地表水环境质量执行《地表水环境质量标准》（GB3838-2002）Ⅲ类标准，具体标准值见下表。</w:t>
            </w:r>
          </w:p>
          <w:p>
            <w:pPr>
              <w:pStyle w:val="39"/>
              <w:spacing w:before="156"/>
            </w:pPr>
            <w:r>
              <w:t>表3-9</w:t>
            </w:r>
            <w:r>
              <w:rPr>
                <w:rFonts w:hint="eastAsia"/>
              </w:rPr>
              <w:t xml:space="preserve">        </w:t>
            </w:r>
            <w:r>
              <w:t>地表水环境质量标准（GB3095-2012）标准限值</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784"/>
              <w:gridCol w:w="982"/>
              <w:gridCol w:w="897"/>
              <w:gridCol w:w="998"/>
              <w:gridCol w:w="784"/>
              <w:gridCol w:w="784"/>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24" w:type="pct"/>
                  <w:vAlign w:val="center"/>
                </w:tcPr>
                <w:p>
                  <w:pPr>
                    <w:pStyle w:val="41"/>
                  </w:pPr>
                  <w:r>
                    <w:t>监测指标</w:t>
                  </w:r>
                </w:p>
              </w:tc>
              <w:tc>
                <w:tcPr>
                  <w:tcW w:w="484" w:type="pct"/>
                  <w:vAlign w:val="center"/>
                </w:tcPr>
                <w:p>
                  <w:pPr>
                    <w:pStyle w:val="41"/>
                  </w:pPr>
                  <w:r>
                    <w:t>pH</w:t>
                  </w:r>
                </w:p>
              </w:tc>
              <w:tc>
                <w:tcPr>
                  <w:tcW w:w="606" w:type="pct"/>
                  <w:vAlign w:val="center"/>
                </w:tcPr>
                <w:p>
                  <w:pPr>
                    <w:pStyle w:val="41"/>
                  </w:pPr>
                  <w:r>
                    <w:t>COD</w:t>
                  </w:r>
                  <w:r>
                    <w:rPr>
                      <w:vertAlign w:val="subscript"/>
                    </w:rPr>
                    <w:t>Cr</w:t>
                  </w:r>
                </w:p>
              </w:tc>
              <w:tc>
                <w:tcPr>
                  <w:tcW w:w="554" w:type="pct"/>
                  <w:vAlign w:val="center"/>
                </w:tcPr>
                <w:p>
                  <w:pPr>
                    <w:pStyle w:val="41"/>
                  </w:pPr>
                  <w:r>
                    <w:t>BOD</w:t>
                  </w:r>
                  <w:r>
                    <w:rPr>
                      <w:vertAlign w:val="subscript"/>
                    </w:rPr>
                    <w:t>5</w:t>
                  </w:r>
                </w:p>
              </w:tc>
              <w:tc>
                <w:tcPr>
                  <w:tcW w:w="616" w:type="pct"/>
                  <w:vAlign w:val="center"/>
                </w:tcPr>
                <w:p>
                  <w:pPr>
                    <w:pStyle w:val="41"/>
                  </w:pPr>
                  <w:r>
                    <w:t>NH</w:t>
                  </w:r>
                  <w:r>
                    <w:rPr>
                      <w:vertAlign w:val="subscript"/>
                    </w:rPr>
                    <w:t>3</w:t>
                  </w:r>
                  <w:r>
                    <w:t>-N</w:t>
                  </w:r>
                </w:p>
              </w:tc>
              <w:tc>
                <w:tcPr>
                  <w:tcW w:w="484" w:type="pct"/>
                  <w:vAlign w:val="center"/>
                </w:tcPr>
                <w:p>
                  <w:pPr>
                    <w:pStyle w:val="41"/>
                  </w:pPr>
                  <w:r>
                    <w:t>总氮</w:t>
                  </w:r>
                </w:p>
              </w:tc>
              <w:tc>
                <w:tcPr>
                  <w:tcW w:w="484" w:type="pct"/>
                  <w:vAlign w:val="center"/>
                </w:tcPr>
                <w:p>
                  <w:pPr>
                    <w:pStyle w:val="41"/>
                  </w:pPr>
                  <w:r>
                    <w:t>总磷</w:t>
                  </w:r>
                </w:p>
              </w:tc>
              <w:tc>
                <w:tcPr>
                  <w:tcW w:w="644" w:type="pct"/>
                  <w:vAlign w:val="center"/>
                </w:tcPr>
                <w:p>
                  <w:pPr>
                    <w:pStyle w:val="41"/>
                  </w:pPr>
                  <w: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24" w:type="pct"/>
                  <w:vAlign w:val="center"/>
                </w:tcPr>
                <w:p>
                  <w:pPr>
                    <w:pStyle w:val="41"/>
                  </w:pPr>
                  <w:r>
                    <w:t>Ⅲ类标准限值</w:t>
                  </w:r>
                </w:p>
              </w:tc>
              <w:tc>
                <w:tcPr>
                  <w:tcW w:w="484" w:type="pct"/>
                  <w:vAlign w:val="center"/>
                </w:tcPr>
                <w:p>
                  <w:pPr>
                    <w:pStyle w:val="41"/>
                  </w:pPr>
                  <w:r>
                    <w:t>6～9</w:t>
                  </w:r>
                </w:p>
              </w:tc>
              <w:tc>
                <w:tcPr>
                  <w:tcW w:w="606" w:type="pct"/>
                  <w:vAlign w:val="center"/>
                </w:tcPr>
                <w:p>
                  <w:pPr>
                    <w:pStyle w:val="41"/>
                  </w:pPr>
                  <w:r>
                    <w:t>20</w:t>
                  </w:r>
                </w:p>
              </w:tc>
              <w:tc>
                <w:tcPr>
                  <w:tcW w:w="554" w:type="pct"/>
                  <w:vAlign w:val="center"/>
                </w:tcPr>
                <w:p>
                  <w:pPr>
                    <w:pStyle w:val="41"/>
                  </w:pPr>
                  <w:r>
                    <w:t>4</w:t>
                  </w:r>
                </w:p>
              </w:tc>
              <w:tc>
                <w:tcPr>
                  <w:tcW w:w="616" w:type="pct"/>
                  <w:vAlign w:val="center"/>
                </w:tcPr>
                <w:p>
                  <w:pPr>
                    <w:pStyle w:val="41"/>
                  </w:pPr>
                  <w:r>
                    <w:t>1.0</w:t>
                  </w:r>
                </w:p>
              </w:tc>
              <w:tc>
                <w:tcPr>
                  <w:tcW w:w="484" w:type="pct"/>
                  <w:vAlign w:val="center"/>
                </w:tcPr>
                <w:p>
                  <w:pPr>
                    <w:pStyle w:val="41"/>
                  </w:pPr>
                  <w:r>
                    <w:t>1.0</w:t>
                  </w:r>
                </w:p>
              </w:tc>
              <w:tc>
                <w:tcPr>
                  <w:tcW w:w="484" w:type="pct"/>
                  <w:vAlign w:val="center"/>
                </w:tcPr>
                <w:p>
                  <w:pPr>
                    <w:pStyle w:val="41"/>
                  </w:pPr>
                  <w:r>
                    <w:t>0.</w:t>
                  </w:r>
                  <w:r>
                    <w:rPr>
                      <w:rFonts w:hint="eastAsia"/>
                    </w:rPr>
                    <w:t>05</w:t>
                  </w:r>
                </w:p>
              </w:tc>
              <w:tc>
                <w:tcPr>
                  <w:tcW w:w="644" w:type="pct"/>
                  <w:vAlign w:val="center"/>
                </w:tcPr>
                <w:p>
                  <w:pPr>
                    <w:pStyle w:val="41"/>
                  </w:pPr>
                  <w:r>
                    <w:t>0.05</w:t>
                  </w:r>
                </w:p>
              </w:tc>
            </w:tr>
          </w:tbl>
          <w:p>
            <w:pPr>
              <w:pStyle w:val="34"/>
              <w:ind w:firstLine="480"/>
            </w:pPr>
            <w:r>
              <w:t>（3）声环境质量标准</w:t>
            </w:r>
          </w:p>
          <w:p>
            <w:pPr>
              <w:pStyle w:val="34"/>
              <w:ind w:firstLine="480"/>
              <w:rPr>
                <w:kern w:val="0"/>
              </w:rPr>
            </w:pPr>
            <w:r>
              <w:rPr>
                <w:kern w:val="0"/>
              </w:rPr>
              <w:t>本项目评价区域执行《声环境质量标准》（GB3096-2008）</w:t>
            </w:r>
            <w:r>
              <w:rPr>
                <w:kern w:val="0"/>
                <w:szCs w:val="22"/>
              </w:rPr>
              <w:t>中2类</w:t>
            </w:r>
            <w:r>
              <w:rPr>
                <w:kern w:val="0"/>
              </w:rPr>
              <w:t>标准。具体见表3-10。</w:t>
            </w:r>
          </w:p>
          <w:p>
            <w:pPr>
              <w:pStyle w:val="39"/>
              <w:spacing w:before="156"/>
            </w:pPr>
            <w:r>
              <w:t>表3-</w:t>
            </w:r>
            <w:r>
              <w:rPr>
                <w:rFonts w:hint="eastAsia"/>
              </w:rPr>
              <w:t xml:space="preserve">14              </w:t>
            </w:r>
            <w:r>
              <w:t>声环境质量标准（GB3096-2008）</w:t>
            </w:r>
            <w:r>
              <w:rPr>
                <w:rFonts w:hint="eastAsia"/>
              </w:rPr>
              <w:t xml:space="preserve">        </w:t>
            </w:r>
            <w:r>
              <w:t>单位：dB（A）</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2"/>
              <w:gridCol w:w="2697"/>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pct"/>
                  <w:vAlign w:val="center"/>
                </w:tcPr>
                <w:p>
                  <w:pPr>
                    <w:kinsoku w:val="0"/>
                    <w:overflowPunct w:val="0"/>
                    <w:autoSpaceDE w:val="0"/>
                    <w:autoSpaceDN w:val="0"/>
                    <w:adjustRightInd w:val="0"/>
                    <w:snapToGrid w:val="0"/>
                    <w:jc w:val="center"/>
                    <w:rPr>
                      <w:szCs w:val="24"/>
                    </w:rPr>
                  </w:pPr>
                  <w:r>
                    <w:rPr>
                      <w:rFonts w:ascii="Times New Roman" w:hAnsi="Times New Roman" w:eastAsia="宋体" w:cs="Times New Roman"/>
                      <w:szCs w:val="24"/>
                    </w:rPr>
                    <w:t>类别</w:t>
                  </w:r>
                </w:p>
              </w:tc>
              <w:tc>
                <w:tcPr>
                  <w:tcW w:w="1665" w:type="pct"/>
                  <w:vAlign w:val="center"/>
                </w:tcPr>
                <w:p>
                  <w:pPr>
                    <w:kinsoku w:val="0"/>
                    <w:overflowPunct w:val="0"/>
                    <w:autoSpaceDE w:val="0"/>
                    <w:autoSpaceDN w:val="0"/>
                    <w:adjustRightInd w:val="0"/>
                    <w:snapToGrid w:val="0"/>
                    <w:jc w:val="center"/>
                    <w:rPr>
                      <w:szCs w:val="24"/>
                    </w:rPr>
                  </w:pPr>
                  <w:r>
                    <w:rPr>
                      <w:rFonts w:ascii="Times New Roman" w:hAnsi="Times New Roman" w:eastAsia="宋体" w:cs="Times New Roman"/>
                      <w:szCs w:val="24"/>
                    </w:rPr>
                    <w:t>昼间</w:t>
                  </w:r>
                </w:p>
              </w:tc>
              <w:tc>
                <w:tcPr>
                  <w:tcW w:w="1665" w:type="pct"/>
                  <w:vAlign w:val="center"/>
                </w:tcPr>
                <w:p>
                  <w:pPr>
                    <w:kinsoku w:val="0"/>
                    <w:overflowPunct w:val="0"/>
                    <w:autoSpaceDE w:val="0"/>
                    <w:autoSpaceDN w:val="0"/>
                    <w:adjustRightInd w:val="0"/>
                    <w:snapToGrid w:val="0"/>
                    <w:jc w:val="center"/>
                    <w:rPr>
                      <w:szCs w:val="24"/>
                    </w:rPr>
                  </w:pPr>
                  <w:r>
                    <w:rPr>
                      <w:rFonts w:ascii="Times New Roman" w:hAnsi="Times New Roman" w:eastAsia="宋体" w:cs="Times New Roman"/>
                      <w:szCs w:val="24"/>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pct"/>
                  <w:vAlign w:val="center"/>
                </w:tcPr>
                <w:p>
                  <w:pPr>
                    <w:kinsoku w:val="0"/>
                    <w:overflowPunct w:val="0"/>
                    <w:autoSpaceDE w:val="0"/>
                    <w:autoSpaceDN w:val="0"/>
                    <w:adjustRightInd w:val="0"/>
                    <w:snapToGrid w:val="0"/>
                    <w:jc w:val="center"/>
                    <w:rPr>
                      <w:szCs w:val="24"/>
                    </w:rPr>
                  </w:pPr>
                  <w:r>
                    <w:rPr>
                      <w:rFonts w:ascii="Times New Roman" w:hAnsi="Times New Roman" w:eastAsia="宋体" w:cs="Times New Roman"/>
                      <w:szCs w:val="24"/>
                    </w:rPr>
                    <w:t>2类</w:t>
                  </w:r>
                </w:p>
              </w:tc>
              <w:tc>
                <w:tcPr>
                  <w:tcW w:w="1665" w:type="pct"/>
                  <w:vAlign w:val="center"/>
                </w:tcPr>
                <w:p>
                  <w:pPr>
                    <w:kinsoku w:val="0"/>
                    <w:overflowPunct w:val="0"/>
                    <w:autoSpaceDE w:val="0"/>
                    <w:autoSpaceDN w:val="0"/>
                    <w:adjustRightInd w:val="0"/>
                    <w:snapToGrid w:val="0"/>
                    <w:jc w:val="center"/>
                    <w:rPr>
                      <w:szCs w:val="24"/>
                    </w:rPr>
                  </w:pPr>
                  <w:r>
                    <w:rPr>
                      <w:rFonts w:ascii="Times New Roman" w:hAnsi="Times New Roman" w:eastAsia="宋体" w:cs="Times New Roman"/>
                      <w:szCs w:val="24"/>
                    </w:rPr>
                    <w:t>60</w:t>
                  </w:r>
                </w:p>
              </w:tc>
              <w:tc>
                <w:tcPr>
                  <w:tcW w:w="1665" w:type="pct"/>
                  <w:vAlign w:val="center"/>
                </w:tcPr>
                <w:p>
                  <w:pPr>
                    <w:kinsoku w:val="0"/>
                    <w:overflowPunct w:val="0"/>
                    <w:autoSpaceDE w:val="0"/>
                    <w:autoSpaceDN w:val="0"/>
                    <w:adjustRightInd w:val="0"/>
                    <w:snapToGrid w:val="0"/>
                    <w:jc w:val="center"/>
                    <w:rPr>
                      <w:szCs w:val="24"/>
                    </w:rPr>
                  </w:pPr>
                  <w:r>
                    <w:rPr>
                      <w:rFonts w:ascii="Times New Roman" w:hAnsi="Times New Roman" w:eastAsia="宋体" w:cs="Times New Roman"/>
                      <w:szCs w:val="24"/>
                    </w:rPr>
                    <w:t>50</w:t>
                  </w:r>
                </w:p>
              </w:tc>
            </w:tr>
          </w:tbl>
          <w:p>
            <w:pPr>
              <w:pStyle w:val="34"/>
              <w:ind w:firstLine="480"/>
            </w:pPr>
            <w:r>
              <w:t>（4）土壤环境质量标准</w:t>
            </w:r>
          </w:p>
          <w:p>
            <w:pPr>
              <w:pStyle w:val="34"/>
              <w:ind w:firstLine="480"/>
              <w:rPr>
                <w:kern w:val="0"/>
              </w:rPr>
            </w:pPr>
            <w:r>
              <w:rPr>
                <w:kern w:val="0"/>
              </w:rPr>
              <w:t>本项目底泥执行《土壤环境质量农用地土壤污染风险管控标准》</w:t>
            </w:r>
            <w:r>
              <w:fldChar w:fldCharType="begin"/>
            </w:r>
            <w:r>
              <w:instrText xml:space="preserve"> HYPERLINK "http://www.mee.gov.cn/ywgz/fgbz/bz/bzwb/trhj/201807/W020190626595212456114.pdf" </w:instrText>
            </w:r>
            <w:r>
              <w:fldChar w:fldCharType="separate"/>
            </w:r>
            <w:r>
              <w:rPr>
                <w:kern w:val="0"/>
              </w:rPr>
              <w:t>（试行）</w:t>
            </w:r>
            <w:r>
              <w:rPr>
                <w:rFonts w:hint="eastAsia"/>
                <w:kern w:val="0"/>
              </w:rPr>
              <w:t>（</w:t>
            </w:r>
            <w:r>
              <w:rPr>
                <w:kern w:val="0"/>
              </w:rPr>
              <w:t>GB15618—2018</w:t>
            </w:r>
            <w:r>
              <w:rPr>
                <w:kern w:val="0"/>
              </w:rPr>
              <w:fldChar w:fldCharType="end"/>
            </w:r>
            <w:r>
              <w:rPr>
                <w:kern w:val="0"/>
              </w:rPr>
              <w:t>）其他用地中筛选值标准。具体见表3-1</w:t>
            </w:r>
            <w:r>
              <w:rPr>
                <w:rFonts w:hint="eastAsia"/>
                <w:kern w:val="0"/>
              </w:rPr>
              <w:t>5</w:t>
            </w:r>
            <w:r>
              <w:rPr>
                <w:kern w:val="0"/>
              </w:rPr>
              <w:t>。</w:t>
            </w:r>
          </w:p>
          <w:p>
            <w:pPr>
              <w:pStyle w:val="39"/>
              <w:spacing w:before="156"/>
            </w:pPr>
            <w:r>
              <w:t>表3-11</w:t>
            </w:r>
            <w:r>
              <w:tab/>
            </w:r>
            <w:r>
              <w:t>农用地土壤污染风险筛选值</w:t>
            </w:r>
            <w:r>
              <w:rPr>
                <w:rFonts w:hint="eastAsia"/>
              </w:rPr>
              <w:t xml:space="preserve">      </w:t>
            </w:r>
            <w:r>
              <w:t>单位：mg/kg（pH值除外）</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27"/>
              <w:gridCol w:w="3055"/>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pStyle w:val="41"/>
                  </w:pPr>
                  <w:r>
                    <w:t>序号</w:t>
                  </w:r>
                </w:p>
              </w:tc>
              <w:tc>
                <w:tcPr>
                  <w:tcW w:w="819" w:type="pct"/>
                  <w:vAlign w:val="center"/>
                </w:tcPr>
                <w:p>
                  <w:pPr>
                    <w:pStyle w:val="41"/>
                  </w:pPr>
                  <w:r>
                    <w:t>污染物项目</w:t>
                  </w:r>
                </w:p>
              </w:tc>
              <w:tc>
                <w:tcPr>
                  <w:tcW w:w="1886" w:type="pct"/>
                  <w:vAlign w:val="center"/>
                </w:tcPr>
                <w:p>
                  <w:pPr>
                    <w:pStyle w:val="41"/>
                  </w:pPr>
                  <w:r>
                    <w:t>风险筛选值（6.5＜PH≤7.5）</w:t>
                  </w:r>
                </w:p>
              </w:tc>
              <w:tc>
                <w:tcPr>
                  <w:tcW w:w="1885" w:type="pct"/>
                  <w:vAlign w:val="center"/>
                </w:tcPr>
                <w:p>
                  <w:pPr>
                    <w:pStyle w:val="41"/>
                  </w:pPr>
                  <w:r>
                    <w:t>风险筛选值（PH</w:t>
                  </w:r>
                  <w:r>
                    <w:rPr>
                      <w:rFonts w:hint="eastAsia"/>
                    </w:rPr>
                    <w:t>＞</w:t>
                  </w:r>
                  <w: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pStyle w:val="41"/>
                  </w:pPr>
                  <w:r>
                    <w:t>1</w:t>
                  </w:r>
                </w:p>
              </w:tc>
              <w:tc>
                <w:tcPr>
                  <w:tcW w:w="819" w:type="pct"/>
                  <w:vAlign w:val="center"/>
                </w:tcPr>
                <w:p>
                  <w:pPr>
                    <w:pStyle w:val="41"/>
                  </w:pPr>
                  <w:r>
                    <w:t>镉</w:t>
                  </w:r>
                </w:p>
              </w:tc>
              <w:tc>
                <w:tcPr>
                  <w:tcW w:w="1886" w:type="pct"/>
                  <w:vAlign w:val="center"/>
                </w:tcPr>
                <w:p>
                  <w:pPr>
                    <w:pStyle w:val="41"/>
                  </w:pPr>
                  <w:r>
                    <w:t>0.3</w:t>
                  </w:r>
                </w:p>
              </w:tc>
              <w:tc>
                <w:tcPr>
                  <w:tcW w:w="1885" w:type="pct"/>
                </w:tcPr>
                <w:p>
                  <w:pPr>
                    <w:pStyle w:val="41"/>
                  </w:pPr>
                  <w:r>
                    <w:rPr>
                      <w:rFonts w:hint="eastAsia"/>
                    </w:rPr>
                    <w:t>0</w:t>
                  </w: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pStyle w:val="41"/>
                  </w:pPr>
                  <w:r>
                    <w:t>2</w:t>
                  </w:r>
                </w:p>
              </w:tc>
              <w:tc>
                <w:tcPr>
                  <w:tcW w:w="819" w:type="pct"/>
                  <w:vAlign w:val="center"/>
                </w:tcPr>
                <w:p>
                  <w:pPr>
                    <w:pStyle w:val="41"/>
                  </w:pPr>
                  <w:r>
                    <w:t>汞</w:t>
                  </w:r>
                </w:p>
              </w:tc>
              <w:tc>
                <w:tcPr>
                  <w:tcW w:w="1886" w:type="pct"/>
                  <w:vAlign w:val="center"/>
                </w:tcPr>
                <w:p>
                  <w:pPr>
                    <w:pStyle w:val="41"/>
                  </w:pPr>
                  <w:r>
                    <w:t>2.4</w:t>
                  </w:r>
                </w:p>
              </w:tc>
              <w:tc>
                <w:tcPr>
                  <w:tcW w:w="1885" w:type="pct"/>
                </w:tcPr>
                <w:p>
                  <w:pPr>
                    <w:pStyle w:val="41"/>
                  </w:pPr>
                  <w:r>
                    <w:rPr>
                      <w:rFonts w:hint="eastAsia"/>
                    </w:rPr>
                    <w:t>3</w:t>
                  </w: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pStyle w:val="41"/>
                  </w:pPr>
                  <w:r>
                    <w:t>3</w:t>
                  </w:r>
                </w:p>
              </w:tc>
              <w:tc>
                <w:tcPr>
                  <w:tcW w:w="819" w:type="pct"/>
                  <w:vAlign w:val="center"/>
                </w:tcPr>
                <w:p>
                  <w:pPr>
                    <w:pStyle w:val="41"/>
                  </w:pPr>
                  <w:r>
                    <w:t>砷</w:t>
                  </w:r>
                </w:p>
              </w:tc>
              <w:tc>
                <w:tcPr>
                  <w:tcW w:w="1886" w:type="pct"/>
                  <w:vAlign w:val="center"/>
                </w:tcPr>
                <w:p>
                  <w:pPr>
                    <w:pStyle w:val="41"/>
                  </w:pPr>
                  <w:r>
                    <w:t>30</w:t>
                  </w:r>
                </w:p>
              </w:tc>
              <w:tc>
                <w:tcPr>
                  <w:tcW w:w="1885" w:type="pct"/>
                </w:tcPr>
                <w:p>
                  <w:pPr>
                    <w:pStyle w:val="41"/>
                  </w:pPr>
                  <w:r>
                    <w:rPr>
                      <w:rFonts w:hint="eastAsia"/>
                    </w:rPr>
                    <w:t>2</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pStyle w:val="41"/>
                  </w:pPr>
                  <w:r>
                    <w:t>4</w:t>
                  </w:r>
                </w:p>
              </w:tc>
              <w:tc>
                <w:tcPr>
                  <w:tcW w:w="819" w:type="pct"/>
                  <w:vAlign w:val="center"/>
                </w:tcPr>
                <w:p>
                  <w:pPr>
                    <w:pStyle w:val="41"/>
                  </w:pPr>
                  <w:r>
                    <w:t>铅</w:t>
                  </w:r>
                </w:p>
              </w:tc>
              <w:tc>
                <w:tcPr>
                  <w:tcW w:w="1886" w:type="pct"/>
                  <w:vAlign w:val="center"/>
                </w:tcPr>
                <w:p>
                  <w:pPr>
                    <w:pStyle w:val="41"/>
                  </w:pPr>
                  <w:r>
                    <w:t>120</w:t>
                  </w:r>
                </w:p>
              </w:tc>
              <w:tc>
                <w:tcPr>
                  <w:tcW w:w="1885" w:type="pct"/>
                </w:tcPr>
                <w:p>
                  <w:pPr>
                    <w:pStyle w:val="41"/>
                  </w:pPr>
                  <w:r>
                    <w:rPr>
                      <w:rFonts w:hint="eastAsia"/>
                    </w:rPr>
                    <w:t>1</w:t>
                  </w: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pStyle w:val="41"/>
                  </w:pPr>
                  <w:r>
                    <w:t>5</w:t>
                  </w:r>
                </w:p>
              </w:tc>
              <w:tc>
                <w:tcPr>
                  <w:tcW w:w="819" w:type="pct"/>
                  <w:vAlign w:val="center"/>
                </w:tcPr>
                <w:p>
                  <w:pPr>
                    <w:pStyle w:val="41"/>
                  </w:pPr>
                  <w:r>
                    <w:t>铬</w:t>
                  </w:r>
                </w:p>
              </w:tc>
              <w:tc>
                <w:tcPr>
                  <w:tcW w:w="1886" w:type="pct"/>
                  <w:vAlign w:val="center"/>
                </w:tcPr>
                <w:p>
                  <w:pPr>
                    <w:pStyle w:val="41"/>
                  </w:pPr>
                  <w:r>
                    <w:t>200</w:t>
                  </w:r>
                </w:p>
              </w:tc>
              <w:tc>
                <w:tcPr>
                  <w:tcW w:w="1885" w:type="pct"/>
                </w:tcPr>
                <w:p>
                  <w:pPr>
                    <w:pStyle w:val="41"/>
                  </w:pPr>
                  <w:r>
                    <w:rPr>
                      <w:rFonts w:hint="eastAsia"/>
                    </w:rPr>
                    <w:t>2</w:t>
                  </w: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pStyle w:val="41"/>
                  </w:pPr>
                  <w:r>
                    <w:t>6</w:t>
                  </w:r>
                </w:p>
              </w:tc>
              <w:tc>
                <w:tcPr>
                  <w:tcW w:w="819" w:type="pct"/>
                  <w:vAlign w:val="center"/>
                </w:tcPr>
                <w:p>
                  <w:pPr>
                    <w:pStyle w:val="41"/>
                  </w:pPr>
                  <w:r>
                    <w:t>铜</w:t>
                  </w:r>
                </w:p>
              </w:tc>
              <w:tc>
                <w:tcPr>
                  <w:tcW w:w="1886" w:type="pct"/>
                  <w:vAlign w:val="center"/>
                </w:tcPr>
                <w:p>
                  <w:pPr>
                    <w:pStyle w:val="41"/>
                  </w:pPr>
                  <w:r>
                    <w:t>100</w:t>
                  </w:r>
                </w:p>
              </w:tc>
              <w:tc>
                <w:tcPr>
                  <w:tcW w:w="1885" w:type="pct"/>
                </w:tcPr>
                <w:p>
                  <w:pPr>
                    <w:pStyle w:val="41"/>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pStyle w:val="41"/>
                  </w:pPr>
                  <w:r>
                    <w:t>7</w:t>
                  </w:r>
                </w:p>
              </w:tc>
              <w:tc>
                <w:tcPr>
                  <w:tcW w:w="819" w:type="pct"/>
                  <w:vAlign w:val="center"/>
                </w:tcPr>
                <w:p>
                  <w:pPr>
                    <w:pStyle w:val="41"/>
                  </w:pPr>
                  <w:r>
                    <w:t>镍</w:t>
                  </w:r>
                </w:p>
              </w:tc>
              <w:tc>
                <w:tcPr>
                  <w:tcW w:w="1886" w:type="pct"/>
                  <w:vAlign w:val="center"/>
                </w:tcPr>
                <w:p>
                  <w:pPr>
                    <w:pStyle w:val="41"/>
                  </w:pPr>
                  <w:r>
                    <w:t>100</w:t>
                  </w:r>
                </w:p>
              </w:tc>
              <w:tc>
                <w:tcPr>
                  <w:tcW w:w="1885" w:type="pct"/>
                </w:tcPr>
                <w:p>
                  <w:pPr>
                    <w:pStyle w:val="41"/>
                  </w:pPr>
                  <w:r>
                    <w:rPr>
                      <w:rFonts w:hint="eastAsia"/>
                    </w:rPr>
                    <w:t>1</w:t>
                  </w:r>
                  <w: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pStyle w:val="41"/>
                  </w:pPr>
                  <w:r>
                    <w:t>8</w:t>
                  </w:r>
                </w:p>
              </w:tc>
              <w:tc>
                <w:tcPr>
                  <w:tcW w:w="819" w:type="pct"/>
                  <w:vAlign w:val="center"/>
                </w:tcPr>
                <w:p>
                  <w:pPr>
                    <w:pStyle w:val="41"/>
                  </w:pPr>
                  <w:r>
                    <w:t>锌</w:t>
                  </w:r>
                </w:p>
              </w:tc>
              <w:tc>
                <w:tcPr>
                  <w:tcW w:w="1886" w:type="pct"/>
                  <w:vAlign w:val="center"/>
                </w:tcPr>
                <w:p>
                  <w:pPr>
                    <w:pStyle w:val="41"/>
                  </w:pPr>
                  <w:r>
                    <w:t>250</w:t>
                  </w:r>
                </w:p>
              </w:tc>
              <w:tc>
                <w:tcPr>
                  <w:tcW w:w="1885" w:type="pct"/>
                </w:tcPr>
                <w:p>
                  <w:pPr>
                    <w:pStyle w:val="41"/>
                  </w:pPr>
                  <w:r>
                    <w:rPr>
                      <w:rFonts w:hint="eastAsia"/>
                    </w:rPr>
                    <w:t>3</w:t>
                  </w:r>
                  <w:r>
                    <w:t>00</w:t>
                  </w:r>
                </w:p>
              </w:tc>
            </w:tr>
          </w:tbl>
          <w:p>
            <w:pPr>
              <w:pStyle w:val="34"/>
              <w:ind w:firstLine="480"/>
            </w:pPr>
            <w:r>
              <w:t>2、污染物排放标准</w:t>
            </w:r>
          </w:p>
          <w:p>
            <w:pPr>
              <w:pStyle w:val="34"/>
              <w:ind w:firstLine="480"/>
            </w:pPr>
            <w:r>
              <w:t>（1）废气</w:t>
            </w:r>
          </w:p>
          <w:p>
            <w:pPr>
              <w:pStyle w:val="34"/>
              <w:ind w:firstLine="488"/>
              <w:rPr>
                <w:spacing w:val="4"/>
              </w:rPr>
            </w:pPr>
            <w:r>
              <w:rPr>
                <w:spacing w:val="4"/>
              </w:rPr>
              <w:t>施工废气排放执行《大气污染物综合排放标准》（GB16297-1996）的表2二级标准</w:t>
            </w:r>
            <w:r>
              <w:t>。</w:t>
            </w:r>
          </w:p>
          <w:p>
            <w:pPr>
              <w:pStyle w:val="39"/>
              <w:spacing w:before="156"/>
              <w:rPr>
                <w:spacing w:val="4"/>
              </w:rPr>
            </w:pPr>
            <w:r>
              <w:t>表3-12</w:t>
            </w:r>
            <w:r>
              <w:rPr>
                <w:rFonts w:hint="eastAsia"/>
              </w:rPr>
              <w:t xml:space="preserve">            </w:t>
            </w:r>
            <w:r>
              <w:t>《大气污染物综合排放标准》（GB16297-1996）</w:t>
            </w:r>
          </w:p>
          <w:tbl>
            <w:tblPr>
              <w:tblStyle w:val="27"/>
              <w:tblW w:w="7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0"/>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60" w:type="dxa"/>
                  <w:vAlign w:val="center"/>
                </w:tcPr>
                <w:p>
                  <w:pPr>
                    <w:pStyle w:val="41"/>
                  </w:pPr>
                  <w:r>
                    <w:t>污染因子</w:t>
                  </w:r>
                </w:p>
              </w:tc>
              <w:tc>
                <w:tcPr>
                  <w:tcW w:w="4220" w:type="dxa"/>
                  <w:vAlign w:val="center"/>
                </w:tcPr>
                <w:p>
                  <w:pPr>
                    <w:pStyle w:val="41"/>
                  </w:pPr>
                  <w:r>
                    <w:t>无组织监控点浓度限值（mg/m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60" w:type="dxa"/>
                  <w:vAlign w:val="center"/>
                </w:tcPr>
                <w:p>
                  <w:pPr>
                    <w:pStyle w:val="41"/>
                  </w:pPr>
                  <w:r>
                    <w:t>颗粒物</w:t>
                  </w:r>
                </w:p>
              </w:tc>
              <w:tc>
                <w:tcPr>
                  <w:tcW w:w="4220" w:type="dxa"/>
                  <w:vAlign w:val="center"/>
                </w:tcPr>
                <w:p>
                  <w:pPr>
                    <w:pStyle w:val="41"/>
                  </w:pPr>
                  <w:r>
                    <w:t>1.0</w:t>
                  </w:r>
                </w:p>
              </w:tc>
            </w:tr>
          </w:tbl>
          <w:p>
            <w:pPr>
              <w:pStyle w:val="34"/>
              <w:ind w:firstLine="480"/>
            </w:pPr>
            <w:r>
              <w:rPr>
                <w:rFonts w:hint="eastAsia"/>
              </w:rPr>
              <w:t>本项目运营期无废气外排。</w:t>
            </w:r>
          </w:p>
          <w:p>
            <w:pPr>
              <w:pStyle w:val="34"/>
              <w:ind w:firstLine="480"/>
            </w:pPr>
            <w:r>
              <w:t>（2）废水</w:t>
            </w:r>
          </w:p>
          <w:p>
            <w:pPr>
              <w:pStyle w:val="34"/>
              <w:ind w:firstLine="480"/>
            </w:pPr>
            <w:r>
              <w:rPr>
                <w:rFonts w:hint="eastAsia"/>
              </w:rPr>
              <w:t>项目施工期生活污水依托租赁民房生活污水处理设施处理后排放；淤泥处理尾水采用一体化处理设施处理达到《污水综合排放标准》（GB</w:t>
            </w:r>
            <w:r>
              <w:t>8978-1996</w:t>
            </w:r>
            <w:r>
              <w:rPr>
                <w:rFonts w:hint="eastAsia"/>
              </w:rPr>
              <w:t>）中一级标准后排入鼻湖。</w:t>
            </w:r>
          </w:p>
          <w:p>
            <w:pPr>
              <w:pStyle w:val="39"/>
              <w:spacing w:before="156"/>
            </w:pPr>
            <w:r>
              <w:rPr>
                <w:rFonts w:hint="eastAsia"/>
              </w:rPr>
              <w:t>表3</w:t>
            </w:r>
            <w:r>
              <w:t xml:space="preserve">-13  </w:t>
            </w:r>
            <w:r>
              <w:rPr>
                <w:rFonts w:hint="eastAsia"/>
              </w:rPr>
              <w:t xml:space="preserve">废水排放标准 </w:t>
            </w:r>
            <w:r>
              <w:t xml:space="preserve"> </w:t>
            </w:r>
            <w:r>
              <w:rPr>
                <w:rFonts w:hint="eastAsia"/>
              </w:rPr>
              <w:t>单位：mg</w:t>
            </w:r>
            <w:r>
              <w:t>/L</w:t>
            </w:r>
            <w:r>
              <w:rPr>
                <w:rFonts w:hint="eastAsia"/>
              </w:rPr>
              <w:t>（pH值为无量纲）</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177"/>
              <w:gridCol w:w="1249"/>
              <w:gridCol w:w="1276"/>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pPr>
                    <w:pStyle w:val="41"/>
                  </w:pPr>
                  <w:r>
                    <w:rPr>
                      <w:rFonts w:hint="eastAsia"/>
                    </w:rPr>
                    <w:t>污染物</w:t>
                  </w:r>
                </w:p>
              </w:tc>
              <w:tc>
                <w:tcPr>
                  <w:tcW w:w="1177" w:type="dxa"/>
                </w:tcPr>
                <w:p>
                  <w:pPr>
                    <w:pStyle w:val="41"/>
                  </w:pPr>
                  <w:r>
                    <w:rPr>
                      <w:rFonts w:hint="eastAsia"/>
                    </w:rPr>
                    <w:t>p</w:t>
                  </w:r>
                  <w:r>
                    <w:t>H</w:t>
                  </w:r>
                  <w:r>
                    <w:rPr>
                      <w:rFonts w:hint="eastAsia"/>
                    </w:rPr>
                    <w:t>值</w:t>
                  </w:r>
                </w:p>
              </w:tc>
              <w:tc>
                <w:tcPr>
                  <w:tcW w:w="1249" w:type="dxa"/>
                </w:tcPr>
                <w:p>
                  <w:pPr>
                    <w:pStyle w:val="41"/>
                  </w:pPr>
                  <w:r>
                    <w:rPr>
                      <w:rFonts w:hint="eastAsia"/>
                    </w:rPr>
                    <w:t>COD</w:t>
                  </w:r>
                </w:p>
              </w:tc>
              <w:tc>
                <w:tcPr>
                  <w:tcW w:w="1276" w:type="dxa"/>
                </w:tcPr>
                <w:p>
                  <w:pPr>
                    <w:pStyle w:val="41"/>
                  </w:pPr>
                  <w:r>
                    <w:rPr>
                      <w:rFonts w:hint="eastAsia"/>
                    </w:rPr>
                    <w:t>BOD</w:t>
                  </w:r>
                  <w:r>
                    <w:rPr>
                      <w:vertAlign w:val="subscript"/>
                    </w:rPr>
                    <w:t>5</w:t>
                  </w:r>
                </w:p>
              </w:tc>
              <w:tc>
                <w:tcPr>
                  <w:tcW w:w="1080" w:type="dxa"/>
                </w:tcPr>
                <w:p>
                  <w:pPr>
                    <w:pStyle w:val="41"/>
                  </w:pPr>
                  <w:r>
                    <w:rPr>
                      <w:rFonts w:hint="eastAsia"/>
                    </w:rPr>
                    <w:t>氨氮</w:t>
                  </w:r>
                </w:p>
              </w:tc>
              <w:tc>
                <w:tcPr>
                  <w:tcW w:w="1080" w:type="dxa"/>
                </w:tcPr>
                <w:p>
                  <w:pPr>
                    <w:pStyle w:val="41"/>
                  </w:pPr>
                  <w:r>
                    <w:rPr>
                      <w:rFonts w:hint="eastAsia"/>
                    </w:rPr>
                    <w:t>SS</w:t>
                  </w:r>
                </w:p>
              </w:tc>
              <w:tc>
                <w:tcPr>
                  <w:tcW w:w="1080" w:type="dxa"/>
                </w:tcPr>
                <w:p>
                  <w:pPr>
                    <w:pStyle w:val="41"/>
                  </w:pPr>
                  <w:r>
                    <w:rPr>
                      <w:rFonts w:hint="eastAsia"/>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pPr>
                    <w:pStyle w:val="41"/>
                  </w:pPr>
                  <w:r>
                    <w:rPr>
                      <w:rFonts w:hint="eastAsia"/>
                    </w:rPr>
                    <w:t>排放限值</w:t>
                  </w:r>
                </w:p>
              </w:tc>
              <w:tc>
                <w:tcPr>
                  <w:tcW w:w="1177" w:type="dxa"/>
                </w:tcPr>
                <w:p>
                  <w:pPr>
                    <w:pStyle w:val="41"/>
                  </w:pPr>
                  <w:r>
                    <w:rPr>
                      <w:rFonts w:hint="eastAsia"/>
                    </w:rPr>
                    <w:t>6</w:t>
                  </w:r>
                  <w:r>
                    <w:t>~9</w:t>
                  </w:r>
                </w:p>
              </w:tc>
              <w:tc>
                <w:tcPr>
                  <w:tcW w:w="1249" w:type="dxa"/>
                </w:tcPr>
                <w:p>
                  <w:pPr>
                    <w:pStyle w:val="41"/>
                  </w:pPr>
                  <w:r>
                    <w:rPr>
                      <w:rFonts w:hint="eastAsia"/>
                    </w:rPr>
                    <w:t>1</w:t>
                  </w:r>
                  <w:r>
                    <w:t>00</w:t>
                  </w:r>
                </w:p>
              </w:tc>
              <w:tc>
                <w:tcPr>
                  <w:tcW w:w="1276" w:type="dxa"/>
                </w:tcPr>
                <w:p>
                  <w:pPr>
                    <w:pStyle w:val="41"/>
                  </w:pPr>
                  <w:r>
                    <w:rPr>
                      <w:rFonts w:hint="eastAsia"/>
                    </w:rPr>
                    <w:t>3</w:t>
                  </w:r>
                  <w:r>
                    <w:t>0</w:t>
                  </w:r>
                </w:p>
              </w:tc>
              <w:tc>
                <w:tcPr>
                  <w:tcW w:w="1080" w:type="dxa"/>
                </w:tcPr>
                <w:p>
                  <w:pPr>
                    <w:pStyle w:val="41"/>
                  </w:pPr>
                  <w:r>
                    <w:rPr>
                      <w:rFonts w:hint="eastAsia"/>
                    </w:rPr>
                    <w:t>1</w:t>
                  </w:r>
                  <w:r>
                    <w:t>5</w:t>
                  </w:r>
                </w:p>
              </w:tc>
              <w:tc>
                <w:tcPr>
                  <w:tcW w:w="1080" w:type="dxa"/>
                </w:tcPr>
                <w:p>
                  <w:pPr>
                    <w:pStyle w:val="41"/>
                  </w:pPr>
                  <w:r>
                    <w:rPr>
                      <w:rFonts w:hint="eastAsia"/>
                    </w:rPr>
                    <w:t>7</w:t>
                  </w:r>
                  <w:r>
                    <w:t>0</w:t>
                  </w:r>
                </w:p>
              </w:tc>
              <w:tc>
                <w:tcPr>
                  <w:tcW w:w="1080" w:type="dxa"/>
                </w:tcPr>
                <w:p>
                  <w:pPr>
                    <w:pStyle w:val="41"/>
                  </w:pPr>
                  <w:r>
                    <w:rPr>
                      <w:rFonts w:hint="eastAsia"/>
                    </w:rPr>
                    <w:t>0</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pPr>
                    <w:pStyle w:val="41"/>
                  </w:pPr>
                  <w:r>
                    <w:rPr>
                      <w:rFonts w:hint="eastAsia"/>
                    </w:rPr>
                    <w:t>污染物</w:t>
                  </w:r>
                </w:p>
              </w:tc>
              <w:tc>
                <w:tcPr>
                  <w:tcW w:w="1177" w:type="dxa"/>
                </w:tcPr>
                <w:p>
                  <w:pPr>
                    <w:pStyle w:val="41"/>
                  </w:pPr>
                  <w:r>
                    <w:rPr>
                      <w:rFonts w:hint="eastAsia"/>
                    </w:rPr>
                    <w:t>石油类</w:t>
                  </w:r>
                </w:p>
              </w:tc>
              <w:tc>
                <w:tcPr>
                  <w:tcW w:w="1249" w:type="dxa"/>
                </w:tcPr>
                <w:p>
                  <w:pPr>
                    <w:pStyle w:val="41"/>
                  </w:pPr>
                  <w:r>
                    <w:rPr>
                      <w:rFonts w:hint="eastAsia"/>
                    </w:rPr>
                    <w:t>总镉</w:t>
                  </w:r>
                </w:p>
              </w:tc>
              <w:tc>
                <w:tcPr>
                  <w:tcW w:w="1276" w:type="dxa"/>
                </w:tcPr>
                <w:p>
                  <w:pPr>
                    <w:pStyle w:val="41"/>
                  </w:pPr>
                  <w:r>
                    <w:rPr>
                      <w:rFonts w:hint="eastAsia"/>
                    </w:rPr>
                    <w:t>总汞</w:t>
                  </w:r>
                </w:p>
              </w:tc>
              <w:tc>
                <w:tcPr>
                  <w:tcW w:w="1080" w:type="dxa"/>
                </w:tcPr>
                <w:p>
                  <w:pPr>
                    <w:pStyle w:val="41"/>
                  </w:pPr>
                  <w:r>
                    <w:rPr>
                      <w:rFonts w:hint="eastAsia"/>
                    </w:rPr>
                    <w:t>总砷</w:t>
                  </w:r>
                </w:p>
              </w:tc>
              <w:tc>
                <w:tcPr>
                  <w:tcW w:w="1080" w:type="dxa"/>
                </w:tcPr>
                <w:p>
                  <w:pPr>
                    <w:pStyle w:val="41"/>
                  </w:pPr>
                  <w:r>
                    <w:rPr>
                      <w:rFonts w:hint="eastAsia"/>
                    </w:rPr>
                    <w:t>总铅</w:t>
                  </w:r>
                </w:p>
              </w:tc>
              <w:tc>
                <w:tcPr>
                  <w:tcW w:w="1080" w:type="dxa"/>
                </w:tcPr>
                <w:p>
                  <w:pPr>
                    <w:pStyle w:val="41"/>
                  </w:pPr>
                  <w:r>
                    <w:rPr>
                      <w:rFonts w:hint="eastAsia"/>
                    </w:rPr>
                    <w:t>总铜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pPr>
                    <w:pStyle w:val="41"/>
                  </w:pPr>
                  <w:r>
                    <w:rPr>
                      <w:rFonts w:hint="eastAsia"/>
                    </w:rPr>
                    <w:t>排放限值</w:t>
                  </w:r>
                </w:p>
              </w:tc>
              <w:tc>
                <w:tcPr>
                  <w:tcW w:w="1177" w:type="dxa"/>
                </w:tcPr>
                <w:p>
                  <w:pPr>
                    <w:pStyle w:val="41"/>
                  </w:pPr>
                  <w:r>
                    <w:rPr>
                      <w:rFonts w:hint="eastAsia"/>
                    </w:rPr>
                    <w:t>1</w:t>
                  </w:r>
                  <w:r>
                    <w:t>0</w:t>
                  </w:r>
                </w:p>
              </w:tc>
              <w:tc>
                <w:tcPr>
                  <w:tcW w:w="1249" w:type="dxa"/>
                </w:tcPr>
                <w:p>
                  <w:pPr>
                    <w:pStyle w:val="41"/>
                  </w:pPr>
                  <w:r>
                    <w:rPr>
                      <w:rFonts w:hint="eastAsia"/>
                    </w:rPr>
                    <w:t>0</w:t>
                  </w:r>
                  <w:r>
                    <w:t>.1</w:t>
                  </w:r>
                </w:p>
              </w:tc>
              <w:tc>
                <w:tcPr>
                  <w:tcW w:w="1276" w:type="dxa"/>
                </w:tcPr>
                <w:p>
                  <w:pPr>
                    <w:pStyle w:val="41"/>
                  </w:pPr>
                  <w:r>
                    <w:rPr>
                      <w:rFonts w:hint="eastAsia"/>
                    </w:rPr>
                    <w:t>0</w:t>
                  </w:r>
                  <w:r>
                    <w:t>.05</w:t>
                  </w:r>
                </w:p>
              </w:tc>
              <w:tc>
                <w:tcPr>
                  <w:tcW w:w="1080" w:type="dxa"/>
                </w:tcPr>
                <w:p>
                  <w:pPr>
                    <w:pStyle w:val="41"/>
                  </w:pPr>
                  <w:r>
                    <w:rPr>
                      <w:rFonts w:hint="eastAsia"/>
                    </w:rPr>
                    <w:t>0</w:t>
                  </w:r>
                  <w:r>
                    <w:t>.5</w:t>
                  </w:r>
                </w:p>
              </w:tc>
              <w:tc>
                <w:tcPr>
                  <w:tcW w:w="1080" w:type="dxa"/>
                </w:tcPr>
                <w:p>
                  <w:pPr>
                    <w:pStyle w:val="41"/>
                  </w:pPr>
                  <w:r>
                    <w:rPr>
                      <w:rFonts w:hint="eastAsia"/>
                    </w:rPr>
                    <w:t>1</w:t>
                  </w:r>
                  <w:r>
                    <w:t>.0</w:t>
                  </w:r>
                </w:p>
              </w:tc>
              <w:tc>
                <w:tcPr>
                  <w:tcW w:w="1080" w:type="dxa"/>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pPr>
                    <w:pStyle w:val="41"/>
                  </w:pPr>
                  <w:r>
                    <w:rPr>
                      <w:rFonts w:hint="eastAsia"/>
                    </w:rPr>
                    <w:t>污染物</w:t>
                  </w:r>
                </w:p>
              </w:tc>
              <w:tc>
                <w:tcPr>
                  <w:tcW w:w="1177" w:type="dxa"/>
                </w:tcPr>
                <w:p>
                  <w:pPr>
                    <w:pStyle w:val="41"/>
                  </w:pPr>
                  <w:r>
                    <w:rPr>
                      <w:rFonts w:hint="eastAsia"/>
                    </w:rPr>
                    <w:t>总镍</w:t>
                  </w:r>
                </w:p>
              </w:tc>
              <w:tc>
                <w:tcPr>
                  <w:tcW w:w="1249" w:type="dxa"/>
                </w:tcPr>
                <w:p>
                  <w:pPr>
                    <w:pStyle w:val="41"/>
                  </w:pPr>
                  <w:r>
                    <w:rPr>
                      <w:rFonts w:hint="eastAsia"/>
                    </w:rPr>
                    <w:t>总锌</w:t>
                  </w:r>
                </w:p>
              </w:tc>
              <w:tc>
                <w:tcPr>
                  <w:tcW w:w="1276" w:type="dxa"/>
                </w:tcPr>
                <w:p>
                  <w:pPr>
                    <w:pStyle w:val="41"/>
                  </w:pPr>
                </w:p>
              </w:tc>
              <w:tc>
                <w:tcPr>
                  <w:tcW w:w="1080" w:type="dxa"/>
                </w:tcPr>
                <w:p>
                  <w:pPr>
                    <w:pStyle w:val="41"/>
                  </w:pPr>
                </w:p>
              </w:tc>
              <w:tc>
                <w:tcPr>
                  <w:tcW w:w="1080" w:type="dxa"/>
                </w:tcPr>
                <w:p>
                  <w:pPr>
                    <w:pStyle w:val="41"/>
                  </w:pPr>
                </w:p>
              </w:tc>
              <w:tc>
                <w:tcPr>
                  <w:tcW w:w="1080" w:type="dxa"/>
                </w:tcPr>
                <w:p>
                  <w:pPr>
                    <w:pStyle w:val="4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pPr>
                    <w:pStyle w:val="41"/>
                  </w:pPr>
                  <w:r>
                    <w:rPr>
                      <w:rFonts w:hint="eastAsia"/>
                    </w:rPr>
                    <w:t>排放限值</w:t>
                  </w:r>
                </w:p>
              </w:tc>
              <w:tc>
                <w:tcPr>
                  <w:tcW w:w="1177" w:type="dxa"/>
                </w:tcPr>
                <w:p>
                  <w:pPr>
                    <w:pStyle w:val="41"/>
                  </w:pPr>
                  <w:r>
                    <w:rPr>
                      <w:rFonts w:hint="eastAsia"/>
                    </w:rPr>
                    <w:t>1</w:t>
                  </w:r>
                  <w:r>
                    <w:t>.0</w:t>
                  </w:r>
                </w:p>
              </w:tc>
              <w:tc>
                <w:tcPr>
                  <w:tcW w:w="1249" w:type="dxa"/>
                </w:tcPr>
                <w:p>
                  <w:pPr>
                    <w:pStyle w:val="41"/>
                  </w:pPr>
                  <w:r>
                    <w:rPr>
                      <w:rFonts w:hint="eastAsia"/>
                    </w:rPr>
                    <w:t>2</w:t>
                  </w:r>
                  <w:r>
                    <w:t>.0</w:t>
                  </w:r>
                </w:p>
              </w:tc>
              <w:tc>
                <w:tcPr>
                  <w:tcW w:w="1276" w:type="dxa"/>
                </w:tcPr>
                <w:p>
                  <w:pPr>
                    <w:pStyle w:val="41"/>
                  </w:pPr>
                </w:p>
              </w:tc>
              <w:tc>
                <w:tcPr>
                  <w:tcW w:w="1080" w:type="dxa"/>
                </w:tcPr>
                <w:p>
                  <w:pPr>
                    <w:pStyle w:val="41"/>
                  </w:pPr>
                </w:p>
              </w:tc>
              <w:tc>
                <w:tcPr>
                  <w:tcW w:w="1080" w:type="dxa"/>
                </w:tcPr>
                <w:p>
                  <w:pPr>
                    <w:pStyle w:val="41"/>
                  </w:pPr>
                </w:p>
              </w:tc>
              <w:tc>
                <w:tcPr>
                  <w:tcW w:w="1080" w:type="dxa"/>
                </w:tcPr>
                <w:p>
                  <w:pPr>
                    <w:pStyle w:val="41"/>
                  </w:pPr>
                </w:p>
              </w:tc>
            </w:tr>
          </w:tbl>
          <w:p>
            <w:pPr>
              <w:pStyle w:val="34"/>
              <w:ind w:firstLine="480"/>
            </w:pPr>
            <w:r>
              <w:t>（3）噪声</w:t>
            </w:r>
          </w:p>
          <w:p>
            <w:pPr>
              <w:pStyle w:val="34"/>
              <w:ind w:firstLine="480"/>
            </w:pPr>
            <w:r>
              <w:t>施工期噪声执行《建筑施工场界环境噪声排放标准》（GB12523-2011）。详见下表。</w:t>
            </w:r>
          </w:p>
          <w:p>
            <w:pPr>
              <w:pStyle w:val="39"/>
              <w:spacing w:before="156"/>
            </w:pPr>
            <w:r>
              <w:t>表3-1</w:t>
            </w:r>
            <w:r>
              <w:rPr>
                <w:rFonts w:hint="eastAsia"/>
              </w:rPr>
              <w:t xml:space="preserve">8                </w:t>
            </w:r>
            <w:r>
              <w:t>《建筑施工场界环境噪声排放标准》</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2937"/>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2" w:type="pct"/>
                  <w:gridSpan w:val="2"/>
                  <w:vAlign w:val="center"/>
                </w:tcPr>
                <w:p>
                  <w:pPr>
                    <w:snapToGrid w:val="0"/>
                    <w:jc w:val="center"/>
                    <w:rPr>
                      <w:b/>
                      <w:bCs/>
                    </w:rPr>
                  </w:pPr>
                  <w:r>
                    <w:rPr>
                      <w:rFonts w:ascii="Times New Roman" w:hAnsi="Times New Roman" w:eastAsia="宋体" w:cs="Times New Roman"/>
                      <w:b/>
                      <w:bCs/>
                      <w:szCs w:val="21"/>
                    </w:rPr>
                    <w:t>标准值dB(A)</w:t>
                  </w:r>
                </w:p>
              </w:tc>
              <w:tc>
                <w:tcPr>
                  <w:tcW w:w="1247" w:type="pct"/>
                  <w:vMerge w:val="restart"/>
                  <w:vAlign w:val="center"/>
                </w:tcPr>
                <w:p>
                  <w:pPr>
                    <w:snapToGrid w:val="0"/>
                    <w:jc w:val="center"/>
                    <w:rPr>
                      <w:b/>
                      <w:bCs/>
                    </w:rPr>
                  </w:pPr>
                  <w:r>
                    <w:rPr>
                      <w:rFonts w:ascii="Times New Roman" w:hAnsi="Times New Roman" w:eastAsia="宋体" w:cs="Times New Roman"/>
                      <w:b/>
                      <w:bCs/>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pct"/>
                  <w:vAlign w:val="center"/>
                </w:tcPr>
                <w:p>
                  <w:pPr>
                    <w:snapToGrid w:val="0"/>
                    <w:jc w:val="center"/>
                    <w:rPr>
                      <w:b/>
                      <w:bCs/>
                    </w:rPr>
                  </w:pPr>
                  <w:r>
                    <w:rPr>
                      <w:rFonts w:ascii="Times New Roman" w:hAnsi="Times New Roman" w:eastAsia="宋体" w:cs="Times New Roman"/>
                      <w:b/>
                      <w:bCs/>
                      <w:szCs w:val="21"/>
                    </w:rPr>
                    <w:t>昼间</w:t>
                  </w:r>
                </w:p>
              </w:tc>
              <w:tc>
                <w:tcPr>
                  <w:tcW w:w="1813" w:type="pct"/>
                  <w:vAlign w:val="center"/>
                </w:tcPr>
                <w:p>
                  <w:pPr>
                    <w:snapToGrid w:val="0"/>
                    <w:jc w:val="center"/>
                    <w:rPr>
                      <w:b/>
                      <w:bCs/>
                    </w:rPr>
                  </w:pPr>
                  <w:r>
                    <w:rPr>
                      <w:rFonts w:ascii="Times New Roman" w:hAnsi="Times New Roman" w:eastAsia="宋体" w:cs="Times New Roman"/>
                      <w:b/>
                      <w:bCs/>
                      <w:szCs w:val="21"/>
                    </w:rPr>
                    <w:t>夜间</w:t>
                  </w:r>
                </w:p>
              </w:tc>
              <w:tc>
                <w:tcPr>
                  <w:tcW w:w="1247" w:type="pct"/>
                  <w:vMerge w:val="continue"/>
                  <w:vAlign w:val="center"/>
                </w:tcPr>
                <w:p>
                  <w:pPr>
                    <w:snapToGrid w:val="0"/>
                    <w:ind w:firstLine="420" w:firstLineChars="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pct"/>
                  <w:vAlign w:val="center"/>
                </w:tcPr>
                <w:p>
                  <w:pPr>
                    <w:snapToGrid w:val="0"/>
                    <w:jc w:val="center"/>
                  </w:pPr>
                  <w:r>
                    <w:rPr>
                      <w:rFonts w:ascii="Times New Roman" w:hAnsi="Times New Roman" w:eastAsia="宋体" w:cs="Times New Roman"/>
                      <w:szCs w:val="21"/>
                    </w:rPr>
                    <w:t>70</w:t>
                  </w:r>
                </w:p>
              </w:tc>
              <w:tc>
                <w:tcPr>
                  <w:tcW w:w="1813" w:type="pct"/>
                  <w:vAlign w:val="center"/>
                </w:tcPr>
                <w:p>
                  <w:pPr>
                    <w:snapToGrid w:val="0"/>
                    <w:jc w:val="center"/>
                  </w:pPr>
                  <w:r>
                    <w:rPr>
                      <w:rFonts w:ascii="Times New Roman" w:hAnsi="Times New Roman" w:eastAsia="宋体" w:cs="Times New Roman"/>
                      <w:szCs w:val="21"/>
                    </w:rPr>
                    <w:t>55</w:t>
                  </w:r>
                </w:p>
              </w:tc>
              <w:tc>
                <w:tcPr>
                  <w:tcW w:w="1247" w:type="pct"/>
                  <w:vAlign w:val="center"/>
                </w:tcPr>
                <w:p>
                  <w:pPr>
                    <w:snapToGrid w:val="0"/>
                    <w:jc w:val="center"/>
                  </w:pPr>
                  <w:r>
                    <w:rPr>
                      <w:rFonts w:ascii="Times New Roman" w:hAnsi="Times New Roman" w:eastAsia="宋体" w:cs="Times New Roman"/>
                      <w:szCs w:val="21"/>
                    </w:rPr>
                    <w:t>GB22337-2011</w:t>
                  </w:r>
                </w:p>
              </w:tc>
            </w:tr>
          </w:tbl>
          <w:p>
            <w:pPr>
              <w:pStyle w:val="34"/>
              <w:ind w:firstLine="480"/>
            </w:pPr>
            <w:r>
              <w:t>（4）固废</w:t>
            </w:r>
          </w:p>
          <w:p>
            <w:pPr>
              <w:pStyle w:val="34"/>
              <w:ind w:firstLine="480"/>
            </w:pPr>
            <w:r>
              <w:t>一般固体废物执行《一般工业固体废物贮存、处置场污染控制标准》（GB18599-2020）的相关规定。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831" w:type="dxa"/>
            <w:vAlign w:val="center"/>
          </w:tcPr>
          <w:p>
            <w:pPr>
              <w:pStyle w:val="41"/>
            </w:pPr>
            <w:r>
              <w:rPr>
                <w:rFonts w:hint="eastAsia"/>
              </w:rPr>
              <w:t>其他</w:t>
            </w:r>
          </w:p>
        </w:tc>
        <w:tc>
          <w:tcPr>
            <w:tcW w:w="8326" w:type="dxa"/>
            <w:vAlign w:val="center"/>
          </w:tcPr>
          <w:p>
            <w:pPr>
              <w:pStyle w:val="34"/>
              <w:ind w:firstLine="480"/>
            </w:pPr>
            <w:r>
              <w:rPr>
                <w:rFonts w:hint="eastAsia"/>
              </w:rPr>
              <w:t>无</w:t>
            </w:r>
          </w:p>
        </w:tc>
      </w:tr>
    </w:tbl>
    <w:p>
      <w:pPr>
        <w:pStyle w:val="34"/>
        <w:ind w:firstLine="0" w:firstLineChars="0"/>
        <w:sectPr>
          <w:pgSz w:w="11906" w:h="16838"/>
          <w:pgMar w:top="1440" w:right="1800" w:bottom="1440" w:left="1800" w:header="851" w:footer="992" w:gutter="0"/>
          <w:cols w:space="425" w:num="1"/>
          <w:docGrid w:type="lines" w:linePitch="312" w:charSpace="0"/>
        </w:sectPr>
      </w:pPr>
    </w:p>
    <w:p>
      <w:pPr>
        <w:pStyle w:val="36"/>
        <w:rPr>
          <w:snapToGrid w:val="0"/>
        </w:rPr>
      </w:pPr>
      <w:bookmarkStart w:id="7" w:name="_Toc149605112"/>
      <w:r>
        <w:rPr>
          <w:rFonts w:hint="eastAsia"/>
        </w:rPr>
        <w:t>四、</w:t>
      </w:r>
      <w:r>
        <w:rPr>
          <w:rFonts w:hint="eastAsia"/>
          <w:snapToGrid w:val="0"/>
        </w:rPr>
        <w:t>生态环境影响分析</w:t>
      </w:r>
      <w:bookmarkEnd w:id="7"/>
    </w:p>
    <w:tbl>
      <w:tblPr>
        <w:tblStyle w:val="27"/>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879" w:type="dxa"/>
            <w:tcMar>
              <w:left w:w="28" w:type="dxa"/>
              <w:right w:w="28" w:type="dxa"/>
            </w:tcMar>
            <w:vAlign w:val="center"/>
          </w:tcPr>
          <w:p>
            <w:pPr>
              <w:pStyle w:val="41"/>
            </w:pPr>
            <w:bookmarkStart w:id="8" w:name="_Hlk49796138"/>
            <w:r>
              <w:rPr>
                <w:rFonts w:hint="eastAsia"/>
              </w:rPr>
              <w:t>施工期生态环境影响分析</w:t>
            </w:r>
            <w:bookmarkEnd w:id="8"/>
          </w:p>
        </w:tc>
        <w:tc>
          <w:tcPr>
            <w:tcW w:w="8363" w:type="dxa"/>
          </w:tcPr>
          <w:p>
            <w:pPr>
              <w:pStyle w:val="34"/>
              <w:ind w:firstLine="480"/>
            </w:pPr>
            <w:r>
              <w:rPr>
                <w:rFonts w:hint="eastAsia"/>
              </w:rPr>
              <w:t>1、施工期生态环境影响分析</w:t>
            </w:r>
          </w:p>
          <w:p>
            <w:pPr>
              <w:pStyle w:val="34"/>
              <w:ind w:firstLine="480"/>
            </w:pPr>
            <w:r>
              <w:rPr>
                <w:rFonts w:hint="eastAsia"/>
              </w:rPr>
              <w:t>（</w:t>
            </w:r>
            <w:r>
              <w:t>1</w:t>
            </w:r>
            <w:r>
              <w:rPr>
                <w:rFonts w:hint="eastAsia"/>
              </w:rPr>
              <w:t>）</w:t>
            </w:r>
            <w:r>
              <w:t>工程临时占地影响</w:t>
            </w:r>
          </w:p>
          <w:p>
            <w:pPr>
              <w:pStyle w:val="34"/>
              <w:ind w:firstLine="480"/>
            </w:pPr>
            <w:r>
              <w:rPr>
                <w:rFonts w:hint="eastAsia"/>
              </w:rPr>
              <w:t>项目临时占地主要为污泥干化场、污水处理区，总计占地面积约</w:t>
            </w:r>
            <w:r>
              <w:t>16666.67m</w:t>
            </w:r>
            <w:r>
              <w:rPr>
                <w:vertAlign w:val="superscript"/>
              </w:rPr>
              <w:t>2</w:t>
            </w:r>
            <w:r>
              <w:t>，主要占地类型，现状为荒地</w:t>
            </w:r>
            <w:r>
              <w:rPr>
                <w:rFonts w:hint="eastAsia"/>
              </w:rPr>
              <w:t>、灌草地</w:t>
            </w:r>
            <w:r>
              <w:t>，不占用农田。施工过程中严格按照设计方案及水土保持方案进行作业，作业完成后必须回复，搭建工棚会使周围色彩不协调，如不及时恢复，会影响河道沿线的景观。临时占地需加强水土保持工作，</w:t>
            </w:r>
            <w:r>
              <w:rPr>
                <w:rFonts w:hint="eastAsia"/>
              </w:rPr>
              <w:t>尽量减少</w:t>
            </w:r>
            <w:r>
              <w:t>项目临时占地对周围生态环境的影响，此外，施工收尾阶段需对临时占地进行拆除恢复。</w:t>
            </w:r>
          </w:p>
          <w:p>
            <w:pPr>
              <w:pStyle w:val="34"/>
              <w:ind w:firstLine="480"/>
            </w:pPr>
            <w:r>
              <w:rPr>
                <w:rFonts w:hint="eastAsia"/>
              </w:rPr>
              <w:t>（</w:t>
            </w:r>
            <w:r>
              <w:t>2</w:t>
            </w:r>
            <w:r>
              <w:rPr>
                <w:rFonts w:hint="eastAsia"/>
              </w:rPr>
              <w:t>）</w:t>
            </w:r>
            <w:r>
              <w:t>对陆生动植物的影响</w:t>
            </w:r>
          </w:p>
          <w:p>
            <w:pPr>
              <w:pStyle w:val="34"/>
              <w:ind w:firstLine="480"/>
            </w:pPr>
            <w:r>
              <w:rPr>
                <w:rFonts w:hint="eastAsia"/>
              </w:rPr>
              <w:t>工程对陆生植物的影响主要源于工程施工占地，施工占地将导致工程涉及区内陆生植被面积直接减少，造成局部区域的植被破坏，生物量降低。项目主要采用环保绞吸式挖泥船在湖内施工，对河道岸线及洲滩植被破坏程度较小。在工程涉及区内暂未发现重点保护植物及古木大树分布。受工程影响的陆生植被均为一般常见种，这些植被在周边地区均有广泛分布，不存在因局部植被损失而导致该植物种群消失的可能性另外，水土保持措施将对植被进行恢复，完工后也将对临时施工用地进行复垦或植被恢复，可使工程影响区内的植被在较短的时间内得到较好的恢复。</w:t>
            </w:r>
          </w:p>
          <w:p>
            <w:pPr>
              <w:pStyle w:val="34"/>
              <w:ind w:firstLine="480"/>
            </w:pPr>
            <w:r>
              <w:rPr>
                <w:rFonts w:hint="eastAsia"/>
              </w:rPr>
              <w:t>鼻湖附近生境主要为湖泊湿地、滩涂，沿线附近水域及滩涂附近分布的动物种类主要有：</w:t>
            </w:r>
            <w:r>
              <w:t>静水型两栖类，林栖傍水型、水栖型爬行类鸟类中的游禽、涉禽和少部分傍水的攀禽和鸣禽。工程对此处的动物影响主要有</w:t>
            </w:r>
            <w:r>
              <w:rPr>
                <w:rFonts w:hint="eastAsia"/>
              </w:rPr>
              <w:t>：</w:t>
            </w:r>
          </w:p>
          <w:p>
            <w:pPr>
              <w:pStyle w:val="34"/>
              <w:ind w:firstLine="480"/>
            </w:pPr>
            <w:r>
              <w:rPr>
                <w:rFonts w:hint="eastAsia"/>
              </w:rPr>
              <w:t>①</w:t>
            </w:r>
            <w:r>
              <w:t>清淤过程产生的悬浮物会污染施工湖域的水质，施工引起的水质变化将劣化在此分布的两栖类、水栖型爬行类以及鸟类中的游禽、涉禽的生存环境，可能导致其远离原生境，可通过尽量较少水体扰动，同时不安排昼夜连续作业等措施加以缓解，且施工结束后，这种影响会逐渐</w:t>
            </w:r>
            <w:r>
              <w:rPr>
                <w:rFonts w:hint="eastAsia"/>
              </w:rPr>
              <w:t>消失。</w:t>
            </w:r>
          </w:p>
          <w:p>
            <w:pPr>
              <w:pStyle w:val="34"/>
              <w:ind w:firstLine="480"/>
            </w:pPr>
            <w:r>
              <w:rPr>
                <w:rFonts w:hint="eastAsia"/>
              </w:rPr>
              <w:t>②</w:t>
            </w:r>
            <w:r>
              <w:t>施工期间，噪声源主要为施工机械作业及交通噪声，受施工噪声影响，工程沿线及临时设施附近一定范围内将不适合动物的栖息和觅食。根据调查，工程施工区内无自然保护区，该地区分布的兽类主要为六居和地面活动为主的啮齿类和爬行类动物，这类动物适应性强且数量比较少，无珍稀野生动物分布。工程施工机械车辆往来及施工人员进驻将对一些听觉和视觉灵敏的动物一定程度上起到驱赶作用，迫使其转向其它区域予以回避，其生存空间受到一定压缩。而动物具有一定的迁移能力，特别是鸟类和兽类，周边相似生境也较多，动物可以较轻松地就近寻找</w:t>
            </w:r>
            <w:r>
              <w:rPr>
                <w:rFonts w:hint="eastAsia"/>
              </w:rPr>
              <w:t>到其他</w:t>
            </w:r>
            <w:r>
              <w:t>适于栖息的</w:t>
            </w:r>
            <w:r>
              <w:rPr>
                <w:rFonts w:hint="eastAsia"/>
              </w:rPr>
              <w:t>地方。因此这种影响范围有限，多局限于施工区域内，不会造成动物种群数量的改变，且此类影响将随着施工活动的结束而消失。</w:t>
            </w:r>
          </w:p>
          <w:p>
            <w:pPr>
              <w:pStyle w:val="34"/>
              <w:ind w:firstLine="480"/>
              <w:rPr>
                <w:u w:val="single"/>
              </w:rPr>
            </w:pPr>
            <w:r>
              <w:rPr>
                <w:rFonts w:hint="eastAsia"/>
                <w:u w:val="single"/>
              </w:rPr>
              <w:t>（</w:t>
            </w:r>
            <w:r>
              <w:rPr>
                <w:u w:val="single"/>
              </w:rPr>
              <w:t>3</w:t>
            </w:r>
            <w:r>
              <w:rPr>
                <w:rFonts w:hint="eastAsia"/>
                <w:u w:val="single"/>
              </w:rPr>
              <w:t>）</w:t>
            </w:r>
            <w:r>
              <w:rPr>
                <w:u w:val="single"/>
              </w:rPr>
              <w:t>对水生生物的影响分析</w:t>
            </w:r>
          </w:p>
          <w:p>
            <w:pPr>
              <w:pStyle w:val="34"/>
              <w:ind w:firstLine="480"/>
              <w:rPr>
                <w:u w:val="single"/>
              </w:rPr>
            </w:pPr>
            <w:r>
              <w:rPr>
                <w:rFonts w:hint="eastAsia"/>
                <w:u w:val="single"/>
              </w:rPr>
              <w:t>施工期间，清淤过程会搅动湖底底泥，使施工区悬浮物浓度增加，对附近水域的浮游生物、底栖动物的生存造成影响，并有可能改变施工区附近水域的浮游生物的种类组成和群落结构，造成浮游生物种类和数量的减少。项目清淤的鼻湖不涉及鱼类三场，本工程施工期主要位于枯水期内，枯水期水量少，会直接造成浮游动物、底栖动物的死亡。由于工程疏挖导致沉积在河底的有害物质释放，从而导致施工河段及其下游局部水域的水质改变，对浮游动物、底栖动物有一定的致毒作用。因此施工区枯水期浮游动物、底栖动物的生物量将遭受损失的影响。</w:t>
            </w:r>
          </w:p>
          <w:p>
            <w:pPr>
              <w:pStyle w:val="34"/>
              <w:ind w:firstLine="480"/>
            </w:pPr>
            <w:r>
              <w:rPr>
                <w:rFonts w:hint="eastAsia"/>
              </w:rPr>
              <w:t>（</w:t>
            </w:r>
            <w:r>
              <w:t>4</w:t>
            </w:r>
            <w:r>
              <w:rPr>
                <w:rFonts w:hint="eastAsia"/>
              </w:rPr>
              <w:t>）</w:t>
            </w:r>
            <w:r>
              <w:t>水流失影响</w:t>
            </w:r>
          </w:p>
          <w:p>
            <w:pPr>
              <w:pStyle w:val="34"/>
              <w:ind w:firstLine="480"/>
            </w:pPr>
            <w:r>
              <w:rPr>
                <w:rFonts w:hint="eastAsia"/>
              </w:rPr>
              <w:t>项目建设过程中本工程扰动的地面面积包括干化脱水场、污水处理设施区域，扰动面积</w:t>
            </w:r>
            <w:r>
              <w:t>16666.67m</w:t>
            </w:r>
            <w:r>
              <w:rPr>
                <w:vertAlign w:val="superscript"/>
              </w:rPr>
              <w:t>2</w:t>
            </w:r>
            <w:r>
              <w:t>。施工期土地开挖将造成</w:t>
            </w:r>
            <w:r>
              <w:rPr>
                <w:rFonts w:hint="eastAsia"/>
              </w:rPr>
              <w:t>一定</w:t>
            </w:r>
            <w:r>
              <w:t>的水土流失。目前，项目已编制了水土保持方案，项目施工及完工恢复需严格按照水土保持方案落实水土保持措施。</w:t>
            </w:r>
          </w:p>
          <w:p>
            <w:pPr>
              <w:pStyle w:val="34"/>
              <w:ind w:firstLine="480"/>
            </w:pPr>
            <w:r>
              <w:rPr>
                <w:rFonts w:hint="eastAsia"/>
              </w:rPr>
              <w:t>综上所述，项目施工期间对生态环境的破坏需采取一定的措施避免或减轻其影响，且这些影响是短期的，随着施工期结束，本工程建设不会对周围生态环境产生明显影响。</w:t>
            </w:r>
          </w:p>
          <w:p>
            <w:pPr>
              <w:pStyle w:val="34"/>
              <w:ind w:firstLine="480"/>
            </w:pPr>
            <w:r>
              <w:rPr>
                <w:rFonts w:hint="eastAsia"/>
              </w:rPr>
              <w:t>（</w:t>
            </w:r>
            <w:r>
              <w:t>5</w:t>
            </w:r>
            <w:r>
              <w:rPr>
                <w:rFonts w:hint="eastAsia"/>
              </w:rPr>
              <w:t>）</w:t>
            </w:r>
            <w:r>
              <w:t>施工期结束后临时地恢复措施及</w:t>
            </w:r>
            <w:r>
              <w:rPr>
                <w:rFonts w:hint="eastAsia"/>
              </w:rPr>
              <w:t>影响</w:t>
            </w:r>
            <w:r>
              <w:t>分析项目施工结束对项目临时占地</w:t>
            </w:r>
            <w:r>
              <w:rPr>
                <w:rFonts w:hint="eastAsia"/>
              </w:rPr>
              <w:t>（</w:t>
            </w:r>
            <w:r>
              <w:t>主要为淤泥干化场、</w:t>
            </w:r>
            <w:r>
              <w:rPr>
                <w:rFonts w:hint="eastAsia"/>
              </w:rPr>
              <w:t>污水处理设施）</w:t>
            </w:r>
            <w:r>
              <w:t xml:space="preserve"> 进行拆除恢复，总计占地面积约16666.67m</w:t>
            </w:r>
            <w:r>
              <w:rPr>
                <w:vertAlign w:val="superscript"/>
              </w:rPr>
              <w:t>2</w:t>
            </w:r>
            <w:r>
              <w:t>，主要占地类型为</w:t>
            </w:r>
            <w:r>
              <w:rPr>
                <w:rFonts w:hint="eastAsia"/>
              </w:rPr>
              <w:t>鼻湖</w:t>
            </w:r>
            <w:r>
              <w:t>西南侧空置土地，现状为荒地</w:t>
            </w:r>
            <w:r>
              <w:rPr>
                <w:rFonts w:hint="eastAsia"/>
              </w:rPr>
              <w:t>及灌草地</w:t>
            </w:r>
            <w:r>
              <w:t>，不占用农田。临时工程占地如不进行拆除恢复，一定程度影响沿岸景观及生态环境。</w:t>
            </w:r>
          </w:p>
          <w:p>
            <w:pPr>
              <w:pStyle w:val="34"/>
              <w:ind w:firstLine="480"/>
              <w:rPr>
                <w:u w:val="single"/>
              </w:rPr>
            </w:pPr>
            <w:r>
              <w:rPr>
                <w:rFonts w:hint="eastAsia"/>
                <w:u w:val="single"/>
              </w:rPr>
              <w:t>（6）生物量损失：鼻湖清淤疏浚和渠道治理工程由于为水域施工，经现状调查水域内植被分布较少，生物量损失较低，通过后期水生植被构建后不仅能够有效恢复损失的水生植被，还能增加鼻湖水生植被的覆盖度；淤泥干化场占地面积为1</w:t>
            </w:r>
            <w:r>
              <w:rPr>
                <w:u w:val="single"/>
              </w:rPr>
              <w:t>6666.67</w:t>
            </w:r>
            <w:r>
              <w:rPr>
                <w:rFonts w:hint="eastAsia"/>
                <w:u w:val="single"/>
              </w:rPr>
              <w:t>m</w:t>
            </w:r>
            <w:r>
              <w:rPr>
                <w:u w:val="single"/>
                <w:vertAlign w:val="superscript"/>
              </w:rPr>
              <w:t>2</w:t>
            </w:r>
            <w:r>
              <w:rPr>
                <w:rFonts w:hint="eastAsia"/>
                <w:u w:val="single"/>
              </w:rPr>
              <w:t>，占地类型为灌木林，生物量密度约为2</w:t>
            </w:r>
            <w:r>
              <w:rPr>
                <w:u w:val="single"/>
              </w:rPr>
              <w:t>3.16</w:t>
            </w:r>
            <w:r>
              <w:rPr>
                <w:rFonts w:hint="eastAsia"/>
                <w:u w:val="single"/>
              </w:rPr>
              <w:t>t</w:t>
            </w:r>
            <w:r>
              <w:rPr>
                <w:u w:val="single"/>
              </w:rPr>
              <w:t>/hm</w:t>
            </w:r>
            <w:r>
              <w:rPr>
                <w:u w:val="single"/>
                <w:vertAlign w:val="superscript"/>
              </w:rPr>
              <w:t>2</w:t>
            </w:r>
            <w:r>
              <w:rPr>
                <w:rFonts w:hint="eastAsia"/>
                <w:u w:val="single"/>
              </w:rPr>
              <w:t>，则可计算项目淤泥干化场造成的生物量损失约为3</w:t>
            </w:r>
            <w:r>
              <w:rPr>
                <w:u w:val="single"/>
              </w:rPr>
              <w:t>8.68</w:t>
            </w:r>
            <w:r>
              <w:rPr>
                <w:rFonts w:hint="eastAsia"/>
                <w:u w:val="single"/>
              </w:rPr>
              <w:t>t，项目施工结束后及时对淤泥干化场临时占地进行生态恢复，种植乔木及灌木，可有效补偿生物量损失。</w:t>
            </w:r>
          </w:p>
          <w:p>
            <w:pPr>
              <w:pStyle w:val="34"/>
              <w:ind w:firstLine="480"/>
            </w:pPr>
            <w:r>
              <w:t>2</w:t>
            </w:r>
            <w:r>
              <w:rPr>
                <w:rFonts w:hint="eastAsia"/>
              </w:rPr>
              <w:t>、施工期环境空气影响分析</w:t>
            </w:r>
          </w:p>
          <w:p>
            <w:pPr>
              <w:pStyle w:val="34"/>
              <w:ind w:firstLine="480"/>
            </w:pPr>
            <w:r>
              <w:rPr>
                <w:rFonts w:hint="eastAsia"/>
              </w:rPr>
              <w:t>项目施工对环境空气的污染主要来自施工扬尘、车辆及施工机械尾气以及淤泥干化脱水及清淤过程产生的恶臭</w:t>
            </w:r>
          </w:p>
          <w:p>
            <w:pPr>
              <w:pStyle w:val="34"/>
              <w:ind w:firstLine="480"/>
            </w:pPr>
            <w:r>
              <w:rPr>
                <w:rFonts w:hint="eastAsia"/>
              </w:rPr>
              <w:t>（</w:t>
            </w:r>
            <w:r>
              <w:t>1</w:t>
            </w:r>
            <w:r>
              <w:rPr>
                <w:rFonts w:hint="eastAsia"/>
              </w:rPr>
              <w:t>）</w:t>
            </w:r>
            <w:r>
              <w:t>施工扬尘对环境的影响</w:t>
            </w:r>
          </w:p>
          <w:p>
            <w:pPr>
              <w:pStyle w:val="34"/>
              <w:ind w:firstLine="480"/>
            </w:pPr>
            <w:r>
              <w:t>本项目为</w:t>
            </w:r>
            <w:r>
              <w:rPr>
                <w:rFonts w:hint="eastAsia"/>
              </w:rPr>
              <w:t>鼻湖</w:t>
            </w:r>
            <w:r>
              <w:t>清淤疏浚</w:t>
            </w:r>
            <w:r>
              <w:rPr>
                <w:rFonts w:hint="eastAsia"/>
              </w:rPr>
              <w:t>及生态修复项目</w:t>
            </w:r>
            <w:r>
              <w:t>，施工扬尘主要来自</w:t>
            </w:r>
            <w:r>
              <w:rPr>
                <w:rFonts w:hint="eastAsia"/>
              </w:rPr>
              <w:t>临时施工场地（污泥干化场、污水处理区）</w:t>
            </w:r>
            <w:r>
              <w:t>扬尘。淤泥干化场由于淤泥含水率较高，风力起尘量可忽略不计。</w:t>
            </w:r>
          </w:p>
          <w:p>
            <w:pPr>
              <w:pStyle w:val="34"/>
              <w:ind w:firstLine="480"/>
            </w:pPr>
            <w:r>
              <w:rPr>
                <w:rFonts w:hint="eastAsia"/>
              </w:rPr>
              <w:t>据有关文献资料介绍，在施工过程中，车辆行驶产生的扬尘占总扬尘的</w:t>
            </w:r>
            <w:r>
              <w:t xml:space="preserve"> 60%以上。车辆行驶产生的扬尘，在同样路面清洁程度条件下，车速越快，扬尘量越大，而在同样车速情况下，路面越脏，则扬尘量越大参考同类工程调查报告，当施工场地洒水频率为 4</w:t>
            </w:r>
            <w:r>
              <w:rPr>
                <w:rFonts w:hint="eastAsia"/>
              </w:rPr>
              <w:t>—</w:t>
            </w:r>
            <w:r>
              <w:t>5次天时，扬尘造成的TSP 污染距离可缩小到 20</w:t>
            </w:r>
            <w:r>
              <w:rPr>
                <w:rFonts w:hint="eastAsia"/>
              </w:rPr>
              <w:t>—</w:t>
            </w:r>
            <w:r>
              <w:t>50m 范围内</w:t>
            </w:r>
          </w:p>
          <w:p>
            <w:pPr>
              <w:pStyle w:val="34"/>
              <w:ind w:firstLine="480"/>
            </w:pPr>
            <w:r>
              <w:rPr>
                <w:rFonts w:hint="eastAsia"/>
              </w:rPr>
              <w:t>项目在污泥干化场西南侧设置临时道路，车辆通过临时道路出入场地，出入口位于东、西侧，与居民点最近距离为</w:t>
            </w:r>
            <w:r>
              <w:t xml:space="preserve"> 50m，出入口处设置洗车池和冲洗坪，车辆进出场地前均需进行冲洗，并且项目的临时道路外侧设置施工围挡，通过采取这些措施后，施工扬尘对环境敏感目</w:t>
            </w:r>
            <w:r>
              <w:rPr>
                <w:rFonts w:hint="eastAsia"/>
              </w:rPr>
              <w:t>标影响较小。</w:t>
            </w:r>
          </w:p>
          <w:p>
            <w:pPr>
              <w:pStyle w:val="34"/>
              <w:ind w:firstLine="480"/>
            </w:pPr>
            <w:r>
              <w:rPr>
                <w:rFonts w:hint="eastAsia"/>
              </w:rPr>
              <w:t>项目污泥干化场设置围挡，项目清淤疏浚采用环保绞吸式挖泥船带水作业，清理出的淤泥含水量较高，产生的扬尘量较小。为有效防治本项目施工扬尘可能产生的环境空气污染，建议采取以下防治措施：</w:t>
            </w:r>
          </w:p>
          <w:p>
            <w:pPr>
              <w:pStyle w:val="34"/>
              <w:ind w:firstLine="480"/>
            </w:pPr>
            <w:r>
              <w:t>1</w:t>
            </w:r>
            <w:r>
              <w:rPr>
                <w:rFonts w:hint="eastAsia"/>
              </w:rPr>
              <w:t>）施工场地</w:t>
            </w:r>
            <w:r>
              <w:t>设置雾炮除尘器除尘。</w:t>
            </w:r>
          </w:p>
          <w:p>
            <w:pPr>
              <w:pStyle w:val="34"/>
              <w:ind w:firstLine="480"/>
            </w:pPr>
            <w:r>
              <w:t>2</w:t>
            </w:r>
            <w:r>
              <w:rPr>
                <w:rFonts w:hint="eastAsia"/>
              </w:rPr>
              <w:t>）</w:t>
            </w:r>
            <w:r>
              <w:t>各类易</w:t>
            </w:r>
            <w:r>
              <w:rPr>
                <w:rFonts w:hint="eastAsia"/>
              </w:rPr>
              <w:t>洒落</w:t>
            </w:r>
            <w:r>
              <w:t>散装物料在装卸、使用、运输和临时存放等全部过程</w:t>
            </w:r>
            <w:r>
              <w:rPr>
                <w:rFonts w:hint="eastAsia"/>
              </w:rPr>
              <w:t>必须采取</w:t>
            </w:r>
            <w:r>
              <w:t>防风遮盖措施，以减少扬尘。</w:t>
            </w:r>
          </w:p>
          <w:p>
            <w:pPr>
              <w:pStyle w:val="34"/>
              <w:ind w:firstLine="480"/>
            </w:pPr>
            <w:r>
              <w:t>3</w:t>
            </w:r>
            <w:r>
              <w:rPr>
                <w:rFonts w:hint="eastAsia"/>
              </w:rPr>
              <w:t>）</w:t>
            </w:r>
            <w:r>
              <w:t>施工结束时，应及时对施工临时占用场地恢复地面道路及植被</w:t>
            </w:r>
            <w:r>
              <w:rPr>
                <w:rFonts w:hint="eastAsia"/>
              </w:rPr>
              <w:t>，</w:t>
            </w:r>
            <w:r>
              <w:t>应合理安排施工，土建工程施工时，应选择无风或风较小的天气并避免将扬尘量大的工序安排在敏感点的正上风向。</w:t>
            </w:r>
          </w:p>
          <w:p>
            <w:pPr>
              <w:pStyle w:val="34"/>
              <w:ind w:firstLine="480"/>
            </w:pPr>
            <w:r>
              <w:t>4</w:t>
            </w:r>
            <w:r>
              <w:rPr>
                <w:rFonts w:hint="eastAsia"/>
              </w:rPr>
              <w:t>）</w:t>
            </w:r>
            <w:r>
              <w:t>严格落实8个100%</w:t>
            </w:r>
            <w:r>
              <w:rPr>
                <w:rFonts w:hint="eastAsia"/>
              </w:rPr>
              <w:t>，</w:t>
            </w:r>
            <w:r>
              <w:t>施工工地现场围挡和外架防护100%全封闭</w:t>
            </w:r>
            <w:r>
              <w:rPr>
                <w:rFonts w:hint="eastAsia"/>
              </w:rPr>
              <w:t>，</w:t>
            </w:r>
            <w:r>
              <w:t>围挡保持整洁美观，外架安全网无破损，施工现场出入口及车行道路100%硬化</w:t>
            </w:r>
            <w:r>
              <w:rPr>
                <w:rFonts w:hint="eastAsia"/>
              </w:rPr>
              <w:t>；</w:t>
            </w:r>
            <w:r>
              <w:t>施工现场出入口 100%设置车辆冲洗设施，易起扬尘作业面100%湿法施工</w:t>
            </w:r>
            <w:r>
              <w:rPr>
                <w:rFonts w:hint="eastAsia"/>
              </w:rPr>
              <w:t>；</w:t>
            </w:r>
            <w:r>
              <w:t>裸露黄土及易起尘物料 100%覆盖</w:t>
            </w:r>
            <w:r>
              <w:rPr>
                <w:rFonts w:hint="eastAsia"/>
              </w:rPr>
              <w:t>；</w:t>
            </w:r>
            <w:r>
              <w:t>渣土实施 100%密封运输</w:t>
            </w:r>
            <w:r>
              <w:rPr>
                <w:rFonts w:hint="eastAsia"/>
              </w:rPr>
              <w:t>；</w:t>
            </w:r>
            <w:r>
              <w:t>建筑垃圾 100%规范管理，必须集中堆放、及时清运，严禁高空抛洒和焚烧</w:t>
            </w:r>
            <w:r>
              <w:rPr>
                <w:rFonts w:hint="eastAsia"/>
              </w:rPr>
              <w:t>；</w:t>
            </w:r>
            <w:r>
              <w:t>非道路移动工程机械尾气排放 100%达标，严禁使用劣质油品，严禁冒烟作业。</w:t>
            </w:r>
          </w:p>
          <w:p>
            <w:pPr>
              <w:pStyle w:val="34"/>
              <w:ind w:firstLine="480"/>
            </w:pPr>
            <w:r>
              <w:t>5</w:t>
            </w:r>
            <w:r>
              <w:rPr>
                <w:rFonts w:hint="eastAsia"/>
              </w:rPr>
              <w:t>）</w:t>
            </w:r>
            <w:r>
              <w:t>项目</w:t>
            </w:r>
            <w:r>
              <w:rPr>
                <w:rFonts w:hint="eastAsia"/>
              </w:rPr>
              <w:t>淤泥干化场</w:t>
            </w:r>
            <w:r>
              <w:t>，采用篷布遮挡，</w:t>
            </w:r>
            <w:r>
              <w:rPr>
                <w:rFonts w:hint="eastAsia"/>
              </w:rPr>
              <w:t>淤泥干化场</w:t>
            </w:r>
            <w:r>
              <w:t>四周设置雨水边沟。</w:t>
            </w:r>
          </w:p>
          <w:p>
            <w:pPr>
              <w:pStyle w:val="34"/>
              <w:ind w:firstLine="480"/>
            </w:pPr>
            <w:r>
              <w:rPr>
                <w:rFonts w:hint="eastAsia"/>
              </w:rPr>
              <w:t>（</w:t>
            </w:r>
            <w:r>
              <w:t>2</w:t>
            </w:r>
            <w:r>
              <w:rPr>
                <w:rFonts w:hint="eastAsia"/>
              </w:rPr>
              <w:t>）</w:t>
            </w:r>
            <w:r>
              <w:t>施工机械尾气对环境的影响</w:t>
            </w:r>
          </w:p>
          <w:p>
            <w:pPr>
              <w:pStyle w:val="34"/>
              <w:ind w:firstLine="480"/>
            </w:pPr>
            <w:r>
              <w:rPr>
                <w:rFonts w:hint="eastAsia"/>
              </w:rPr>
              <w:t>项目施工过程中以燃油为动力的施工机械、运输车辆会在施工场地附近排放少量燃油废气，施工单位应加强施工机械设备维护，选用合格的燃油，避免排放未完全燃烧的黑烟，减轻机械尾气对周围空气环境的影响。本项目工程较小，施工时间较短，产生的机械、汽车尾气量较少项目沿岸植被覆盖率高，地势相对较为开阔，有利于燃烧废气的扩散和稀释。因此，施工期施工机械尾气对沿线大气环境质量影响很小，且影响是短暂的，随着施工的结束而消失。本次评价要求项目必须选用符合国家卫生防护标准的施工机械设备和运输工具，确保其废气排放符合国家有关标准，必须使用合格的油品，严禁使用劣质油品，杜绝冒黑烟现象。加强对机械设备的养护，减少不必要的空转时间，以控制尾气排放。</w:t>
            </w:r>
          </w:p>
          <w:p>
            <w:pPr>
              <w:pStyle w:val="34"/>
              <w:ind w:firstLine="480"/>
            </w:pPr>
            <w:r>
              <w:rPr>
                <w:rFonts w:hint="eastAsia"/>
              </w:rPr>
              <w:t>（</w:t>
            </w:r>
            <w:r>
              <w:t>3</w:t>
            </w:r>
            <w:r>
              <w:rPr>
                <w:rFonts w:hint="eastAsia"/>
              </w:rPr>
              <w:t>）</w:t>
            </w:r>
            <w:r>
              <w:t>清恶臭对环境的影响</w:t>
            </w:r>
          </w:p>
          <w:p>
            <w:pPr>
              <w:pStyle w:val="34"/>
              <w:ind w:firstLine="480"/>
            </w:pPr>
            <w:r>
              <w:rPr>
                <w:rFonts w:hint="eastAsia"/>
              </w:rPr>
              <w:t>恶臭主要产生于清淤过程、淤泥沉淀脱水干化过程。湖泊中含有有机物腐质的淤泥底泥，在受到扰动时，其中含有的恶臭物质将呈无组织状态释放，从而对周围环境产生较为不利的影响。另外，清出淤泥的干化、运输也将产生恶臭影响。</w:t>
            </w:r>
          </w:p>
          <w:p>
            <w:pPr>
              <w:pStyle w:val="34"/>
              <w:ind w:firstLine="480"/>
            </w:pPr>
            <w:r>
              <w:t>1</w:t>
            </w:r>
            <w:r>
              <w:rPr>
                <w:rFonts w:hint="eastAsia"/>
              </w:rPr>
              <w:t>）</w:t>
            </w:r>
            <w:r>
              <w:t>恶强等级</w:t>
            </w:r>
          </w:p>
          <w:p>
            <w:pPr>
              <w:pStyle w:val="34"/>
              <w:ind w:firstLine="480"/>
            </w:pPr>
            <w:r>
              <w:rPr>
                <w:rFonts w:hint="eastAsia"/>
              </w:rPr>
              <w:t>恶臭强度是以臭味的嗅觉阈值为基准划分等级的，本报告恶臭评价参考日本恶臭强度分级进行评价，见表</w:t>
            </w:r>
            <w:r>
              <w:t>4-1。限值标准一般相当于恶臭强度 2.5-3.5级，超出该强度范围，即认为发生恶臭污染，需要采取防护措施。</w:t>
            </w:r>
          </w:p>
          <w:p>
            <w:pPr>
              <w:pStyle w:val="34"/>
              <w:ind w:firstLine="480"/>
            </w:pPr>
            <w:r>
              <w:t>2</w:t>
            </w:r>
            <w:r>
              <w:rPr>
                <w:rFonts w:hint="eastAsia"/>
              </w:rPr>
              <w:t>）</w:t>
            </w:r>
            <w:r>
              <w:t>恶影响分析</w:t>
            </w:r>
          </w:p>
          <w:p>
            <w:pPr>
              <w:pStyle w:val="34"/>
              <w:ind w:firstLine="480"/>
            </w:pPr>
            <w:r>
              <w:rPr>
                <w:rFonts w:hint="eastAsia"/>
              </w:rPr>
              <w:t>清淤主要采用绞吸式挖泥船进行清淤及陆地开挖，主要选择在枯水期施工。淤泥通过密闭管道及车辆输送至污泥干化，经自然干化后外运。由于清理淤泥的过程中会翻起沉积较久、含有有机腐殖物的污染底泥，在受到扰动或堆置到地面时，会以无组织的形式释放恶臭物质（</w:t>
            </w:r>
            <w:r>
              <w:t>主要是氨、硫化氢、挥发氢、挥发性醇以及醛</w:t>
            </w:r>
            <w:r>
              <w:rPr>
                <w:rFonts w:hint="eastAsia"/>
              </w:rPr>
              <w:t>）</w:t>
            </w:r>
            <w:r>
              <w:t>，从而影响周围环境空气质量，淤泥干化场也会散发淤泥恶臭。项目采用环保绞吸挖泥船进行</w:t>
            </w:r>
            <w:r>
              <w:rPr>
                <w:rFonts w:hint="eastAsia"/>
              </w:rPr>
              <w:t>清淤</w:t>
            </w:r>
            <w:r>
              <w:t>，可最大限度地降低清淤过程对底泥的扰动，从而降低对周围居民的影响。本项目清淤底泥采取沉淀自然干化脱水，</w:t>
            </w:r>
            <w:r>
              <w:rPr>
                <w:rFonts w:hint="eastAsia"/>
              </w:rPr>
              <w:t>干化后的淤泥</w:t>
            </w:r>
            <w:r>
              <w:t>及</w:t>
            </w:r>
            <w:r>
              <w:rPr>
                <w:rFonts w:hint="eastAsia"/>
              </w:rPr>
              <w:t>时清运至干化场自然干化后委托水泥窑进行协同处置资源化利用。项目清淤工程施工周期较短</w:t>
            </w:r>
            <w:r>
              <w:t>E选择在 10 月</w:t>
            </w:r>
            <w:r>
              <w:rPr>
                <w:rFonts w:hint="eastAsia"/>
              </w:rPr>
              <w:t>－</w:t>
            </w:r>
            <w:r>
              <w:t>次年6 月，避开了高温天气，因而这种影响是暂时的，随着施工期的结束影响也随之消失。</w:t>
            </w:r>
          </w:p>
          <w:p>
            <w:pPr>
              <w:pStyle w:val="34"/>
              <w:ind w:firstLine="480"/>
            </w:pPr>
            <w:r>
              <w:rPr>
                <w:rFonts w:hint="eastAsia"/>
              </w:rPr>
              <w:t>另外，运输淤泥过程中也会散发臭味，应合理安排运输时间，避开午休时间、夜间，尽量减小臭气对运输线路附近大气环境的影响。</w:t>
            </w:r>
          </w:p>
          <w:p>
            <w:pPr>
              <w:pStyle w:val="34"/>
              <w:ind w:firstLine="480"/>
              <w:rPr>
                <w:u w:val="single"/>
              </w:rPr>
            </w:pPr>
            <w:r>
              <w:rPr>
                <w:rFonts w:hint="eastAsia"/>
                <w:u w:val="single"/>
              </w:rPr>
              <w:t>3、施工期地表水环境影响分析</w:t>
            </w:r>
          </w:p>
          <w:p>
            <w:pPr>
              <w:widowControl/>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（1）施工人员生活污水</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本项目施工劳动定员人数为40人/d，根据《湖南省地方标准-用水定额（DB43/T388-2020）》，施工人员用水量按145L/人·d计，排水系数按0.8计，则施工人员生活污水产生量为4.6t/d，主要污染物为COD、BOD</w:t>
            </w:r>
            <w:r>
              <w:rPr>
                <w:rFonts w:ascii="Times New Roman" w:hAnsi="Times New Roman" w:eastAsia="宋体" w:cs="Times New Roman"/>
                <w:sz w:val="24"/>
                <w:szCs w:val="24"/>
                <w:u w:val="single"/>
                <w:vertAlign w:val="subscript"/>
              </w:rPr>
              <w:t>5</w:t>
            </w:r>
            <w:r>
              <w:rPr>
                <w:rFonts w:ascii="Times New Roman" w:hAnsi="Times New Roman" w:eastAsia="宋体" w:cs="Times New Roman"/>
                <w:sz w:val="24"/>
                <w:szCs w:val="24"/>
                <w:u w:val="single"/>
              </w:rPr>
              <w:t>、SS、氨氮，产生浓度分别为350mg/L、200mg/L、150mg/L、30mg/L，产生量分别为1.6kg/d、0.9kg/d、0.7kg/d、0.14kg/d，经租赁民房现有化粪池处理后用于周边农田旱地施肥，不外排。</w:t>
            </w:r>
          </w:p>
          <w:p>
            <w:pPr>
              <w:pStyle w:val="7"/>
              <w:numPr>
                <w:ilvl w:val="5"/>
                <w:numId w:val="0"/>
              </w:numPr>
              <w:spacing w:before="0" w:after="0" w:line="360" w:lineRule="auto"/>
              <w:ind w:left="1571" w:leftChars="200"/>
              <w:rPr>
                <w:rFonts w:ascii="Times New Roman" w:hAnsi="Times New Roman" w:eastAsia="宋体"/>
                <w:b w:val="0"/>
                <w:bCs/>
                <w:u w:val="single"/>
              </w:rPr>
            </w:pPr>
            <w:r>
              <w:rPr>
                <w:rFonts w:hint="eastAsia" w:ascii="Times New Roman" w:hAnsi="Times New Roman" w:eastAsia="宋体"/>
                <w:b w:val="0"/>
                <w:szCs w:val="24"/>
                <w:u w:val="single"/>
              </w:rPr>
              <w:t>（2）临时堆场</w:t>
            </w:r>
            <w:r>
              <w:rPr>
                <w:rFonts w:ascii="Times New Roman" w:hAnsi="Times New Roman" w:eastAsia="宋体"/>
                <w:b w:val="0"/>
                <w:szCs w:val="24"/>
                <w:u w:val="single"/>
              </w:rPr>
              <w:t>余水</w:t>
            </w:r>
          </w:p>
          <w:p>
            <w:pPr>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鼻湖抽取的泥沙将转运至临时堆场，弃料在堆放过程中约80%水分会渗透至产生弃料余水，经一体化处理设备处理满足《污水综合排放标准》（GB8978-1996）一级标准后，补回鼻湖；由于底泥中重金属污染物浓度较高，但本次采用混凝沉淀法对废水处理，通过添加处理药剂，能够有效去除堆场尾水中锌、铬等重金属污染物，通过添加柠檬酸钠、柠檬酸三钙等可去除尾水中的锌，添加聚合氯化铝等有机络合剂可有效去除尾水中的铬，项目采用混凝沉淀法可使重金属达标排放</w:t>
            </w:r>
            <w:r>
              <w:rPr>
                <w:rFonts w:ascii="Times New Roman" w:hAnsi="Times New Roman" w:eastAsia="宋体" w:cs="Times New Roman"/>
                <w:sz w:val="24"/>
                <w:szCs w:val="24"/>
                <w:u w:val="single"/>
              </w:rPr>
              <w:t>。</w:t>
            </w:r>
          </w:p>
          <w:p>
            <w:pPr>
              <w:pStyle w:val="7"/>
              <w:numPr>
                <w:ilvl w:val="5"/>
                <w:numId w:val="0"/>
              </w:numPr>
              <w:spacing w:before="0" w:after="0" w:line="360" w:lineRule="auto"/>
              <w:ind w:left="1571" w:leftChars="200"/>
              <w:rPr>
                <w:rFonts w:ascii="Times New Roman" w:hAnsi="Times New Roman" w:eastAsia="宋体"/>
                <w:b w:val="0"/>
                <w:bCs/>
                <w:u w:val="single"/>
              </w:rPr>
            </w:pPr>
            <w:r>
              <w:rPr>
                <w:rFonts w:hint="eastAsia" w:ascii="Times New Roman" w:hAnsi="Times New Roman" w:eastAsia="宋体"/>
                <w:b w:val="0"/>
                <w:szCs w:val="24"/>
                <w:u w:val="single"/>
              </w:rPr>
              <w:t>（3）</w:t>
            </w:r>
            <w:r>
              <w:rPr>
                <w:rFonts w:ascii="Times New Roman" w:hAnsi="Times New Roman" w:eastAsia="宋体"/>
                <w:b w:val="0"/>
                <w:szCs w:val="24"/>
                <w:u w:val="single"/>
              </w:rPr>
              <w:t>施工船舶污水</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水上作业的各类</w:t>
            </w:r>
            <w:r>
              <w:rPr>
                <w:rFonts w:hint="eastAsia" w:ascii="Times New Roman" w:hAnsi="Times New Roman" w:cs="Times New Roman"/>
                <w:sz w:val="24"/>
                <w:szCs w:val="24"/>
                <w:u w:val="single"/>
              </w:rPr>
              <w:t>船舶</w:t>
            </w:r>
            <w:r>
              <w:rPr>
                <w:rFonts w:ascii="Times New Roman" w:hAnsi="Times New Roman" w:eastAsia="宋体" w:cs="Times New Roman"/>
                <w:sz w:val="24"/>
                <w:szCs w:val="24"/>
                <w:u w:val="single"/>
              </w:rPr>
              <w:t>的船边沿应镶有一定高度的防护铁板沿边，防止船体甲板面的油污水溢流泄露漫流入河水中；</w:t>
            </w:r>
            <w:r>
              <w:rPr>
                <w:rFonts w:hint="eastAsia" w:ascii="Times New Roman" w:hAnsi="Times New Roman" w:cs="Times New Roman"/>
                <w:sz w:val="24"/>
                <w:szCs w:val="24"/>
                <w:u w:val="single"/>
              </w:rPr>
              <w:t>清淤</w:t>
            </w:r>
            <w:r>
              <w:rPr>
                <w:rFonts w:ascii="Times New Roman" w:hAnsi="Times New Roman" w:eastAsia="宋体" w:cs="Times New Roman"/>
                <w:sz w:val="24"/>
                <w:szCs w:val="24"/>
                <w:u w:val="single"/>
              </w:rPr>
              <w:t>作业拟采用</w:t>
            </w:r>
            <w:r>
              <w:rPr>
                <w:rFonts w:hint="eastAsia" w:ascii="Times New Roman" w:hAnsi="Times New Roman" w:cs="Times New Roman"/>
                <w:sz w:val="24"/>
                <w:szCs w:val="24"/>
                <w:u w:val="single"/>
              </w:rPr>
              <w:t>船只</w:t>
            </w:r>
            <w:r>
              <w:rPr>
                <w:rFonts w:ascii="Times New Roman" w:hAnsi="Times New Roman" w:eastAsia="宋体" w:cs="Times New Roman"/>
                <w:sz w:val="24"/>
                <w:szCs w:val="24"/>
                <w:u w:val="single"/>
              </w:rPr>
              <w:t>均应自带油水分离器，</w:t>
            </w:r>
            <w:r>
              <w:rPr>
                <w:rFonts w:hint="eastAsia" w:ascii="Times New Roman" w:hAnsi="Times New Roman" w:eastAsia="宋体" w:cs="Times New Roman"/>
                <w:sz w:val="24"/>
                <w:szCs w:val="24"/>
                <w:u w:val="single"/>
              </w:rPr>
              <w:t>鼻湖</w:t>
            </w:r>
            <w:r>
              <w:rPr>
                <w:rFonts w:ascii="Times New Roman" w:hAnsi="Times New Roman" w:eastAsia="宋体" w:cs="Times New Roman"/>
                <w:sz w:val="24"/>
                <w:szCs w:val="24"/>
                <w:u w:val="single"/>
              </w:rPr>
              <w:t>含油污水经油水分离器处理后的浮油渣暂存于船舶自备的容器中，送油污水接收船或岸上的油污水接收单位接收处理；水上各类作业机械维修时，应拖到陆地上的固定区域进行维修，并做好油水、废水</w:t>
            </w:r>
            <w:r>
              <w:rPr>
                <w:rFonts w:hint="eastAsia" w:ascii="Times New Roman" w:hAnsi="Times New Roman" w:eastAsia="宋体" w:cs="Times New Roman"/>
                <w:sz w:val="24"/>
                <w:szCs w:val="24"/>
                <w:u w:val="single"/>
              </w:rPr>
              <w:t>与其他</w:t>
            </w:r>
            <w:r>
              <w:rPr>
                <w:rFonts w:ascii="Times New Roman" w:hAnsi="Times New Roman" w:eastAsia="宋体" w:cs="Times New Roman"/>
                <w:sz w:val="24"/>
                <w:szCs w:val="24"/>
                <w:u w:val="single"/>
              </w:rPr>
              <w:t>固体废物的收集，并妥善处理，防止污染水体。</w:t>
            </w:r>
          </w:p>
          <w:p>
            <w:pPr>
              <w:pStyle w:val="7"/>
              <w:numPr>
                <w:ilvl w:val="5"/>
                <w:numId w:val="0"/>
              </w:numPr>
              <w:spacing w:before="0" w:after="0" w:line="360" w:lineRule="auto"/>
              <w:ind w:left="1571" w:leftChars="200"/>
              <w:rPr>
                <w:rFonts w:ascii="Times New Roman" w:hAnsi="Times New Roman" w:eastAsia="宋体"/>
                <w:b w:val="0"/>
                <w:bCs/>
                <w:u w:val="single"/>
              </w:rPr>
            </w:pPr>
            <w:r>
              <w:rPr>
                <w:rFonts w:hint="eastAsia" w:ascii="Times New Roman" w:hAnsi="Times New Roman" w:eastAsia="宋体"/>
                <w:b w:val="0"/>
                <w:szCs w:val="24"/>
                <w:u w:val="single"/>
              </w:rPr>
              <w:t>（4）</w:t>
            </w:r>
            <w:r>
              <w:rPr>
                <w:rFonts w:ascii="Times New Roman" w:hAnsi="Times New Roman" w:eastAsia="宋体"/>
                <w:b w:val="0"/>
                <w:szCs w:val="24"/>
                <w:u w:val="single"/>
              </w:rPr>
              <w:t>车辆冲洗废水</w:t>
            </w:r>
          </w:p>
          <w:p>
            <w:pPr>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鼻湖抽取的泥沙运至岸边后将由汽车转运至临时堆场，</w:t>
            </w:r>
            <w:r>
              <w:rPr>
                <w:rFonts w:ascii="Times New Roman" w:hAnsi="Times New Roman" w:eastAsia="宋体" w:cs="Times New Roman"/>
                <w:sz w:val="24"/>
                <w:szCs w:val="24"/>
                <w:u w:val="single"/>
              </w:rPr>
              <w:t>弃料外运均依托社会车队，其车辆维修保养利用当地机修厂的已有设施，均不在厂区进行。施工现场出入口需配备车辆冲洗设施，车辆冲洗废水主要污染物为SS。</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车辆冲洗废水经油水分离器处理后可循环使用于施工机械维护清洗，不外排。</w:t>
            </w:r>
          </w:p>
          <w:p>
            <w:pPr>
              <w:widowControl/>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w:t>
            </w:r>
            <w:r>
              <w:rPr>
                <w:rFonts w:hint="eastAsia" w:ascii="Times New Roman" w:hAnsi="Times New Roman" w:eastAsia="宋体" w:cs="Times New Roman"/>
                <w:sz w:val="24"/>
                <w:szCs w:val="24"/>
                <w:u w:val="single"/>
              </w:rPr>
              <w:t>5</w:t>
            </w:r>
            <w:r>
              <w:rPr>
                <w:rFonts w:ascii="Times New Roman" w:hAnsi="Times New Roman" w:eastAsia="宋体" w:cs="Times New Roman"/>
                <w:sz w:val="24"/>
                <w:szCs w:val="24"/>
                <w:u w:val="single"/>
              </w:rPr>
              <w:t>）施工机械冲洗废水</w:t>
            </w:r>
          </w:p>
          <w:p>
            <w:pPr>
              <w:widowControl/>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本项目施工机械冲洗废水主要含SS，pH呈弱碱性，并带有少量油污。该部分废水pH值呈弱碱性，并带有少量油污，如任意排放将对区域水环境将造成一定影响；环评要求工地必须建有废水隔油沉淀池，施工机械冲洗废水经隔油池沉淀处理后回用洒水除尘。禁止将施工机械冲洗废水排入区域地表水域</w:t>
            </w:r>
            <w:r>
              <w:rPr>
                <w:rFonts w:hint="eastAsia" w:ascii="Times New Roman" w:hAnsi="Times New Roman" w:cs="Times New Roman"/>
                <w:sz w:val="24"/>
                <w:szCs w:val="24"/>
                <w:u w:val="single"/>
              </w:rPr>
              <w:t>。</w:t>
            </w:r>
          </w:p>
          <w:p>
            <w:pPr>
              <w:spacing w:line="360" w:lineRule="auto"/>
              <w:ind w:firstLine="480" w:firstLineChars="200"/>
              <w:rPr>
                <w:rFonts w:ascii="Times New Roman" w:hAnsi="Times New Roman"/>
                <w:sz w:val="24"/>
                <w:u w:val="single"/>
              </w:rPr>
            </w:pPr>
            <w:r>
              <w:rPr>
                <w:rFonts w:hint="eastAsia" w:ascii="Times New Roman" w:hAnsi="Times New Roman" w:cs="Times New Roman"/>
                <w:sz w:val="24"/>
                <w:szCs w:val="24"/>
                <w:u w:val="single"/>
              </w:rPr>
              <w:t>（6）清淤</w:t>
            </w:r>
            <w:r>
              <w:rPr>
                <w:rFonts w:ascii="Times New Roman" w:hAnsi="Times New Roman" w:eastAsia="宋体" w:cs="Times New Roman"/>
                <w:sz w:val="24"/>
                <w:szCs w:val="24"/>
                <w:u w:val="single"/>
              </w:rPr>
              <w:t>对内湖水质的影响</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①对SS的影响</w:t>
            </w:r>
          </w:p>
          <w:p>
            <w:pPr>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清淤</w:t>
            </w:r>
            <w:r>
              <w:rPr>
                <w:rFonts w:ascii="Times New Roman" w:hAnsi="Times New Roman" w:eastAsia="宋体" w:cs="Times New Roman"/>
                <w:sz w:val="24"/>
                <w:szCs w:val="24"/>
                <w:u w:val="single"/>
              </w:rPr>
              <w:t>作业将引起局部水体的悬浮物浓度增加，影响水体的感观性状，</w:t>
            </w:r>
            <w:r>
              <w:rPr>
                <w:rFonts w:hint="eastAsia" w:ascii="Times New Roman" w:hAnsi="Times New Roman" w:eastAsia="宋体" w:cs="Times New Roman"/>
                <w:sz w:val="24"/>
                <w:szCs w:val="24"/>
                <w:u w:val="single"/>
              </w:rPr>
              <w:t>清淤</w:t>
            </w:r>
            <w:r>
              <w:rPr>
                <w:rFonts w:ascii="Times New Roman" w:hAnsi="Times New Roman" w:eastAsia="宋体" w:cs="Times New Roman"/>
                <w:sz w:val="24"/>
                <w:szCs w:val="24"/>
                <w:u w:val="single"/>
              </w:rPr>
              <w:t>废水主要来自</w:t>
            </w:r>
            <w:r>
              <w:rPr>
                <w:rFonts w:hint="eastAsia" w:ascii="Times New Roman" w:hAnsi="Times New Roman" w:eastAsia="宋体" w:cs="Times New Roman"/>
                <w:sz w:val="24"/>
                <w:szCs w:val="24"/>
                <w:u w:val="single"/>
              </w:rPr>
              <w:t>清淤</w:t>
            </w:r>
            <w:r>
              <w:rPr>
                <w:rFonts w:ascii="Times New Roman" w:hAnsi="Times New Roman" w:eastAsia="宋体" w:cs="Times New Roman"/>
                <w:sz w:val="24"/>
                <w:szCs w:val="24"/>
                <w:u w:val="single"/>
              </w:rPr>
              <w:t>过程中砂水混合物一同</w:t>
            </w:r>
            <w:r>
              <w:rPr>
                <w:rFonts w:hint="eastAsia" w:ascii="Times New Roman" w:hAnsi="Times New Roman" w:eastAsia="宋体" w:cs="Times New Roman"/>
                <w:sz w:val="24"/>
                <w:szCs w:val="24"/>
                <w:u w:val="single"/>
              </w:rPr>
              <w:t>抽取</w:t>
            </w:r>
            <w:r>
              <w:rPr>
                <w:rFonts w:ascii="Times New Roman" w:hAnsi="Times New Roman" w:eastAsia="宋体" w:cs="Times New Roman"/>
                <w:sz w:val="24"/>
                <w:szCs w:val="24"/>
                <w:u w:val="single"/>
              </w:rPr>
              <w:t>上来自然分离后形成的浑浊水，</w:t>
            </w:r>
            <w:r>
              <w:rPr>
                <w:rFonts w:hint="eastAsia" w:ascii="Times New Roman" w:hAnsi="Times New Roman" w:eastAsia="宋体" w:cs="Times New Roman"/>
                <w:sz w:val="24"/>
                <w:szCs w:val="24"/>
                <w:u w:val="single"/>
              </w:rPr>
              <w:t>清淤</w:t>
            </w:r>
            <w:r>
              <w:rPr>
                <w:rFonts w:ascii="Times New Roman" w:hAnsi="Times New Roman" w:eastAsia="宋体" w:cs="Times New Roman"/>
                <w:sz w:val="24"/>
                <w:szCs w:val="24"/>
                <w:u w:val="single"/>
              </w:rPr>
              <w:t>机械搅动底质，破坏河床，导致附近水域水体悬浮物（SS）急剧增加。悬浮物扩散将导致水体透明度下降、水体浑浊、水质恶化等不良后果。</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各内湖主要功能为防洪排涝，</w:t>
            </w:r>
            <w:r>
              <w:rPr>
                <w:rFonts w:hint="eastAsia" w:ascii="Times New Roman" w:hAnsi="Times New Roman" w:eastAsia="宋体" w:cs="Times New Roman"/>
                <w:sz w:val="24"/>
                <w:szCs w:val="24"/>
                <w:u w:val="single"/>
              </w:rPr>
              <w:t>清淤</w:t>
            </w:r>
            <w:r>
              <w:rPr>
                <w:rFonts w:ascii="Times New Roman" w:hAnsi="Times New Roman" w:eastAsia="宋体" w:cs="Times New Roman"/>
                <w:sz w:val="24"/>
                <w:szCs w:val="24"/>
                <w:u w:val="single"/>
              </w:rPr>
              <w:t>过程中对水质会产生一定的影响，但水体流动性较小，SS的影响只集中在</w:t>
            </w:r>
            <w:r>
              <w:rPr>
                <w:rFonts w:hint="eastAsia" w:ascii="Times New Roman" w:hAnsi="Times New Roman" w:eastAsia="宋体" w:cs="Times New Roman"/>
                <w:sz w:val="24"/>
                <w:szCs w:val="24"/>
                <w:u w:val="single"/>
              </w:rPr>
              <w:t>施工</w:t>
            </w:r>
            <w:r>
              <w:rPr>
                <w:rFonts w:ascii="Times New Roman" w:hAnsi="Times New Roman" w:eastAsia="宋体" w:cs="Times New Roman"/>
                <w:sz w:val="24"/>
                <w:szCs w:val="24"/>
                <w:u w:val="single"/>
              </w:rPr>
              <w:t>区域，悬浮物沉降较快，</w:t>
            </w:r>
            <w:r>
              <w:rPr>
                <w:rFonts w:hint="eastAsia" w:ascii="Times New Roman" w:hAnsi="Times New Roman" w:eastAsia="宋体" w:cs="Times New Roman"/>
                <w:sz w:val="24"/>
                <w:szCs w:val="24"/>
                <w:u w:val="single"/>
              </w:rPr>
              <w:t>清淤</w:t>
            </w:r>
            <w:r>
              <w:rPr>
                <w:rFonts w:ascii="Times New Roman" w:hAnsi="Times New Roman" w:eastAsia="宋体" w:cs="Times New Roman"/>
                <w:sz w:val="24"/>
                <w:szCs w:val="24"/>
                <w:u w:val="single"/>
              </w:rPr>
              <w:t>作业停止2小时后，SS超标情况便可恢复到工作前的状态。</w:t>
            </w:r>
          </w:p>
          <w:p>
            <w:pPr>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本项目清淤</w:t>
            </w:r>
            <w:r>
              <w:rPr>
                <w:rFonts w:ascii="Times New Roman" w:hAnsi="Times New Roman" w:eastAsia="宋体" w:cs="Times New Roman"/>
                <w:sz w:val="24"/>
                <w:szCs w:val="24"/>
                <w:u w:val="single"/>
              </w:rPr>
              <w:t>过程分片区进行，</w:t>
            </w:r>
            <w:r>
              <w:rPr>
                <w:rFonts w:hint="eastAsia" w:ascii="Times New Roman" w:hAnsi="Times New Roman" w:eastAsia="宋体" w:cs="Times New Roman"/>
                <w:sz w:val="24"/>
                <w:szCs w:val="24"/>
                <w:u w:val="single"/>
              </w:rPr>
              <w:t>可</w:t>
            </w:r>
            <w:r>
              <w:rPr>
                <w:rFonts w:ascii="Times New Roman" w:hAnsi="Times New Roman" w:eastAsia="宋体" w:cs="Times New Roman"/>
                <w:sz w:val="24"/>
                <w:szCs w:val="24"/>
                <w:u w:val="single"/>
              </w:rPr>
              <w:t>减少湖内短期内SS浓度大幅度增加。</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②对水体中重金属浓度变化的影响</w:t>
            </w:r>
          </w:p>
          <w:p>
            <w:pPr>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清淤</w:t>
            </w:r>
            <w:r>
              <w:rPr>
                <w:rFonts w:ascii="Times New Roman" w:hAnsi="Times New Roman" w:eastAsia="宋体" w:cs="Times New Roman"/>
                <w:sz w:val="24"/>
                <w:szCs w:val="24"/>
                <w:u w:val="single"/>
              </w:rPr>
              <w:t>过程中底泥被搅动，使沉积在底泥中的有机污染物、重金属再悬浮于水相中有可能引起水质污染。</w:t>
            </w:r>
            <w:r>
              <w:rPr>
                <w:rFonts w:hint="eastAsia" w:ascii="Times New Roman" w:hAnsi="Times New Roman" w:eastAsia="宋体" w:cs="Times New Roman"/>
                <w:sz w:val="24"/>
                <w:szCs w:val="24"/>
                <w:u w:val="single"/>
              </w:rPr>
              <w:t>但底泥中重金属主要以沉淀无机盐形式存在，随着悬浮物浓度的沉降降低，重金属浓度也会降低</w:t>
            </w:r>
            <w:r>
              <w:rPr>
                <w:rFonts w:ascii="Times New Roman" w:hAnsi="Times New Roman" w:eastAsia="宋体" w:cs="Times New Roman"/>
                <w:sz w:val="24"/>
                <w:szCs w:val="24"/>
                <w:u w:val="single"/>
              </w:rPr>
              <w:t>。</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本</w:t>
            </w:r>
            <w:r>
              <w:rPr>
                <w:rFonts w:hint="eastAsia" w:ascii="Times New Roman" w:hAnsi="Times New Roman" w:eastAsia="宋体" w:cs="Times New Roman"/>
                <w:sz w:val="24"/>
                <w:szCs w:val="24"/>
                <w:u w:val="single"/>
              </w:rPr>
              <w:t>项目</w:t>
            </w:r>
            <w:r>
              <w:rPr>
                <w:rFonts w:ascii="Times New Roman" w:hAnsi="Times New Roman" w:eastAsia="宋体" w:cs="Times New Roman"/>
                <w:sz w:val="24"/>
                <w:szCs w:val="24"/>
                <w:u w:val="single"/>
              </w:rPr>
              <w:t>利用</w:t>
            </w:r>
            <w:r>
              <w:rPr>
                <w:rFonts w:hint="eastAsia" w:ascii="Times New Roman" w:hAnsi="Times New Roman" w:eastAsia="宋体" w:cs="Times New Roman"/>
                <w:sz w:val="24"/>
                <w:szCs w:val="24"/>
                <w:u w:val="single"/>
              </w:rPr>
              <w:t>抽泥</w:t>
            </w:r>
            <w:r>
              <w:rPr>
                <w:rFonts w:ascii="Times New Roman" w:hAnsi="Times New Roman" w:eastAsia="宋体" w:cs="Times New Roman"/>
                <w:sz w:val="24"/>
                <w:szCs w:val="24"/>
                <w:u w:val="single"/>
              </w:rPr>
              <w:t>船在内湖底部挖掘底泥，挖掘和抽</w:t>
            </w:r>
            <w:r>
              <w:rPr>
                <w:rFonts w:hint="eastAsia" w:ascii="Times New Roman" w:hAnsi="Times New Roman" w:eastAsia="宋体" w:cs="Times New Roman"/>
                <w:sz w:val="24"/>
                <w:szCs w:val="24"/>
                <w:u w:val="single"/>
              </w:rPr>
              <w:t>吸</w:t>
            </w:r>
            <w:r>
              <w:rPr>
                <w:rFonts w:ascii="Times New Roman" w:hAnsi="Times New Roman" w:eastAsia="宋体" w:cs="Times New Roman"/>
                <w:sz w:val="24"/>
                <w:szCs w:val="24"/>
                <w:u w:val="single"/>
              </w:rPr>
              <w:t>过程中会搅动</w:t>
            </w:r>
            <w:r>
              <w:rPr>
                <w:rFonts w:hint="eastAsia" w:ascii="Times New Roman" w:hAnsi="Times New Roman" w:eastAsia="宋体" w:cs="Times New Roman"/>
                <w:sz w:val="24"/>
                <w:szCs w:val="24"/>
                <w:u w:val="single"/>
              </w:rPr>
              <w:t>内湖</w:t>
            </w:r>
            <w:r>
              <w:rPr>
                <w:rFonts w:ascii="Times New Roman" w:hAnsi="Times New Roman" w:eastAsia="宋体" w:cs="Times New Roman"/>
                <w:sz w:val="24"/>
                <w:szCs w:val="24"/>
                <w:u w:val="single"/>
              </w:rPr>
              <w:t>中的部分底泥，使其中的污染物散发，对水质产生影响。根据底泥重金属形态及迁移转化的相关研究成果，水体中重金属污染物经絮凝沉降作用，随泥沙一起沉积在河床中，底泥重金属形态一般以硫化物结合态为主，含量最高，约占75%，腐殖质结合态和硝酸盐结合态的含量约为8~10%，盐酸盐物质结合态约占10%，水溶性物质为可给态，含量约为5%。结合态要转化为毒性最大的离子态需要一定的条件，这些条件就是水体的pH、温度、重金属的原始浓度等。区域多年平均温度为23.8℃，pH为6~7，这些条件有利于悬浮物絮凝、聚合、络合等物理化学过程的进行，使重金属进入底泥。同时，根据污染源调查，本规划</w:t>
            </w:r>
            <w:r>
              <w:rPr>
                <w:rFonts w:hint="eastAsia" w:ascii="Times New Roman" w:hAnsi="Times New Roman" w:eastAsia="宋体" w:cs="Times New Roman"/>
                <w:sz w:val="24"/>
                <w:szCs w:val="24"/>
                <w:u w:val="single"/>
              </w:rPr>
              <w:t>范围内</w:t>
            </w:r>
            <w:r>
              <w:rPr>
                <w:rFonts w:ascii="Times New Roman" w:hAnsi="Times New Roman" w:eastAsia="宋体" w:cs="Times New Roman"/>
                <w:sz w:val="24"/>
                <w:szCs w:val="24"/>
                <w:u w:val="single"/>
              </w:rPr>
              <w:t>均无排酸性废水的重大污染源，</w:t>
            </w:r>
            <w:r>
              <w:rPr>
                <w:rFonts w:hint="eastAsia" w:ascii="Times New Roman" w:hAnsi="Times New Roman" w:eastAsia="宋体" w:cs="Times New Roman"/>
                <w:sz w:val="24"/>
                <w:szCs w:val="24"/>
                <w:u w:val="single"/>
              </w:rPr>
              <w:t>清淤</w:t>
            </w:r>
            <w:r>
              <w:rPr>
                <w:rFonts w:ascii="Times New Roman" w:hAnsi="Times New Roman" w:eastAsia="宋体" w:cs="Times New Roman"/>
                <w:sz w:val="24"/>
                <w:szCs w:val="24"/>
                <w:u w:val="single"/>
              </w:rPr>
              <w:t>作业也不产生酸性废水，作业搅动底泥，产生底泥再悬浮于水体中的现象，由于作业不产生酸性废水，同时水体中pH值正常，再悬浮于水体中的重金属形态不会发生新的改变。</w:t>
            </w:r>
          </w:p>
          <w:p>
            <w:pPr>
              <w:pStyle w:val="34"/>
              <w:ind w:firstLine="480"/>
              <w:rPr>
                <w:u w:val="single"/>
              </w:rPr>
            </w:pPr>
            <w:r>
              <w:rPr>
                <w:u w:val="single"/>
              </w:rPr>
              <w:t>因此，</w:t>
            </w:r>
            <w:r>
              <w:rPr>
                <w:rFonts w:hint="eastAsia"/>
                <w:u w:val="single"/>
              </w:rPr>
              <w:t>清淤</w:t>
            </w:r>
            <w:r>
              <w:rPr>
                <w:u w:val="single"/>
              </w:rPr>
              <w:t>作业除增加作业区局部水域水体中悬浮物浓度外，也可能造成重金属的二次污染，随着开采的结束，对内湖的影响也越来越小。</w:t>
            </w:r>
          </w:p>
          <w:p>
            <w:pPr>
              <w:pStyle w:val="34"/>
              <w:ind w:firstLine="480"/>
              <w:rPr>
                <w:u w:val="single"/>
              </w:rPr>
            </w:pPr>
            <w:r>
              <w:rPr>
                <w:rFonts w:hint="eastAsia"/>
                <w:u w:val="single"/>
              </w:rPr>
              <w:t>（7）项目实施的水文情势影响</w:t>
            </w:r>
          </w:p>
          <w:p>
            <w:pPr>
              <w:pStyle w:val="34"/>
              <w:ind w:firstLine="480"/>
              <w:rPr>
                <w:u w:val="single"/>
              </w:rPr>
            </w:pPr>
            <w:r>
              <w:rPr>
                <w:rFonts w:hint="eastAsia"/>
                <w:u w:val="single"/>
              </w:rPr>
              <w:t>通过项目的事实，可清理鼻湖底泥约为</w:t>
            </w:r>
            <w:r>
              <w:rPr>
                <w:u w:val="single"/>
              </w:rPr>
              <w:t>314.10万m</w:t>
            </w:r>
            <w:r>
              <w:rPr>
                <w:u w:val="single"/>
                <w:vertAlign w:val="superscript"/>
              </w:rPr>
              <w:t>3</w:t>
            </w:r>
            <w:r>
              <w:rPr>
                <w:rFonts w:hint="eastAsia"/>
                <w:u w:val="single"/>
              </w:rPr>
              <w:t>，项目实施不会改变鼻湖基础河床形式，但通过清淤可有效增加鼻湖库容，增强鼻湖调洪蓄洪的能力，对鼻湖水文情势有正效益影响。</w:t>
            </w:r>
          </w:p>
          <w:p>
            <w:pPr>
              <w:pStyle w:val="34"/>
              <w:ind w:firstLine="480"/>
            </w:pPr>
            <w:r>
              <w:t>4、施工期声</w:t>
            </w:r>
            <w:r>
              <w:rPr>
                <w:rFonts w:hint="eastAsia"/>
              </w:rPr>
              <w:t>环境</w:t>
            </w:r>
            <w:r>
              <w:t>影响分析</w:t>
            </w:r>
          </w:p>
          <w:p>
            <w:pPr>
              <w:pStyle w:val="34"/>
              <w:ind w:firstLine="480"/>
            </w:pPr>
            <w:r>
              <w:t>施工噪声主要为各种作业机械</w:t>
            </w:r>
            <w:r>
              <w:rPr>
                <w:rFonts w:hint="eastAsia"/>
              </w:rPr>
              <w:t>（</w:t>
            </w:r>
            <w:r>
              <w:t>挖泥船、水泵等</w:t>
            </w:r>
            <w:r>
              <w:rPr>
                <w:rFonts w:hint="eastAsia"/>
              </w:rPr>
              <w:t>）</w:t>
            </w:r>
            <w:r>
              <w:t>和运输车辆施工产生的噪声，施工作业及物料运输噪声会对沿线居民生活产生一定</w:t>
            </w:r>
            <w:r>
              <w:rPr>
                <w:rFonts w:hint="eastAsia"/>
              </w:rPr>
              <w:t>影响。</w:t>
            </w:r>
          </w:p>
          <w:p>
            <w:pPr>
              <w:pStyle w:val="34"/>
              <w:ind w:firstLine="480"/>
            </w:pPr>
            <w:r>
              <w:rPr>
                <w:rFonts w:hint="eastAsia"/>
              </w:rPr>
              <w:t>（</w:t>
            </w:r>
            <w:r>
              <w:t>1</w:t>
            </w:r>
            <w:r>
              <w:rPr>
                <w:rFonts w:hint="eastAsia"/>
              </w:rPr>
              <w:t>）</w:t>
            </w:r>
            <w:r>
              <w:t>施工期噪声源</w:t>
            </w:r>
          </w:p>
          <w:p>
            <w:pPr>
              <w:pStyle w:val="34"/>
              <w:ind w:firstLine="480"/>
            </w:pPr>
            <w:r>
              <w:rPr>
                <w:rFonts w:hint="eastAsia"/>
              </w:rPr>
              <w:t>本项目施工期的噪声主要来源于施工机械和施工设备，这些机械运行时在距离声源</w:t>
            </w:r>
            <w:r>
              <w:t>5m处的噪声可高达70~90dB(A)。</w:t>
            </w:r>
          </w:p>
          <w:p>
            <w:pPr>
              <w:pStyle w:val="34"/>
              <w:ind w:firstLine="480"/>
            </w:pPr>
            <w:r>
              <w:rPr>
                <w:rFonts w:hint="eastAsia"/>
              </w:rPr>
              <w:t>（</w:t>
            </w:r>
            <w:r>
              <w:t>2</w:t>
            </w:r>
            <w:r>
              <w:rPr>
                <w:rFonts w:hint="eastAsia"/>
              </w:rPr>
              <w:t>）</w:t>
            </w:r>
            <w:r>
              <w:t>施工噪声</w:t>
            </w:r>
            <w:r>
              <w:rPr>
                <w:rFonts w:hint="eastAsia"/>
              </w:rPr>
              <w:t>预防</w:t>
            </w:r>
            <w:r>
              <w:t>法和预测模式</w:t>
            </w:r>
          </w:p>
          <w:p>
            <w:pPr>
              <w:pStyle w:val="34"/>
              <w:ind w:firstLine="480"/>
            </w:pPr>
            <w:r>
              <w:rPr>
                <w:rFonts w:hint="eastAsia"/>
              </w:rPr>
              <w:t>鉴于施工噪声的复杂性，以及施工噪声影响的区域性和阶段性，本评价根据《建筑施工场界环境噪声排放标准》</w:t>
            </w:r>
            <w:r>
              <w:t>(GB12523-2011)，针对</w:t>
            </w:r>
            <w:r>
              <w:rPr>
                <w:rFonts w:hint="eastAsia"/>
              </w:rPr>
              <w:t>不同</w:t>
            </w:r>
            <w:r>
              <w:t>施工阶段计算出不同施工设备的噪声污染范围，以便施工单位在施工时结合实际情况采取适当的噪声污染防治措施。</w:t>
            </w:r>
          </w:p>
          <w:p>
            <w:pPr>
              <w:pStyle w:val="34"/>
              <w:ind w:firstLine="480"/>
            </w:pPr>
            <w:r>
              <w:rPr>
                <w:rFonts w:hint="eastAsia"/>
              </w:rPr>
              <w:t>施工噪声可近似视为点源处理，根据点源噪声衰减模式，估算出离声源不同距离处的噪声值，预测模式如下：</w:t>
            </w:r>
          </w:p>
          <w:p>
            <w:pPr>
              <w:pStyle w:val="34"/>
              <w:ind w:firstLine="480"/>
            </w:pPr>
            <w:r>
              <w:t>L1=L。201g (RR)-AL式中</w:t>
            </w:r>
            <w:r>
              <w:rPr>
                <w:rFonts w:hint="eastAsia"/>
              </w:rPr>
              <w:t>：</w:t>
            </w:r>
            <w:r>
              <w:t>L距声源R米处的施工噪声预测值，dB;</w:t>
            </w:r>
          </w:p>
          <w:p>
            <w:pPr>
              <w:pStyle w:val="34"/>
              <w:ind w:firstLine="480"/>
            </w:pPr>
            <w:r>
              <w:t>Lo一距声源 R米的施工噪声级，dB;</w:t>
            </w:r>
          </w:p>
          <w:p>
            <w:pPr>
              <w:pStyle w:val="34"/>
              <w:ind w:firstLine="480"/>
            </w:pPr>
            <w:r>
              <w:t>AL一障碍物、植被、空气等产生的附加</w:t>
            </w:r>
            <w:r>
              <w:rPr>
                <w:rFonts w:hint="eastAsia"/>
              </w:rPr>
              <w:t>衰减</w:t>
            </w:r>
            <w:r>
              <w:t>量。</w:t>
            </w:r>
          </w:p>
          <w:p>
            <w:pPr>
              <w:pStyle w:val="34"/>
              <w:ind w:firstLine="480"/>
            </w:pPr>
            <w:r>
              <w:rPr>
                <w:rFonts w:hint="eastAsia"/>
              </w:rPr>
              <w:t>（</w:t>
            </w:r>
            <w:r>
              <w:t>3</w:t>
            </w:r>
            <w:r>
              <w:rPr>
                <w:rFonts w:hint="eastAsia"/>
              </w:rPr>
              <w:t>）</w:t>
            </w:r>
            <w:r>
              <w:t>施工噪声影响范围计算和影响分析</w:t>
            </w:r>
          </w:p>
          <w:p>
            <w:pPr>
              <w:pStyle w:val="34"/>
              <w:ind w:firstLine="480"/>
            </w:pPr>
            <w:r>
              <w:rPr>
                <w:rFonts w:hint="eastAsia"/>
              </w:rPr>
              <w:t>大部分施工机械的施工点距离场界达</w:t>
            </w:r>
            <w:r>
              <w:t>40m时，场界噪声值可以达到《建筑施工场界环境噪声排放标准》(GB12523-2011</w:t>
            </w:r>
            <w:r>
              <w:rPr>
                <w:rFonts w:hint="eastAsia"/>
              </w:rPr>
              <w:t>）</w:t>
            </w:r>
            <w:r>
              <w:t>昼间标准，但在实际施工中，在距离</w:t>
            </w:r>
            <w:r>
              <w:rPr>
                <w:rFonts w:hint="eastAsia"/>
              </w:rPr>
              <w:t>厂界</w:t>
            </w:r>
            <w:r>
              <w:t>40m范围内施工仍是不可避免的，此时施工场界噪声将超过《建筑施工场界环境噪声排放标准》(GB12523-2011</w:t>
            </w:r>
            <w:r>
              <w:rPr>
                <w:rFonts w:hint="eastAsia"/>
              </w:rPr>
              <w:t>）</w:t>
            </w:r>
            <w:r>
              <w:t>昼间标准</w:t>
            </w:r>
            <w:r>
              <w:rPr>
                <w:rFonts w:hint="eastAsia"/>
              </w:rPr>
              <w:t>；</w:t>
            </w:r>
            <w:r>
              <w:t>若夜间施工，噪声在施工点 200m之外的范围才能达到建筑施工场界环境噪声排放标准</w:t>
            </w:r>
            <w:r>
              <w:rPr>
                <w:rFonts w:hint="eastAsia"/>
              </w:rPr>
              <w:t>（</w:t>
            </w:r>
            <w:r>
              <w:t>GB12523-2011</w:t>
            </w:r>
            <w:r>
              <w:rPr>
                <w:rFonts w:hint="eastAsia"/>
              </w:rPr>
              <w:t>）</w:t>
            </w:r>
            <w:r>
              <w:t>夜间标准。项目噪声设备主要为挖泥船、风水</w:t>
            </w:r>
            <w:r>
              <w:rPr>
                <w:rFonts w:hint="eastAsia"/>
              </w:rPr>
              <w:t>（</w:t>
            </w:r>
            <w:r>
              <w:t>砂</w:t>
            </w:r>
            <w:r>
              <w:rPr>
                <w:rFonts w:hint="eastAsia"/>
              </w:rPr>
              <w:t>）</w:t>
            </w:r>
            <w:r>
              <w:t>枪及运输车辆，且距离最近敏感点</w:t>
            </w:r>
            <w:r>
              <w:rPr>
                <w:rFonts w:hint="eastAsia"/>
              </w:rPr>
              <w:t>距离施工场地约1</w:t>
            </w:r>
            <w:r>
              <w:t>0m，通过采取隔声围挡、基础减振等措施后，对其影响较小。根据场界噪声监测结果，项目厂界现状噪声可满足《声环境质量标准》(GB3096-2008</w:t>
            </w:r>
            <w:r>
              <w:rPr>
                <w:rFonts w:hint="eastAsia"/>
              </w:rPr>
              <w:t>）</w:t>
            </w:r>
            <w:r>
              <w:t>中的2类标准。</w:t>
            </w:r>
          </w:p>
          <w:p>
            <w:pPr>
              <w:pStyle w:val="34"/>
              <w:ind w:firstLine="480"/>
              <w:rPr>
                <w:u w:val="single"/>
              </w:rPr>
            </w:pPr>
            <w:r>
              <w:rPr>
                <w:rFonts w:hint="eastAsia"/>
                <w:u w:val="single"/>
              </w:rPr>
              <w:t>5</w:t>
            </w:r>
            <w:r>
              <w:rPr>
                <w:u w:val="single"/>
              </w:rPr>
              <w:t>、施工期固体废物</w:t>
            </w:r>
          </w:p>
          <w:p>
            <w:pPr>
              <w:pStyle w:val="34"/>
              <w:ind w:firstLine="480"/>
              <w:rPr>
                <w:u w:val="single"/>
              </w:rPr>
            </w:pPr>
            <w:r>
              <w:rPr>
                <w:rFonts w:hint="eastAsia"/>
                <w:u w:val="single"/>
              </w:rPr>
              <w:t>（1）</w:t>
            </w:r>
            <w:r>
              <w:rPr>
                <w:u w:val="single"/>
              </w:rPr>
              <w:t>施工人员生活垃圾</w:t>
            </w:r>
          </w:p>
          <w:p>
            <w:pPr>
              <w:pStyle w:val="34"/>
              <w:ind w:firstLine="480"/>
              <w:rPr>
                <w:u w:val="single"/>
              </w:rPr>
            </w:pPr>
            <w:r>
              <w:rPr>
                <w:u w:val="single"/>
              </w:rPr>
              <w:t>本项目施工期施工人员为40人，</w:t>
            </w:r>
            <w:r>
              <w:rPr>
                <w:rFonts w:hint="eastAsia"/>
                <w:u w:val="single"/>
              </w:rPr>
              <w:t>按照0.5kg/人·d计，施工期生活垃圾共计14.4t。</w:t>
            </w:r>
            <w:r>
              <w:rPr>
                <w:u w:val="single"/>
              </w:rPr>
              <w:t>施工人员生活垃圾经收集后交环卫部门清运。</w:t>
            </w:r>
          </w:p>
          <w:p>
            <w:pPr>
              <w:pStyle w:val="34"/>
              <w:ind w:firstLine="480"/>
              <w:rPr>
                <w:u w:val="single"/>
              </w:rPr>
            </w:pPr>
            <w:r>
              <w:rPr>
                <w:rFonts w:hint="eastAsia"/>
                <w:u w:val="single"/>
              </w:rPr>
              <w:t>（2）</w:t>
            </w:r>
            <w:r>
              <w:rPr>
                <w:u w:val="single"/>
              </w:rPr>
              <w:t>疏浚废弃物</w:t>
            </w:r>
          </w:p>
          <w:p>
            <w:pPr>
              <w:pStyle w:val="34"/>
              <w:ind w:firstLine="480"/>
              <w:rPr>
                <w:u w:val="single"/>
              </w:rPr>
            </w:pPr>
            <w:r>
              <w:rPr>
                <w:u w:val="single"/>
              </w:rPr>
              <w:t>本工程土石方开挖共计316.53万m</w:t>
            </w:r>
            <w:r>
              <w:rPr>
                <w:u w:val="single"/>
                <w:vertAlign w:val="superscript"/>
              </w:rPr>
              <w:t>3</w:t>
            </w:r>
            <w:r>
              <w:rPr>
                <w:u w:val="single"/>
              </w:rPr>
              <w:t>，土方填筑共计780m</w:t>
            </w:r>
            <w:r>
              <w:rPr>
                <w:u w:val="single"/>
                <w:vertAlign w:val="superscript"/>
              </w:rPr>
              <w:t>3</w:t>
            </w:r>
            <w:r>
              <w:rPr>
                <w:u w:val="single"/>
              </w:rPr>
              <w:t>。其中土石方开挖料部分用于自身回填。经土石方平衡规划，共计利用土石方开挖料为17.50万m</w:t>
            </w:r>
            <w:r>
              <w:rPr>
                <w:u w:val="single"/>
                <w:vertAlign w:val="superscript"/>
              </w:rPr>
              <w:t>3</w:t>
            </w:r>
            <w:r>
              <w:rPr>
                <w:u w:val="single"/>
              </w:rPr>
              <w:t>，</w:t>
            </w:r>
            <w:r>
              <w:rPr>
                <w:rFonts w:hint="eastAsia"/>
                <w:u w:val="single"/>
              </w:rPr>
              <w:t>剩余清淤料</w:t>
            </w:r>
            <w:r>
              <w:rPr>
                <w:u w:val="single"/>
              </w:rPr>
              <w:t>299.03万m</w:t>
            </w:r>
            <w:r>
              <w:rPr>
                <w:u w:val="single"/>
                <w:vertAlign w:val="superscript"/>
              </w:rPr>
              <w:t>3</w:t>
            </w:r>
            <w:r>
              <w:rPr>
                <w:rFonts w:hint="eastAsia"/>
                <w:u w:val="single"/>
              </w:rPr>
              <w:t>。疏浚物主要成分为淤泥河砂石，砂石占比约为1</w:t>
            </w:r>
            <w:r>
              <w:rPr>
                <w:u w:val="single"/>
              </w:rPr>
              <w:t>0%</w:t>
            </w:r>
            <w:r>
              <w:rPr>
                <w:rFonts w:hint="eastAsia"/>
                <w:u w:val="single"/>
              </w:rPr>
              <w:t>，采用砂石分离机分离砂石后，砂石可作为建筑材料外售，淤泥初始含水率约为9</w:t>
            </w:r>
            <w:r>
              <w:rPr>
                <w:u w:val="single"/>
              </w:rPr>
              <w:t>5%</w:t>
            </w:r>
            <w:r>
              <w:rPr>
                <w:rFonts w:hint="eastAsia"/>
                <w:u w:val="single"/>
              </w:rPr>
              <w:t>，经脱水至8</w:t>
            </w:r>
            <w:r>
              <w:rPr>
                <w:u w:val="single"/>
              </w:rPr>
              <w:t>0%</w:t>
            </w:r>
            <w:r>
              <w:rPr>
                <w:rFonts w:hint="eastAsia"/>
                <w:u w:val="single"/>
              </w:rPr>
              <w:t>以下后作为弃渣，根据规划，</w:t>
            </w:r>
            <w:r>
              <w:rPr>
                <w:u w:val="single"/>
              </w:rPr>
              <w:t>弃渣由县级以上人民政府统一组织经营管理。</w:t>
            </w:r>
          </w:p>
          <w:p>
            <w:pPr>
              <w:pStyle w:val="34"/>
              <w:ind w:firstLine="480"/>
              <w:rPr>
                <w:u w:val="single"/>
              </w:rPr>
            </w:pPr>
            <w:r>
              <w:rPr>
                <w:rFonts w:hint="eastAsia"/>
                <w:u w:val="single"/>
              </w:rPr>
              <w:t>（3）危险废物</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施工期产生的危险废物为油水分离器产生的少量废油、施工车辆擦拭零件的含油抹布。</w:t>
            </w:r>
            <w:r>
              <w:rPr>
                <w:rFonts w:hint="eastAsia" w:ascii="Times New Roman" w:hAnsi="Times New Roman" w:cs="Times New Roman"/>
                <w:sz w:val="24"/>
                <w:szCs w:val="24"/>
                <w:u w:val="single"/>
              </w:rPr>
              <w:t>在</w:t>
            </w:r>
            <w:r>
              <w:rPr>
                <w:rFonts w:ascii="Times New Roman" w:hAnsi="Times New Roman" w:eastAsia="宋体" w:cs="Times New Roman"/>
                <w:sz w:val="24"/>
                <w:szCs w:val="24"/>
                <w:u w:val="single"/>
              </w:rPr>
              <w:t>工区设置危废间，危废均采用贮存桶贮存，并委托有危废资质单位处理。</w:t>
            </w:r>
          </w:p>
          <w:p>
            <w:pPr>
              <w:pStyle w:val="39"/>
              <w:spacing w:before="156"/>
            </w:pPr>
            <w:r>
              <w:t>表</w:t>
            </w:r>
            <w:r>
              <w:rPr>
                <w:rFonts w:hint="eastAsia"/>
              </w:rPr>
              <w:t xml:space="preserve">4-6  </w:t>
            </w:r>
            <w:r>
              <w:t>项目产生危废特性</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294"/>
              <w:gridCol w:w="1014"/>
              <w:gridCol w:w="503"/>
              <w:gridCol w:w="1369"/>
              <w:gridCol w:w="1266"/>
              <w:gridCol w:w="2998"/>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0"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序号</w:t>
                  </w:r>
                </w:p>
              </w:tc>
              <w:tc>
                <w:tcPr>
                  <w:tcW w:w="623"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固废名称</w:t>
                  </w:r>
                </w:p>
              </w:tc>
              <w:tc>
                <w:tcPr>
                  <w:tcW w:w="309"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产生工序</w:t>
                  </w:r>
                </w:p>
              </w:tc>
              <w:tc>
                <w:tcPr>
                  <w:tcW w:w="840"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废物类别</w:t>
                  </w:r>
                </w:p>
              </w:tc>
              <w:tc>
                <w:tcPr>
                  <w:tcW w:w="778"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废物</w:t>
                  </w:r>
                </w:p>
                <w:p>
                  <w:pPr>
                    <w:jc w:val="center"/>
                    <w:rPr>
                      <w:rFonts w:ascii="Times New Roman" w:hAnsi="Times New Roman"/>
                      <w:szCs w:val="21"/>
                      <w:u w:val="single"/>
                    </w:rPr>
                  </w:pPr>
                  <w:r>
                    <w:rPr>
                      <w:rFonts w:ascii="Times New Roman" w:hAnsi="Times New Roman" w:eastAsia="宋体" w:cs="Times New Roman"/>
                      <w:szCs w:val="21"/>
                      <w:u w:val="single"/>
                    </w:rPr>
                    <w:t>代码</w:t>
                  </w:r>
                </w:p>
              </w:tc>
              <w:tc>
                <w:tcPr>
                  <w:tcW w:w="1841"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危险废物</w:t>
                  </w:r>
                </w:p>
              </w:tc>
              <w:tc>
                <w:tcPr>
                  <w:tcW w:w="426"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0"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1</w:t>
                  </w:r>
                </w:p>
              </w:tc>
              <w:tc>
                <w:tcPr>
                  <w:tcW w:w="623"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废油</w:t>
                  </w:r>
                </w:p>
              </w:tc>
              <w:tc>
                <w:tcPr>
                  <w:tcW w:w="309"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油水分离器</w:t>
                  </w:r>
                </w:p>
              </w:tc>
              <w:tc>
                <w:tcPr>
                  <w:tcW w:w="840"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HW08 废矿物油与含矿物油废物</w:t>
                  </w:r>
                </w:p>
              </w:tc>
              <w:tc>
                <w:tcPr>
                  <w:tcW w:w="778"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900-210-08</w:t>
                  </w:r>
                </w:p>
              </w:tc>
              <w:tc>
                <w:tcPr>
                  <w:tcW w:w="1841"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含油废水处理中隔油处理过程中产生的浮油、浮渣和污泥（不包括废水生化处理污泥）</w:t>
                  </w:r>
                </w:p>
              </w:tc>
              <w:tc>
                <w:tcPr>
                  <w:tcW w:w="426"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0"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3</w:t>
                  </w:r>
                </w:p>
              </w:tc>
              <w:tc>
                <w:tcPr>
                  <w:tcW w:w="623"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废弃的含油抹布、劳保用品</w:t>
                  </w:r>
                </w:p>
              </w:tc>
              <w:tc>
                <w:tcPr>
                  <w:tcW w:w="309"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车辆维修</w:t>
                  </w:r>
                </w:p>
              </w:tc>
              <w:tc>
                <w:tcPr>
                  <w:tcW w:w="840"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HW49 其他废物</w:t>
                  </w:r>
                </w:p>
              </w:tc>
              <w:tc>
                <w:tcPr>
                  <w:tcW w:w="778"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900-041-49</w:t>
                  </w:r>
                </w:p>
              </w:tc>
              <w:tc>
                <w:tcPr>
                  <w:tcW w:w="1841"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含有或沾染毒性、感染性危险废物的废弃包装物、容器、过滤吸附介质</w:t>
                  </w:r>
                </w:p>
              </w:tc>
              <w:tc>
                <w:tcPr>
                  <w:tcW w:w="426" w:type="pct"/>
                  <w:vAlign w:val="center"/>
                </w:tcPr>
                <w:p>
                  <w:pPr>
                    <w:jc w:val="center"/>
                    <w:rPr>
                      <w:rFonts w:ascii="Times New Roman" w:hAnsi="Times New Roman"/>
                      <w:szCs w:val="21"/>
                      <w:u w:val="single"/>
                    </w:rPr>
                  </w:pPr>
                  <w:r>
                    <w:rPr>
                      <w:rFonts w:ascii="Times New Roman" w:hAnsi="Times New Roman" w:eastAsia="宋体" w:cs="Times New Roman"/>
                      <w:szCs w:val="21"/>
                      <w:u w:val="single"/>
                    </w:rPr>
                    <w:t>T</w:t>
                  </w:r>
                </w:p>
              </w:tc>
            </w:tr>
          </w:tbl>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采取上述治理措施后，本项目固废对周围环境产生影响较小。</w:t>
            </w:r>
          </w:p>
          <w:p>
            <w:pPr>
              <w:pStyle w:val="34"/>
              <w:ind w:firstLine="480"/>
            </w:pPr>
            <w:r>
              <w:rPr>
                <w:rFonts w:hint="eastAsia"/>
              </w:rPr>
              <w:t>6、</w:t>
            </w:r>
            <w:r>
              <w:t>环境风险影响分析</w:t>
            </w:r>
          </w:p>
          <w:p>
            <w:pPr>
              <w:pStyle w:val="34"/>
              <w:ind w:firstLine="480"/>
              <w:rPr>
                <w:u w:val="single"/>
              </w:rPr>
            </w:pPr>
            <w:r>
              <w:rPr>
                <w:u w:val="single"/>
              </w:rPr>
              <w:t>项目</w:t>
            </w:r>
            <w:r>
              <w:rPr>
                <w:rFonts w:hint="eastAsia"/>
                <w:u w:val="single"/>
              </w:rPr>
              <w:t>主要</w:t>
            </w:r>
            <w:r>
              <w:rPr>
                <w:u w:val="single"/>
              </w:rPr>
              <w:t>为河道清淤工程，施工期间</w:t>
            </w:r>
            <w:r>
              <w:rPr>
                <w:rFonts w:hint="eastAsia"/>
                <w:u w:val="single"/>
              </w:rPr>
              <w:t>车辆船舶、施工机械</w:t>
            </w:r>
            <w:r>
              <w:rPr>
                <w:u w:val="single"/>
              </w:rPr>
              <w:t>等需要用柴油，施工过程中挖掘机剧烈碰撞等会导致油品泄漏事故，事故一旦发生，会对河道水域及邻近岸线造成不利影响。因此，工程中涉及的危险物质为柴油。</w:t>
            </w:r>
          </w:p>
          <w:p>
            <w:pPr>
              <w:pStyle w:val="34"/>
              <w:ind w:firstLine="480"/>
              <w:rPr>
                <w:u w:val="single"/>
              </w:rPr>
            </w:pPr>
            <w:r>
              <w:rPr>
                <w:rFonts w:hint="eastAsia"/>
                <w:u w:val="single"/>
              </w:rPr>
              <w:t>（1）</w:t>
            </w:r>
            <w:r>
              <w:rPr>
                <w:u w:val="single"/>
              </w:rPr>
              <w:t>物质危险性识别</w:t>
            </w:r>
          </w:p>
          <w:p>
            <w:pPr>
              <w:pStyle w:val="34"/>
              <w:ind w:firstLine="480"/>
              <w:rPr>
                <w:u w:val="single"/>
              </w:rPr>
            </w:pPr>
            <w:r>
              <w:rPr>
                <w:u w:val="single"/>
              </w:rPr>
              <w:t>项目施工期无有毒、有害物质，也无可燃、易燃原辅材料。事故风险主要来源为突发性事故溢油引起水质污染。</w:t>
            </w:r>
          </w:p>
          <w:p>
            <w:pPr>
              <w:pStyle w:val="34"/>
              <w:ind w:firstLine="480"/>
              <w:rPr>
                <w:u w:val="single"/>
              </w:rPr>
            </w:pPr>
            <w:r>
              <w:rPr>
                <w:u w:val="single"/>
              </w:rPr>
              <w:t>燃料油为馏分型燃料，属于易燃性物质，同时又有易蒸发的特点，挥发后与空气形成可燃性混合物，当混合物浓度达到一定比例时，遇到火种就可能燃</w:t>
            </w:r>
            <w:r>
              <w:rPr>
                <w:spacing w:val="-7"/>
                <w:u w:val="single"/>
              </w:rPr>
              <w:t>烧和爆炸。通常采用闪点作为易燃液体的标准，凡闪点</w:t>
            </w:r>
            <w:r>
              <w:rPr>
                <w:u w:val="single"/>
              </w:rPr>
              <w:t>≤61℃</w:t>
            </w:r>
            <w:r>
              <w:rPr>
                <w:spacing w:val="-3"/>
                <w:u w:val="single"/>
              </w:rPr>
              <w:t>的液体均为易燃液</w:t>
            </w:r>
            <w:r>
              <w:rPr>
                <w:spacing w:val="-8"/>
                <w:u w:val="single"/>
              </w:rPr>
              <w:t>体。根据《车用柴油》</w:t>
            </w:r>
            <w:r>
              <w:rPr>
                <w:u w:val="single"/>
              </w:rPr>
              <w:t xml:space="preserve">（GB </w:t>
            </w:r>
            <w:r>
              <w:rPr>
                <w:spacing w:val="-3"/>
                <w:u w:val="single"/>
              </w:rPr>
              <w:t>19147-2016）</w:t>
            </w:r>
            <w:r>
              <w:rPr>
                <w:spacing w:val="-7"/>
                <w:u w:val="single"/>
              </w:rPr>
              <w:t xml:space="preserve">，车用柴油的闪点一般 </w:t>
            </w:r>
            <w:r>
              <w:rPr>
                <w:spacing w:val="-4"/>
                <w:u w:val="single"/>
              </w:rPr>
              <w:t>60℃</w:t>
            </w:r>
            <w:r>
              <w:rPr>
                <w:spacing w:val="-6"/>
                <w:u w:val="single"/>
              </w:rPr>
              <w:t>，属于易</w:t>
            </w:r>
            <w:r>
              <w:rPr>
                <w:u w:val="single"/>
              </w:rPr>
              <w:t>燃液体。</w:t>
            </w:r>
          </w:p>
          <w:p>
            <w:pPr>
              <w:pStyle w:val="34"/>
              <w:ind w:firstLine="480"/>
              <w:rPr>
                <w:u w:val="single"/>
              </w:rPr>
            </w:pPr>
            <w:r>
              <w:rPr>
                <w:rFonts w:hint="eastAsia"/>
                <w:u w:val="single"/>
              </w:rPr>
              <w:t>（2）</w:t>
            </w:r>
            <w:r>
              <w:rPr>
                <w:u w:val="single"/>
              </w:rPr>
              <w:t>生产设施风险识别</w:t>
            </w:r>
          </w:p>
          <w:p>
            <w:pPr>
              <w:pStyle w:val="34"/>
              <w:ind w:firstLine="480"/>
              <w:rPr>
                <w:u w:val="single"/>
              </w:rPr>
            </w:pPr>
            <w:r>
              <w:rPr>
                <w:u w:val="single"/>
              </w:rPr>
              <w:t>主要为清淤阶段车辆</w:t>
            </w:r>
            <w:r>
              <w:rPr>
                <w:rFonts w:hint="eastAsia"/>
                <w:u w:val="single"/>
              </w:rPr>
              <w:t>船舶</w:t>
            </w:r>
            <w:r>
              <w:rPr>
                <w:u w:val="single"/>
              </w:rPr>
              <w:t>碰撞、侧翻等事故造成柴油泄漏，造成水域油污染。</w:t>
            </w:r>
          </w:p>
          <w:p>
            <w:pPr>
              <w:pStyle w:val="34"/>
              <w:ind w:firstLine="480"/>
              <w:rPr>
                <w:u w:val="single"/>
              </w:rPr>
            </w:pPr>
            <w:r>
              <w:rPr>
                <w:rFonts w:hint="eastAsia"/>
                <w:u w:val="single"/>
              </w:rPr>
              <w:t>（3）</w:t>
            </w:r>
            <w:r>
              <w:rPr>
                <w:u w:val="single"/>
              </w:rPr>
              <w:t>溢油事故环境风险分析</w:t>
            </w:r>
          </w:p>
          <w:p>
            <w:pPr>
              <w:pStyle w:val="34"/>
              <w:ind w:firstLine="480"/>
              <w:rPr>
                <w:u w:val="single"/>
              </w:rPr>
            </w:pPr>
            <w:r>
              <w:rPr>
                <w:u w:val="single"/>
              </w:rPr>
              <w:t>施工期间发生事故溢油后溶解分散于水体的油污的含量起初取决于溶解、分散、吸附和凝聚作用，然后受控于沉积、光氧化、生物化学作用。分散态油</w:t>
            </w:r>
            <w:r>
              <w:rPr>
                <w:spacing w:val="7"/>
                <w:u w:val="single"/>
              </w:rPr>
              <w:t>污是对水生生物产生直接危害的形式</w:t>
            </w:r>
            <w:r>
              <w:rPr>
                <w:rFonts w:hint="eastAsia"/>
                <w:spacing w:val="7"/>
                <w:u w:val="single"/>
              </w:rPr>
              <w:t>，</w:t>
            </w:r>
            <w:r>
              <w:rPr>
                <w:spacing w:val="6"/>
                <w:u w:val="single"/>
              </w:rPr>
              <w:t>它的毒性</w:t>
            </w:r>
            <w:r>
              <w:rPr>
                <w:rFonts w:hint="eastAsia"/>
                <w:spacing w:val="6"/>
                <w:u w:val="single"/>
              </w:rPr>
              <w:t>与组分</w:t>
            </w:r>
            <w:r>
              <w:rPr>
                <w:spacing w:val="6"/>
                <w:u w:val="single"/>
              </w:rPr>
              <w:t>的性质及其分散程度有</w:t>
            </w:r>
            <w:r>
              <w:rPr>
                <w:spacing w:val="-5"/>
                <w:u w:val="single"/>
              </w:rPr>
              <w:t>关，芳香类化合物的毒性较大，且芳环的数目越多，毒性越大。有关研究表明，油污对水环境及水生生态环境的危害主要体现在以下几方面：</w:t>
            </w:r>
          </w:p>
          <w:p>
            <w:pPr>
              <w:pStyle w:val="34"/>
              <w:ind w:firstLine="480"/>
              <w:rPr>
                <w:u w:val="single"/>
              </w:rPr>
            </w:pPr>
            <w:r>
              <w:rPr>
                <w:rFonts w:hint="eastAsia"/>
                <w:u w:val="single"/>
              </w:rPr>
              <w:t>①</w:t>
            </w:r>
            <w:r>
              <w:rPr>
                <w:u w:val="single"/>
              </w:rPr>
              <w:t>对浮游生物的影响</w:t>
            </w:r>
          </w:p>
          <w:p>
            <w:pPr>
              <w:pStyle w:val="34"/>
              <w:ind w:firstLine="480"/>
              <w:rPr>
                <w:u w:val="single"/>
              </w:rPr>
            </w:pPr>
            <w:r>
              <w:rPr>
                <w:u w:val="single"/>
              </w:rPr>
              <w:t>泄漏燃料油会破坏植物细胞，损坏叶绿素及干扰气体交换，从而妨碍植物光合作用。这种破坏作用的程度取决于石油的类型、浓度及浮游植物的种类。国内外许多毒性试验结果表明，浮游植物作为鱼虾类饵料的基础，其对各类油</w:t>
            </w:r>
            <w:r>
              <w:rPr>
                <w:spacing w:val="-1"/>
                <w:u w:val="single"/>
              </w:rPr>
              <w:t>类的耐受能力均很低，浮游植物石油急性中毒致死浓度为</w:t>
            </w:r>
            <w:r>
              <w:rPr>
                <w:u w:val="single"/>
              </w:rPr>
              <w:t>0.1</w:t>
            </w:r>
            <w:r>
              <w:rPr>
                <w:rFonts w:hint="eastAsia"/>
                <w:u w:val="single"/>
              </w:rPr>
              <w:t>—</w:t>
            </w:r>
            <w:r>
              <w:rPr>
                <w:u w:val="single"/>
              </w:rPr>
              <w:t>10mg/L，一般为1mg/L</w:t>
            </w:r>
            <w:r>
              <w:rPr>
                <w:spacing w:val="-7"/>
                <w:u w:val="single"/>
              </w:rPr>
              <w:t>。对于更敏感的生物种类</w:t>
            </w:r>
            <w:r>
              <w:rPr>
                <w:spacing w:val="-1"/>
                <w:u w:val="single"/>
              </w:rPr>
              <w:t>，</w:t>
            </w:r>
            <w:r>
              <w:rPr>
                <w:spacing w:val="-8"/>
                <w:u w:val="single"/>
              </w:rPr>
              <w:t>即使有浓度低于</w:t>
            </w:r>
            <w:r>
              <w:rPr>
                <w:u w:val="single"/>
              </w:rPr>
              <w:t>0.1mg/L</w:t>
            </w:r>
            <w:r>
              <w:rPr>
                <w:spacing w:val="-2"/>
                <w:u w:val="single"/>
              </w:rPr>
              <w:t>也会妨碍其细胞的分</w:t>
            </w:r>
            <w:r>
              <w:rPr>
                <w:u w:val="single"/>
              </w:rPr>
              <w:t>裂和生长的速率。</w:t>
            </w:r>
          </w:p>
          <w:p>
            <w:pPr>
              <w:pStyle w:val="34"/>
              <w:ind w:firstLine="480"/>
              <w:rPr>
                <w:u w:val="single"/>
              </w:rPr>
            </w:pPr>
            <w:r>
              <w:rPr>
                <w:rFonts w:hint="eastAsia" w:ascii="宋体" w:hAnsi="宋体" w:cs="宋体"/>
                <w:u w:val="single"/>
              </w:rPr>
              <w:t>②</w:t>
            </w:r>
            <w:r>
              <w:rPr>
                <w:u w:val="single"/>
              </w:rPr>
              <w:t>对底栖生物的影响</w:t>
            </w:r>
          </w:p>
          <w:p>
            <w:pPr>
              <w:pStyle w:val="34"/>
              <w:ind w:firstLine="480"/>
              <w:rPr>
                <w:u w:val="single"/>
              </w:rPr>
            </w:pPr>
            <w:r>
              <w:rPr>
                <w:u w:val="single"/>
              </w:rPr>
              <w:t>不同种类底栖生物对石油浓度的适应性具有差异，多数底栖生物石油急性中毒致死浓度范围在2.0</w:t>
            </w:r>
            <w:r>
              <w:rPr>
                <w:rFonts w:hint="eastAsia"/>
                <w:u w:val="single"/>
              </w:rPr>
              <w:t>—</w:t>
            </w:r>
            <w:r>
              <w:rPr>
                <w:u w:val="single"/>
              </w:rPr>
              <w:t>15mg/L，其幼体的致死浓度范围更小些。</w:t>
            </w:r>
          </w:p>
          <w:p>
            <w:pPr>
              <w:pStyle w:val="34"/>
              <w:ind w:firstLine="480"/>
              <w:rPr>
                <w:u w:val="single"/>
              </w:rPr>
            </w:pPr>
            <w:r>
              <w:rPr>
                <w:rFonts w:hint="eastAsia" w:ascii="宋体" w:hAnsi="宋体" w:cs="宋体"/>
                <w:u w:val="single"/>
              </w:rPr>
              <w:t>③</w:t>
            </w:r>
            <w:r>
              <w:rPr>
                <w:u w:val="single"/>
              </w:rPr>
              <w:t>对鱼类的影响</w:t>
            </w:r>
          </w:p>
          <w:p>
            <w:pPr>
              <w:pStyle w:val="34"/>
              <w:ind w:firstLine="480"/>
              <w:rPr>
                <w:u w:val="single"/>
              </w:rPr>
            </w:pPr>
            <w:r>
              <w:rPr>
                <w:u w:val="single"/>
              </w:rPr>
              <w:t>石油通常是通过鱼鳃呼吸、代谢、体表渗透和生物链传输逐渐富集于生物体内，而导致对鱼类的毒性和中毒作用，其症状主要表现为致死性、神经性、对造血功能的损伤和酶活性的抑制；慢性中毒影响，即在小剂量、低浓度之下，仍表现代谢毒性、生活毒性以及“致癌、致畸、致突变”的三致毒理效应。国内外许多研究均表明，高浓度的石油会使鱼卵和仔幼鱼短时间内中毒死亡，而低浓度石油所引起的长期亚急性毒性可干扰鱼类摄食和繁殖，其毒性随石油</w:t>
            </w:r>
            <w:r>
              <w:rPr>
                <w:rFonts w:hint="eastAsia"/>
                <w:u w:val="single"/>
              </w:rPr>
              <w:t>组分</w:t>
            </w:r>
            <w:r>
              <w:rPr>
                <w:u w:val="single"/>
              </w:rPr>
              <w:t>的不同而有差异。此外，水体中一旦发生油污染，扩散的油分子会迅速随风及水的流动而扩散，鱼类等水产资源一旦与其接触，即会在短时间内发生油臭从而影响其使用价值。</w:t>
            </w:r>
          </w:p>
          <w:p>
            <w:pPr>
              <w:pStyle w:val="34"/>
              <w:ind w:firstLine="480"/>
              <w:rPr>
                <w:u w:val="single"/>
              </w:rPr>
            </w:pPr>
            <w:r>
              <w:rPr>
                <w:rFonts w:hint="eastAsia" w:ascii="宋体" w:hAnsi="宋体" w:cs="宋体"/>
                <w:u w:val="single"/>
              </w:rPr>
              <w:t>④</w:t>
            </w:r>
            <w:r>
              <w:rPr>
                <w:u w:val="single"/>
              </w:rPr>
              <w:t>对水质的影响</w:t>
            </w:r>
          </w:p>
          <w:p>
            <w:pPr>
              <w:pStyle w:val="34"/>
              <w:ind w:firstLine="480"/>
              <w:rPr>
                <w:u w:val="single"/>
              </w:rPr>
            </w:pPr>
            <w:r>
              <w:rPr>
                <w:u w:val="single"/>
              </w:rPr>
              <w:t>溢油进入水体后在水体表面输移过程中还伴随着分化过程（蒸发、溶解、乳化），溢油的</w:t>
            </w:r>
            <w:r>
              <w:rPr>
                <w:rFonts w:hint="eastAsia"/>
                <w:u w:val="single"/>
              </w:rPr>
              <w:t>组分</w:t>
            </w:r>
            <w:r>
              <w:rPr>
                <w:u w:val="single"/>
              </w:rPr>
              <w:t>进入水体中，使水体中的石油类、挥发酚等特征污染因子浓度升高，危害水环境。</w:t>
            </w:r>
          </w:p>
          <w:p>
            <w:pPr>
              <w:pStyle w:val="34"/>
              <w:ind w:firstLine="480"/>
              <w:rPr>
                <w:u w:val="single"/>
              </w:rPr>
            </w:pPr>
            <w:r>
              <w:rPr>
                <w:rFonts w:hint="eastAsia"/>
                <w:u w:val="single"/>
              </w:rPr>
              <w:t>（4）</w:t>
            </w:r>
            <w:r>
              <w:rPr>
                <w:u w:val="single"/>
              </w:rPr>
              <w:t>风险防范措施</w:t>
            </w:r>
          </w:p>
          <w:p>
            <w:pPr>
              <w:pStyle w:val="34"/>
              <w:ind w:firstLine="474"/>
              <w:rPr>
                <w:u w:val="single"/>
              </w:rPr>
            </w:pPr>
            <w:r>
              <w:rPr>
                <w:spacing w:val="-3"/>
                <w:u w:val="single"/>
              </w:rPr>
              <w:t>泄漏事故可采取的清污措施包括：采用围油栏围住溢油，尽量防止其扩散，</w:t>
            </w:r>
            <w:r>
              <w:rPr>
                <w:spacing w:val="-2"/>
                <w:u w:val="single"/>
              </w:rPr>
              <w:t>并将溢油汇集为较厚的油层，以便使用油泵和撇油器将溢油回收；围油栏拦截的油应迅速回收，预防溢油漏出而污染其他区域；回收作业可以使用撇油器、泵、吸油材料和非专用机械设备和真空罐车，也可人工捞油。</w:t>
            </w:r>
          </w:p>
          <w:p>
            <w:pPr>
              <w:pStyle w:val="34"/>
              <w:ind w:firstLine="480"/>
              <w:rPr>
                <w:u w:val="single"/>
              </w:rPr>
            </w:pPr>
            <w:r>
              <w:rPr>
                <w:u w:val="single"/>
              </w:rPr>
              <w:t>事故处理完毕后，责任单位应对事故原因、污染清除处理过程、污染范围和影响程度报告生态环境部门。</w:t>
            </w:r>
          </w:p>
          <w:p>
            <w:pPr>
              <w:pStyle w:val="34"/>
              <w:ind w:firstLine="480"/>
              <w:rPr>
                <w:u w:val="single"/>
              </w:rPr>
            </w:pPr>
            <w:r>
              <w:rPr>
                <w:rFonts w:hint="eastAsia" w:ascii="宋体" w:hAnsi="宋体" w:cs="宋体"/>
                <w:u w:val="single"/>
              </w:rPr>
              <w:t>①</w:t>
            </w:r>
            <w:r>
              <w:rPr>
                <w:u w:val="single"/>
              </w:rPr>
              <w:t>降低风险概率的对策</w:t>
            </w:r>
          </w:p>
          <w:p>
            <w:pPr>
              <w:pStyle w:val="34"/>
              <w:ind w:firstLine="480"/>
              <w:rPr>
                <w:u w:val="single"/>
              </w:rPr>
            </w:pPr>
            <w:r>
              <w:rPr>
                <w:u w:val="single"/>
              </w:rPr>
              <w:t>A</w:t>
            </w:r>
            <w:r>
              <w:rPr>
                <w:rFonts w:hint="eastAsia"/>
                <w:u w:val="single"/>
              </w:rPr>
              <w:t>.</w:t>
            </w:r>
            <w:r>
              <w:rPr>
                <w:u w:val="single"/>
              </w:rPr>
              <w:t>建立健全安全防污机制</w:t>
            </w:r>
          </w:p>
          <w:p>
            <w:pPr>
              <w:pStyle w:val="34"/>
              <w:ind w:firstLine="480"/>
              <w:rPr>
                <w:u w:val="single"/>
              </w:rPr>
            </w:pPr>
            <w:r>
              <w:rPr>
                <w:u w:val="single"/>
              </w:rPr>
              <w:t>避免事故发生与</w:t>
            </w:r>
            <w:r>
              <w:rPr>
                <w:rFonts w:hint="eastAsia"/>
                <w:u w:val="single"/>
              </w:rPr>
              <w:t>制定</w:t>
            </w:r>
            <w:r>
              <w:rPr>
                <w:u w:val="single"/>
              </w:rPr>
              <w:t>各项健全的操作规程和规章制度是密不可分的，企业必须认真贯彻“安全第一，预防为主”的方针。建议建设单位应该制定好包括船舶污染应急预案在内的各类应急预案，并进行定期演练。</w:t>
            </w:r>
          </w:p>
          <w:p>
            <w:pPr>
              <w:pStyle w:val="34"/>
              <w:ind w:firstLine="480"/>
              <w:rPr>
                <w:u w:val="single"/>
              </w:rPr>
            </w:pPr>
            <w:r>
              <w:rPr>
                <w:u w:val="single"/>
              </w:rPr>
              <w:t>B</w:t>
            </w:r>
            <w:r>
              <w:rPr>
                <w:rFonts w:hint="eastAsia"/>
                <w:u w:val="single"/>
              </w:rPr>
              <w:t>.</w:t>
            </w:r>
            <w:r>
              <w:rPr>
                <w:u w:val="single"/>
              </w:rPr>
              <w:t>加强对加燃料油过程的监管</w:t>
            </w:r>
          </w:p>
          <w:p>
            <w:pPr>
              <w:pStyle w:val="34"/>
              <w:ind w:firstLine="480"/>
              <w:rPr>
                <w:u w:val="single"/>
              </w:rPr>
            </w:pPr>
            <w:r>
              <w:rPr>
                <w:rFonts w:hint="eastAsia"/>
                <w:u w:val="single"/>
              </w:rPr>
              <w:t>项目</w:t>
            </w:r>
            <w:r>
              <w:rPr>
                <w:u w:val="single"/>
              </w:rPr>
              <w:t>柴油由各租赁挖车自行向当地加油站采购。本报告建议柴油由建设单位统一采购、统一配给，实行统一管理方式，严格落实柴油等燃料油的管理制度。具体管理方式建议如下：</w:t>
            </w:r>
          </w:p>
          <w:p>
            <w:pPr>
              <w:pStyle w:val="34"/>
              <w:ind w:firstLine="480"/>
              <w:rPr>
                <w:u w:val="single"/>
              </w:rPr>
            </w:pPr>
            <w:r>
              <w:rPr>
                <w:u w:val="single"/>
              </w:rPr>
              <w:t>督促施工方与挖机方做好</w:t>
            </w:r>
            <w:r>
              <w:rPr>
                <w:rFonts w:hint="eastAsia"/>
                <w:u w:val="single"/>
              </w:rPr>
              <w:t>防止</w:t>
            </w:r>
            <w:r>
              <w:rPr>
                <w:u w:val="single"/>
              </w:rPr>
              <w:t>溢油事故的工作。作业前双方必须认真检查有关管路、设备，严格按照各项安全检查要求落实各项安全与防污染措施；作业过程中，强化现场值班检查，严格执行操作规程，防止跑油、漏油；作业结束，必须关好有关阀门，收解输油软管时，应用盲板将软管封妥，防止软管存油倒流入河；确保作业安全，防止水域污染。</w:t>
            </w:r>
          </w:p>
          <w:p>
            <w:pPr>
              <w:pStyle w:val="34"/>
              <w:ind w:firstLine="480"/>
              <w:rPr>
                <w:u w:val="single"/>
              </w:rPr>
            </w:pPr>
            <w:r>
              <w:rPr>
                <w:rFonts w:hint="eastAsia" w:ascii="宋体" w:hAnsi="宋体" w:cs="宋体"/>
                <w:u w:val="single"/>
              </w:rPr>
              <w:t>②</w:t>
            </w:r>
            <w:r>
              <w:rPr>
                <w:u w:val="single"/>
              </w:rPr>
              <w:t>应急防备的建设需求</w:t>
            </w:r>
          </w:p>
          <w:p>
            <w:pPr>
              <w:pStyle w:val="34"/>
              <w:ind w:firstLine="480"/>
              <w:rPr>
                <w:u w:val="single"/>
              </w:rPr>
            </w:pPr>
            <w:r>
              <w:rPr>
                <w:u w:val="single"/>
              </w:rPr>
              <w:t>A</w:t>
            </w:r>
            <w:r>
              <w:rPr>
                <w:rFonts w:hint="eastAsia"/>
                <w:u w:val="single"/>
              </w:rPr>
              <w:t>.</w:t>
            </w:r>
            <w:r>
              <w:rPr>
                <w:u w:val="single"/>
              </w:rPr>
              <w:t>设备维护保养</w:t>
            </w:r>
          </w:p>
          <w:p>
            <w:pPr>
              <w:pStyle w:val="34"/>
              <w:ind w:firstLine="480"/>
              <w:rPr>
                <w:u w:val="single"/>
              </w:rPr>
            </w:pPr>
            <w:r>
              <w:rPr>
                <w:u w:val="single"/>
              </w:rPr>
              <w:t>B</w:t>
            </w:r>
            <w:r>
              <w:rPr>
                <w:rFonts w:hint="eastAsia"/>
                <w:u w:val="single"/>
              </w:rPr>
              <w:t>.</w:t>
            </w:r>
            <w:r>
              <w:rPr>
                <w:u w:val="single"/>
              </w:rPr>
              <w:t>建立设备维护保养制度</w:t>
            </w:r>
          </w:p>
          <w:p>
            <w:pPr>
              <w:pStyle w:val="34"/>
              <w:ind w:firstLine="480"/>
              <w:rPr>
                <w:u w:val="single"/>
              </w:rPr>
            </w:pPr>
            <w:r>
              <w:rPr>
                <w:u w:val="single"/>
              </w:rPr>
              <w:t>建设单位应建立完善的设备维护保养制度，应有专门人员对各挖机、铲车</w:t>
            </w:r>
            <w:r>
              <w:rPr>
                <w:rFonts w:hint="eastAsia"/>
                <w:u w:val="single"/>
              </w:rPr>
              <w:t>等</w:t>
            </w:r>
            <w:r>
              <w:rPr>
                <w:u w:val="single"/>
              </w:rPr>
              <w:t>设备进行管理，定期对设备进行维护保养，应设有专业的应急人员，熟悉</w:t>
            </w:r>
            <w:r>
              <w:rPr>
                <w:rFonts w:hint="eastAsia"/>
                <w:u w:val="single"/>
              </w:rPr>
              <w:t>设备的操作使用方法，确保设备在紧急情况发生时能够发挥作用。</w:t>
            </w:r>
          </w:p>
          <w:p>
            <w:pPr>
              <w:pStyle w:val="34"/>
              <w:ind w:firstLine="480"/>
              <w:rPr>
                <w:u w:val="single"/>
              </w:rPr>
            </w:pPr>
            <w:r>
              <w:rPr>
                <w:rFonts w:hint="eastAsia"/>
                <w:u w:val="single"/>
              </w:rPr>
              <w:t>严格管理施工现场。施工区域设置临时雨水收集沟及沉淀池，暴雨时雨水收集至沉淀池循环回用于洒水降尘或搅拌站等工序，避免废水入河；设置临时危废暂存间暂存设备维修时产生的废机油及含油棉纱，并采取防风防雨防渗漏措施、设置10cm墙裙或泄漏液收集池（有效容积不小于1m</w:t>
            </w:r>
            <w:r>
              <w:rPr>
                <w:rFonts w:hint="eastAsia"/>
                <w:u w:val="single"/>
                <w:vertAlign w:val="superscript"/>
              </w:rPr>
              <w:t>3</w:t>
            </w:r>
            <w:r>
              <w:rPr>
                <w:rFonts w:hint="eastAsia"/>
                <w:u w:val="single"/>
              </w:rPr>
              <w:t>），容积满足事故状态下施工机械泄漏油品收集。危废定期交由资质单位进行处置，且危废暂存间远离地表水体、事故状态时废油收集不会进入水体。</w:t>
            </w:r>
          </w:p>
          <w:p>
            <w:pPr>
              <w:pStyle w:val="34"/>
              <w:ind w:firstLine="480"/>
              <w:rPr>
                <w:u w:val="single"/>
              </w:rPr>
            </w:pPr>
            <w:r>
              <w:rPr>
                <w:rFonts w:hint="eastAsia"/>
                <w:u w:val="single"/>
              </w:rPr>
              <w:t>C.应急作业条件</w:t>
            </w:r>
          </w:p>
          <w:p>
            <w:pPr>
              <w:pStyle w:val="34"/>
              <w:ind w:firstLine="480"/>
              <w:rPr>
                <w:u w:val="single"/>
              </w:rPr>
            </w:pPr>
            <w:r>
              <w:rPr>
                <w:rFonts w:hint="eastAsia"/>
                <w:u w:val="single"/>
              </w:rPr>
              <w:t>为使应急设备能够在发生溢油事故时快速抵达现场，应有运输车辆、吊装设备。应急流程为：总平台→现场。</w:t>
            </w:r>
          </w:p>
          <w:p>
            <w:pPr>
              <w:pStyle w:val="34"/>
              <w:ind w:firstLine="480"/>
            </w:pPr>
            <w:r>
              <w:rPr>
                <w:rFonts w:hint="eastAsia"/>
                <w:u w:val="single"/>
              </w:rPr>
              <w:t>根据风险识别和风险分析，本项目潜在的环境风险为溢油事故。综合上述分析可知，在严格落实本报告提出的各项风险的预防和应急措施，并不断完善风险事故应急预案的前提下，本项目施工期的环境风险在可接受范围之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879" w:type="dxa"/>
            <w:tcMar>
              <w:left w:w="28" w:type="dxa"/>
              <w:right w:w="28" w:type="dxa"/>
            </w:tcMar>
            <w:vAlign w:val="center"/>
          </w:tcPr>
          <w:p>
            <w:pPr>
              <w:pStyle w:val="41"/>
            </w:pPr>
            <w:r>
              <w:rPr>
                <w:rFonts w:hint="eastAsia"/>
              </w:rPr>
              <w:t>运营期生态环境影响分析</w:t>
            </w:r>
          </w:p>
        </w:tc>
        <w:tc>
          <w:tcPr>
            <w:tcW w:w="8363" w:type="dxa"/>
          </w:tcPr>
          <w:p>
            <w:pPr>
              <w:pStyle w:val="34"/>
              <w:ind w:firstLine="480"/>
            </w:pPr>
            <w:r>
              <w:rPr>
                <w:rFonts w:hint="eastAsia"/>
              </w:rPr>
              <w:t>工程建成后，运营期间工程本身不产生废水、废气、噪声等污染，主要是对环境的正面影响</w:t>
            </w:r>
          </w:p>
          <w:p>
            <w:pPr>
              <w:pStyle w:val="34"/>
              <w:ind w:firstLine="480"/>
            </w:pPr>
            <w:r>
              <w:rPr>
                <w:rFonts w:hint="eastAsia"/>
              </w:rPr>
              <w:t>鼻湖水体底泥污染主要通过大气沉降、废水排放、水土流失、雨水淋溶与冲刷进入水体，最后沉积到底泥中并逐渐富集，使底泥受到污染。沉积在底泥中的氮、磷营养元素，易形成营养物质的内负荷，湖泊清淤过程中对河底进行清淤疏挖，原湖泊中沉积在湖泊底质中的有机营养物质及</w:t>
            </w:r>
            <w:r>
              <w:t xml:space="preserve"> N、P 等含量会减少，污染负荷降低。由于湖泊内源污染引起的水质下降因素被剔除，水质状况将得到较大的提升，总体对湖泊水质有利。同时通过对淤积 10 年之久的湖泊底泥及砂砾进行清理，可有效提高湖泊自净能力，由于湖底的清淤疏浚，项目清淤</w:t>
            </w:r>
            <w:r>
              <w:rPr>
                <w:rFonts w:hint="eastAsia"/>
              </w:rPr>
              <w:t>疏浚</w:t>
            </w:r>
            <w:r>
              <w:t>完成后，可扩大湖泊库容约 90万 m，可增强流域的行洪过水能力，同时项目干化后的污泥</w:t>
            </w:r>
            <w:r>
              <w:rPr>
                <w:rFonts w:hint="eastAsia"/>
              </w:rPr>
              <w:t>委托水泥厂进行协同处置。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879" w:type="dxa"/>
            <w:vAlign w:val="center"/>
          </w:tcPr>
          <w:p>
            <w:pPr>
              <w:pStyle w:val="41"/>
            </w:pPr>
            <w:r>
              <w:rPr>
                <w:rFonts w:hint="eastAsia"/>
              </w:rPr>
              <w:t>选址选线环境合理性分析</w:t>
            </w:r>
          </w:p>
        </w:tc>
        <w:tc>
          <w:tcPr>
            <w:tcW w:w="8363" w:type="dxa"/>
          </w:tcPr>
          <w:p>
            <w:pPr>
              <w:pStyle w:val="34"/>
              <w:ind w:firstLine="480"/>
            </w:pPr>
            <w:r>
              <w:rPr>
                <w:rFonts w:hint="eastAsia"/>
              </w:rPr>
              <w:t>本项目不涉及生态红线，不涉及环境敏感区，属于生态影响型项目，营运期工程本身不产生污染物，本项目建设后将有利于改善鼻湖水环境质量，改善人居环境和促进河道生态健康发展。</w:t>
            </w:r>
          </w:p>
          <w:p>
            <w:pPr>
              <w:pStyle w:val="34"/>
              <w:ind w:firstLine="480"/>
            </w:pPr>
            <w:r>
              <w:rPr>
                <w:rFonts w:hint="eastAsia"/>
              </w:rPr>
              <w:t>本工程通过清淤河道底泥，扩大了河流蓄水能力，增强河道的引、排、灌、蓄功能，提高了灌溉供水保障率，是维持河势稳定、保护堤防等水利设施，确保防洪安全的需要。因此，河道整治选址合理。</w:t>
            </w:r>
          </w:p>
        </w:tc>
      </w:tr>
    </w:tbl>
    <w:p>
      <w:pPr>
        <w:pStyle w:val="34"/>
        <w:ind w:firstLine="0" w:firstLineChars="0"/>
        <w:sectPr>
          <w:pgSz w:w="11906" w:h="16838"/>
          <w:pgMar w:top="1440" w:right="1800" w:bottom="1440" w:left="1800" w:header="851" w:footer="992" w:gutter="0"/>
          <w:cols w:space="425" w:num="1"/>
          <w:docGrid w:type="lines" w:linePitch="312" w:charSpace="0"/>
        </w:sectPr>
      </w:pPr>
    </w:p>
    <w:p>
      <w:pPr>
        <w:pStyle w:val="36"/>
        <w:rPr>
          <w:snapToGrid w:val="0"/>
        </w:rPr>
      </w:pPr>
      <w:bookmarkStart w:id="9" w:name="_Toc149605113"/>
      <w:r>
        <w:rPr>
          <w:rFonts w:hint="eastAsia"/>
        </w:rPr>
        <w:t>五、</w:t>
      </w:r>
      <w:r>
        <w:rPr>
          <w:rFonts w:hint="eastAsia"/>
          <w:snapToGrid w:val="0"/>
        </w:rPr>
        <w:t>主要生态环境保护措施</w:t>
      </w:r>
      <w:bookmarkEnd w:id="9"/>
    </w:p>
    <w:tbl>
      <w:tblPr>
        <w:tblStyle w:val="27"/>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2" w:hRule="atLeast"/>
          <w:jc w:val="center"/>
        </w:trPr>
        <w:tc>
          <w:tcPr>
            <w:tcW w:w="753" w:type="dxa"/>
            <w:tcMar>
              <w:left w:w="28" w:type="dxa"/>
              <w:right w:w="28" w:type="dxa"/>
            </w:tcMar>
            <w:vAlign w:val="center"/>
          </w:tcPr>
          <w:p>
            <w:pPr>
              <w:pStyle w:val="41"/>
            </w:pPr>
            <w:r>
              <w:rPr>
                <w:rFonts w:hint="eastAsia"/>
              </w:rPr>
              <w:t>施工期生态环境保护措施</w:t>
            </w:r>
          </w:p>
        </w:tc>
        <w:tc>
          <w:tcPr>
            <w:tcW w:w="8457" w:type="dxa"/>
          </w:tcPr>
          <w:p>
            <w:pPr>
              <w:pStyle w:val="34"/>
              <w:ind w:firstLine="480"/>
              <w:rPr>
                <w:u w:val="single"/>
              </w:rPr>
            </w:pPr>
            <w:r>
              <w:rPr>
                <w:u w:val="single"/>
              </w:rPr>
              <w:t>1</w:t>
            </w:r>
            <w:r>
              <w:rPr>
                <w:rFonts w:hint="eastAsia"/>
                <w:u w:val="single"/>
              </w:rPr>
              <w:t>、施工期生态环境</w:t>
            </w:r>
            <w:r>
              <w:rPr>
                <w:u w:val="single"/>
              </w:rPr>
              <w:t>防施</w:t>
            </w:r>
          </w:p>
          <w:p>
            <w:pPr>
              <w:tabs>
                <w:tab w:val="left" w:pos="8550"/>
              </w:tabs>
              <w:autoSpaceDE w:val="0"/>
              <w:autoSpaceDN w:val="0"/>
              <w:adjustRightInd w:val="0"/>
              <w:snapToGrid w:val="0"/>
              <w:spacing w:line="360" w:lineRule="auto"/>
              <w:rPr>
                <w:rFonts w:ascii="Times New Roman" w:hAnsi="Times New Roman"/>
                <w:b/>
                <w:bCs/>
                <w:sz w:val="24"/>
                <w:u w:val="single"/>
              </w:rPr>
            </w:pPr>
            <w:r>
              <w:rPr>
                <w:rFonts w:hint="eastAsia" w:ascii="Times New Roman" w:hAnsi="Times New Roman" w:eastAsia="宋体" w:cs="Times New Roman"/>
                <w:b/>
                <w:bCs/>
                <w:sz w:val="24"/>
                <w:szCs w:val="24"/>
                <w:u w:val="single"/>
              </w:rPr>
              <w:t>1.1、</w:t>
            </w:r>
            <w:r>
              <w:rPr>
                <w:rFonts w:ascii="Times New Roman" w:hAnsi="Times New Roman" w:eastAsia="宋体" w:cs="Times New Roman"/>
                <w:b/>
                <w:bCs/>
                <w:sz w:val="24"/>
                <w:szCs w:val="24"/>
                <w:u w:val="single"/>
              </w:rPr>
              <w:t>对生态系统保护措施</w:t>
            </w:r>
          </w:p>
          <w:p>
            <w:pPr>
              <w:tabs>
                <w:tab w:val="left" w:pos="8550"/>
              </w:tabs>
              <w:autoSpaceDE w:val="0"/>
              <w:autoSpaceDN w:val="0"/>
              <w:adjustRightInd w:val="0"/>
              <w:snapToGrid w:val="0"/>
              <w:spacing w:line="360" w:lineRule="auto"/>
              <w:rPr>
                <w:rFonts w:ascii="Times New Roman" w:hAnsi="Times New Roman"/>
                <w:b/>
                <w:bCs/>
                <w:sz w:val="24"/>
                <w:u w:val="single"/>
              </w:rPr>
            </w:pPr>
            <w:r>
              <w:rPr>
                <w:rFonts w:hint="eastAsia" w:ascii="Times New Roman" w:hAnsi="Times New Roman" w:cs="Times New Roman"/>
                <w:b/>
                <w:bCs/>
                <w:sz w:val="24"/>
                <w:szCs w:val="24"/>
                <w:u w:val="single"/>
              </w:rPr>
              <w:t>1.1.1、</w:t>
            </w:r>
            <w:r>
              <w:rPr>
                <w:rFonts w:ascii="Times New Roman" w:hAnsi="Times New Roman" w:eastAsia="宋体" w:cs="Times New Roman"/>
                <w:b/>
                <w:bCs/>
                <w:sz w:val="24"/>
                <w:szCs w:val="24"/>
                <w:u w:val="single"/>
              </w:rPr>
              <w:t>减免和避让保护措施</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cs="Times New Roman"/>
                <w:sz w:val="24"/>
                <w:szCs w:val="24"/>
                <w:u w:val="single"/>
              </w:rPr>
              <w:t>（1）</w:t>
            </w:r>
            <w:r>
              <w:rPr>
                <w:rFonts w:ascii="Times New Roman" w:hAnsi="Times New Roman" w:eastAsia="宋体" w:cs="Times New Roman"/>
                <w:sz w:val="24"/>
                <w:szCs w:val="24"/>
                <w:u w:val="single"/>
              </w:rPr>
              <w:t>严格划定施工范围，避免破坏占地区外生态系统，适时开展生态恢复及水土保持工作。</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cs="Times New Roman"/>
                <w:sz w:val="24"/>
                <w:szCs w:val="24"/>
                <w:u w:val="single"/>
              </w:rPr>
              <w:t>（2）施工</w:t>
            </w:r>
            <w:r>
              <w:rPr>
                <w:rFonts w:ascii="Times New Roman" w:hAnsi="Times New Roman" w:eastAsia="宋体" w:cs="Times New Roman"/>
                <w:sz w:val="24"/>
                <w:szCs w:val="24"/>
                <w:u w:val="single"/>
              </w:rPr>
              <w:t>作业应根据不同的开挖深度进行分段分层控制推进，最大限度地控制水下施工作业对底泥的搅动范围和强度。</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cs="Times New Roman"/>
                <w:sz w:val="24"/>
                <w:szCs w:val="24"/>
                <w:u w:val="single"/>
              </w:rPr>
              <w:t>（3）施工船只</w:t>
            </w:r>
            <w:r>
              <w:rPr>
                <w:rFonts w:ascii="Times New Roman" w:hAnsi="Times New Roman" w:eastAsia="宋体" w:cs="Times New Roman"/>
                <w:sz w:val="24"/>
                <w:szCs w:val="24"/>
                <w:u w:val="single"/>
              </w:rPr>
              <w:t>应按规定将废油、含油污水、生活垃圾、船舶废弃物进行回收处理，禁止排入白泥湖、范家坝、三汊港南湖水体。</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cs="Times New Roman"/>
                <w:sz w:val="24"/>
                <w:szCs w:val="24"/>
                <w:u w:val="single"/>
              </w:rPr>
              <w:t>（4）</w:t>
            </w:r>
            <w:r>
              <w:rPr>
                <w:rFonts w:ascii="Times New Roman" w:hAnsi="Times New Roman" w:eastAsia="宋体" w:cs="Times New Roman"/>
                <w:sz w:val="24"/>
                <w:szCs w:val="24"/>
                <w:u w:val="single"/>
              </w:rPr>
              <w:t>运输过程中产生的粉尘会污染大气环境，应采取除尘措施，执行湿式作业，道路定期洒水，以保护大气环境。</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cs="Times New Roman"/>
                <w:sz w:val="24"/>
                <w:szCs w:val="24"/>
                <w:u w:val="single"/>
              </w:rPr>
              <w:t>（5）</w:t>
            </w:r>
            <w:r>
              <w:rPr>
                <w:rFonts w:ascii="Times New Roman" w:hAnsi="Times New Roman" w:eastAsia="宋体" w:cs="Times New Roman"/>
                <w:sz w:val="24"/>
                <w:szCs w:val="24"/>
                <w:u w:val="single"/>
              </w:rPr>
              <w:t>城镇或人员居住集中的临湖段附近，夜间 19 : 00 至凌晨 7 : 00 禁止从事</w:t>
            </w:r>
            <w:r>
              <w:rPr>
                <w:rFonts w:hint="eastAsia" w:ascii="Times New Roman" w:hAnsi="Times New Roman" w:cs="Times New Roman"/>
                <w:sz w:val="24"/>
                <w:szCs w:val="24"/>
                <w:u w:val="single"/>
              </w:rPr>
              <w:t>施工</w:t>
            </w:r>
            <w:r>
              <w:rPr>
                <w:rFonts w:ascii="Times New Roman" w:hAnsi="Times New Roman" w:eastAsia="宋体" w:cs="Times New Roman"/>
                <w:sz w:val="24"/>
                <w:szCs w:val="24"/>
                <w:u w:val="single"/>
              </w:rPr>
              <w:t>活动，防止噪声污染。</w:t>
            </w:r>
          </w:p>
          <w:p>
            <w:pPr>
              <w:tabs>
                <w:tab w:val="left" w:pos="8550"/>
              </w:tabs>
              <w:autoSpaceDE w:val="0"/>
              <w:autoSpaceDN w:val="0"/>
              <w:adjustRightInd w:val="0"/>
              <w:snapToGrid w:val="0"/>
              <w:spacing w:line="360" w:lineRule="auto"/>
              <w:rPr>
                <w:rFonts w:ascii="Times New Roman" w:hAnsi="Times New Roman"/>
                <w:b/>
                <w:bCs/>
                <w:sz w:val="24"/>
                <w:u w:val="single"/>
              </w:rPr>
            </w:pPr>
            <w:r>
              <w:rPr>
                <w:rFonts w:hint="eastAsia" w:ascii="Times New Roman" w:hAnsi="Times New Roman" w:cs="Times New Roman"/>
                <w:b/>
                <w:bCs/>
                <w:sz w:val="24"/>
                <w:szCs w:val="24"/>
                <w:u w:val="single"/>
              </w:rPr>
              <w:t>1.1.2、</w:t>
            </w:r>
            <w:r>
              <w:rPr>
                <w:rFonts w:ascii="Times New Roman" w:hAnsi="Times New Roman" w:eastAsia="宋体" w:cs="Times New Roman"/>
                <w:b/>
                <w:bCs/>
                <w:sz w:val="24"/>
                <w:szCs w:val="24"/>
                <w:u w:val="single"/>
              </w:rPr>
              <w:t>恢复与补偿措施</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cs="Times New Roman"/>
                <w:sz w:val="24"/>
                <w:szCs w:val="24"/>
                <w:u w:val="single"/>
              </w:rPr>
              <w:t>（1）</w:t>
            </w:r>
            <w:r>
              <w:rPr>
                <w:rFonts w:ascii="Times New Roman" w:hAnsi="Times New Roman" w:eastAsia="宋体" w:cs="Times New Roman"/>
                <w:sz w:val="24"/>
                <w:szCs w:val="24"/>
                <w:u w:val="single"/>
              </w:rPr>
              <w:t>施工后，在新增裸露河滩地上种植莲、芦苇、芡实、荻等当地常见湿地植被，搭配以蓼科、莎草科的喜湿植物对裸露河滩地进行植被修护。在临时堆砂场撒播狗牙根草籽，及时占领生境，后种植楝、樟、构树等乡土树种进行植被恢复。</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cs="Times New Roman"/>
                <w:sz w:val="24"/>
                <w:szCs w:val="24"/>
                <w:u w:val="single"/>
              </w:rPr>
              <w:t>（2）</w:t>
            </w:r>
            <w:r>
              <w:rPr>
                <w:rFonts w:ascii="Times New Roman" w:hAnsi="Times New Roman" w:eastAsia="宋体" w:cs="Times New Roman"/>
                <w:sz w:val="24"/>
                <w:szCs w:val="24"/>
                <w:u w:val="single"/>
              </w:rPr>
              <w:t>加强入侵植物的防范意识，重点关注生态系统较为脆弱地带及时发现及时清理。</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cs="Times New Roman"/>
                <w:sz w:val="24"/>
                <w:szCs w:val="24"/>
                <w:u w:val="single"/>
              </w:rPr>
              <w:t>（3）</w:t>
            </w:r>
            <w:r>
              <w:rPr>
                <w:rFonts w:ascii="Times New Roman" w:hAnsi="Times New Roman" w:eastAsia="宋体" w:cs="Times New Roman"/>
                <w:sz w:val="24"/>
                <w:szCs w:val="24"/>
                <w:u w:val="single"/>
              </w:rPr>
              <w:t>规划实施期、规划实施后都应进行生态影响的监测或调查。在规划实施期，主要对临时占地、施工区等与施工有关的区域进行监测。</w:t>
            </w:r>
          </w:p>
          <w:p>
            <w:pPr>
              <w:tabs>
                <w:tab w:val="left" w:pos="8550"/>
              </w:tabs>
              <w:autoSpaceDE w:val="0"/>
              <w:autoSpaceDN w:val="0"/>
              <w:adjustRightInd w:val="0"/>
              <w:snapToGrid w:val="0"/>
              <w:spacing w:line="360" w:lineRule="auto"/>
              <w:rPr>
                <w:rFonts w:ascii="Times New Roman" w:hAnsi="Times New Roman"/>
                <w:sz w:val="24"/>
                <w:u w:val="single"/>
              </w:rPr>
            </w:pPr>
            <w:r>
              <w:rPr>
                <w:rFonts w:hint="eastAsia" w:ascii="Times New Roman" w:hAnsi="Times New Roman" w:eastAsia="宋体" w:cs="Times New Roman"/>
                <w:b/>
                <w:bCs/>
                <w:sz w:val="24"/>
                <w:szCs w:val="24"/>
                <w:u w:val="single"/>
              </w:rPr>
              <w:t>1.2、</w:t>
            </w:r>
            <w:r>
              <w:rPr>
                <w:rFonts w:ascii="Times New Roman" w:hAnsi="Times New Roman" w:eastAsia="宋体" w:cs="Times New Roman"/>
                <w:b/>
                <w:bCs/>
                <w:sz w:val="24"/>
                <w:szCs w:val="24"/>
                <w:u w:val="single"/>
              </w:rPr>
              <w:t>对陆域生态环境保护措施</w:t>
            </w:r>
          </w:p>
          <w:p>
            <w:pPr>
              <w:tabs>
                <w:tab w:val="left" w:pos="8550"/>
              </w:tabs>
              <w:autoSpaceDE w:val="0"/>
              <w:autoSpaceDN w:val="0"/>
              <w:adjustRightInd w:val="0"/>
              <w:snapToGrid w:val="0"/>
              <w:spacing w:line="360" w:lineRule="auto"/>
              <w:rPr>
                <w:rFonts w:ascii="Times New Roman" w:hAnsi="Times New Roman"/>
                <w:b/>
                <w:bCs/>
                <w:sz w:val="24"/>
                <w:u w:val="single"/>
              </w:rPr>
            </w:pPr>
            <w:r>
              <w:rPr>
                <w:rFonts w:hint="eastAsia" w:ascii="Times New Roman" w:hAnsi="Times New Roman" w:eastAsia="宋体" w:cs="Times New Roman"/>
                <w:b/>
                <w:bCs/>
                <w:sz w:val="24"/>
                <w:szCs w:val="24"/>
                <w:u w:val="single"/>
              </w:rPr>
              <w:t>1.2.1</w:t>
            </w:r>
            <w:r>
              <w:rPr>
                <w:rFonts w:ascii="Times New Roman" w:hAnsi="Times New Roman" w:eastAsia="宋体" w:cs="Times New Roman"/>
                <w:b/>
                <w:bCs/>
                <w:sz w:val="24"/>
                <w:szCs w:val="24"/>
                <w:u w:val="single"/>
              </w:rPr>
              <w:t>、对陆生植物保护措施</w:t>
            </w:r>
          </w:p>
          <w:p>
            <w:pPr>
              <w:tabs>
                <w:tab w:val="left" w:pos="8550"/>
              </w:tabs>
              <w:autoSpaceDE w:val="0"/>
              <w:autoSpaceDN w:val="0"/>
              <w:adjustRightInd w:val="0"/>
              <w:snapToGrid w:val="0"/>
              <w:spacing w:line="360" w:lineRule="auto"/>
              <w:rPr>
                <w:rFonts w:ascii="Times New Roman" w:hAnsi="Times New Roman"/>
                <w:sz w:val="24"/>
                <w:u w:val="single"/>
              </w:rPr>
            </w:pPr>
            <w:r>
              <w:rPr>
                <w:rFonts w:hint="eastAsia" w:ascii="Times New Roman" w:hAnsi="Times New Roman" w:eastAsia="宋体" w:cs="Times New Roman"/>
                <w:sz w:val="24"/>
                <w:szCs w:val="24"/>
                <w:u w:val="single"/>
              </w:rPr>
              <w:t>1.2.1.</w:t>
            </w:r>
            <w:r>
              <w:rPr>
                <w:rFonts w:ascii="Times New Roman" w:hAnsi="Times New Roman" w:eastAsia="宋体" w:cs="Times New Roman"/>
                <w:sz w:val="24"/>
                <w:szCs w:val="24"/>
                <w:u w:val="single"/>
              </w:rPr>
              <w:t>1、避免与</w:t>
            </w:r>
            <w:r>
              <w:rPr>
                <w:rFonts w:hint="eastAsia" w:ascii="Times New Roman" w:hAnsi="Times New Roman" w:eastAsia="宋体" w:cs="Times New Roman"/>
                <w:sz w:val="24"/>
                <w:szCs w:val="24"/>
                <w:u w:val="single"/>
              </w:rPr>
              <w:t>减缓</w:t>
            </w:r>
            <w:r>
              <w:rPr>
                <w:rFonts w:ascii="Times New Roman" w:hAnsi="Times New Roman" w:eastAsia="宋体" w:cs="Times New Roman"/>
                <w:sz w:val="24"/>
                <w:szCs w:val="24"/>
                <w:u w:val="single"/>
              </w:rPr>
              <w:t>措施</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为切实保护</w:t>
            </w:r>
            <w:r>
              <w:rPr>
                <w:rFonts w:hint="eastAsia" w:ascii="Times New Roman" w:hAnsi="Times New Roman" w:eastAsia="宋体" w:cs="Times New Roman"/>
                <w:sz w:val="24"/>
                <w:szCs w:val="24"/>
                <w:u w:val="single"/>
              </w:rPr>
              <w:t>评价范围</w:t>
            </w:r>
            <w:r>
              <w:rPr>
                <w:rFonts w:ascii="Times New Roman" w:hAnsi="Times New Roman" w:eastAsia="宋体" w:cs="Times New Roman"/>
                <w:sz w:val="24"/>
                <w:szCs w:val="24"/>
                <w:u w:val="single"/>
              </w:rPr>
              <w:t>内植被，要求在</w:t>
            </w:r>
            <w:r>
              <w:rPr>
                <w:rFonts w:hint="eastAsia" w:ascii="Times New Roman" w:hAnsi="Times New Roman" w:eastAsia="宋体" w:cs="Times New Roman"/>
                <w:sz w:val="24"/>
                <w:szCs w:val="24"/>
                <w:u w:val="single"/>
              </w:rPr>
              <w:t>施工时</w:t>
            </w:r>
            <w:r>
              <w:rPr>
                <w:rFonts w:ascii="Times New Roman" w:hAnsi="Times New Roman" w:eastAsia="宋体" w:cs="Times New Roman"/>
                <w:sz w:val="24"/>
                <w:szCs w:val="24"/>
                <w:u w:val="single"/>
              </w:rPr>
              <w:t>严格按照规划设定的</w:t>
            </w:r>
            <w:r>
              <w:rPr>
                <w:rFonts w:hint="eastAsia" w:ascii="Times New Roman" w:hAnsi="Times New Roman" w:eastAsia="宋体" w:cs="Times New Roman"/>
                <w:sz w:val="24"/>
                <w:szCs w:val="24"/>
                <w:u w:val="single"/>
              </w:rPr>
              <w:t>施工</w:t>
            </w:r>
            <w:r>
              <w:rPr>
                <w:rFonts w:ascii="Times New Roman" w:hAnsi="Times New Roman" w:eastAsia="宋体" w:cs="Times New Roman"/>
                <w:sz w:val="24"/>
                <w:szCs w:val="24"/>
                <w:u w:val="single"/>
              </w:rPr>
              <w:t>规模、范围进行</w:t>
            </w:r>
            <w:r>
              <w:rPr>
                <w:rFonts w:hint="eastAsia" w:ascii="Times New Roman" w:hAnsi="Times New Roman" w:eastAsia="宋体" w:cs="Times New Roman"/>
                <w:sz w:val="24"/>
                <w:szCs w:val="24"/>
                <w:u w:val="single"/>
              </w:rPr>
              <w:t>施工</w:t>
            </w:r>
            <w:r>
              <w:rPr>
                <w:rFonts w:ascii="Times New Roman" w:hAnsi="Times New Roman" w:eastAsia="宋体" w:cs="Times New Roman"/>
                <w:sz w:val="24"/>
                <w:szCs w:val="24"/>
                <w:u w:val="single"/>
              </w:rPr>
              <w:t>，严格规范工作人员活动范围；制定严格的管理制度并严格遵守。</w:t>
            </w:r>
          </w:p>
          <w:p>
            <w:pPr>
              <w:tabs>
                <w:tab w:val="left" w:pos="8550"/>
              </w:tabs>
              <w:autoSpaceDE w:val="0"/>
              <w:autoSpaceDN w:val="0"/>
              <w:adjustRightInd w:val="0"/>
              <w:snapToGrid w:val="0"/>
              <w:spacing w:line="360" w:lineRule="auto"/>
              <w:rPr>
                <w:rFonts w:ascii="Times New Roman" w:hAnsi="Times New Roman"/>
                <w:sz w:val="24"/>
                <w:u w:val="single"/>
              </w:rPr>
            </w:pPr>
            <w:r>
              <w:rPr>
                <w:rFonts w:hint="eastAsia" w:ascii="Times New Roman" w:hAnsi="Times New Roman" w:eastAsia="宋体" w:cs="Times New Roman"/>
                <w:sz w:val="24"/>
                <w:szCs w:val="24"/>
                <w:u w:val="single"/>
              </w:rPr>
              <w:t>1.2.1.2、恢复与补偿措施</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（1）常见水生植物种类</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莲、菰、芡实、芦苇、荻、酸模叶蓼等植被是白泥湖、范家坝湖、三汊港湖常见植物物种，是常见植被的建群种和优势种。种苗要选择健康、优良的种苗。</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（2）整地</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为保持水土，整地时不破坏原生植被，按品字形沿等高线布点挖穴。直接采用穴垦整地方式，穴规格为80×80×60 cm。挖穴时，将心土层翻出，表土置入穴底部。挖穴后，应就地取材每穴埋有机肥1-2 kg，然后回填表土20 cm，用心土覆盖、整成龟背形。水生植物种植整地采用翻耕整细、耙平，深度10 cm以上。</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（3）种植密度</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在岸边根据植被恢复区附近植被种类，近自然混交。种植莲、菰、芦苇、荻、酸模叶蓼，种植密度为8丛/m2，在湖心种植芡实，种植密度0.2株/m2</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（4）栽植</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栽植时间选择在每年3月至4月，选择雨后或阴天进行。种苗做到随取随栽，减少运苗时间，种植前植物根部用黄泥浆或用生根粉等处理，以利于种苗保持水分；适当深栽，以减少水分蒸腾；若主根过长则应截根栽植；压实，使根系和土壤密接。为保证成活率，应由专业队伍进行施工。</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对于临时占用陆生植被的植被恢复，及时撒播葛种子，优先占领生境，后期根据自然演替方向自然恢复，植被恢复期间定期清理入侵植物。葛种子繁殖宜在气温稳定在15℃(3月中旬）时进行育苗，薄膜育苗可适当提早。3月下旬开始移植，移植时按单行定植，株距90～100 cm，定植时宜浅植（3～4 cm）并带土移栽，植后灌定根水，亩植500～600株。</w:t>
            </w:r>
          </w:p>
          <w:p>
            <w:pPr>
              <w:tabs>
                <w:tab w:val="left" w:pos="8550"/>
              </w:tabs>
              <w:autoSpaceDE w:val="0"/>
              <w:autoSpaceDN w:val="0"/>
              <w:adjustRightInd w:val="0"/>
              <w:snapToGrid w:val="0"/>
              <w:spacing w:line="360" w:lineRule="auto"/>
              <w:rPr>
                <w:rFonts w:ascii="Times New Roman" w:hAnsi="Times New Roman"/>
                <w:b/>
                <w:bCs/>
                <w:sz w:val="24"/>
                <w:u w:val="single"/>
              </w:rPr>
            </w:pPr>
            <w:r>
              <w:rPr>
                <w:rFonts w:hint="eastAsia" w:ascii="Times New Roman" w:hAnsi="Times New Roman" w:eastAsia="宋体" w:cs="Times New Roman"/>
                <w:b/>
                <w:bCs/>
                <w:sz w:val="24"/>
                <w:szCs w:val="24"/>
                <w:u w:val="single"/>
              </w:rPr>
              <w:t>1.2.2</w:t>
            </w:r>
            <w:r>
              <w:rPr>
                <w:rFonts w:ascii="Times New Roman" w:hAnsi="Times New Roman" w:eastAsia="宋体" w:cs="Times New Roman"/>
                <w:b/>
                <w:bCs/>
                <w:sz w:val="24"/>
                <w:szCs w:val="24"/>
                <w:u w:val="single"/>
              </w:rPr>
              <w:t>、对陆生动物保护措施</w:t>
            </w:r>
          </w:p>
          <w:p>
            <w:pPr>
              <w:tabs>
                <w:tab w:val="left" w:pos="8550"/>
              </w:tabs>
              <w:autoSpaceDE w:val="0"/>
              <w:autoSpaceDN w:val="0"/>
              <w:adjustRightInd w:val="0"/>
              <w:snapToGrid w:val="0"/>
              <w:spacing w:line="360" w:lineRule="auto"/>
              <w:rPr>
                <w:rFonts w:ascii="Times New Roman" w:hAnsi="Times New Roman"/>
                <w:sz w:val="24"/>
                <w:u w:val="single"/>
              </w:rPr>
            </w:pPr>
            <w:r>
              <w:rPr>
                <w:rFonts w:hint="eastAsia" w:ascii="Times New Roman" w:hAnsi="Times New Roman" w:eastAsia="宋体" w:cs="Times New Roman"/>
                <w:sz w:val="24"/>
                <w:szCs w:val="24"/>
                <w:u w:val="single"/>
              </w:rPr>
              <w:t>1.2.2.</w:t>
            </w:r>
            <w:r>
              <w:rPr>
                <w:rFonts w:ascii="Times New Roman" w:hAnsi="Times New Roman" w:eastAsia="宋体" w:cs="Times New Roman"/>
                <w:sz w:val="24"/>
                <w:szCs w:val="24"/>
                <w:u w:val="single"/>
              </w:rPr>
              <w:t>1、避</w:t>
            </w:r>
            <w:r>
              <w:rPr>
                <w:rFonts w:hint="eastAsia" w:ascii="Times New Roman" w:hAnsi="Times New Roman" w:eastAsia="宋体" w:cs="Times New Roman"/>
                <w:sz w:val="24"/>
                <w:szCs w:val="24"/>
                <w:u w:val="single"/>
              </w:rPr>
              <w:t>让</w:t>
            </w:r>
            <w:r>
              <w:rPr>
                <w:rFonts w:ascii="Times New Roman" w:hAnsi="Times New Roman" w:eastAsia="宋体" w:cs="Times New Roman"/>
                <w:sz w:val="24"/>
                <w:szCs w:val="24"/>
                <w:u w:val="single"/>
              </w:rPr>
              <w:t>与消减措施</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严格限制作业时间，减少</w:t>
            </w:r>
            <w:r>
              <w:rPr>
                <w:rFonts w:hint="eastAsia" w:ascii="Times New Roman" w:hAnsi="Times New Roman" w:eastAsia="宋体" w:cs="Times New Roman"/>
                <w:sz w:val="24"/>
                <w:szCs w:val="24"/>
                <w:u w:val="single"/>
              </w:rPr>
              <w:t>施工</w:t>
            </w:r>
            <w:r>
              <w:rPr>
                <w:rFonts w:ascii="Times New Roman" w:hAnsi="Times New Roman" w:eastAsia="宋体" w:cs="Times New Roman"/>
                <w:sz w:val="24"/>
                <w:szCs w:val="24"/>
                <w:u w:val="single"/>
              </w:rPr>
              <w:t>作业噪声对动物的驱赶与惊扰，不得超时超量超区作业，并且夜间停止施工作业。</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规划实施期间，作业船舶严格管理，必须配备油水分离器、垃圾储存器等环保设施，严禁船舶上的油污水、垃圾、粪便等排入湖内，减少对动物生境的破坏。</w:t>
            </w:r>
          </w:p>
          <w:p>
            <w:pPr>
              <w:tabs>
                <w:tab w:val="left" w:pos="8550"/>
              </w:tabs>
              <w:autoSpaceDE w:val="0"/>
              <w:autoSpaceDN w:val="0"/>
              <w:adjustRightInd w:val="0"/>
              <w:snapToGrid w:val="0"/>
              <w:spacing w:line="360" w:lineRule="auto"/>
              <w:rPr>
                <w:rFonts w:ascii="Times New Roman" w:hAnsi="Times New Roman"/>
                <w:sz w:val="24"/>
                <w:u w:val="single"/>
              </w:rPr>
            </w:pPr>
            <w:r>
              <w:rPr>
                <w:rFonts w:hint="eastAsia" w:ascii="Times New Roman" w:hAnsi="Times New Roman" w:eastAsia="宋体" w:cs="Times New Roman"/>
                <w:sz w:val="24"/>
                <w:szCs w:val="24"/>
                <w:u w:val="single"/>
              </w:rPr>
              <w:t>1.2.2.2、恢复与补偿</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hint="eastAsia" w:ascii="Times New Roman" w:hAnsi="Times New Roman" w:eastAsia="宋体" w:cs="Times New Roman"/>
                <w:sz w:val="24"/>
                <w:szCs w:val="24"/>
                <w:u w:val="single"/>
              </w:rPr>
              <w:t>施工</w:t>
            </w:r>
            <w:r>
              <w:rPr>
                <w:rFonts w:ascii="Times New Roman" w:hAnsi="Times New Roman" w:eastAsia="宋体" w:cs="Times New Roman"/>
                <w:sz w:val="24"/>
                <w:szCs w:val="24"/>
                <w:u w:val="single"/>
              </w:rPr>
              <w:t>结束后开展生态修复，比如湖底平整、种植水生植物莲、芡实等。</w:t>
            </w:r>
          </w:p>
          <w:p>
            <w:pPr>
              <w:tabs>
                <w:tab w:val="left" w:pos="8550"/>
              </w:tabs>
              <w:autoSpaceDE w:val="0"/>
              <w:autoSpaceDN w:val="0"/>
              <w:adjustRightInd w:val="0"/>
              <w:snapToGrid w:val="0"/>
              <w:spacing w:line="360" w:lineRule="auto"/>
              <w:rPr>
                <w:rFonts w:ascii="Times New Roman" w:hAnsi="Times New Roman"/>
                <w:sz w:val="24"/>
                <w:u w:val="single"/>
              </w:rPr>
            </w:pPr>
            <w:r>
              <w:rPr>
                <w:rFonts w:hint="eastAsia" w:ascii="Times New Roman" w:hAnsi="Times New Roman" w:eastAsia="宋体" w:cs="Times New Roman"/>
                <w:sz w:val="24"/>
                <w:szCs w:val="24"/>
                <w:u w:val="single"/>
              </w:rPr>
              <w:t>1.2.2.3</w:t>
            </w:r>
            <w:r>
              <w:rPr>
                <w:rFonts w:ascii="Times New Roman" w:hAnsi="Times New Roman" w:eastAsia="宋体" w:cs="Times New Roman"/>
                <w:sz w:val="24"/>
                <w:szCs w:val="24"/>
                <w:u w:val="single"/>
              </w:rPr>
              <w:t>、</w:t>
            </w:r>
            <w:r>
              <w:rPr>
                <w:rFonts w:hint="eastAsia" w:ascii="Times New Roman" w:hAnsi="Times New Roman" w:eastAsia="宋体" w:cs="Times New Roman"/>
                <w:sz w:val="24"/>
                <w:szCs w:val="24"/>
                <w:u w:val="single"/>
              </w:rPr>
              <w:t>其他</w:t>
            </w:r>
            <w:r>
              <w:rPr>
                <w:rFonts w:ascii="Times New Roman" w:hAnsi="Times New Roman" w:eastAsia="宋体" w:cs="Times New Roman"/>
                <w:sz w:val="24"/>
                <w:szCs w:val="24"/>
                <w:u w:val="single"/>
              </w:rPr>
              <w:t>措施</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w:t>
            </w:r>
            <w:r>
              <w:rPr>
                <w:rFonts w:hint="eastAsia" w:ascii="Times New Roman" w:hAnsi="Times New Roman" w:eastAsia="宋体" w:cs="Times New Roman"/>
                <w:sz w:val="24"/>
                <w:szCs w:val="24"/>
                <w:u w:val="single"/>
              </w:rPr>
              <w:t>增强</w:t>
            </w:r>
            <w:r>
              <w:rPr>
                <w:rFonts w:ascii="Times New Roman" w:hAnsi="Times New Roman" w:eastAsia="宋体" w:cs="Times New Roman"/>
                <w:sz w:val="24"/>
                <w:szCs w:val="24"/>
                <w:u w:val="single"/>
              </w:rPr>
              <w:t>施工人员的保护意识，增强对保护动物的保护意识。通过开展讲座或发宣传册等形式，提高施工人员和当地群众对保护动物的保护意识，遵守《中华人民共和国野生动物保护法》，严禁工作人员猎捕。</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（2）加强船舶废水和生活污水的的管理，船舶收集的废污水禁止未经处理直接排入采区</w:t>
            </w:r>
            <w:r>
              <w:rPr>
                <w:rFonts w:hint="eastAsia" w:ascii="Times New Roman" w:hAnsi="Times New Roman" w:eastAsia="宋体" w:cs="Times New Roman"/>
                <w:sz w:val="24"/>
                <w:szCs w:val="24"/>
                <w:u w:val="single"/>
              </w:rPr>
              <w:t>范围</w:t>
            </w:r>
            <w:r>
              <w:rPr>
                <w:rFonts w:ascii="Times New Roman" w:hAnsi="Times New Roman" w:eastAsia="宋体" w:cs="Times New Roman"/>
                <w:sz w:val="24"/>
                <w:szCs w:val="24"/>
                <w:u w:val="single"/>
              </w:rPr>
              <w:t>内。</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（3）</w:t>
            </w:r>
            <w:r>
              <w:rPr>
                <w:rFonts w:hint="eastAsia" w:ascii="Times New Roman" w:hAnsi="Times New Roman" w:eastAsia="宋体" w:cs="Times New Roman"/>
                <w:sz w:val="24"/>
                <w:szCs w:val="24"/>
                <w:u w:val="single"/>
              </w:rPr>
              <w:t>作业</w:t>
            </w:r>
            <w:r>
              <w:rPr>
                <w:rFonts w:ascii="Times New Roman" w:hAnsi="Times New Roman" w:eastAsia="宋体" w:cs="Times New Roman"/>
                <w:sz w:val="24"/>
                <w:szCs w:val="24"/>
                <w:u w:val="single"/>
              </w:rPr>
              <w:t>时一旦发现病伤的野生动物或者被遗弃的幼体、鸟卵等，不得私自处理，要及时通知林业野生动物管理部门，派专业技术人员进行救护。</w:t>
            </w:r>
          </w:p>
          <w:p>
            <w:pPr>
              <w:tabs>
                <w:tab w:val="left" w:pos="8550"/>
              </w:tabs>
              <w:autoSpaceDE w:val="0"/>
              <w:autoSpaceDN w:val="0"/>
              <w:adjustRightInd w:val="0"/>
              <w:snapToGrid w:val="0"/>
              <w:spacing w:line="360" w:lineRule="auto"/>
              <w:rPr>
                <w:rFonts w:ascii="Times New Roman" w:hAnsi="Times New Roman"/>
                <w:b/>
                <w:bCs/>
                <w:sz w:val="24"/>
                <w:u w:val="single"/>
              </w:rPr>
            </w:pPr>
            <w:r>
              <w:rPr>
                <w:rFonts w:hint="eastAsia" w:ascii="Times New Roman" w:hAnsi="Times New Roman" w:eastAsia="宋体" w:cs="Times New Roman"/>
                <w:b/>
                <w:bCs/>
                <w:sz w:val="24"/>
                <w:szCs w:val="24"/>
                <w:u w:val="single"/>
              </w:rPr>
              <w:t>1.</w:t>
            </w:r>
            <w:r>
              <w:rPr>
                <w:rFonts w:hint="eastAsia" w:ascii="Times New Roman" w:hAnsi="Times New Roman" w:cs="Times New Roman"/>
                <w:b/>
                <w:bCs/>
                <w:sz w:val="24"/>
                <w:szCs w:val="24"/>
                <w:u w:val="single"/>
              </w:rPr>
              <w:t>3</w:t>
            </w:r>
            <w:r>
              <w:rPr>
                <w:rFonts w:hint="eastAsia" w:ascii="Times New Roman" w:hAnsi="Times New Roman" w:eastAsia="宋体" w:cs="Times New Roman"/>
                <w:b/>
                <w:bCs/>
                <w:sz w:val="24"/>
                <w:szCs w:val="24"/>
                <w:u w:val="single"/>
              </w:rPr>
              <w:t>、</w:t>
            </w:r>
            <w:r>
              <w:rPr>
                <w:rFonts w:ascii="Times New Roman" w:hAnsi="Times New Roman" w:eastAsia="宋体" w:cs="Times New Roman"/>
                <w:b/>
                <w:bCs/>
                <w:sz w:val="24"/>
                <w:szCs w:val="24"/>
                <w:u w:val="single"/>
              </w:rPr>
              <w:t>对水域生态环境保护措施</w:t>
            </w:r>
          </w:p>
          <w:p>
            <w:pPr>
              <w:tabs>
                <w:tab w:val="left" w:pos="8550"/>
              </w:tabs>
              <w:autoSpaceDE w:val="0"/>
              <w:autoSpaceDN w:val="0"/>
              <w:adjustRightInd w:val="0"/>
              <w:snapToGrid w:val="0"/>
              <w:spacing w:line="360" w:lineRule="auto"/>
              <w:rPr>
                <w:rFonts w:ascii="Times New Roman" w:hAnsi="Times New Roman"/>
                <w:sz w:val="24"/>
                <w:u w:val="single"/>
              </w:rPr>
            </w:pPr>
            <w:r>
              <w:rPr>
                <w:rFonts w:hint="eastAsia" w:ascii="Times New Roman" w:hAnsi="Times New Roman" w:cs="Times New Roman"/>
                <w:sz w:val="24"/>
                <w:szCs w:val="24"/>
                <w:u w:val="single"/>
              </w:rPr>
              <w:t>1.3.</w:t>
            </w:r>
            <w:r>
              <w:rPr>
                <w:rFonts w:ascii="Times New Roman" w:hAnsi="Times New Roman" w:eastAsia="宋体" w:cs="Times New Roman"/>
                <w:sz w:val="24"/>
                <w:szCs w:val="24"/>
                <w:u w:val="single"/>
              </w:rPr>
              <w:t>1、避免与消减措施</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（1）施工船</w:t>
            </w:r>
            <w:r>
              <w:rPr>
                <w:rFonts w:hint="eastAsia" w:ascii="Times New Roman" w:hAnsi="Times New Roman" w:cs="Times New Roman"/>
                <w:sz w:val="24"/>
                <w:szCs w:val="24"/>
                <w:u w:val="single"/>
              </w:rPr>
              <w:t>只</w:t>
            </w:r>
            <w:r>
              <w:rPr>
                <w:rFonts w:ascii="Times New Roman" w:hAnsi="Times New Roman" w:eastAsia="宋体" w:cs="Times New Roman"/>
                <w:sz w:val="24"/>
                <w:szCs w:val="24"/>
                <w:u w:val="single"/>
              </w:rPr>
              <w:t>选用低噪、高配置船只，对施工船只进行严格登记管理，避免其他非</w:t>
            </w:r>
            <w:r>
              <w:rPr>
                <w:rFonts w:hint="eastAsia" w:ascii="Times New Roman" w:hAnsi="Times New Roman" w:cs="Times New Roman"/>
                <w:sz w:val="24"/>
                <w:szCs w:val="24"/>
                <w:u w:val="single"/>
              </w:rPr>
              <w:t>施工</w:t>
            </w:r>
            <w:r>
              <w:rPr>
                <w:rFonts w:ascii="Times New Roman" w:hAnsi="Times New Roman" w:eastAsia="宋体" w:cs="Times New Roman"/>
                <w:sz w:val="24"/>
                <w:szCs w:val="24"/>
                <w:u w:val="single"/>
              </w:rPr>
              <w:t>船只的涉水影响；</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w:t>
            </w:r>
            <w:r>
              <w:rPr>
                <w:rFonts w:hint="eastAsia" w:ascii="Times New Roman" w:hAnsi="Times New Roman" w:cs="Times New Roman"/>
                <w:sz w:val="24"/>
                <w:szCs w:val="24"/>
                <w:u w:val="single"/>
              </w:rPr>
              <w:t>2</w:t>
            </w:r>
            <w:r>
              <w:rPr>
                <w:rFonts w:ascii="Times New Roman" w:hAnsi="Times New Roman" w:eastAsia="宋体" w:cs="Times New Roman"/>
                <w:sz w:val="24"/>
                <w:szCs w:val="24"/>
                <w:u w:val="single"/>
              </w:rPr>
              <w:t>）合理安排</w:t>
            </w:r>
            <w:r>
              <w:rPr>
                <w:rFonts w:hint="eastAsia" w:ascii="Times New Roman" w:hAnsi="Times New Roman" w:cs="Times New Roman"/>
                <w:sz w:val="24"/>
                <w:szCs w:val="24"/>
                <w:u w:val="single"/>
              </w:rPr>
              <w:t>施工</w:t>
            </w:r>
            <w:r>
              <w:rPr>
                <w:rFonts w:ascii="Times New Roman" w:hAnsi="Times New Roman" w:eastAsia="宋体" w:cs="Times New Roman"/>
                <w:sz w:val="24"/>
                <w:szCs w:val="24"/>
                <w:u w:val="single"/>
              </w:rPr>
              <w:t>时间，尽可能避免产生持续噪声对鱼类等水生生物的影响。</w:t>
            </w:r>
          </w:p>
          <w:p>
            <w:pPr>
              <w:tabs>
                <w:tab w:val="left" w:pos="8550"/>
              </w:tabs>
              <w:autoSpaceDE w:val="0"/>
              <w:autoSpaceDN w:val="0"/>
              <w:adjustRightInd w:val="0"/>
              <w:snapToGrid w:val="0"/>
              <w:spacing w:line="360" w:lineRule="auto"/>
              <w:rPr>
                <w:rFonts w:ascii="Times New Roman" w:hAnsi="Times New Roman"/>
                <w:sz w:val="24"/>
                <w:u w:val="single"/>
              </w:rPr>
            </w:pPr>
            <w:r>
              <w:rPr>
                <w:rFonts w:hint="eastAsia" w:ascii="Times New Roman" w:hAnsi="Times New Roman" w:cs="Times New Roman"/>
                <w:sz w:val="24"/>
                <w:szCs w:val="24"/>
                <w:u w:val="single"/>
              </w:rPr>
              <w:t>1.3.</w:t>
            </w:r>
            <w:r>
              <w:rPr>
                <w:rFonts w:ascii="Times New Roman" w:hAnsi="Times New Roman" w:eastAsia="宋体" w:cs="Times New Roman"/>
                <w:sz w:val="24"/>
                <w:szCs w:val="24"/>
                <w:u w:val="single"/>
              </w:rPr>
              <w:t>2、恢复与补偿措施</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水生态修复是通过一系列措施，将已经退化或损坏的水生态系统恢复、修复，使其基本达到原有水平或超过原有水平，并保持其长久稳定。一般而言，水生态修复措施分为人工修复和自然修复，对于损失或破坏较为严重的区域，以人工修复为主辅以自然修复，对于轻微的生态损害则以保护和自然修复为主。考虑到本工程的作业性质和范围，其施工必然会对施工水域内的湖泊底质产生本质的损害，虽然施工时间较短。因此，弄清施工水域原有的湖泊底质类型、水生生物（尤其是鱼类和底栖生物）群落结构，掌握施工水域原有的水文情况，则是下一步人工修复的主要参考依据和基础。针对本工程施工可能对该水域带来的不利影响，工程施工完成后的生态修复以人工修复为主，可以将原有施工区域的水生态环境恢复到较好的水平，人工修复措施以湖泊底质修复和水生生物群落修复为主，具体修复内容如下。</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（1）湖泊底质修复</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根据施工前期的原位底质观测结果，弄清施工后施工水域湖泊底质现状，针对施工前后湖泊底质所发生的改变（湖泊底质硬度、充塞度、湖泊高程）提出针对性的修复措施，例如采用底质填埋、人工鱼巢建设等措施，可使施工水域内的湖泊底质恢复到一个较好的水平。</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（2）水生植被和底栖动物恢复</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对因</w:t>
            </w:r>
            <w:r>
              <w:rPr>
                <w:rFonts w:hint="eastAsia" w:ascii="Times New Roman" w:hAnsi="Times New Roman" w:cs="Times New Roman"/>
                <w:sz w:val="24"/>
                <w:szCs w:val="24"/>
                <w:u w:val="single"/>
              </w:rPr>
              <w:t>清淤</w:t>
            </w:r>
            <w:r>
              <w:rPr>
                <w:rFonts w:ascii="Times New Roman" w:hAnsi="Times New Roman" w:eastAsia="宋体" w:cs="Times New Roman"/>
                <w:sz w:val="24"/>
                <w:szCs w:val="24"/>
                <w:u w:val="single"/>
              </w:rPr>
              <w:t>工程施工导致底栖动物损失和底栖生态系统破坏的区域，拟采取底栖动物引种增殖。即收集工程区其它区域底栖动物分散投放至水下</w:t>
            </w:r>
            <w:r>
              <w:rPr>
                <w:rFonts w:hint="eastAsia" w:ascii="Times New Roman" w:hAnsi="Times New Roman" w:cs="Times New Roman"/>
                <w:sz w:val="24"/>
                <w:szCs w:val="24"/>
                <w:u w:val="single"/>
              </w:rPr>
              <w:t>施工</w:t>
            </w:r>
            <w:r>
              <w:rPr>
                <w:rFonts w:ascii="Times New Roman" w:hAnsi="Times New Roman" w:eastAsia="宋体" w:cs="Times New Roman"/>
                <w:sz w:val="24"/>
                <w:szCs w:val="24"/>
                <w:u w:val="single"/>
              </w:rPr>
              <w:t>区、采集周边区域水生维管束植物根茎、种子在采区进行引种种植，加速底栖生态系统和近岸水域水生维管束植物群落的修复。底栖动物收集、投放种类以评价区常见的种类为主（蚌类、螺类等）。水生植被恢复遵循陆生-湿生-沼生植物-挺水植物-浮水植物-沉水植物（由湖岸带至水域）的规律。种植优势种为芡实、莲、芦苇等（根据具体实施可以进行调整）。</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（3）增殖放流</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增殖放流工作应根据《中国水生生物资源养护行动纲要</w:t>
            </w:r>
            <w:r>
              <w:rPr>
                <w:rFonts w:hint="eastAsia" w:ascii="Times New Roman" w:hAnsi="Times New Roman" w:eastAsia="宋体" w:cs="Times New Roman"/>
                <w:sz w:val="24"/>
                <w:szCs w:val="24"/>
                <w:u w:val="single"/>
              </w:rPr>
              <w:t>》《</w:t>
            </w:r>
            <w:r>
              <w:rPr>
                <w:rFonts w:ascii="Times New Roman" w:hAnsi="Times New Roman" w:eastAsia="宋体" w:cs="Times New Roman"/>
                <w:sz w:val="24"/>
                <w:szCs w:val="24"/>
                <w:u w:val="single"/>
              </w:rPr>
              <w:t>水生生物增殖放流管理规定》。放流种苗供应单位应选择信誉良好、管理规范、具备相应的技术力量的国家级或省级水产原良种场和良种繁育场、渔业资源增殖站、野生水生生物驯养繁殖基地或救护中心以及其他具有相关资质的种苗生产单位，必要时可通过招标形式确定。放流的幼鱼必须是由野生亲本人工繁殖的子一代。放流种类必须是无伤残和病害、体格健壮，符合渔业行政主管部门制定放流苗种种质技术规范。放流前，种苗供应单位应提供放流种苗种质鉴定和疫病检验检疫报告，以保证用于增殖放流种苗的质量，避免对增殖放流水域生态造成不良影响。鱼类放流活动应与当地水利水产管理机构协调，并在该机构的监督与指导下进行。</w:t>
            </w:r>
          </w:p>
          <w:p>
            <w:pPr>
              <w:tabs>
                <w:tab w:val="left" w:pos="8550"/>
              </w:tabs>
              <w:autoSpaceDE w:val="0"/>
              <w:autoSpaceDN w:val="0"/>
              <w:adjustRightInd w:val="0"/>
              <w:snapToGrid w:val="0"/>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增殖放流对象主要包括翘嘴鲌、鳜等鱼类，以及鲢、鳙等</w:t>
            </w:r>
            <w:r>
              <w:rPr>
                <w:rFonts w:hint="eastAsia" w:ascii="Times New Roman" w:hAnsi="Times New Roman" w:eastAsia="宋体" w:cs="Times New Roman"/>
                <w:sz w:val="24"/>
                <w:szCs w:val="24"/>
                <w:u w:val="single"/>
              </w:rPr>
              <w:t>淡水鱼类</w:t>
            </w:r>
            <w:r>
              <w:rPr>
                <w:rFonts w:ascii="Times New Roman" w:hAnsi="Times New Roman" w:eastAsia="宋体" w:cs="Times New Roman"/>
                <w:sz w:val="24"/>
                <w:szCs w:val="24"/>
                <w:u w:val="single"/>
              </w:rPr>
              <w:t>。</w:t>
            </w:r>
          </w:p>
          <w:p>
            <w:pPr>
              <w:pStyle w:val="34"/>
              <w:ind w:firstLine="480"/>
              <w:rPr>
                <w:u w:val="single"/>
              </w:rPr>
            </w:pPr>
            <w:r>
              <w:rPr>
                <w:u w:val="single"/>
              </w:rPr>
              <w:t>2</w:t>
            </w:r>
            <w:r>
              <w:rPr>
                <w:rFonts w:hint="eastAsia"/>
                <w:u w:val="single"/>
              </w:rPr>
              <w:t>、施工期</w:t>
            </w:r>
            <w:r>
              <w:rPr>
                <w:u w:val="single"/>
              </w:rPr>
              <w:t>地表水环境防治措施</w:t>
            </w:r>
          </w:p>
          <w:p>
            <w:pPr>
              <w:pStyle w:val="34"/>
              <w:ind w:firstLine="480"/>
              <w:rPr>
                <w:kern w:val="0"/>
                <w:u w:val="single"/>
              </w:rPr>
            </w:pPr>
            <w:r>
              <w:rPr>
                <w:rFonts w:hint="eastAsia"/>
                <w:kern w:val="0"/>
                <w:u w:val="single"/>
              </w:rPr>
              <w:t>（1）生活污水</w:t>
            </w:r>
          </w:p>
          <w:p>
            <w:pPr>
              <w:pStyle w:val="34"/>
              <w:ind w:firstLine="480"/>
              <w:rPr>
                <w:u w:val="single"/>
              </w:rPr>
            </w:pPr>
            <w:r>
              <w:rPr>
                <w:kern w:val="0"/>
                <w:u w:val="single"/>
              </w:rPr>
              <w:t>施工期生活污水排放量相对较少，且无特殊有毒物质，</w:t>
            </w:r>
            <w:r>
              <w:rPr>
                <w:u w:val="single"/>
              </w:rPr>
              <w:t>经化粪池处理后用于周边农田旱地施肥。</w:t>
            </w:r>
          </w:p>
          <w:p>
            <w:pPr>
              <w:pStyle w:val="34"/>
              <w:ind w:firstLine="480"/>
              <w:rPr>
                <w:b/>
                <w:bCs/>
                <w:u w:val="single"/>
              </w:rPr>
            </w:pPr>
            <w:r>
              <w:rPr>
                <w:rFonts w:hint="eastAsia"/>
                <w:u w:val="single"/>
              </w:rPr>
              <w:t>（2）</w:t>
            </w:r>
            <w:r>
              <w:rPr>
                <w:u w:val="single"/>
              </w:rPr>
              <w:t>船舶污水</w:t>
            </w:r>
          </w:p>
          <w:p>
            <w:pPr>
              <w:pStyle w:val="34"/>
              <w:ind w:firstLine="480"/>
              <w:rPr>
                <w:u w:val="single"/>
              </w:rPr>
            </w:pPr>
            <w:r>
              <w:rPr>
                <w:u w:val="single"/>
              </w:rPr>
              <w:t>水上作业的各类</w:t>
            </w:r>
            <w:r>
              <w:rPr>
                <w:rFonts w:hint="eastAsia"/>
                <w:u w:val="single"/>
              </w:rPr>
              <w:t>船只</w:t>
            </w:r>
            <w:r>
              <w:rPr>
                <w:u w:val="single"/>
              </w:rPr>
              <w:t>的船边沿应镶有一定高度的防护铁板沿边，防止船体甲板面的油污水溢流泄露漫流入河水中；</w:t>
            </w:r>
            <w:r>
              <w:rPr>
                <w:rFonts w:hint="eastAsia"/>
                <w:u w:val="single"/>
              </w:rPr>
              <w:t>施工</w:t>
            </w:r>
            <w:r>
              <w:rPr>
                <w:u w:val="single"/>
              </w:rPr>
              <w:t>作业拟采用</w:t>
            </w:r>
            <w:r>
              <w:rPr>
                <w:rFonts w:hint="eastAsia"/>
                <w:u w:val="single"/>
              </w:rPr>
              <w:t>船只</w:t>
            </w:r>
            <w:r>
              <w:rPr>
                <w:u w:val="single"/>
              </w:rPr>
              <w:t>均应自带油水分离器，白泥湖、范家坝湖、三汊港湖采区含油污水经油水分离器处理后的浮油渣暂存于船舶自备的容器中，送油污水接收船或岸上的油污水接收单位接收处理；水上各类作业机械维修时，应拖到陆地上的固定区域进行维修，并做好油水、废水</w:t>
            </w:r>
            <w:r>
              <w:rPr>
                <w:rFonts w:hint="eastAsia"/>
                <w:u w:val="single"/>
              </w:rPr>
              <w:t>与其他</w:t>
            </w:r>
            <w:r>
              <w:rPr>
                <w:u w:val="single"/>
              </w:rPr>
              <w:t>固体废物的收集，并妥善处理，防止污染水体。</w:t>
            </w:r>
          </w:p>
          <w:p>
            <w:pPr>
              <w:pStyle w:val="34"/>
              <w:ind w:firstLine="480"/>
              <w:rPr>
                <w:bCs/>
                <w:u w:val="single"/>
              </w:rPr>
            </w:pPr>
            <w:r>
              <w:rPr>
                <w:rFonts w:hint="eastAsia"/>
                <w:bCs/>
                <w:u w:val="single"/>
              </w:rPr>
              <w:t>（3）</w:t>
            </w:r>
            <w:r>
              <w:rPr>
                <w:bCs/>
                <w:u w:val="single"/>
              </w:rPr>
              <w:t>车辆冲洗废水</w:t>
            </w:r>
          </w:p>
          <w:p>
            <w:pPr>
              <w:pStyle w:val="34"/>
              <w:ind w:firstLine="480"/>
              <w:rPr>
                <w:bCs/>
                <w:u w:val="single"/>
              </w:rPr>
            </w:pPr>
            <w:r>
              <w:rPr>
                <w:bCs/>
                <w:u w:val="single"/>
              </w:rPr>
              <w:t>本工程车辆修理保养主要利用当地机修厂的已有设施，施工现场仅日常维修养护。底泥处理系统及弃料堆场出入口需配备车辆冲洗设施，车辆冲洗废水主要污染物为SS和石油类，排放方式为间歇性排放。</w:t>
            </w:r>
          </w:p>
          <w:p>
            <w:pPr>
              <w:pStyle w:val="34"/>
              <w:ind w:firstLine="480"/>
              <w:rPr>
                <w:bCs/>
                <w:u w:val="single"/>
              </w:rPr>
            </w:pPr>
            <w:r>
              <w:rPr>
                <w:bCs/>
                <w:u w:val="single"/>
              </w:rPr>
              <w:t>拟采用沉砂池处理车辆冲洗水，经沉淀处理后回用于车辆清洗，不外排</w:t>
            </w:r>
            <w:r>
              <w:rPr>
                <w:rFonts w:hint="eastAsia"/>
                <w:bCs/>
                <w:u w:val="single"/>
              </w:rPr>
              <w:t>。</w:t>
            </w:r>
          </w:p>
          <w:p>
            <w:pPr>
              <w:pStyle w:val="34"/>
              <w:ind w:firstLine="480"/>
              <w:rPr>
                <w:b/>
                <w:bCs/>
                <w:u w:val="single"/>
              </w:rPr>
            </w:pPr>
            <w:r>
              <w:rPr>
                <w:rFonts w:hint="eastAsia"/>
                <w:u w:val="single"/>
              </w:rPr>
              <w:t>（4）临时堆场</w:t>
            </w:r>
            <w:r>
              <w:rPr>
                <w:u w:val="single"/>
              </w:rPr>
              <w:t>余水</w:t>
            </w:r>
            <w:r>
              <w:rPr>
                <w:rFonts w:hint="eastAsia"/>
                <w:u w:val="single"/>
              </w:rPr>
              <w:t>处理及可行性分析</w:t>
            </w:r>
          </w:p>
          <w:p>
            <w:pPr>
              <w:pStyle w:val="34"/>
              <w:ind w:firstLine="480"/>
              <w:rPr>
                <w:u w:val="single"/>
              </w:rPr>
            </w:pPr>
            <w:r>
              <w:rPr>
                <w:rFonts w:hint="eastAsia"/>
                <w:u w:val="single"/>
              </w:rPr>
              <w:t>鼻湖清理的淤泥转运至临时堆场，弃料在堆放过程中约80%水分会渗透产生弃料余水，临时堆场余水经絮凝沉淀池处理后满足《污水综合排放标准》（GB8978-1996）一级标准后，排入鼻湖。</w:t>
            </w:r>
          </w:p>
          <w:p>
            <w:pPr>
              <w:pStyle w:val="34"/>
              <w:ind w:firstLine="480"/>
              <w:rPr>
                <w:u w:val="single"/>
              </w:rPr>
            </w:pPr>
            <w:r>
              <w:rPr>
                <w:rFonts w:hint="eastAsia"/>
                <w:u w:val="single"/>
              </w:rPr>
              <w:t>干化废水重金属预处理措施可行性分析：根据鼻湖底泥监测结果，底泥中总铬、锌浓度较高，超过了《土壤环境质量</w:t>
            </w:r>
            <w:r>
              <w:rPr>
                <w:u w:val="single"/>
              </w:rPr>
              <w:t xml:space="preserve"> 农用地土壤污染风险管控标准（试行）》（GB15618-2018）</w:t>
            </w:r>
            <w:r>
              <w:rPr>
                <w:rFonts w:hint="eastAsia"/>
                <w:u w:val="single"/>
              </w:rPr>
              <w:t>筛选值标准要求，因此底泥的干化废水中可能含有较高浓度的总铬和锌，本项目采用混凝沉淀工艺处理废水，通过添加处理药剂，能够有效去除堆场尾水中锌、铬等重金属污染物，通过添加柠檬酸钠、柠檬酸三钙等可去除尾水中的锌，添加聚合氯化铝等有机络合剂可有效去除尾水中的铬，项目采用混凝沉淀法可使重金属达标排放</w:t>
            </w:r>
            <w:r>
              <w:rPr>
                <w:u w:val="single"/>
              </w:rPr>
              <w:t>。</w:t>
            </w:r>
            <w:r>
              <w:rPr>
                <w:rFonts w:hint="eastAsia"/>
                <w:u w:val="single"/>
              </w:rPr>
              <w:t>废水处理后可达到《污水综合排放标准》（GB8978-1996）一级标准后，重新排入鼻湖可行，通过本项目建设降低了鼻湖内铬和锌的总量，有利于鼻湖生态环境的持续改善。</w:t>
            </w:r>
          </w:p>
          <w:p>
            <w:pPr>
              <w:pStyle w:val="34"/>
              <w:ind w:firstLine="480"/>
              <w:rPr>
                <w:u w:val="single"/>
              </w:rPr>
            </w:pPr>
            <w:r>
              <w:rPr>
                <w:u w:val="single"/>
              </w:rPr>
              <w:t>（</w:t>
            </w:r>
            <w:r>
              <w:rPr>
                <w:rFonts w:hint="eastAsia"/>
                <w:u w:val="single"/>
              </w:rPr>
              <w:t>5</w:t>
            </w:r>
            <w:r>
              <w:rPr>
                <w:u w:val="single"/>
              </w:rPr>
              <w:t>）施工机械冲洗废水</w:t>
            </w:r>
          </w:p>
          <w:p>
            <w:pPr>
              <w:pStyle w:val="34"/>
              <w:ind w:firstLine="480"/>
              <w:rPr>
                <w:u w:val="single"/>
              </w:rPr>
            </w:pPr>
            <w:r>
              <w:rPr>
                <w:u w:val="single"/>
              </w:rPr>
              <w:t>本项目施工机械冲洗废水主要含SS，pH呈弱碱性，并带有少量油污。该部分废水pH值呈弱碱性，并带有少量油污，如任意排放将对区域水环境将造成一定影响；环评要求工地必须建有废水隔油沉淀池，施工机械冲洗废水经隔油池沉淀处理后回用洒水除尘。禁止将废水排入区域地表水域</w:t>
            </w:r>
            <w:r>
              <w:rPr>
                <w:rFonts w:hint="eastAsia"/>
                <w:u w:val="single"/>
              </w:rPr>
              <w:t>。</w:t>
            </w:r>
          </w:p>
          <w:p>
            <w:pPr>
              <w:pStyle w:val="34"/>
              <w:ind w:firstLine="480"/>
              <w:rPr>
                <w:u w:val="single"/>
              </w:rPr>
            </w:pPr>
            <w:r>
              <w:rPr>
                <w:rFonts w:hint="eastAsia"/>
                <w:u w:val="single"/>
              </w:rPr>
              <w:t>（6）合理安排施工时间：鼻湖的枯水期一般在1</w:t>
            </w:r>
            <w:r>
              <w:rPr>
                <w:u w:val="single"/>
              </w:rPr>
              <w:t>2</w:t>
            </w:r>
            <w:r>
              <w:rPr>
                <w:rFonts w:hint="eastAsia"/>
                <w:u w:val="single"/>
              </w:rPr>
              <w:t>月至次年4月，项目清淤疏浚工程尽量安排在枯水期实施，以降低项目施工对鼻湖水环境的影响。</w:t>
            </w:r>
          </w:p>
          <w:p>
            <w:pPr>
              <w:pStyle w:val="34"/>
              <w:ind w:firstLine="480"/>
              <w:rPr>
                <w:u w:val="single"/>
              </w:rPr>
            </w:pPr>
            <w:r>
              <w:rPr>
                <w:rFonts w:hint="eastAsia"/>
                <w:u w:val="single"/>
              </w:rPr>
              <w:t>（7）枯水期地表水环境影响减缓的环保措施：环评要求建设单位尽量安排在枯水期进行清淤疏浚，采用绞吸船进行作业，尽量降低作业面，并且加快施工进度为降低施工搅动底泥带来的悬浮物浓度增加和重金属污染，环评建议建设单位可在施工时投加絮凝剂，加速悬浮物和重金属的沉淀，降低其影响时间和影响范围。</w:t>
            </w:r>
          </w:p>
          <w:p>
            <w:pPr>
              <w:pStyle w:val="34"/>
              <w:ind w:firstLine="480"/>
            </w:pPr>
            <w:r>
              <w:rPr>
                <w:rFonts w:hint="eastAsia"/>
              </w:rPr>
              <w:t>3、施工期大气污染防治措施</w:t>
            </w:r>
          </w:p>
          <w:p>
            <w:pPr>
              <w:pStyle w:val="34"/>
              <w:ind w:firstLine="480"/>
            </w:pPr>
            <w:r>
              <w:rPr>
                <w:rFonts w:hint="eastAsia"/>
              </w:rPr>
              <w:t>为有效防治本项目施工扬尘等污染因子可能产生的环境空气污染，建议采取以下防治措施：</w:t>
            </w:r>
          </w:p>
          <w:p>
            <w:pPr>
              <w:pStyle w:val="34"/>
              <w:ind w:firstLine="480"/>
            </w:pPr>
            <w:r>
              <w:rPr>
                <w:rFonts w:hint="eastAsia"/>
              </w:rPr>
              <w:t>①施工场地</w:t>
            </w:r>
            <w:r>
              <w:t>设置雾炮除尘器除尘。</w:t>
            </w:r>
          </w:p>
          <w:p>
            <w:pPr>
              <w:pStyle w:val="34"/>
              <w:ind w:firstLine="480"/>
            </w:pPr>
            <w:r>
              <w:rPr>
                <w:rFonts w:hint="eastAsia"/>
              </w:rPr>
              <w:t>②</w:t>
            </w:r>
            <w:r>
              <w:t>各类易</w:t>
            </w:r>
            <w:r>
              <w:rPr>
                <w:rFonts w:hint="eastAsia"/>
              </w:rPr>
              <w:t>洒落</w:t>
            </w:r>
            <w:r>
              <w:t>散装物料在装卸、使用、运输和临时存放等全部过程中</w:t>
            </w:r>
            <w:r>
              <w:rPr>
                <w:rFonts w:hint="eastAsia"/>
              </w:rPr>
              <w:t>必须采取</w:t>
            </w:r>
            <w:r>
              <w:t>防风遮盖措施，以减少扬尘</w:t>
            </w:r>
          </w:p>
          <w:p>
            <w:pPr>
              <w:pStyle w:val="34"/>
              <w:ind w:firstLine="480"/>
            </w:pPr>
            <w:r>
              <w:rPr>
                <w:rFonts w:hint="eastAsia"/>
              </w:rPr>
              <w:t>③</w:t>
            </w:r>
            <w:r>
              <w:t>施工结束时，应及时对施工临时占用场地恢复地面道路及植被。</w:t>
            </w:r>
          </w:p>
          <w:p>
            <w:pPr>
              <w:pStyle w:val="34"/>
              <w:ind w:firstLine="480"/>
            </w:pPr>
            <w:r>
              <w:rPr>
                <w:rFonts w:hint="eastAsia"/>
              </w:rPr>
              <w:t>④</w:t>
            </w:r>
            <w:r>
              <w:t>应合理安排施工，土建工程施工时，应选择无风或风较小的天气并避免将扬尘量大的工序安排在敏感点的正上风向。</w:t>
            </w:r>
          </w:p>
          <w:p>
            <w:pPr>
              <w:pStyle w:val="34"/>
              <w:ind w:firstLine="480"/>
            </w:pPr>
            <w:r>
              <w:rPr>
                <w:rFonts w:hint="eastAsia"/>
              </w:rPr>
              <w:t>⑤</w:t>
            </w:r>
            <w:r>
              <w:t>严格落实8个100%，施工工地现场围挡和外架防护100%全封闭围挡保持整洁美观外架安全网无破损，施工现场出入口及车行道路100%硬化</w:t>
            </w:r>
            <w:r>
              <w:rPr>
                <w:rFonts w:hint="eastAsia"/>
              </w:rPr>
              <w:t>；</w:t>
            </w:r>
            <w:r>
              <w:t>施工现场出入口100%设置车辆冲洗设施，易起扬尘作业面 100%湿法施工</w:t>
            </w:r>
            <w:r>
              <w:rPr>
                <w:rFonts w:hint="eastAsia"/>
              </w:rPr>
              <w:t>；</w:t>
            </w:r>
            <w:r>
              <w:t>裸露黄土及易起尘物料 100%覆盖，渣实施 100%密封运输建筑垃圾 100%规范管理，必须集中堆放、及时清运，严禁高空抛洒和焚</w:t>
            </w:r>
            <w:r>
              <w:rPr>
                <w:rFonts w:hint="eastAsia"/>
              </w:rPr>
              <w:t>烧，非道路移动工程机械尾气排放</w:t>
            </w:r>
            <w:r>
              <w:t xml:space="preserve"> 100%达标，严禁使用劣质油品，严禁冒烟作业。</w:t>
            </w:r>
          </w:p>
          <w:p>
            <w:pPr>
              <w:pStyle w:val="34"/>
              <w:ind w:firstLine="480"/>
            </w:pPr>
            <w:r>
              <w:rPr>
                <w:rFonts w:hint="eastAsia"/>
              </w:rPr>
              <w:t>⑥</w:t>
            </w:r>
            <w:r>
              <w:t>项目</w:t>
            </w:r>
            <w:r>
              <w:rPr>
                <w:rFonts w:hint="eastAsia"/>
              </w:rPr>
              <w:t>污泥干化场</w:t>
            </w:r>
            <w:r>
              <w:t>采用篷布遮挡，四周设置雨水边沟。</w:t>
            </w:r>
          </w:p>
          <w:p>
            <w:pPr>
              <w:pStyle w:val="34"/>
              <w:ind w:firstLine="480"/>
            </w:pPr>
            <w:r>
              <w:rPr>
                <w:rFonts w:hint="eastAsia"/>
              </w:rPr>
              <w:t>⑦</w:t>
            </w:r>
            <w:r>
              <w:t>本次评价要求项目必须选用符合国家卫生防护标准的施工机械设备和运输工具，确保其废气排放符合国家有关标准，必须使用合格的油品严禁使用劣质油品，杜绝冒黑烟现象。加强对机械设备的养护，减少不必要的空转时间，以控制尾气排放。</w:t>
            </w:r>
          </w:p>
          <w:p>
            <w:pPr>
              <w:pStyle w:val="34"/>
              <w:ind w:firstLine="480"/>
            </w:pPr>
            <w:r>
              <w:rPr>
                <w:rFonts w:hint="eastAsia"/>
              </w:rPr>
              <w:t>⑧淤泥</w:t>
            </w:r>
            <w:r>
              <w:t>干化场四周设置截水沟，防止雨水冲刷。</w:t>
            </w:r>
            <w:r>
              <w:rPr>
                <w:rFonts w:hint="eastAsia"/>
              </w:rPr>
              <w:t>尽量减少</w:t>
            </w:r>
            <w:r>
              <w:t>淤泥干化过程中产生的恶臭对周边居民造成影响。</w:t>
            </w:r>
          </w:p>
          <w:p>
            <w:pPr>
              <w:pStyle w:val="34"/>
              <w:ind w:firstLine="480"/>
            </w:pPr>
            <w:r>
              <w:rPr>
                <w:rFonts w:hint="eastAsia"/>
              </w:rPr>
              <w:t>⑨</w:t>
            </w:r>
            <w:r>
              <w:t>对泥干化场定期喷洒生物除臭剂。</w:t>
            </w:r>
          </w:p>
          <w:p>
            <w:pPr>
              <w:pStyle w:val="34"/>
              <w:ind w:firstLine="480"/>
            </w:pPr>
            <w:r>
              <w:rPr>
                <w:rFonts w:hint="eastAsia"/>
              </w:rPr>
              <w:t>⑩</w:t>
            </w:r>
            <w:r>
              <w:t>加快清淤速度，缩短清淤时间。清淤的季节尽量控制在冬季</w:t>
            </w:r>
            <w:r>
              <w:rPr>
                <w:rFonts w:hint="eastAsia"/>
              </w:rPr>
              <w:t>（</w:t>
            </w:r>
            <w:r>
              <w:t>枯水期</w:t>
            </w:r>
            <w:r>
              <w:rPr>
                <w:rFonts w:hint="eastAsia"/>
              </w:rPr>
              <w:t>）</w:t>
            </w:r>
            <w:r>
              <w:t>，冬季清淤时的气味不易发散，而且冬季居民的窗户关闭，可以</w:t>
            </w:r>
            <w:r>
              <w:rPr>
                <w:rFonts w:hint="eastAsia"/>
              </w:rPr>
              <w:t>减轻</w:t>
            </w:r>
            <w:r>
              <w:t>臭气对周围居民的影响</w:t>
            </w:r>
            <w:r>
              <w:rPr>
                <w:rFonts w:hint="eastAsia"/>
              </w:rPr>
              <w:t>。</w:t>
            </w:r>
          </w:p>
          <w:p>
            <w:pPr>
              <w:pStyle w:val="34"/>
              <w:ind w:firstLine="480"/>
            </w:pPr>
            <w:r>
              <w:rPr>
                <w:rFonts w:hint="eastAsia"/>
              </w:rPr>
              <w:t>采用上述处理措施后，施工扬尘及恶臭能得到有效控制。同时，施工期废气还有施工机械及运输车辆排放的尾气，但由于是移动源分散排放对周围环境空气影响不大。因此，本项目施工废气对周围环境的影响不大措施可行。</w:t>
            </w:r>
          </w:p>
          <w:p>
            <w:pPr>
              <w:pStyle w:val="34"/>
              <w:ind w:firstLine="480"/>
              <w:rPr>
                <w:u w:val="single"/>
              </w:rPr>
            </w:pPr>
            <w:r>
              <w:rPr>
                <w:u w:val="single"/>
              </w:rPr>
              <w:t>4、施工期噪声污染防治措施</w:t>
            </w:r>
          </w:p>
          <w:p>
            <w:pPr>
              <w:spacing w:line="360" w:lineRule="auto"/>
              <w:ind w:firstLine="480" w:firstLineChars="200"/>
              <w:rPr>
                <w:rFonts w:ascii="Times New Roman" w:hAnsi="Times New Roman"/>
                <w:sz w:val="24"/>
                <w:u w:val="single"/>
              </w:rPr>
            </w:pPr>
            <w:r>
              <w:rPr>
                <w:rFonts w:ascii="Times New Roman" w:hAnsi="Times New Roman" w:eastAsia="宋体" w:cs="Times New Roman"/>
                <w:bCs/>
                <w:sz w:val="24"/>
                <w:szCs w:val="24"/>
                <w:u w:val="single"/>
              </w:rPr>
              <w:t>本项目施工期噪声主要为各施工机械设备产生的机械噪声，车辆运输过程产生的交通噪声，</w:t>
            </w:r>
            <w:r>
              <w:rPr>
                <w:rFonts w:ascii="Times New Roman" w:hAnsi="Times New Roman" w:eastAsia="宋体" w:cs="Times New Roman"/>
                <w:sz w:val="24"/>
                <w:szCs w:val="24"/>
                <w:u w:val="single"/>
              </w:rPr>
              <w:t>通过计算可得不同施工阶段不同类型施工机械在不同距离处的噪声预测值，昼间施工设备产生的噪声主要对</w:t>
            </w:r>
            <w:r>
              <w:rPr>
                <w:rFonts w:hint="eastAsia" w:ascii="Times New Roman" w:hAnsi="Times New Roman" w:eastAsia="宋体" w:cs="Times New Roman"/>
                <w:sz w:val="24"/>
                <w:szCs w:val="24"/>
                <w:u w:val="single"/>
              </w:rPr>
              <w:t>周边50m</w:t>
            </w:r>
            <w:r>
              <w:rPr>
                <w:rFonts w:ascii="Times New Roman" w:hAnsi="Times New Roman" w:eastAsia="宋体" w:cs="Times New Roman"/>
                <w:sz w:val="24"/>
                <w:szCs w:val="24"/>
                <w:u w:val="single"/>
              </w:rPr>
              <w:t>范围内敏感目标噪声干扰。对一些重点噪声设备和声源，提出一些治理措施：</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（1）选用低噪声设备及施工工艺</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采用低噪声施工机械设备和先进的施工技术是控制施工期噪声有效手段之一，其他施工机械进场应得到环保或有关部门的批准，对落后的施工设备进行淘汰。</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（2）采用局部吸声、隔声降噪技术</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对各施工环节中噪声较为突出且又难以对声源进行降噪可能的设备装置，应采取临时隔声屏障措施，隔声屏障最好敷以吸声材料，以此达到降噪效果。</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除此之外，施工期还应该注意以下几点：</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①合理安排施工时间：禁止夜间（</w:t>
            </w:r>
            <w:r>
              <w:rPr>
                <w:rFonts w:hint="eastAsia" w:ascii="Times New Roman" w:hAnsi="Times New Roman" w:eastAsia="宋体" w:cs="Times New Roman"/>
                <w:sz w:val="24"/>
                <w:szCs w:val="24"/>
                <w:u w:val="single"/>
              </w:rPr>
              <w:t>晚上</w:t>
            </w:r>
            <w:r>
              <w:rPr>
                <w:rFonts w:ascii="Times New Roman" w:hAnsi="Times New Roman" w:eastAsia="宋体" w:cs="Times New Roman"/>
                <w:sz w:val="24"/>
                <w:szCs w:val="24"/>
                <w:u w:val="single"/>
              </w:rPr>
              <w:t>十二点到早晨六点之间）进行产生环境噪声污染的建筑施工作业。建筑施工单位生产工艺上要求或者特殊需要必须进行夜间连续作业的，应事先征得周边居民同意，并向环保主管部门进行申报；</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②合理布置噪声源设备：在不影响施工情况下将噪声设置尽量不集中安排，为保障居民区有一个良好的生活环境，强噪声设备至敏感点距离至少在50m以外。</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③在施工过程中，采用商品</w:t>
            </w:r>
            <w:r>
              <w:rPr>
                <w:rFonts w:hint="eastAsia" w:ascii="Times New Roman" w:hAnsi="Times New Roman" w:eastAsia="宋体" w:cs="Times New Roman"/>
                <w:sz w:val="24"/>
                <w:szCs w:val="24"/>
                <w:u w:val="single"/>
              </w:rPr>
              <w:t>混凝土</w:t>
            </w:r>
            <w:r>
              <w:rPr>
                <w:rFonts w:ascii="Times New Roman" w:hAnsi="Times New Roman" w:eastAsia="宋体" w:cs="Times New Roman"/>
                <w:sz w:val="24"/>
                <w:szCs w:val="24"/>
                <w:u w:val="single"/>
              </w:rPr>
              <w:t>和成品窗；大型建筑构件，应在施工现场外预制，然后运到施工现场再行安装。</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④降低人为噪声：按规定操作机械设备，模板、支架装卸过程中，尽量减少碰撞声音。</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（3）严格执行施工申报制度。</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（4）对于确需夜间施工的施工活动，施工单位必须事前报经城管部门批准</w:t>
            </w:r>
            <w:r>
              <w:rPr>
                <w:rFonts w:hint="eastAsia" w:ascii="Times New Roman" w:hAnsi="Times New Roman" w:eastAsia="宋体" w:cs="Times New Roman"/>
                <w:sz w:val="24"/>
                <w:szCs w:val="24"/>
                <w:u w:val="single"/>
              </w:rPr>
              <w:t>，</w:t>
            </w:r>
            <w:r>
              <w:rPr>
                <w:rFonts w:ascii="Times New Roman" w:hAnsi="Times New Roman" w:eastAsia="宋体" w:cs="Times New Roman"/>
                <w:sz w:val="24"/>
                <w:szCs w:val="24"/>
                <w:u w:val="single"/>
              </w:rPr>
              <w:t>同时执行建筑施工噪声申报登记制度，在工程开工15日前填写《建筑施工场地噪声管理审批表》，向当地环境保护主管部门申报。并于施工前两天公告附近启民。如有发出高分贝噪声的施工内容或必须进行夜间施工时，施工单位在施工前，应当主动地将发出高分贝噪声的施工及夜间施工的时间、内容、降噪措施以及应急情况处置等情况以“告示”形式张贴在施工现场周围，接受社会的监督。</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①控制或禁止运输车辆进出施工现场时鸣喇叭，减少交通噪声。</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②制定施工噪声控制备用应急方案，重视噪声源头的治理工作。当常规噪声控制措施不能满足要求，出现噪声扰民情况，应及时对产生噪声的设备和施工工艺停止施工，并检测噪声防治措施的可靠性。</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③合理安排施工场地内部的布局，使得噪声较大的施工工程远离周边敏感点。</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只要本项目建筑施工单位加强管理，严格执行以上有关的管理规定，本项目施工过程中产生噪声是可以得到有效的控制。尽管施工噪声和振动对外环境产生一定的不利影响，但是施工期影响是短暂的，一旦施工活动结束，施工噪声和振动也随之结束。</w:t>
            </w:r>
          </w:p>
          <w:p>
            <w:pPr>
              <w:pStyle w:val="34"/>
              <w:ind w:firstLine="480"/>
            </w:pPr>
            <w:r>
              <w:rPr>
                <w:rFonts w:hint="eastAsia"/>
              </w:rPr>
              <w:t>5、固体废物</w:t>
            </w:r>
          </w:p>
          <w:p>
            <w:pPr>
              <w:pStyle w:val="34"/>
              <w:ind w:firstLine="480"/>
              <w:rPr>
                <w:u w:val="single"/>
              </w:rPr>
            </w:pPr>
            <w:r>
              <w:rPr>
                <w:rFonts w:hint="eastAsia"/>
                <w:u w:val="single"/>
              </w:rPr>
              <w:t>（1）</w:t>
            </w:r>
            <w:r>
              <w:rPr>
                <w:u w:val="single"/>
              </w:rPr>
              <w:t>施工人员生活垃圾</w:t>
            </w:r>
          </w:p>
          <w:p>
            <w:pPr>
              <w:pStyle w:val="34"/>
              <w:ind w:firstLine="480"/>
              <w:rPr>
                <w:u w:val="single"/>
              </w:rPr>
            </w:pPr>
            <w:r>
              <w:rPr>
                <w:u w:val="single"/>
              </w:rPr>
              <w:t>本项目施工人员产生生活垃圾经收集后交环卫部门清运。</w:t>
            </w:r>
          </w:p>
          <w:p>
            <w:pPr>
              <w:pStyle w:val="34"/>
              <w:ind w:firstLine="480"/>
              <w:rPr>
                <w:u w:val="single"/>
              </w:rPr>
            </w:pPr>
            <w:r>
              <w:rPr>
                <w:rFonts w:hint="eastAsia"/>
                <w:u w:val="single"/>
              </w:rPr>
              <w:t>（2）</w:t>
            </w:r>
            <w:r>
              <w:rPr>
                <w:u w:val="single"/>
              </w:rPr>
              <w:t>疏浚废弃物</w:t>
            </w:r>
          </w:p>
          <w:p>
            <w:pPr>
              <w:pStyle w:val="34"/>
              <w:ind w:firstLine="480"/>
              <w:rPr>
                <w:u w:val="single"/>
              </w:rPr>
            </w:pPr>
            <w:r>
              <w:rPr>
                <w:u w:val="single"/>
              </w:rPr>
              <w:t>本工程土石方开挖共计7</w:t>
            </w:r>
            <w:r>
              <w:rPr>
                <w:rFonts w:hint="eastAsia"/>
                <w:u w:val="single"/>
              </w:rPr>
              <w:t>47.09</w:t>
            </w:r>
            <w:r>
              <w:rPr>
                <w:u w:val="single"/>
              </w:rPr>
              <w:t>万m3，土方填筑共计</w:t>
            </w:r>
            <w:r>
              <w:rPr>
                <w:rFonts w:hint="eastAsia"/>
                <w:u w:val="single"/>
              </w:rPr>
              <w:t>5.06</w:t>
            </w:r>
            <w:r>
              <w:rPr>
                <w:u w:val="single"/>
              </w:rPr>
              <w:t>万m3。其中土石方开挖料部分用于自身回填。经土石方平衡规划，共计利用土石方开挖料为</w:t>
            </w:r>
            <w:r>
              <w:rPr>
                <w:rFonts w:hint="eastAsia"/>
                <w:u w:val="single"/>
              </w:rPr>
              <w:t>3.54</w:t>
            </w:r>
            <w:r>
              <w:rPr>
                <w:u w:val="single"/>
              </w:rPr>
              <w:t>万m3，总</w:t>
            </w:r>
            <w:r>
              <w:rPr>
                <w:rFonts w:hint="eastAsia"/>
                <w:u w:val="single"/>
              </w:rPr>
              <w:t>剩余</w:t>
            </w:r>
            <w:r>
              <w:rPr>
                <w:u w:val="single"/>
              </w:rPr>
              <w:t>疏浚废弃物</w:t>
            </w:r>
            <w:r>
              <w:rPr>
                <w:rFonts w:hint="eastAsia"/>
                <w:u w:val="single"/>
              </w:rPr>
              <w:t>684.26</w:t>
            </w:r>
            <w:r>
              <w:rPr>
                <w:u w:val="single"/>
              </w:rPr>
              <w:t>万m3</w:t>
            </w:r>
            <w:r>
              <w:rPr>
                <w:rFonts w:hint="eastAsia"/>
                <w:u w:val="single"/>
              </w:rPr>
              <w:t>。</w:t>
            </w:r>
          </w:p>
          <w:p>
            <w:pPr>
              <w:pStyle w:val="34"/>
              <w:ind w:firstLine="480"/>
              <w:rPr>
                <w:u w:val="single"/>
              </w:rPr>
            </w:pPr>
            <w:r>
              <w:rPr>
                <w:u w:val="single"/>
              </w:rPr>
              <w:t>采用</w:t>
            </w:r>
            <w:r>
              <w:rPr>
                <w:rFonts w:hint="eastAsia"/>
                <w:u w:val="single"/>
              </w:rPr>
              <w:t>2艘</w:t>
            </w:r>
            <w:r>
              <w:rPr>
                <w:u w:val="single"/>
              </w:rPr>
              <w:t>3000m</w:t>
            </w:r>
            <w:r>
              <w:rPr>
                <w:u w:val="single"/>
                <w:vertAlign w:val="superscript"/>
              </w:rPr>
              <w:t>3</w:t>
            </w:r>
            <w:r>
              <w:rPr>
                <w:u w:val="single"/>
              </w:rPr>
              <w:t>/h 绞吸式挖泥船开挖，绞吸式挖泥船直接抽取上部淤泥用于白泥湖南堤填塘固基。范家坝湖和三汊港湖采用钻探式抽沙船进行施工，上部粘土层自然下沉，下层砾砂通过钻探式抽沙船可吸取，运至临时堆存场。</w:t>
            </w:r>
          </w:p>
          <w:p>
            <w:pPr>
              <w:pStyle w:val="34"/>
              <w:ind w:firstLine="480"/>
              <w:rPr>
                <w:u w:val="single"/>
              </w:rPr>
            </w:pPr>
            <w:r>
              <w:rPr>
                <w:rFonts w:hint="eastAsia"/>
                <w:u w:val="single"/>
              </w:rPr>
              <w:t>根据规划，</w:t>
            </w:r>
            <w:r>
              <w:rPr>
                <w:u w:val="single"/>
              </w:rPr>
              <w:t>临时堆场清淤料利用方案</w:t>
            </w:r>
            <w:r>
              <w:rPr>
                <w:rFonts w:hint="eastAsia"/>
                <w:u w:val="single"/>
              </w:rPr>
              <w:t>另行设计，不在本项目评价范围内。</w:t>
            </w:r>
          </w:p>
          <w:p>
            <w:pPr>
              <w:pStyle w:val="34"/>
              <w:ind w:firstLine="480"/>
              <w:rPr>
                <w:u w:val="single"/>
              </w:rPr>
            </w:pPr>
            <w:r>
              <w:rPr>
                <w:rFonts w:hint="eastAsia"/>
                <w:u w:val="single"/>
              </w:rPr>
              <w:t>综合利用</w:t>
            </w:r>
            <w:r>
              <w:rPr>
                <w:u w:val="single"/>
              </w:rPr>
              <w:t>结束后，对具备复耕条件的</w:t>
            </w:r>
            <w:r>
              <w:rPr>
                <w:rFonts w:hint="eastAsia"/>
                <w:u w:val="single"/>
              </w:rPr>
              <w:t>临时堆场</w:t>
            </w:r>
            <w:r>
              <w:rPr>
                <w:u w:val="single"/>
              </w:rPr>
              <w:t>尽量恢复耕种，对不具备复耕条件的营造水保林草，林草措施落实前，需对绿化场地实施土地平整措施。</w:t>
            </w:r>
          </w:p>
          <w:p>
            <w:pPr>
              <w:spacing w:line="360" w:lineRule="auto"/>
              <w:ind w:firstLine="480" w:firstLineChars="200"/>
              <w:rPr>
                <w:rFonts w:ascii="Times New Roman" w:hAnsi="Times New Roman"/>
                <w:sz w:val="24"/>
                <w:u w:val="single"/>
              </w:rPr>
            </w:pPr>
            <w:r>
              <w:rPr>
                <w:rFonts w:hint="eastAsia" w:ascii="Times New Roman" w:hAnsi="Times New Roman" w:cs="Times New Roman"/>
                <w:sz w:val="24"/>
                <w:szCs w:val="24"/>
                <w:u w:val="single"/>
              </w:rPr>
              <w:t>（3）危险废物</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施工期产生的危险废物为油水分离器产生的少量废油、施工车辆擦拭零件的含油抹布。</w:t>
            </w:r>
            <w:r>
              <w:rPr>
                <w:rFonts w:hint="eastAsia" w:ascii="Times New Roman" w:hAnsi="Times New Roman" w:cs="Times New Roman"/>
                <w:sz w:val="24"/>
                <w:szCs w:val="24"/>
                <w:u w:val="single"/>
              </w:rPr>
              <w:t>在</w:t>
            </w:r>
            <w:r>
              <w:rPr>
                <w:rFonts w:ascii="Times New Roman" w:hAnsi="Times New Roman" w:eastAsia="宋体" w:cs="Times New Roman"/>
                <w:sz w:val="24"/>
                <w:szCs w:val="24"/>
                <w:u w:val="single"/>
              </w:rPr>
              <w:t>工区设置危废间，危废均采用贮存桶贮存，并委托有危废资质单位处理。</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危废间应按照《危险废物收集、贮存、运输技术规范》（HJ2025- 2012）、《危险废物贮存污染控制标准》（GB 18597-20</w:t>
            </w:r>
            <w:r>
              <w:rPr>
                <w:rFonts w:hint="eastAsia" w:ascii="Times New Roman" w:hAnsi="Times New Roman" w:cs="Times New Roman"/>
                <w:sz w:val="24"/>
                <w:szCs w:val="24"/>
                <w:u w:val="single"/>
              </w:rPr>
              <w:t>23</w:t>
            </w:r>
            <w:r>
              <w:rPr>
                <w:rFonts w:ascii="Times New Roman" w:hAnsi="Times New Roman" w:eastAsia="宋体" w:cs="Times New Roman"/>
                <w:sz w:val="24"/>
                <w:szCs w:val="24"/>
                <w:u w:val="single"/>
              </w:rPr>
              <w:t>）以及相关国家及地方法律法规的要求进行建设，主要包括：</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①建立危险废物单独贮存场所，且贮存容器应耐腐蚀、耐压、密封，禁止混放不相容固体废物，禁止危险废物混入非危险废物中储存。</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②危险废物贮存场所要做到防风、防雨、防晒，并针对危险废物设置环境保护图形标志和警示标志。</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③危险废物贮存场所内地面应做表面硬化和基础防渗处理，且表面无裂隙，同时建筑材料必须与危险废物兼容，不兼容的危险废物必须分开存放并设有隔离间隔离。</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④ 贮存危险废物时按照危险废物的种类和特性进行分区贮存，每个贮存区域之间宜设置间隔，并设置防雨、防火、防雷、防扬尘装置。</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⑤</w:t>
            </w:r>
            <w:r>
              <w:rPr>
                <w:rFonts w:hint="eastAsia" w:ascii="Times New Roman" w:hAnsi="Times New Roman" w:eastAsia="宋体" w:cs="Times New Roman"/>
                <w:sz w:val="24"/>
                <w:szCs w:val="24"/>
                <w:u w:val="single"/>
              </w:rPr>
              <w:t>危险</w:t>
            </w:r>
            <w:r>
              <w:rPr>
                <w:rFonts w:ascii="Times New Roman" w:hAnsi="Times New Roman" w:eastAsia="宋体" w:cs="Times New Roman"/>
                <w:sz w:val="24"/>
                <w:szCs w:val="24"/>
                <w:u w:val="single"/>
              </w:rPr>
              <w:t>废物贮存设施应配备通讯设备、照明设施和消防设施等。</w:t>
            </w:r>
          </w:p>
          <w:p>
            <w:pPr>
              <w:pStyle w:val="34"/>
              <w:ind w:firstLine="480"/>
              <w:rPr>
                <w:u w:val="single"/>
              </w:rPr>
            </w:pPr>
            <w:r>
              <w:rPr>
                <w:u w:val="single"/>
              </w:rPr>
              <w:t>⑥危险废物贮存单位应建立危险废物贮存台账制度，做好危险废物出入库交接记录。</w:t>
            </w:r>
          </w:p>
          <w:p>
            <w:pPr>
              <w:pStyle w:val="34"/>
              <w:ind w:firstLine="4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8" w:hRule="atLeast"/>
          <w:jc w:val="center"/>
        </w:trPr>
        <w:tc>
          <w:tcPr>
            <w:tcW w:w="753" w:type="dxa"/>
            <w:tcMar>
              <w:left w:w="28" w:type="dxa"/>
              <w:right w:w="28" w:type="dxa"/>
            </w:tcMar>
            <w:vAlign w:val="center"/>
          </w:tcPr>
          <w:p>
            <w:pPr>
              <w:pStyle w:val="41"/>
            </w:pPr>
            <w:r>
              <w:rPr>
                <w:rFonts w:hint="eastAsia"/>
              </w:rPr>
              <w:t>运营期生态环境保护措施</w:t>
            </w:r>
          </w:p>
        </w:tc>
        <w:tc>
          <w:tcPr>
            <w:tcW w:w="8457" w:type="dxa"/>
          </w:tcPr>
          <w:p>
            <w:pPr>
              <w:pStyle w:val="34"/>
              <w:ind w:firstLine="480"/>
            </w:pPr>
            <w:r>
              <w:rPr>
                <w:rFonts w:hint="eastAsia"/>
              </w:rPr>
              <w:t>工程建成后，运营期间工程本身不产生废水、废气、噪声等污染，主要是对环境的正面影响，无相应环保措施。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753" w:type="dxa"/>
            <w:vAlign w:val="center"/>
          </w:tcPr>
          <w:p>
            <w:pPr>
              <w:pStyle w:val="41"/>
            </w:pPr>
            <w:r>
              <w:rPr>
                <w:rFonts w:hint="eastAsia"/>
              </w:rPr>
              <w:t>其他</w:t>
            </w:r>
          </w:p>
        </w:tc>
        <w:tc>
          <w:tcPr>
            <w:tcW w:w="8457" w:type="dxa"/>
          </w:tcPr>
          <w:p>
            <w:pPr>
              <w:pStyle w:val="34"/>
              <w:ind w:firstLine="480"/>
            </w:pPr>
            <w:r>
              <w:rPr>
                <w:rFonts w:hint="eastAsia"/>
              </w:rPr>
              <w:t>1、项目环境监测要求</w:t>
            </w:r>
          </w:p>
          <w:p>
            <w:pPr>
              <w:pStyle w:val="34"/>
              <w:ind w:firstLine="480"/>
            </w:pPr>
            <w:r>
              <w:rPr>
                <w:rFonts w:hint="eastAsia"/>
              </w:rPr>
              <w:t>项目环境监测计划包括环境空气、噪声部分，其中污染源监测详见表</w:t>
            </w:r>
            <w:r>
              <w:t>5-1</w:t>
            </w:r>
            <w:r>
              <w:rPr>
                <w:rFonts w:hint="eastAsia"/>
              </w:rPr>
              <w:t>～</w:t>
            </w:r>
            <w:r>
              <w:t>表5-3。并对</w:t>
            </w:r>
            <w:r>
              <w:rPr>
                <w:rFonts w:hint="eastAsia"/>
              </w:rPr>
              <w:t>鼻湖</w:t>
            </w:r>
            <w:r>
              <w:t>水环境质量现状进行监测，详见表 5-4。</w:t>
            </w:r>
          </w:p>
          <w:p>
            <w:pPr>
              <w:pStyle w:val="39"/>
              <w:spacing w:before="156"/>
              <w:rPr>
                <w:u w:val="single"/>
              </w:rPr>
            </w:pPr>
            <w:r>
              <w:rPr>
                <w:rFonts w:hint="eastAsia"/>
                <w:u w:val="single"/>
              </w:rPr>
              <w:t>表5</w:t>
            </w:r>
            <w:r>
              <w:rPr>
                <w:u w:val="single"/>
              </w:rPr>
              <w:t xml:space="preserve">-1  </w:t>
            </w:r>
            <w:r>
              <w:rPr>
                <w:rFonts w:hint="eastAsia"/>
                <w:u w:val="single"/>
              </w:rPr>
              <w:t>环境空气监测计划</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12"/>
              <w:gridCol w:w="1060"/>
              <w:gridCol w:w="1060"/>
              <w:gridCol w:w="1060"/>
              <w:gridCol w:w="1060"/>
              <w:gridCol w:w="1060"/>
              <w:gridCol w:w="1060"/>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3" w:type="pct"/>
                  <w:vAlign w:val="center"/>
                </w:tcPr>
                <w:p>
                  <w:pPr>
                    <w:pStyle w:val="41"/>
                    <w:rPr>
                      <w:u w:val="single"/>
                    </w:rPr>
                  </w:pPr>
                  <w:r>
                    <w:rPr>
                      <w:rFonts w:hint="eastAsia"/>
                      <w:u w:val="single"/>
                    </w:rPr>
                    <w:t>阶段</w:t>
                  </w:r>
                </w:p>
              </w:tc>
              <w:tc>
                <w:tcPr>
                  <w:tcW w:w="644" w:type="pct"/>
                  <w:vAlign w:val="center"/>
                </w:tcPr>
                <w:p>
                  <w:pPr>
                    <w:pStyle w:val="41"/>
                    <w:rPr>
                      <w:u w:val="single"/>
                    </w:rPr>
                  </w:pPr>
                  <w:r>
                    <w:rPr>
                      <w:rFonts w:hint="eastAsia"/>
                      <w:u w:val="single"/>
                    </w:rPr>
                    <w:t>监测地点</w:t>
                  </w:r>
                </w:p>
              </w:tc>
              <w:tc>
                <w:tcPr>
                  <w:tcW w:w="644" w:type="pct"/>
                  <w:vAlign w:val="center"/>
                </w:tcPr>
                <w:p>
                  <w:pPr>
                    <w:pStyle w:val="41"/>
                    <w:rPr>
                      <w:u w:val="single"/>
                    </w:rPr>
                  </w:pPr>
                  <w:r>
                    <w:rPr>
                      <w:rFonts w:hint="eastAsia"/>
                      <w:u w:val="single"/>
                    </w:rPr>
                    <w:t>监测项目</w:t>
                  </w:r>
                </w:p>
              </w:tc>
              <w:tc>
                <w:tcPr>
                  <w:tcW w:w="644" w:type="pct"/>
                  <w:vAlign w:val="center"/>
                </w:tcPr>
                <w:p>
                  <w:pPr>
                    <w:pStyle w:val="41"/>
                    <w:rPr>
                      <w:u w:val="single"/>
                    </w:rPr>
                  </w:pPr>
                  <w:r>
                    <w:rPr>
                      <w:rFonts w:hint="eastAsia"/>
                      <w:u w:val="single"/>
                    </w:rPr>
                    <w:t>监测频次</w:t>
                  </w:r>
                </w:p>
              </w:tc>
              <w:tc>
                <w:tcPr>
                  <w:tcW w:w="644" w:type="pct"/>
                  <w:vAlign w:val="center"/>
                </w:tcPr>
                <w:p>
                  <w:pPr>
                    <w:pStyle w:val="41"/>
                    <w:rPr>
                      <w:u w:val="single"/>
                    </w:rPr>
                  </w:pPr>
                  <w:r>
                    <w:rPr>
                      <w:rFonts w:hint="eastAsia"/>
                      <w:u w:val="single"/>
                    </w:rPr>
                    <w:t>监测时间</w:t>
                  </w:r>
                </w:p>
              </w:tc>
              <w:tc>
                <w:tcPr>
                  <w:tcW w:w="644" w:type="pct"/>
                  <w:vAlign w:val="center"/>
                </w:tcPr>
                <w:p>
                  <w:pPr>
                    <w:pStyle w:val="41"/>
                    <w:rPr>
                      <w:u w:val="single"/>
                    </w:rPr>
                  </w:pPr>
                  <w:r>
                    <w:rPr>
                      <w:rFonts w:hint="eastAsia"/>
                      <w:u w:val="single"/>
                    </w:rPr>
                    <w:t>实施机构</w:t>
                  </w:r>
                </w:p>
              </w:tc>
              <w:tc>
                <w:tcPr>
                  <w:tcW w:w="644" w:type="pct"/>
                  <w:vAlign w:val="center"/>
                </w:tcPr>
                <w:p>
                  <w:pPr>
                    <w:pStyle w:val="41"/>
                    <w:rPr>
                      <w:u w:val="single"/>
                    </w:rPr>
                  </w:pPr>
                  <w:r>
                    <w:rPr>
                      <w:rFonts w:hint="eastAsia"/>
                      <w:u w:val="single"/>
                    </w:rPr>
                    <w:t>负责机构</w:t>
                  </w:r>
                </w:p>
              </w:tc>
              <w:tc>
                <w:tcPr>
                  <w:tcW w:w="643" w:type="pct"/>
                  <w:vAlign w:val="center"/>
                </w:tcPr>
                <w:p>
                  <w:pPr>
                    <w:pStyle w:val="41"/>
                    <w:rPr>
                      <w:u w:val="single"/>
                    </w:rPr>
                  </w:pPr>
                  <w:r>
                    <w:rPr>
                      <w:rFonts w:hint="eastAsia"/>
                      <w:u w:val="single"/>
                    </w:rPr>
                    <w:t>监督机构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3" w:type="pct"/>
                  <w:vAlign w:val="center"/>
                </w:tcPr>
                <w:p>
                  <w:pPr>
                    <w:pStyle w:val="41"/>
                    <w:rPr>
                      <w:u w:val="single"/>
                    </w:rPr>
                  </w:pPr>
                  <w:r>
                    <w:rPr>
                      <w:rFonts w:hint="eastAsia"/>
                      <w:u w:val="single"/>
                    </w:rPr>
                    <w:t>施工期</w:t>
                  </w:r>
                </w:p>
              </w:tc>
              <w:tc>
                <w:tcPr>
                  <w:tcW w:w="644" w:type="pct"/>
                  <w:vAlign w:val="center"/>
                </w:tcPr>
                <w:p>
                  <w:pPr>
                    <w:pStyle w:val="41"/>
                    <w:rPr>
                      <w:u w:val="single"/>
                    </w:rPr>
                  </w:pPr>
                  <w:r>
                    <w:rPr>
                      <w:rFonts w:hint="eastAsia"/>
                      <w:u w:val="single"/>
                    </w:rPr>
                    <w:t>淤泥干化场</w:t>
                  </w:r>
                </w:p>
              </w:tc>
              <w:tc>
                <w:tcPr>
                  <w:tcW w:w="644" w:type="pct"/>
                  <w:vAlign w:val="center"/>
                </w:tcPr>
                <w:p>
                  <w:pPr>
                    <w:pStyle w:val="41"/>
                    <w:rPr>
                      <w:u w:val="single"/>
                    </w:rPr>
                  </w:pPr>
                  <w:r>
                    <w:rPr>
                      <w:rFonts w:hint="eastAsia"/>
                      <w:u w:val="single"/>
                    </w:rPr>
                    <w:t>TSP、氨、硫化氢、臭气浓度</w:t>
                  </w:r>
                </w:p>
              </w:tc>
              <w:tc>
                <w:tcPr>
                  <w:tcW w:w="644" w:type="pct"/>
                  <w:vAlign w:val="center"/>
                </w:tcPr>
                <w:p>
                  <w:pPr>
                    <w:pStyle w:val="41"/>
                    <w:rPr>
                      <w:u w:val="single"/>
                    </w:rPr>
                  </w:pPr>
                  <w:r>
                    <w:rPr>
                      <w:rFonts w:hint="eastAsia"/>
                      <w:u w:val="single"/>
                    </w:rPr>
                    <w:t>1次/月</w:t>
                  </w:r>
                </w:p>
              </w:tc>
              <w:tc>
                <w:tcPr>
                  <w:tcW w:w="644" w:type="pct"/>
                  <w:vAlign w:val="center"/>
                </w:tcPr>
                <w:p>
                  <w:pPr>
                    <w:pStyle w:val="41"/>
                    <w:rPr>
                      <w:u w:val="single"/>
                    </w:rPr>
                  </w:pPr>
                  <w:r>
                    <w:rPr>
                      <w:rFonts w:hint="eastAsia"/>
                      <w:u w:val="single"/>
                    </w:rPr>
                    <w:t>1天</w:t>
                  </w:r>
                </w:p>
              </w:tc>
              <w:tc>
                <w:tcPr>
                  <w:tcW w:w="644" w:type="pct"/>
                  <w:vAlign w:val="center"/>
                </w:tcPr>
                <w:p>
                  <w:pPr>
                    <w:pStyle w:val="41"/>
                    <w:rPr>
                      <w:u w:val="single"/>
                    </w:rPr>
                  </w:pPr>
                  <w:r>
                    <w:rPr>
                      <w:rFonts w:hint="eastAsia"/>
                      <w:u w:val="single"/>
                    </w:rPr>
                    <w:t>监理单位或建设单位</w:t>
                  </w:r>
                </w:p>
              </w:tc>
              <w:tc>
                <w:tcPr>
                  <w:tcW w:w="644" w:type="pct"/>
                  <w:vAlign w:val="center"/>
                </w:tcPr>
                <w:p>
                  <w:pPr>
                    <w:pStyle w:val="41"/>
                    <w:rPr>
                      <w:u w:val="single"/>
                    </w:rPr>
                  </w:pPr>
                  <w:r>
                    <w:rPr>
                      <w:rFonts w:hint="eastAsia"/>
                      <w:u w:val="single"/>
                    </w:rPr>
                    <w:t>监理公司或建设单位</w:t>
                  </w:r>
                </w:p>
              </w:tc>
              <w:tc>
                <w:tcPr>
                  <w:tcW w:w="643" w:type="pct"/>
                  <w:vAlign w:val="center"/>
                </w:tcPr>
                <w:p>
                  <w:pPr>
                    <w:pStyle w:val="41"/>
                    <w:rPr>
                      <w:u w:val="single"/>
                    </w:rPr>
                  </w:pPr>
                  <w:r>
                    <w:rPr>
                      <w:rFonts w:hint="eastAsia"/>
                      <w:u w:val="single"/>
                    </w:rPr>
                    <w:t>岳阳市生态环境局湘阴分局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000" w:type="pct"/>
                  <w:gridSpan w:val="8"/>
                  <w:vAlign w:val="center"/>
                </w:tcPr>
                <w:p>
                  <w:pPr>
                    <w:pStyle w:val="41"/>
                    <w:rPr>
                      <w:u w:val="single"/>
                    </w:rPr>
                  </w:pPr>
                  <w:r>
                    <w:rPr>
                      <w:rFonts w:hint="eastAsia"/>
                      <w:u w:val="single"/>
                    </w:rPr>
                    <w:t>执行《带我污染物综合排放标准》（GB</w:t>
                  </w:r>
                  <w:r>
                    <w:rPr>
                      <w:u w:val="single"/>
                    </w:rPr>
                    <w:t>16297-1996</w:t>
                  </w:r>
                  <w:r>
                    <w:rPr>
                      <w:rFonts w:hint="eastAsia"/>
                      <w:u w:val="single"/>
                    </w:rPr>
                    <w:t>）中无组织排放标准、《恶臭污染物排放标准》（GB</w:t>
                  </w:r>
                  <w:r>
                    <w:rPr>
                      <w:u w:val="single"/>
                    </w:rPr>
                    <w:t>14554-93</w:t>
                  </w:r>
                  <w:r>
                    <w:rPr>
                      <w:rFonts w:hint="eastAsia"/>
                      <w:u w:val="single"/>
                    </w:rPr>
                    <w:t>）限值</w:t>
                  </w:r>
                </w:p>
              </w:tc>
            </w:tr>
          </w:tbl>
          <w:p>
            <w:pPr>
              <w:pStyle w:val="39"/>
              <w:spacing w:before="156"/>
              <w:rPr>
                <w:u w:val="single"/>
              </w:rPr>
            </w:pPr>
            <w:r>
              <w:rPr>
                <w:rFonts w:hint="eastAsia"/>
                <w:u w:val="single"/>
              </w:rPr>
              <w:t>表5</w:t>
            </w:r>
            <w:r>
              <w:rPr>
                <w:u w:val="single"/>
              </w:rPr>
              <w:t xml:space="preserve">-2  </w:t>
            </w:r>
            <w:r>
              <w:rPr>
                <w:rFonts w:hint="eastAsia"/>
                <w:u w:val="single"/>
              </w:rPr>
              <w:t>环境噪声监测计划</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9"/>
              <w:gridCol w:w="870"/>
              <w:gridCol w:w="871"/>
              <w:gridCol w:w="918"/>
              <w:gridCol w:w="895"/>
              <w:gridCol w:w="1313"/>
              <w:gridCol w:w="871"/>
              <w:gridCol w:w="812"/>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69" w:type="dxa"/>
                  <w:vAlign w:val="center"/>
                </w:tcPr>
                <w:p>
                  <w:pPr>
                    <w:pStyle w:val="41"/>
                    <w:rPr>
                      <w:u w:val="single"/>
                    </w:rPr>
                  </w:pPr>
                  <w:r>
                    <w:rPr>
                      <w:rFonts w:hint="eastAsia"/>
                      <w:u w:val="single"/>
                    </w:rPr>
                    <w:t>阶段</w:t>
                  </w:r>
                </w:p>
              </w:tc>
              <w:tc>
                <w:tcPr>
                  <w:tcW w:w="870" w:type="dxa"/>
                  <w:vAlign w:val="center"/>
                </w:tcPr>
                <w:p>
                  <w:pPr>
                    <w:pStyle w:val="41"/>
                    <w:rPr>
                      <w:u w:val="single"/>
                    </w:rPr>
                  </w:pPr>
                  <w:r>
                    <w:rPr>
                      <w:rFonts w:hint="eastAsia"/>
                      <w:u w:val="single"/>
                    </w:rPr>
                    <w:t>监测地点</w:t>
                  </w:r>
                </w:p>
              </w:tc>
              <w:tc>
                <w:tcPr>
                  <w:tcW w:w="871" w:type="dxa"/>
                  <w:vAlign w:val="center"/>
                </w:tcPr>
                <w:p>
                  <w:pPr>
                    <w:pStyle w:val="41"/>
                    <w:rPr>
                      <w:u w:val="single"/>
                    </w:rPr>
                  </w:pPr>
                  <w:r>
                    <w:rPr>
                      <w:rFonts w:hint="eastAsia"/>
                      <w:u w:val="single"/>
                    </w:rPr>
                    <w:t>监测频次</w:t>
                  </w:r>
                </w:p>
              </w:tc>
              <w:tc>
                <w:tcPr>
                  <w:tcW w:w="918" w:type="dxa"/>
                  <w:vAlign w:val="center"/>
                </w:tcPr>
                <w:p>
                  <w:pPr>
                    <w:pStyle w:val="41"/>
                    <w:rPr>
                      <w:u w:val="single"/>
                    </w:rPr>
                  </w:pPr>
                  <w:r>
                    <w:rPr>
                      <w:rFonts w:hint="eastAsia"/>
                      <w:u w:val="single"/>
                    </w:rPr>
                    <w:t>监测项目</w:t>
                  </w:r>
                </w:p>
              </w:tc>
              <w:tc>
                <w:tcPr>
                  <w:tcW w:w="895" w:type="dxa"/>
                  <w:vAlign w:val="center"/>
                </w:tcPr>
                <w:p>
                  <w:pPr>
                    <w:pStyle w:val="41"/>
                    <w:rPr>
                      <w:u w:val="single"/>
                    </w:rPr>
                  </w:pPr>
                  <w:r>
                    <w:rPr>
                      <w:rFonts w:hint="eastAsia"/>
                      <w:u w:val="single"/>
                    </w:rPr>
                    <w:t>监测时间</w:t>
                  </w:r>
                </w:p>
              </w:tc>
              <w:tc>
                <w:tcPr>
                  <w:tcW w:w="1313" w:type="dxa"/>
                  <w:vAlign w:val="center"/>
                </w:tcPr>
                <w:p>
                  <w:pPr>
                    <w:pStyle w:val="41"/>
                    <w:rPr>
                      <w:u w:val="single"/>
                    </w:rPr>
                  </w:pPr>
                  <w:r>
                    <w:rPr>
                      <w:rFonts w:hint="eastAsia"/>
                      <w:u w:val="single"/>
                    </w:rPr>
                    <w:t>执行标准</w:t>
                  </w:r>
                </w:p>
              </w:tc>
              <w:tc>
                <w:tcPr>
                  <w:tcW w:w="871" w:type="dxa"/>
                  <w:vAlign w:val="center"/>
                </w:tcPr>
                <w:p>
                  <w:pPr>
                    <w:pStyle w:val="41"/>
                    <w:rPr>
                      <w:u w:val="single"/>
                    </w:rPr>
                  </w:pPr>
                  <w:r>
                    <w:rPr>
                      <w:rFonts w:hint="eastAsia"/>
                      <w:u w:val="single"/>
                    </w:rPr>
                    <w:t>实施单位</w:t>
                  </w:r>
                </w:p>
              </w:tc>
              <w:tc>
                <w:tcPr>
                  <w:tcW w:w="812" w:type="dxa"/>
                  <w:vAlign w:val="center"/>
                </w:tcPr>
                <w:p>
                  <w:pPr>
                    <w:pStyle w:val="41"/>
                    <w:rPr>
                      <w:u w:val="single"/>
                    </w:rPr>
                  </w:pPr>
                  <w:r>
                    <w:rPr>
                      <w:rFonts w:hint="eastAsia"/>
                      <w:u w:val="single"/>
                    </w:rPr>
                    <w:t>负责单位</w:t>
                  </w:r>
                </w:p>
              </w:tc>
              <w:tc>
                <w:tcPr>
                  <w:tcW w:w="812" w:type="dxa"/>
                  <w:vAlign w:val="center"/>
                </w:tcPr>
                <w:p>
                  <w:pPr>
                    <w:pStyle w:val="41"/>
                    <w:rPr>
                      <w:u w:val="single"/>
                    </w:rPr>
                  </w:pPr>
                  <w:r>
                    <w:rPr>
                      <w:rFonts w:hint="eastAsia"/>
                      <w:u w:val="single"/>
                    </w:rPr>
                    <w:t>监督单位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69" w:type="dxa"/>
                  <w:vAlign w:val="center"/>
                </w:tcPr>
                <w:p>
                  <w:pPr>
                    <w:pStyle w:val="41"/>
                    <w:rPr>
                      <w:u w:val="single"/>
                    </w:rPr>
                  </w:pPr>
                  <w:r>
                    <w:rPr>
                      <w:rFonts w:hint="eastAsia"/>
                      <w:u w:val="single"/>
                    </w:rPr>
                    <w:t>施工期</w:t>
                  </w:r>
                </w:p>
              </w:tc>
              <w:tc>
                <w:tcPr>
                  <w:tcW w:w="870" w:type="dxa"/>
                  <w:vAlign w:val="center"/>
                </w:tcPr>
                <w:p>
                  <w:pPr>
                    <w:pStyle w:val="41"/>
                    <w:rPr>
                      <w:u w:val="single"/>
                    </w:rPr>
                  </w:pPr>
                  <w:r>
                    <w:rPr>
                      <w:rFonts w:hint="eastAsia"/>
                      <w:u w:val="single"/>
                    </w:rPr>
                    <w:t>施工场地四周</w:t>
                  </w:r>
                </w:p>
              </w:tc>
              <w:tc>
                <w:tcPr>
                  <w:tcW w:w="871" w:type="dxa"/>
                  <w:vAlign w:val="center"/>
                </w:tcPr>
                <w:p>
                  <w:pPr>
                    <w:pStyle w:val="41"/>
                    <w:rPr>
                      <w:u w:val="single"/>
                    </w:rPr>
                  </w:pPr>
                  <w:r>
                    <w:rPr>
                      <w:rFonts w:hint="eastAsia"/>
                      <w:u w:val="single"/>
                    </w:rPr>
                    <w:t>1次/月</w:t>
                  </w:r>
                </w:p>
              </w:tc>
              <w:tc>
                <w:tcPr>
                  <w:tcW w:w="918" w:type="dxa"/>
                  <w:vAlign w:val="center"/>
                </w:tcPr>
                <w:p>
                  <w:pPr>
                    <w:pStyle w:val="41"/>
                    <w:rPr>
                      <w:u w:val="single"/>
                    </w:rPr>
                  </w:pPr>
                  <w:r>
                    <w:rPr>
                      <w:rFonts w:hint="eastAsia"/>
                      <w:u w:val="single"/>
                    </w:rPr>
                    <w:t>Le</w:t>
                  </w:r>
                  <w:r>
                    <w:rPr>
                      <w:u w:val="single"/>
                    </w:rPr>
                    <w:t>q(A)</w:t>
                  </w:r>
                </w:p>
              </w:tc>
              <w:tc>
                <w:tcPr>
                  <w:tcW w:w="895" w:type="dxa"/>
                  <w:vAlign w:val="center"/>
                </w:tcPr>
                <w:p>
                  <w:pPr>
                    <w:pStyle w:val="41"/>
                    <w:rPr>
                      <w:u w:val="single"/>
                    </w:rPr>
                  </w:pPr>
                  <w:r>
                    <w:rPr>
                      <w:rFonts w:hint="eastAsia"/>
                      <w:u w:val="single"/>
                    </w:rPr>
                    <w:t>2天，昼间、夜间各1次</w:t>
                  </w:r>
                </w:p>
              </w:tc>
              <w:tc>
                <w:tcPr>
                  <w:tcW w:w="1313" w:type="dxa"/>
                  <w:vAlign w:val="center"/>
                </w:tcPr>
                <w:p>
                  <w:pPr>
                    <w:pStyle w:val="41"/>
                    <w:rPr>
                      <w:u w:val="single"/>
                    </w:rPr>
                  </w:pPr>
                  <w:r>
                    <w:rPr>
                      <w:rFonts w:hint="eastAsia"/>
                      <w:u w:val="single"/>
                    </w:rPr>
                    <w:t>《建筑施工场界环境噪声排放标准》（GB</w:t>
                  </w:r>
                  <w:r>
                    <w:rPr>
                      <w:u w:val="single"/>
                    </w:rPr>
                    <w:t>12523-2011</w:t>
                  </w:r>
                  <w:r>
                    <w:rPr>
                      <w:rFonts w:hint="eastAsia"/>
                      <w:u w:val="single"/>
                    </w:rPr>
                    <w:t>）</w:t>
                  </w:r>
                </w:p>
              </w:tc>
              <w:tc>
                <w:tcPr>
                  <w:tcW w:w="871" w:type="dxa"/>
                  <w:vAlign w:val="center"/>
                </w:tcPr>
                <w:p>
                  <w:pPr>
                    <w:pStyle w:val="41"/>
                    <w:rPr>
                      <w:u w:val="single"/>
                    </w:rPr>
                  </w:pPr>
                  <w:r>
                    <w:rPr>
                      <w:rFonts w:hint="eastAsia"/>
                      <w:u w:val="single"/>
                    </w:rPr>
                    <w:t>监理单位或建设单位</w:t>
                  </w:r>
                </w:p>
              </w:tc>
              <w:tc>
                <w:tcPr>
                  <w:tcW w:w="812" w:type="dxa"/>
                  <w:vAlign w:val="center"/>
                </w:tcPr>
                <w:p>
                  <w:pPr>
                    <w:pStyle w:val="41"/>
                    <w:rPr>
                      <w:u w:val="single"/>
                    </w:rPr>
                  </w:pPr>
                  <w:r>
                    <w:rPr>
                      <w:rFonts w:hint="eastAsia"/>
                      <w:u w:val="single"/>
                    </w:rPr>
                    <w:t>监理公司或建设单位</w:t>
                  </w:r>
                </w:p>
              </w:tc>
              <w:tc>
                <w:tcPr>
                  <w:tcW w:w="812" w:type="dxa"/>
                  <w:vAlign w:val="center"/>
                </w:tcPr>
                <w:p>
                  <w:pPr>
                    <w:pStyle w:val="41"/>
                    <w:rPr>
                      <w:u w:val="single"/>
                    </w:rPr>
                  </w:pPr>
                  <w:r>
                    <w:rPr>
                      <w:rFonts w:hint="eastAsia"/>
                      <w:u w:val="single"/>
                    </w:rPr>
                    <w:t>岳阳市生态环境局湘阴分局</w:t>
                  </w:r>
                </w:p>
              </w:tc>
            </w:tr>
          </w:tbl>
          <w:p>
            <w:pPr>
              <w:pStyle w:val="39"/>
              <w:spacing w:before="156"/>
              <w:rPr>
                <w:u w:val="single"/>
              </w:rPr>
            </w:pPr>
            <w:r>
              <w:rPr>
                <w:rFonts w:hint="eastAsia"/>
                <w:u w:val="single"/>
              </w:rPr>
              <w:t>表5</w:t>
            </w:r>
            <w:r>
              <w:rPr>
                <w:u w:val="single"/>
              </w:rPr>
              <w:t xml:space="preserve">-3  </w:t>
            </w:r>
            <w:r>
              <w:rPr>
                <w:rFonts w:hint="eastAsia"/>
                <w:u w:val="single"/>
              </w:rPr>
              <w:t>废水监测计划</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9"/>
              <w:gridCol w:w="870"/>
              <w:gridCol w:w="871"/>
              <w:gridCol w:w="918"/>
              <w:gridCol w:w="895"/>
              <w:gridCol w:w="1313"/>
              <w:gridCol w:w="871"/>
              <w:gridCol w:w="812"/>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69" w:type="dxa"/>
                  <w:vAlign w:val="center"/>
                </w:tcPr>
                <w:p>
                  <w:pPr>
                    <w:pStyle w:val="41"/>
                    <w:rPr>
                      <w:u w:val="single"/>
                    </w:rPr>
                  </w:pPr>
                  <w:r>
                    <w:rPr>
                      <w:rFonts w:hint="eastAsia"/>
                      <w:u w:val="single"/>
                    </w:rPr>
                    <w:t>阶段</w:t>
                  </w:r>
                </w:p>
              </w:tc>
              <w:tc>
                <w:tcPr>
                  <w:tcW w:w="870" w:type="dxa"/>
                  <w:vAlign w:val="center"/>
                </w:tcPr>
                <w:p>
                  <w:pPr>
                    <w:pStyle w:val="41"/>
                    <w:rPr>
                      <w:u w:val="single"/>
                    </w:rPr>
                  </w:pPr>
                  <w:r>
                    <w:rPr>
                      <w:rFonts w:hint="eastAsia"/>
                      <w:u w:val="single"/>
                    </w:rPr>
                    <w:t>监测地点</w:t>
                  </w:r>
                </w:p>
              </w:tc>
              <w:tc>
                <w:tcPr>
                  <w:tcW w:w="871" w:type="dxa"/>
                  <w:vAlign w:val="center"/>
                </w:tcPr>
                <w:p>
                  <w:pPr>
                    <w:pStyle w:val="41"/>
                    <w:rPr>
                      <w:u w:val="single"/>
                    </w:rPr>
                  </w:pPr>
                  <w:r>
                    <w:rPr>
                      <w:rFonts w:hint="eastAsia"/>
                      <w:u w:val="single"/>
                    </w:rPr>
                    <w:t>监测频次</w:t>
                  </w:r>
                </w:p>
              </w:tc>
              <w:tc>
                <w:tcPr>
                  <w:tcW w:w="918" w:type="dxa"/>
                  <w:vAlign w:val="center"/>
                </w:tcPr>
                <w:p>
                  <w:pPr>
                    <w:pStyle w:val="41"/>
                    <w:rPr>
                      <w:u w:val="single"/>
                    </w:rPr>
                  </w:pPr>
                  <w:r>
                    <w:rPr>
                      <w:rFonts w:hint="eastAsia"/>
                      <w:u w:val="single"/>
                    </w:rPr>
                    <w:t>监测项目</w:t>
                  </w:r>
                </w:p>
              </w:tc>
              <w:tc>
                <w:tcPr>
                  <w:tcW w:w="895" w:type="dxa"/>
                  <w:vAlign w:val="center"/>
                </w:tcPr>
                <w:p>
                  <w:pPr>
                    <w:pStyle w:val="41"/>
                    <w:rPr>
                      <w:u w:val="single"/>
                    </w:rPr>
                  </w:pPr>
                  <w:r>
                    <w:rPr>
                      <w:rFonts w:hint="eastAsia"/>
                      <w:u w:val="single"/>
                    </w:rPr>
                    <w:t>监测时间</w:t>
                  </w:r>
                </w:p>
              </w:tc>
              <w:tc>
                <w:tcPr>
                  <w:tcW w:w="1313" w:type="dxa"/>
                  <w:vAlign w:val="center"/>
                </w:tcPr>
                <w:p>
                  <w:pPr>
                    <w:pStyle w:val="41"/>
                    <w:rPr>
                      <w:u w:val="single"/>
                    </w:rPr>
                  </w:pPr>
                  <w:r>
                    <w:rPr>
                      <w:rFonts w:hint="eastAsia"/>
                      <w:u w:val="single"/>
                    </w:rPr>
                    <w:t>执行标准</w:t>
                  </w:r>
                </w:p>
              </w:tc>
              <w:tc>
                <w:tcPr>
                  <w:tcW w:w="871" w:type="dxa"/>
                  <w:vAlign w:val="center"/>
                </w:tcPr>
                <w:p>
                  <w:pPr>
                    <w:pStyle w:val="41"/>
                    <w:rPr>
                      <w:u w:val="single"/>
                    </w:rPr>
                  </w:pPr>
                  <w:r>
                    <w:rPr>
                      <w:rFonts w:hint="eastAsia"/>
                      <w:u w:val="single"/>
                    </w:rPr>
                    <w:t>实施单位</w:t>
                  </w:r>
                </w:p>
              </w:tc>
              <w:tc>
                <w:tcPr>
                  <w:tcW w:w="812" w:type="dxa"/>
                  <w:vAlign w:val="center"/>
                </w:tcPr>
                <w:p>
                  <w:pPr>
                    <w:pStyle w:val="41"/>
                    <w:rPr>
                      <w:u w:val="single"/>
                    </w:rPr>
                  </w:pPr>
                  <w:r>
                    <w:rPr>
                      <w:rFonts w:hint="eastAsia"/>
                      <w:u w:val="single"/>
                    </w:rPr>
                    <w:t>负责单位</w:t>
                  </w:r>
                </w:p>
              </w:tc>
              <w:tc>
                <w:tcPr>
                  <w:tcW w:w="812" w:type="dxa"/>
                  <w:vAlign w:val="center"/>
                </w:tcPr>
                <w:p>
                  <w:pPr>
                    <w:pStyle w:val="41"/>
                    <w:rPr>
                      <w:u w:val="single"/>
                    </w:rPr>
                  </w:pPr>
                  <w:r>
                    <w:rPr>
                      <w:rFonts w:hint="eastAsia"/>
                      <w:u w:val="single"/>
                    </w:rPr>
                    <w:t>监督单位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69" w:type="dxa"/>
                  <w:vAlign w:val="center"/>
                </w:tcPr>
                <w:p>
                  <w:pPr>
                    <w:pStyle w:val="41"/>
                    <w:rPr>
                      <w:u w:val="single"/>
                    </w:rPr>
                  </w:pPr>
                  <w:r>
                    <w:rPr>
                      <w:rFonts w:hint="eastAsia"/>
                      <w:u w:val="single"/>
                    </w:rPr>
                    <w:t>施工期</w:t>
                  </w:r>
                </w:p>
              </w:tc>
              <w:tc>
                <w:tcPr>
                  <w:tcW w:w="870" w:type="dxa"/>
                  <w:vAlign w:val="center"/>
                </w:tcPr>
                <w:p>
                  <w:pPr>
                    <w:pStyle w:val="41"/>
                    <w:rPr>
                      <w:u w:val="single"/>
                    </w:rPr>
                  </w:pPr>
                  <w:r>
                    <w:rPr>
                      <w:rFonts w:hint="eastAsia"/>
                      <w:u w:val="single"/>
                    </w:rPr>
                    <w:t>废水处理设施出口</w:t>
                  </w:r>
                </w:p>
              </w:tc>
              <w:tc>
                <w:tcPr>
                  <w:tcW w:w="871" w:type="dxa"/>
                  <w:vAlign w:val="center"/>
                </w:tcPr>
                <w:p>
                  <w:pPr>
                    <w:pStyle w:val="41"/>
                    <w:rPr>
                      <w:u w:val="single"/>
                    </w:rPr>
                  </w:pPr>
                  <w:r>
                    <w:rPr>
                      <w:rFonts w:hint="eastAsia"/>
                      <w:u w:val="single"/>
                    </w:rPr>
                    <w:t>1次/月</w:t>
                  </w:r>
                </w:p>
              </w:tc>
              <w:tc>
                <w:tcPr>
                  <w:tcW w:w="918" w:type="dxa"/>
                  <w:vAlign w:val="center"/>
                </w:tcPr>
                <w:p>
                  <w:pPr>
                    <w:pStyle w:val="41"/>
                    <w:rPr>
                      <w:u w:val="single"/>
                    </w:rPr>
                  </w:pPr>
                  <w:r>
                    <w:rPr>
                      <w:rFonts w:hint="eastAsia"/>
                      <w:u w:val="single"/>
                    </w:rPr>
                    <w:t>p</w:t>
                  </w:r>
                  <w:r>
                    <w:rPr>
                      <w:u w:val="single"/>
                    </w:rPr>
                    <w:t>H</w:t>
                  </w:r>
                  <w:r>
                    <w:rPr>
                      <w:rFonts w:hint="eastAsia"/>
                      <w:u w:val="single"/>
                    </w:rPr>
                    <w:t>值、SS、COD、氨氮、TP、总铬、总锌</w:t>
                  </w:r>
                </w:p>
              </w:tc>
              <w:tc>
                <w:tcPr>
                  <w:tcW w:w="895" w:type="dxa"/>
                  <w:vAlign w:val="center"/>
                </w:tcPr>
                <w:p>
                  <w:pPr>
                    <w:pStyle w:val="41"/>
                    <w:rPr>
                      <w:u w:val="single"/>
                    </w:rPr>
                  </w:pPr>
                  <w:r>
                    <w:rPr>
                      <w:rFonts w:hint="eastAsia"/>
                      <w:u w:val="single"/>
                    </w:rPr>
                    <w:t>1天，2次</w:t>
                  </w:r>
                </w:p>
              </w:tc>
              <w:tc>
                <w:tcPr>
                  <w:tcW w:w="1313" w:type="dxa"/>
                  <w:vAlign w:val="center"/>
                </w:tcPr>
                <w:p>
                  <w:pPr>
                    <w:pStyle w:val="41"/>
                    <w:rPr>
                      <w:u w:val="single"/>
                    </w:rPr>
                  </w:pPr>
                  <w:r>
                    <w:rPr>
                      <w:rFonts w:hint="eastAsia"/>
                      <w:u w:val="single"/>
                    </w:rPr>
                    <w:t>GB</w:t>
                  </w:r>
                  <w:r>
                    <w:rPr>
                      <w:u w:val="single"/>
                    </w:rPr>
                    <w:t>8978-1996</w:t>
                  </w:r>
                  <w:r>
                    <w:rPr>
                      <w:rFonts w:hint="eastAsia"/>
                      <w:u w:val="single"/>
                    </w:rPr>
                    <w:t>中一级标准</w:t>
                  </w:r>
                </w:p>
              </w:tc>
              <w:tc>
                <w:tcPr>
                  <w:tcW w:w="871" w:type="dxa"/>
                  <w:vAlign w:val="center"/>
                </w:tcPr>
                <w:p>
                  <w:pPr>
                    <w:pStyle w:val="41"/>
                    <w:rPr>
                      <w:u w:val="single"/>
                    </w:rPr>
                  </w:pPr>
                  <w:r>
                    <w:rPr>
                      <w:rFonts w:hint="eastAsia"/>
                      <w:u w:val="single"/>
                    </w:rPr>
                    <w:t>监理单位或建设单位</w:t>
                  </w:r>
                </w:p>
              </w:tc>
              <w:tc>
                <w:tcPr>
                  <w:tcW w:w="812" w:type="dxa"/>
                  <w:vAlign w:val="center"/>
                </w:tcPr>
                <w:p>
                  <w:pPr>
                    <w:pStyle w:val="41"/>
                    <w:rPr>
                      <w:u w:val="single"/>
                    </w:rPr>
                  </w:pPr>
                  <w:r>
                    <w:rPr>
                      <w:rFonts w:hint="eastAsia"/>
                      <w:u w:val="single"/>
                    </w:rPr>
                    <w:t>监理公司或建设单位</w:t>
                  </w:r>
                </w:p>
              </w:tc>
              <w:tc>
                <w:tcPr>
                  <w:tcW w:w="812" w:type="dxa"/>
                  <w:vAlign w:val="center"/>
                </w:tcPr>
                <w:p>
                  <w:pPr>
                    <w:pStyle w:val="41"/>
                    <w:rPr>
                      <w:u w:val="single"/>
                    </w:rPr>
                  </w:pPr>
                  <w:r>
                    <w:rPr>
                      <w:rFonts w:hint="eastAsia"/>
                      <w:u w:val="single"/>
                    </w:rPr>
                    <w:t>岳阳市生态环境局湘阴分局</w:t>
                  </w:r>
                </w:p>
              </w:tc>
            </w:tr>
          </w:tbl>
          <w:p>
            <w:pPr>
              <w:pStyle w:val="39"/>
              <w:spacing w:before="156"/>
              <w:rPr>
                <w:u w:val="single"/>
              </w:rPr>
            </w:pPr>
            <w:r>
              <w:rPr>
                <w:rFonts w:hint="eastAsia"/>
                <w:u w:val="single"/>
              </w:rPr>
              <w:t>表5</w:t>
            </w:r>
            <w:r>
              <w:rPr>
                <w:u w:val="single"/>
              </w:rPr>
              <w:t xml:space="preserve">-4  </w:t>
            </w:r>
            <w:r>
              <w:rPr>
                <w:rFonts w:hint="eastAsia"/>
                <w:u w:val="single"/>
              </w:rPr>
              <w:t>鼻湖水环境质量现状监测计划</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9"/>
              <w:gridCol w:w="870"/>
              <w:gridCol w:w="871"/>
              <w:gridCol w:w="918"/>
              <w:gridCol w:w="895"/>
              <w:gridCol w:w="1313"/>
              <w:gridCol w:w="871"/>
              <w:gridCol w:w="812"/>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69" w:type="dxa"/>
                  <w:vAlign w:val="center"/>
                </w:tcPr>
                <w:p>
                  <w:pPr>
                    <w:pStyle w:val="41"/>
                    <w:rPr>
                      <w:u w:val="single"/>
                    </w:rPr>
                  </w:pPr>
                  <w:r>
                    <w:rPr>
                      <w:rFonts w:hint="eastAsia"/>
                      <w:u w:val="single"/>
                    </w:rPr>
                    <w:t>阶段</w:t>
                  </w:r>
                </w:p>
              </w:tc>
              <w:tc>
                <w:tcPr>
                  <w:tcW w:w="870" w:type="dxa"/>
                  <w:vAlign w:val="center"/>
                </w:tcPr>
                <w:p>
                  <w:pPr>
                    <w:pStyle w:val="41"/>
                    <w:rPr>
                      <w:u w:val="single"/>
                    </w:rPr>
                  </w:pPr>
                  <w:r>
                    <w:rPr>
                      <w:rFonts w:hint="eastAsia"/>
                      <w:u w:val="single"/>
                    </w:rPr>
                    <w:t>监测地点</w:t>
                  </w:r>
                </w:p>
              </w:tc>
              <w:tc>
                <w:tcPr>
                  <w:tcW w:w="871" w:type="dxa"/>
                  <w:vAlign w:val="center"/>
                </w:tcPr>
                <w:p>
                  <w:pPr>
                    <w:pStyle w:val="41"/>
                    <w:rPr>
                      <w:u w:val="single"/>
                    </w:rPr>
                  </w:pPr>
                  <w:r>
                    <w:rPr>
                      <w:rFonts w:hint="eastAsia"/>
                      <w:u w:val="single"/>
                    </w:rPr>
                    <w:t>监测频次</w:t>
                  </w:r>
                </w:p>
              </w:tc>
              <w:tc>
                <w:tcPr>
                  <w:tcW w:w="918" w:type="dxa"/>
                  <w:vAlign w:val="center"/>
                </w:tcPr>
                <w:p>
                  <w:pPr>
                    <w:pStyle w:val="41"/>
                    <w:rPr>
                      <w:u w:val="single"/>
                    </w:rPr>
                  </w:pPr>
                  <w:r>
                    <w:rPr>
                      <w:rFonts w:hint="eastAsia"/>
                      <w:u w:val="single"/>
                    </w:rPr>
                    <w:t>监测项目</w:t>
                  </w:r>
                </w:p>
              </w:tc>
              <w:tc>
                <w:tcPr>
                  <w:tcW w:w="895" w:type="dxa"/>
                  <w:vAlign w:val="center"/>
                </w:tcPr>
                <w:p>
                  <w:pPr>
                    <w:pStyle w:val="41"/>
                    <w:rPr>
                      <w:u w:val="single"/>
                    </w:rPr>
                  </w:pPr>
                  <w:r>
                    <w:rPr>
                      <w:rFonts w:hint="eastAsia"/>
                      <w:u w:val="single"/>
                    </w:rPr>
                    <w:t>监测时间</w:t>
                  </w:r>
                </w:p>
              </w:tc>
              <w:tc>
                <w:tcPr>
                  <w:tcW w:w="1313" w:type="dxa"/>
                  <w:vAlign w:val="center"/>
                </w:tcPr>
                <w:p>
                  <w:pPr>
                    <w:pStyle w:val="41"/>
                    <w:rPr>
                      <w:u w:val="single"/>
                    </w:rPr>
                  </w:pPr>
                  <w:r>
                    <w:rPr>
                      <w:rFonts w:hint="eastAsia"/>
                      <w:u w:val="single"/>
                    </w:rPr>
                    <w:t>执行标准</w:t>
                  </w:r>
                </w:p>
              </w:tc>
              <w:tc>
                <w:tcPr>
                  <w:tcW w:w="871" w:type="dxa"/>
                  <w:vAlign w:val="center"/>
                </w:tcPr>
                <w:p>
                  <w:pPr>
                    <w:pStyle w:val="41"/>
                    <w:rPr>
                      <w:u w:val="single"/>
                    </w:rPr>
                  </w:pPr>
                  <w:r>
                    <w:rPr>
                      <w:rFonts w:hint="eastAsia"/>
                      <w:u w:val="single"/>
                    </w:rPr>
                    <w:t>实施单位</w:t>
                  </w:r>
                </w:p>
              </w:tc>
              <w:tc>
                <w:tcPr>
                  <w:tcW w:w="812" w:type="dxa"/>
                  <w:vAlign w:val="center"/>
                </w:tcPr>
                <w:p>
                  <w:pPr>
                    <w:pStyle w:val="41"/>
                    <w:rPr>
                      <w:u w:val="single"/>
                    </w:rPr>
                  </w:pPr>
                  <w:r>
                    <w:rPr>
                      <w:rFonts w:hint="eastAsia"/>
                      <w:u w:val="single"/>
                    </w:rPr>
                    <w:t>负责单位</w:t>
                  </w:r>
                </w:p>
              </w:tc>
              <w:tc>
                <w:tcPr>
                  <w:tcW w:w="812" w:type="dxa"/>
                  <w:vAlign w:val="center"/>
                </w:tcPr>
                <w:p>
                  <w:pPr>
                    <w:pStyle w:val="41"/>
                    <w:rPr>
                      <w:u w:val="single"/>
                    </w:rPr>
                  </w:pPr>
                  <w:r>
                    <w:rPr>
                      <w:rFonts w:hint="eastAsia"/>
                      <w:u w:val="single"/>
                    </w:rPr>
                    <w:t>监督单位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69" w:type="dxa"/>
                  <w:vAlign w:val="center"/>
                </w:tcPr>
                <w:p>
                  <w:pPr>
                    <w:pStyle w:val="41"/>
                    <w:rPr>
                      <w:u w:val="single"/>
                    </w:rPr>
                  </w:pPr>
                  <w:r>
                    <w:rPr>
                      <w:rFonts w:hint="eastAsia"/>
                      <w:u w:val="single"/>
                    </w:rPr>
                    <w:t>施工期</w:t>
                  </w:r>
                </w:p>
              </w:tc>
              <w:tc>
                <w:tcPr>
                  <w:tcW w:w="870" w:type="dxa"/>
                  <w:vAlign w:val="center"/>
                </w:tcPr>
                <w:p>
                  <w:pPr>
                    <w:pStyle w:val="41"/>
                    <w:rPr>
                      <w:u w:val="single"/>
                    </w:rPr>
                  </w:pPr>
                  <w:r>
                    <w:rPr>
                      <w:rFonts w:hint="eastAsia"/>
                      <w:u w:val="single"/>
                    </w:rPr>
                    <w:t>鼻湖</w:t>
                  </w:r>
                </w:p>
              </w:tc>
              <w:tc>
                <w:tcPr>
                  <w:tcW w:w="871" w:type="dxa"/>
                  <w:vAlign w:val="center"/>
                </w:tcPr>
                <w:p>
                  <w:pPr>
                    <w:pStyle w:val="41"/>
                    <w:rPr>
                      <w:u w:val="single"/>
                    </w:rPr>
                  </w:pPr>
                  <w:r>
                    <w:rPr>
                      <w:rFonts w:hint="eastAsia"/>
                      <w:u w:val="single"/>
                    </w:rPr>
                    <w:t>1次/月</w:t>
                  </w:r>
                </w:p>
              </w:tc>
              <w:tc>
                <w:tcPr>
                  <w:tcW w:w="918" w:type="dxa"/>
                  <w:vAlign w:val="center"/>
                </w:tcPr>
                <w:p>
                  <w:pPr>
                    <w:pStyle w:val="41"/>
                    <w:rPr>
                      <w:u w:val="single"/>
                    </w:rPr>
                  </w:pPr>
                  <w:r>
                    <w:rPr>
                      <w:rFonts w:hint="eastAsia"/>
                      <w:u w:val="single"/>
                    </w:rPr>
                    <w:t>p</w:t>
                  </w:r>
                  <w:r>
                    <w:rPr>
                      <w:u w:val="single"/>
                    </w:rPr>
                    <w:t>H</w:t>
                  </w:r>
                  <w:r>
                    <w:rPr>
                      <w:rFonts w:hint="eastAsia"/>
                      <w:u w:val="single"/>
                    </w:rPr>
                    <w:t>值、SS、COD、氨氮、TP、总铬、总锌</w:t>
                  </w:r>
                </w:p>
              </w:tc>
              <w:tc>
                <w:tcPr>
                  <w:tcW w:w="895" w:type="dxa"/>
                  <w:vAlign w:val="center"/>
                </w:tcPr>
                <w:p>
                  <w:pPr>
                    <w:pStyle w:val="41"/>
                    <w:rPr>
                      <w:u w:val="single"/>
                    </w:rPr>
                  </w:pPr>
                  <w:r>
                    <w:rPr>
                      <w:rFonts w:hint="eastAsia"/>
                      <w:u w:val="single"/>
                    </w:rPr>
                    <w:t>1天，2次</w:t>
                  </w:r>
                </w:p>
              </w:tc>
              <w:tc>
                <w:tcPr>
                  <w:tcW w:w="1313" w:type="dxa"/>
                  <w:vAlign w:val="center"/>
                </w:tcPr>
                <w:p>
                  <w:pPr>
                    <w:pStyle w:val="41"/>
                    <w:rPr>
                      <w:u w:val="single"/>
                    </w:rPr>
                  </w:pPr>
                  <w:r>
                    <w:rPr>
                      <w:rFonts w:hint="eastAsia"/>
                      <w:u w:val="single"/>
                    </w:rPr>
                    <w:t>GB</w:t>
                  </w:r>
                  <w:r>
                    <w:rPr>
                      <w:u w:val="single"/>
                    </w:rPr>
                    <w:t>3838-2002</w:t>
                  </w:r>
                  <w:r>
                    <w:rPr>
                      <w:rFonts w:hint="eastAsia"/>
                      <w:u w:val="single"/>
                    </w:rPr>
                    <w:t>中Ⅲ类标准</w:t>
                  </w:r>
                </w:p>
              </w:tc>
              <w:tc>
                <w:tcPr>
                  <w:tcW w:w="871" w:type="dxa"/>
                  <w:vAlign w:val="center"/>
                </w:tcPr>
                <w:p>
                  <w:pPr>
                    <w:pStyle w:val="41"/>
                    <w:rPr>
                      <w:u w:val="single"/>
                    </w:rPr>
                  </w:pPr>
                  <w:r>
                    <w:rPr>
                      <w:rFonts w:hint="eastAsia"/>
                      <w:u w:val="single"/>
                    </w:rPr>
                    <w:t>监理单位或建设单位</w:t>
                  </w:r>
                </w:p>
              </w:tc>
              <w:tc>
                <w:tcPr>
                  <w:tcW w:w="812" w:type="dxa"/>
                  <w:vAlign w:val="center"/>
                </w:tcPr>
                <w:p>
                  <w:pPr>
                    <w:pStyle w:val="41"/>
                    <w:rPr>
                      <w:u w:val="single"/>
                    </w:rPr>
                  </w:pPr>
                  <w:r>
                    <w:rPr>
                      <w:rFonts w:hint="eastAsia"/>
                      <w:u w:val="single"/>
                    </w:rPr>
                    <w:t>监理公司或建设单位</w:t>
                  </w:r>
                </w:p>
              </w:tc>
              <w:tc>
                <w:tcPr>
                  <w:tcW w:w="812" w:type="dxa"/>
                  <w:vAlign w:val="center"/>
                </w:tcPr>
                <w:p>
                  <w:pPr>
                    <w:pStyle w:val="41"/>
                    <w:rPr>
                      <w:u w:val="single"/>
                    </w:rPr>
                  </w:pPr>
                  <w:r>
                    <w:rPr>
                      <w:rFonts w:hint="eastAsia"/>
                      <w:u w:val="single"/>
                    </w:rPr>
                    <w:t>岳阳市生态环境局湘阴分局</w:t>
                  </w:r>
                </w:p>
              </w:tc>
            </w:tr>
          </w:tbl>
          <w:p>
            <w:pPr>
              <w:pStyle w:val="34"/>
              <w:ind w:firstLine="480"/>
              <w:rPr>
                <w:u w:val="single"/>
              </w:rPr>
            </w:pPr>
            <w:r>
              <w:rPr>
                <w:rFonts w:hint="eastAsia"/>
                <w:u w:val="single"/>
              </w:rPr>
              <w:t>2、环境管理</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（1）管理机构</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根据工程建设和今后的管理需要，成立项目部指挥中心，主要负责工程项目的建设、运行及管理。</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同时为了工程的正常有序进行和工作的顺利开展，同时必须成立领导建设小组，主要负责工程建设期的领导、协调、监督、征地等矛盾协商。</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（2）工程管理</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1）工程项目严格按照基建程序办事，完善项目申报制度。</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2）建立健全工程质量保证体系。强化质量意识，实行工程质量终身负责制；质量第一贯彻始终，各工程项目实行质量一票否决制。</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3）切实实行“三制”：业主负责制、招标投标制、工程监理制。</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4）有效协调监理、设计、施工各方关系。</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5）有效抓好工程项目建设进度计划及目标管理，抓好工程各阶段验收及竣工验收的组织管理。</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（3）技术管理</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1）搞好业务培训。为适应工程建设的需要，提高管理人员素质和管理业务水平，使工程进展更加顺利，要有计划地分期分批对工程管理人员、工程技术人员和工作人员进行业务培训。</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2）坚持技术咨询制度。对设计工程项目的重大技术问题、工程建设计划和投资安排，以及生态环境影响重大问题，及时进行必要的技术咨询和充分论证，以确保工程的安全性和经济的合理性。</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3）建立技术和质量档案。工程建设过程中所有技术和质量文件、资料要建档案保存，以便备查和追索。</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（4）工程管理制度</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为确保流域治理工程的安全运行，充分发挥其作用，建立下列管理制度。</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1）明确工程管理范围和保护范围，设立明显标志，合法征用工程用地。</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2）禁止向水域（滩地）倾倒垃圾、废渣及其他杂物。</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（5）环境管理制度</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1）严格执行“三同时”制度，在项目筹备、设计和施工建设不同阶段，均应严格执行“三同时”制度，确保污染处理设施能够与生产工艺设施“同时设计、同时施工、同时投产使用”。</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2）严格执行各项生产及环境管理制度，保证环保设施的正常进行；</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3）设立环保设施档案，对环保设施定期进行检查、维护；</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4）按照监测计划定期组织污染源监测，对不达标的排放源立即寻找原因，及时处理；</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5）对各项环保设施的运行状况进行记录，针对出现的问题提出完善的意见；</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6）不断加强技术培训，组织技术交流，提高操作水平，保持操作队伍的稳定；</w:t>
            </w:r>
          </w:p>
          <w:p>
            <w:pPr>
              <w:spacing w:line="360" w:lineRule="auto"/>
              <w:ind w:firstLine="480" w:firstLineChars="200"/>
              <w:rPr>
                <w:rFonts w:ascii="Times New Roman" w:hAnsi="Times New Roman"/>
                <w:sz w:val="24"/>
                <w:u w:val="single"/>
              </w:rPr>
            </w:pPr>
            <w:r>
              <w:rPr>
                <w:rFonts w:ascii="Times New Roman" w:hAnsi="Times New Roman" w:eastAsia="宋体" w:cs="Times New Roman"/>
                <w:sz w:val="24"/>
                <w:szCs w:val="24"/>
                <w:u w:val="single"/>
              </w:rPr>
              <w:t>7）重视群众监督作用，</w:t>
            </w:r>
            <w:r>
              <w:rPr>
                <w:rFonts w:hint="eastAsia" w:ascii="Times New Roman" w:hAnsi="Times New Roman" w:eastAsia="宋体" w:cs="Times New Roman"/>
                <w:sz w:val="24"/>
                <w:szCs w:val="24"/>
                <w:u w:val="single"/>
              </w:rPr>
              <w:t>增强</w:t>
            </w:r>
            <w:r>
              <w:rPr>
                <w:rFonts w:ascii="Times New Roman" w:hAnsi="Times New Roman" w:eastAsia="宋体" w:cs="Times New Roman"/>
                <w:sz w:val="24"/>
                <w:szCs w:val="24"/>
                <w:u w:val="single"/>
              </w:rPr>
              <w:t>全员环境意识，鼓励职工及外部人员对运行状况提意见，并通过积极吸收宝贵意见，提高环境管理水平；</w:t>
            </w:r>
          </w:p>
          <w:p>
            <w:pPr>
              <w:pStyle w:val="34"/>
              <w:ind w:firstLine="480"/>
              <w:rPr>
                <w:u w:val="single"/>
              </w:rPr>
            </w:pPr>
            <w:r>
              <w:rPr>
                <w:u w:val="single"/>
              </w:rPr>
              <w:t>8）实施定期检测、及时修复，防止或减少跑、冒、滴、漏现象，加强管理。</w:t>
            </w:r>
          </w:p>
          <w:p>
            <w:pPr>
              <w:pStyle w:val="34"/>
              <w:ind w:firstLine="480"/>
            </w:pPr>
          </w:p>
          <w:p>
            <w:pPr>
              <w:pStyle w:val="34"/>
              <w:ind w:firstLine="4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53" w:type="dxa"/>
            <w:vAlign w:val="center"/>
          </w:tcPr>
          <w:p>
            <w:pPr>
              <w:pStyle w:val="41"/>
            </w:pPr>
            <w:r>
              <w:rPr>
                <w:rFonts w:hint="eastAsia"/>
              </w:rPr>
              <w:t>环保投资</w:t>
            </w:r>
          </w:p>
        </w:tc>
        <w:tc>
          <w:tcPr>
            <w:tcW w:w="8457" w:type="dxa"/>
          </w:tcPr>
          <w:p>
            <w:pPr>
              <w:pStyle w:val="34"/>
              <w:ind w:firstLine="480"/>
            </w:pPr>
            <w:r>
              <w:rPr>
                <w:rFonts w:hint="eastAsia"/>
              </w:rPr>
              <w:t>本项目总投资估算为2</w:t>
            </w:r>
            <w:r>
              <w:t>1859.43</w:t>
            </w:r>
            <w:r>
              <w:rPr>
                <w:rFonts w:hint="eastAsia"/>
              </w:rPr>
              <w:t>万元，环保投资估算为</w:t>
            </w:r>
            <w:r>
              <w:t>462</w:t>
            </w:r>
            <w:r>
              <w:rPr>
                <w:rFonts w:hint="eastAsia"/>
              </w:rPr>
              <w:t>万元，占项目总投资的</w:t>
            </w:r>
            <w:r>
              <w:t>2.11%</w:t>
            </w:r>
            <w:r>
              <w:rPr>
                <w:rFonts w:hint="eastAsia"/>
              </w:rPr>
              <w:t>。具体投资详见表5</w:t>
            </w:r>
            <w:r>
              <w:t>-5</w:t>
            </w:r>
            <w:r>
              <w:rPr>
                <w:rFonts w:hint="eastAsia"/>
              </w:rPr>
              <w:t>。</w:t>
            </w:r>
          </w:p>
          <w:p>
            <w:pPr>
              <w:pStyle w:val="39"/>
              <w:spacing w:before="156"/>
            </w:pPr>
            <w:r>
              <w:rPr>
                <w:rFonts w:hint="eastAsia"/>
              </w:rPr>
              <w:t>表5</w:t>
            </w:r>
            <w:r>
              <w:t xml:space="preserve">-5  </w:t>
            </w:r>
            <w:r>
              <w:rPr>
                <w:rFonts w:hint="eastAsia"/>
              </w:rPr>
              <w:t>本项目环保投资估算表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086"/>
              <w:gridCol w:w="4758"/>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Align w:val="center"/>
                </w:tcPr>
                <w:p>
                  <w:pPr>
                    <w:pStyle w:val="41"/>
                  </w:pPr>
                  <w:r>
                    <w:rPr>
                      <w:rFonts w:hint="eastAsia"/>
                    </w:rPr>
                    <w:t>时段</w:t>
                  </w:r>
                </w:p>
              </w:tc>
              <w:tc>
                <w:tcPr>
                  <w:tcW w:w="660" w:type="pct"/>
                  <w:vAlign w:val="center"/>
                </w:tcPr>
                <w:p>
                  <w:pPr>
                    <w:pStyle w:val="41"/>
                  </w:pPr>
                  <w:r>
                    <w:rPr>
                      <w:rFonts w:hint="eastAsia"/>
                    </w:rPr>
                    <w:t>项目</w:t>
                  </w:r>
                </w:p>
              </w:tc>
              <w:tc>
                <w:tcPr>
                  <w:tcW w:w="2890" w:type="pct"/>
                  <w:vAlign w:val="center"/>
                </w:tcPr>
                <w:p>
                  <w:pPr>
                    <w:pStyle w:val="41"/>
                  </w:pPr>
                  <w:r>
                    <w:rPr>
                      <w:rFonts w:hint="eastAsia"/>
                    </w:rPr>
                    <w:t>环保措施</w:t>
                  </w:r>
                </w:p>
              </w:tc>
              <w:tc>
                <w:tcPr>
                  <w:tcW w:w="922" w:type="pct"/>
                  <w:vAlign w:val="center"/>
                </w:tcPr>
                <w:p>
                  <w:pPr>
                    <w:pStyle w:val="41"/>
                  </w:pPr>
                  <w:r>
                    <w:rPr>
                      <w:rFonts w:hint="eastAsia"/>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restart"/>
                  <w:vAlign w:val="center"/>
                </w:tcPr>
                <w:p>
                  <w:pPr>
                    <w:pStyle w:val="41"/>
                  </w:pPr>
                  <w:r>
                    <w:rPr>
                      <w:rFonts w:hint="eastAsia"/>
                    </w:rPr>
                    <w:t>施工期</w:t>
                  </w:r>
                </w:p>
              </w:tc>
              <w:tc>
                <w:tcPr>
                  <w:tcW w:w="660" w:type="pct"/>
                  <w:vAlign w:val="center"/>
                </w:tcPr>
                <w:p>
                  <w:pPr>
                    <w:pStyle w:val="41"/>
                  </w:pPr>
                  <w:r>
                    <w:rPr>
                      <w:rFonts w:hint="eastAsia"/>
                    </w:rPr>
                    <w:t>废气治理</w:t>
                  </w:r>
                </w:p>
              </w:tc>
              <w:tc>
                <w:tcPr>
                  <w:tcW w:w="2890" w:type="pct"/>
                  <w:vAlign w:val="center"/>
                </w:tcPr>
                <w:p>
                  <w:pPr>
                    <w:pStyle w:val="41"/>
                  </w:pPr>
                  <w:r>
                    <w:rPr>
                      <w:rFonts w:hint="eastAsia"/>
                    </w:rPr>
                    <w:t>洒水降尘、硬质围挡、喷洒除臭剂等</w:t>
                  </w:r>
                </w:p>
              </w:tc>
              <w:tc>
                <w:tcPr>
                  <w:tcW w:w="922" w:type="pct"/>
                  <w:vAlign w:val="center"/>
                </w:tcPr>
                <w:p>
                  <w:pPr>
                    <w:pStyle w:val="41"/>
                  </w:pPr>
                  <w:r>
                    <w:rPr>
                      <w:rFonts w:hint="eastAsia"/>
                    </w:rPr>
                    <w:t>2</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vAlign w:val="center"/>
                </w:tcPr>
                <w:p>
                  <w:pPr>
                    <w:pStyle w:val="41"/>
                  </w:pPr>
                </w:p>
              </w:tc>
              <w:tc>
                <w:tcPr>
                  <w:tcW w:w="660" w:type="pct"/>
                  <w:vMerge w:val="restart"/>
                  <w:vAlign w:val="center"/>
                </w:tcPr>
                <w:p>
                  <w:pPr>
                    <w:pStyle w:val="41"/>
                  </w:pPr>
                  <w:r>
                    <w:rPr>
                      <w:rFonts w:hint="eastAsia"/>
                    </w:rPr>
                    <w:t>废水治理</w:t>
                  </w:r>
                </w:p>
              </w:tc>
              <w:tc>
                <w:tcPr>
                  <w:tcW w:w="2890" w:type="pct"/>
                  <w:vAlign w:val="center"/>
                </w:tcPr>
                <w:p>
                  <w:pPr>
                    <w:pStyle w:val="41"/>
                  </w:pPr>
                  <w:r>
                    <w:rPr>
                      <w:rFonts w:hint="eastAsia"/>
                    </w:rPr>
                    <w:t>租赁</w:t>
                  </w:r>
                  <w:r>
                    <w:t>20</w:t>
                  </w:r>
                  <w:r>
                    <w:rPr>
                      <w:rFonts w:hint="eastAsia"/>
                    </w:rPr>
                    <w:t>台</w:t>
                  </w:r>
                  <w:r>
                    <w:t>200</w:t>
                  </w:r>
                  <w:r>
                    <w:rPr>
                      <w:rFonts w:hint="eastAsia"/>
                    </w:rPr>
                    <w:t>m</w:t>
                  </w:r>
                  <w:r>
                    <w:rPr>
                      <w:vertAlign w:val="superscript"/>
                    </w:rPr>
                    <w:t>3</w:t>
                  </w:r>
                  <w:r>
                    <w:t>/d</w:t>
                  </w:r>
                  <w:r>
                    <w:rPr>
                      <w:rFonts w:hint="eastAsia"/>
                    </w:rPr>
                    <w:t>的一体化处理设施</w:t>
                  </w:r>
                </w:p>
              </w:tc>
              <w:tc>
                <w:tcPr>
                  <w:tcW w:w="922" w:type="pct"/>
                  <w:vAlign w:val="center"/>
                </w:tcPr>
                <w:p>
                  <w:pPr>
                    <w:pStyle w:val="41"/>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vAlign w:val="center"/>
                </w:tcPr>
                <w:p>
                  <w:pPr>
                    <w:pStyle w:val="41"/>
                  </w:pPr>
                </w:p>
              </w:tc>
              <w:tc>
                <w:tcPr>
                  <w:tcW w:w="660" w:type="pct"/>
                  <w:vMerge w:val="continue"/>
                  <w:vAlign w:val="center"/>
                </w:tcPr>
                <w:p>
                  <w:pPr>
                    <w:pStyle w:val="41"/>
                  </w:pPr>
                </w:p>
              </w:tc>
              <w:tc>
                <w:tcPr>
                  <w:tcW w:w="2890" w:type="pct"/>
                  <w:vAlign w:val="center"/>
                </w:tcPr>
                <w:p>
                  <w:pPr>
                    <w:pStyle w:val="41"/>
                  </w:pPr>
                  <w:r>
                    <w:rPr>
                      <w:rFonts w:hint="eastAsia"/>
                    </w:rPr>
                    <w:t>污泥干化场截排水沟工程</w:t>
                  </w:r>
                </w:p>
              </w:tc>
              <w:tc>
                <w:tcPr>
                  <w:tcW w:w="922" w:type="pct"/>
                  <w:vAlign w:val="center"/>
                </w:tcPr>
                <w:p>
                  <w:pPr>
                    <w:pStyle w:val="41"/>
                  </w:pPr>
                  <w:r>
                    <w:rPr>
                      <w:rFonts w:hint="eastAsia"/>
                    </w:rPr>
                    <w:t>2</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vAlign w:val="center"/>
                </w:tcPr>
                <w:p>
                  <w:pPr>
                    <w:pStyle w:val="41"/>
                  </w:pPr>
                </w:p>
              </w:tc>
              <w:tc>
                <w:tcPr>
                  <w:tcW w:w="660" w:type="pct"/>
                  <w:vAlign w:val="center"/>
                </w:tcPr>
                <w:p>
                  <w:pPr>
                    <w:pStyle w:val="41"/>
                  </w:pPr>
                  <w:r>
                    <w:rPr>
                      <w:rFonts w:hint="eastAsia"/>
                    </w:rPr>
                    <w:t>噪声治理</w:t>
                  </w:r>
                </w:p>
              </w:tc>
              <w:tc>
                <w:tcPr>
                  <w:tcW w:w="2890" w:type="pct"/>
                  <w:vAlign w:val="center"/>
                </w:tcPr>
                <w:p>
                  <w:pPr>
                    <w:pStyle w:val="41"/>
                  </w:pPr>
                  <w:r>
                    <w:rPr>
                      <w:rFonts w:hint="eastAsia"/>
                    </w:rPr>
                    <w:t>选用低噪设备，设置减振设施，施工机械保养等</w:t>
                  </w:r>
                </w:p>
              </w:tc>
              <w:tc>
                <w:tcPr>
                  <w:tcW w:w="922" w:type="pct"/>
                  <w:vAlign w:val="center"/>
                </w:tcPr>
                <w:p>
                  <w:pPr>
                    <w:pStyle w:val="41"/>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vAlign w:val="center"/>
                </w:tcPr>
                <w:p>
                  <w:pPr>
                    <w:pStyle w:val="41"/>
                  </w:pPr>
                </w:p>
              </w:tc>
              <w:tc>
                <w:tcPr>
                  <w:tcW w:w="660" w:type="pct"/>
                  <w:vMerge w:val="restart"/>
                  <w:vAlign w:val="center"/>
                </w:tcPr>
                <w:p>
                  <w:pPr>
                    <w:pStyle w:val="41"/>
                  </w:pPr>
                  <w:r>
                    <w:rPr>
                      <w:rFonts w:hint="eastAsia"/>
                    </w:rPr>
                    <w:t>固体废物</w:t>
                  </w:r>
                </w:p>
              </w:tc>
              <w:tc>
                <w:tcPr>
                  <w:tcW w:w="2890" w:type="pct"/>
                  <w:vAlign w:val="center"/>
                </w:tcPr>
                <w:p>
                  <w:pPr>
                    <w:pStyle w:val="41"/>
                  </w:pPr>
                  <w:r>
                    <w:rPr>
                      <w:rFonts w:hint="eastAsia"/>
                    </w:rPr>
                    <w:t>施工淤泥干化场干化</w:t>
                  </w:r>
                </w:p>
              </w:tc>
              <w:tc>
                <w:tcPr>
                  <w:tcW w:w="922" w:type="pct"/>
                  <w:vAlign w:val="center"/>
                </w:tcPr>
                <w:p>
                  <w:pPr>
                    <w:pStyle w:val="41"/>
                  </w:pPr>
                  <w:r>
                    <w:rPr>
                      <w:rFonts w:hint="eastAsia"/>
                    </w:rPr>
                    <w:t>1</w:t>
                  </w: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Merge w:val="continue"/>
                  <w:vAlign w:val="center"/>
                </w:tcPr>
                <w:p>
                  <w:pPr>
                    <w:pStyle w:val="41"/>
                  </w:pPr>
                </w:p>
              </w:tc>
              <w:tc>
                <w:tcPr>
                  <w:tcW w:w="660" w:type="pct"/>
                  <w:vMerge w:val="continue"/>
                  <w:vAlign w:val="center"/>
                </w:tcPr>
                <w:p>
                  <w:pPr>
                    <w:pStyle w:val="41"/>
                  </w:pPr>
                </w:p>
              </w:tc>
              <w:tc>
                <w:tcPr>
                  <w:tcW w:w="2890" w:type="pct"/>
                  <w:vAlign w:val="center"/>
                </w:tcPr>
                <w:p>
                  <w:pPr>
                    <w:pStyle w:val="41"/>
                  </w:pPr>
                  <w:r>
                    <w:rPr>
                      <w:rFonts w:hint="eastAsia"/>
                    </w:rPr>
                    <w:t>干化后淤泥委托水泥厂协同处置资源化利用</w:t>
                  </w:r>
                </w:p>
              </w:tc>
              <w:tc>
                <w:tcPr>
                  <w:tcW w:w="922" w:type="pct"/>
                  <w:vAlign w:val="center"/>
                </w:tcPr>
                <w:p>
                  <w:pPr>
                    <w:pStyle w:val="41"/>
                  </w:pPr>
                  <w:r>
                    <w:rPr>
                      <w:rFonts w:hint="eastAsia"/>
                    </w:rPr>
                    <w:t>2</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pct"/>
                  <w:gridSpan w:val="3"/>
                  <w:vAlign w:val="center"/>
                </w:tcPr>
                <w:p>
                  <w:pPr>
                    <w:pStyle w:val="41"/>
                  </w:pPr>
                  <w:r>
                    <w:rPr>
                      <w:rFonts w:hint="eastAsia"/>
                    </w:rPr>
                    <w:t>合计</w:t>
                  </w:r>
                </w:p>
              </w:tc>
              <w:tc>
                <w:tcPr>
                  <w:tcW w:w="922" w:type="pct"/>
                  <w:vAlign w:val="center"/>
                </w:tcPr>
                <w:p>
                  <w:pPr>
                    <w:pStyle w:val="41"/>
                  </w:pPr>
                  <w:r>
                    <w:rPr>
                      <w:rFonts w:hint="eastAsia"/>
                    </w:rPr>
                    <w:t>4</w:t>
                  </w:r>
                  <w:r>
                    <w:t>62</w:t>
                  </w:r>
                </w:p>
              </w:tc>
            </w:tr>
          </w:tbl>
          <w:p>
            <w:pPr>
              <w:pStyle w:val="34"/>
              <w:ind w:firstLine="480"/>
            </w:pPr>
          </w:p>
        </w:tc>
      </w:tr>
    </w:tbl>
    <w:p>
      <w:pPr>
        <w:pStyle w:val="34"/>
        <w:ind w:firstLine="0" w:firstLineChars="0"/>
        <w:sectPr>
          <w:pgSz w:w="11906" w:h="16838"/>
          <w:pgMar w:top="1440" w:right="1800" w:bottom="1440" w:left="1800" w:header="851" w:footer="992" w:gutter="0"/>
          <w:cols w:space="425" w:num="1"/>
          <w:docGrid w:type="lines" w:linePitch="312" w:charSpace="0"/>
        </w:sectPr>
      </w:pPr>
    </w:p>
    <w:p>
      <w:pPr>
        <w:pStyle w:val="36"/>
        <w:rPr>
          <w:snapToGrid w:val="0"/>
        </w:rPr>
      </w:pPr>
      <w:bookmarkStart w:id="10" w:name="_Toc149605114"/>
      <w:r>
        <w:rPr>
          <w:rFonts w:hint="eastAsia"/>
        </w:rPr>
        <w:t>六、</w:t>
      </w:r>
      <w:r>
        <w:rPr>
          <w:rFonts w:hint="eastAsia"/>
          <w:snapToGrid w:val="0"/>
        </w:rPr>
        <w:t>生态环境保护措施监督检查清单</w:t>
      </w:r>
      <w:bookmarkEnd w:id="10"/>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788"/>
        <w:gridCol w:w="1842"/>
        <w:gridCol w:w="853"/>
        <w:gridCol w:w="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Merge w:val="restart"/>
            <w:tcBorders>
              <w:tl2br w:val="single" w:color="auto" w:sz="4" w:space="0"/>
            </w:tcBorders>
          </w:tcPr>
          <w:p>
            <w:pPr>
              <w:pStyle w:val="41"/>
              <w:rPr>
                <w:szCs w:val="21"/>
              </w:rPr>
            </w:pPr>
          </w:p>
          <w:p>
            <w:pPr>
              <w:pStyle w:val="41"/>
              <w:jc w:val="right"/>
              <w:rPr>
                <w:szCs w:val="21"/>
              </w:rPr>
            </w:pPr>
            <w:r>
              <w:rPr>
                <w:rFonts w:hint="eastAsia"/>
                <w:szCs w:val="21"/>
              </w:rPr>
              <w:t>内容</w:t>
            </w:r>
          </w:p>
          <w:p>
            <w:pPr>
              <w:pStyle w:val="41"/>
              <w:rPr>
                <w:szCs w:val="21"/>
              </w:rPr>
            </w:pPr>
          </w:p>
          <w:p>
            <w:pPr>
              <w:pStyle w:val="41"/>
              <w:jc w:val="left"/>
              <w:rPr>
                <w:szCs w:val="21"/>
              </w:rPr>
            </w:pPr>
            <w:r>
              <w:rPr>
                <w:rFonts w:hint="eastAsia"/>
                <w:szCs w:val="21"/>
              </w:rPr>
              <w:t>要素</w:t>
            </w:r>
          </w:p>
        </w:tc>
        <w:tc>
          <w:tcPr>
            <w:tcW w:w="2717" w:type="pct"/>
            <w:gridSpan w:val="2"/>
            <w:vAlign w:val="center"/>
          </w:tcPr>
          <w:p>
            <w:pPr>
              <w:pStyle w:val="41"/>
              <w:rPr>
                <w:szCs w:val="21"/>
              </w:rPr>
            </w:pPr>
            <w:r>
              <w:rPr>
                <w:rFonts w:hint="eastAsia"/>
                <w:szCs w:val="21"/>
              </w:rPr>
              <w:t>施工期</w:t>
            </w:r>
          </w:p>
        </w:tc>
        <w:tc>
          <w:tcPr>
            <w:tcW w:w="945" w:type="pct"/>
            <w:gridSpan w:val="2"/>
            <w:vAlign w:val="center"/>
          </w:tcPr>
          <w:p>
            <w:pPr>
              <w:pStyle w:val="41"/>
              <w:rPr>
                <w:szCs w:val="21"/>
              </w:rPr>
            </w:pPr>
            <w:r>
              <w:rPr>
                <w:rFonts w:hint="eastAsia"/>
                <w:szCs w:val="21"/>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Merge w:val="continue"/>
          </w:tcPr>
          <w:p>
            <w:pPr>
              <w:pStyle w:val="41"/>
              <w:rPr>
                <w:szCs w:val="21"/>
              </w:rPr>
            </w:pPr>
          </w:p>
        </w:tc>
        <w:tc>
          <w:tcPr>
            <w:tcW w:w="1636" w:type="pct"/>
            <w:vAlign w:val="center"/>
          </w:tcPr>
          <w:p>
            <w:pPr>
              <w:pStyle w:val="41"/>
              <w:rPr>
                <w:szCs w:val="21"/>
              </w:rPr>
            </w:pPr>
            <w:r>
              <w:rPr>
                <w:rFonts w:hint="eastAsia"/>
                <w:szCs w:val="21"/>
              </w:rPr>
              <w:t>环境保护措施</w:t>
            </w:r>
          </w:p>
        </w:tc>
        <w:tc>
          <w:tcPr>
            <w:tcW w:w="1081" w:type="pct"/>
            <w:vAlign w:val="center"/>
          </w:tcPr>
          <w:p>
            <w:pPr>
              <w:pStyle w:val="41"/>
              <w:rPr>
                <w:szCs w:val="21"/>
              </w:rPr>
            </w:pPr>
            <w:r>
              <w:rPr>
                <w:rFonts w:hint="eastAsia"/>
                <w:szCs w:val="21"/>
              </w:rPr>
              <w:t>验收要求</w:t>
            </w:r>
          </w:p>
        </w:tc>
        <w:tc>
          <w:tcPr>
            <w:tcW w:w="500" w:type="pct"/>
            <w:vAlign w:val="center"/>
          </w:tcPr>
          <w:p>
            <w:pPr>
              <w:pStyle w:val="41"/>
              <w:rPr>
                <w:szCs w:val="21"/>
              </w:rPr>
            </w:pPr>
            <w:r>
              <w:rPr>
                <w:rFonts w:hint="eastAsia"/>
                <w:szCs w:val="21"/>
              </w:rPr>
              <w:t>环境保护措施</w:t>
            </w:r>
          </w:p>
        </w:tc>
        <w:tc>
          <w:tcPr>
            <w:tcW w:w="445" w:type="pct"/>
            <w:vAlign w:val="center"/>
          </w:tcPr>
          <w:p>
            <w:pPr>
              <w:pStyle w:val="41"/>
              <w:rPr>
                <w:szCs w:val="21"/>
              </w:rPr>
            </w:pPr>
            <w:r>
              <w:rPr>
                <w:rFonts w:hint="eastAsia"/>
                <w:szCs w:val="21"/>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Align w:val="center"/>
          </w:tcPr>
          <w:p>
            <w:pPr>
              <w:pStyle w:val="41"/>
              <w:rPr>
                <w:rFonts w:ascii="宋体" w:hAnsi="宋体"/>
                <w:szCs w:val="21"/>
              </w:rPr>
            </w:pPr>
            <w:r>
              <w:rPr>
                <w:rFonts w:hint="eastAsia" w:ascii="宋体" w:hAnsi="宋体"/>
                <w:szCs w:val="21"/>
              </w:rPr>
              <w:t>陆生生态</w:t>
            </w:r>
          </w:p>
        </w:tc>
        <w:tc>
          <w:tcPr>
            <w:tcW w:w="1636" w:type="pct"/>
            <w:vAlign w:val="center"/>
          </w:tcPr>
          <w:p>
            <w:pPr>
              <w:pStyle w:val="41"/>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）干化场</w:t>
            </w:r>
            <w:r>
              <w:rPr>
                <w:rFonts w:ascii="宋体" w:hAnsi="宋体"/>
                <w:szCs w:val="21"/>
              </w:rPr>
              <w:t>等临时占地，尽量减少临时占地面积，在场地四周布设临时排水土沟，拦蓄施工过程中流失的</w:t>
            </w:r>
            <w:r>
              <w:rPr>
                <w:rFonts w:hint="eastAsia" w:ascii="宋体" w:hAnsi="宋体"/>
                <w:szCs w:val="21"/>
              </w:rPr>
              <w:t>水土</w:t>
            </w:r>
            <w:r>
              <w:rPr>
                <w:rFonts w:ascii="宋体" w:hAnsi="宋体"/>
                <w:szCs w:val="21"/>
              </w:rPr>
              <w:t>。工程结束后，临建设施全部拆迁并进行复垦。</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合理安排施工季节和施工计划，尽量避免雨季施工和减少裸露面的暴露时间，不能避免时，雨季施工做好防、排水工作并采用在裸露面覆盖彩条布的措施。</w:t>
            </w:r>
          </w:p>
          <w:p>
            <w:pPr>
              <w:pStyle w:val="41"/>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施工作业完成后将对搭建工棚、设备、沉淀池进行</w:t>
            </w:r>
            <w:r>
              <w:rPr>
                <w:rFonts w:hint="eastAsia" w:ascii="宋体" w:hAnsi="宋体"/>
                <w:szCs w:val="21"/>
              </w:rPr>
              <w:t>拆除</w:t>
            </w:r>
            <w:r>
              <w:rPr>
                <w:rFonts w:ascii="宋体" w:hAnsi="宋体"/>
                <w:szCs w:val="21"/>
              </w:rPr>
              <w:t>，恢复原貌及其建设用地性质</w:t>
            </w:r>
            <w:r>
              <w:rPr>
                <w:rFonts w:hint="eastAsia" w:ascii="宋体" w:hAnsi="宋体"/>
                <w:szCs w:val="21"/>
              </w:rPr>
              <w:t>（</w:t>
            </w:r>
            <w:r>
              <w:rPr>
                <w:rFonts w:ascii="宋体" w:hAnsi="宋体"/>
                <w:szCs w:val="21"/>
              </w:rPr>
              <w:t>4</w:t>
            </w:r>
            <w:r>
              <w:rPr>
                <w:rFonts w:hint="eastAsia" w:ascii="宋体" w:hAnsi="宋体"/>
                <w:szCs w:val="21"/>
              </w:rPr>
              <w:t>）</w:t>
            </w:r>
            <w:r>
              <w:rPr>
                <w:rFonts w:ascii="宋体" w:hAnsi="宋体"/>
                <w:szCs w:val="21"/>
              </w:rPr>
              <w:t>对</w:t>
            </w:r>
            <w:r>
              <w:rPr>
                <w:rFonts w:hint="eastAsia" w:ascii="宋体" w:hAnsi="宋体"/>
                <w:szCs w:val="21"/>
              </w:rPr>
              <w:t>淤泥</w:t>
            </w:r>
            <w:r>
              <w:rPr>
                <w:rFonts w:ascii="宋体" w:hAnsi="宋体"/>
                <w:szCs w:val="21"/>
              </w:rPr>
              <w:t>干化场进行拆除，</w:t>
            </w:r>
            <w:r>
              <w:rPr>
                <w:rFonts w:hint="eastAsia" w:ascii="宋体" w:hAnsi="宋体"/>
                <w:szCs w:val="21"/>
              </w:rPr>
              <w:t>干化淤泥及时处置</w:t>
            </w:r>
            <w:r>
              <w:rPr>
                <w:rFonts w:ascii="宋体" w:hAnsi="宋体"/>
                <w:szCs w:val="21"/>
              </w:rPr>
              <w:t>，不得长时间堆置。</w:t>
            </w:r>
          </w:p>
        </w:tc>
        <w:tc>
          <w:tcPr>
            <w:tcW w:w="1081" w:type="pct"/>
            <w:vAlign w:val="center"/>
          </w:tcPr>
          <w:p>
            <w:pPr>
              <w:pStyle w:val="41"/>
              <w:rPr>
                <w:rFonts w:ascii="宋体" w:hAnsi="宋体"/>
                <w:szCs w:val="21"/>
              </w:rPr>
            </w:pPr>
            <w:r>
              <w:rPr>
                <w:rFonts w:hint="eastAsia" w:ascii="宋体" w:hAnsi="宋体"/>
                <w:szCs w:val="21"/>
              </w:rPr>
              <w:t>对陆生生态环境影响较小，施工结束，临时用地恢复原有功能</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Align w:val="center"/>
          </w:tcPr>
          <w:p>
            <w:pPr>
              <w:pStyle w:val="41"/>
              <w:rPr>
                <w:rFonts w:ascii="宋体" w:hAnsi="宋体"/>
                <w:szCs w:val="21"/>
              </w:rPr>
            </w:pPr>
            <w:r>
              <w:rPr>
                <w:rFonts w:hint="eastAsia" w:ascii="宋体" w:hAnsi="宋体"/>
                <w:szCs w:val="21"/>
              </w:rPr>
              <w:t>水生生态</w:t>
            </w:r>
          </w:p>
        </w:tc>
        <w:tc>
          <w:tcPr>
            <w:tcW w:w="1636" w:type="pct"/>
            <w:vAlign w:val="center"/>
          </w:tcPr>
          <w:p>
            <w:pPr>
              <w:pStyle w:val="41"/>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施工期间对淤泥干化过程产生的废水排入沉淀池中进行沉淀处理，不得直接排入紫龙湖。</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禁止施工期间的固体投入水中，以避免对底栖生物的生态环境造成影响。</w:t>
            </w:r>
          </w:p>
        </w:tc>
        <w:tc>
          <w:tcPr>
            <w:tcW w:w="1081" w:type="pct"/>
            <w:vAlign w:val="center"/>
          </w:tcPr>
          <w:p>
            <w:pPr>
              <w:pStyle w:val="41"/>
              <w:rPr>
                <w:rFonts w:ascii="宋体" w:hAnsi="宋体"/>
                <w:szCs w:val="21"/>
              </w:rPr>
            </w:pPr>
            <w:r>
              <w:rPr>
                <w:rFonts w:hint="eastAsia" w:ascii="宋体" w:hAnsi="宋体"/>
                <w:szCs w:val="21"/>
              </w:rPr>
              <w:t>对水生生态环境影响较小</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Align w:val="center"/>
          </w:tcPr>
          <w:p>
            <w:pPr>
              <w:pStyle w:val="41"/>
              <w:rPr>
                <w:rFonts w:ascii="宋体" w:hAnsi="宋体"/>
                <w:szCs w:val="21"/>
              </w:rPr>
            </w:pPr>
            <w:r>
              <w:rPr>
                <w:rFonts w:hint="eastAsia" w:ascii="宋体" w:hAnsi="宋体"/>
                <w:szCs w:val="21"/>
              </w:rPr>
              <w:t>地表水环境</w:t>
            </w:r>
          </w:p>
        </w:tc>
        <w:tc>
          <w:tcPr>
            <w:tcW w:w="1636" w:type="pct"/>
            <w:vAlign w:val="center"/>
          </w:tcPr>
          <w:p>
            <w:pPr>
              <w:pStyle w:val="41"/>
              <w:rPr>
                <w:rFonts w:ascii="宋体" w:hAnsi="宋体"/>
                <w:szCs w:val="21"/>
              </w:rPr>
            </w:pPr>
            <w:r>
              <w:rPr>
                <w:rFonts w:hint="eastAsia" w:ascii="宋体" w:hAnsi="宋体"/>
                <w:szCs w:val="21"/>
              </w:rPr>
              <w:t>出入口设洗车槽及沉淀池，干化场设置污水处理设施，淤泥干化尾水及施工废水经一体化处理设施处理达标后排入鼻湖，洗车废水等经隔油沉淀处理回用于洒水抑尘</w:t>
            </w:r>
          </w:p>
        </w:tc>
        <w:tc>
          <w:tcPr>
            <w:tcW w:w="1081" w:type="pct"/>
            <w:vAlign w:val="center"/>
          </w:tcPr>
          <w:p>
            <w:pPr>
              <w:pStyle w:val="41"/>
              <w:rPr>
                <w:rFonts w:ascii="宋体" w:hAnsi="宋体"/>
                <w:szCs w:val="21"/>
              </w:rPr>
            </w:pPr>
            <w:r>
              <w:rPr>
                <w:rFonts w:hint="eastAsia" w:ascii="宋体" w:hAnsi="宋体"/>
                <w:szCs w:val="21"/>
              </w:rPr>
              <w:t>施工废水处理后回用于洒水抑尘；</w:t>
            </w:r>
            <w:r>
              <w:rPr>
                <w:rFonts w:ascii="宋体" w:hAnsi="宋体"/>
                <w:szCs w:val="21"/>
              </w:rPr>
              <w:t>清淤</w:t>
            </w:r>
            <w:r>
              <w:rPr>
                <w:rFonts w:hint="eastAsia" w:ascii="宋体" w:hAnsi="宋体"/>
                <w:szCs w:val="21"/>
              </w:rPr>
              <w:t>尾水处理达到</w:t>
            </w:r>
            <w:r>
              <w:rPr>
                <w:rFonts w:ascii="宋体" w:hAnsi="宋体"/>
                <w:szCs w:val="21"/>
              </w:rPr>
              <w:t>综合排放GB8978-1996</w:t>
            </w:r>
            <w:r>
              <w:rPr>
                <w:rFonts w:hint="eastAsia" w:ascii="宋体" w:hAnsi="宋体"/>
                <w:szCs w:val="21"/>
              </w:rPr>
              <w:t>）一</w:t>
            </w:r>
            <w:r>
              <w:rPr>
                <w:rFonts w:ascii="宋体" w:hAnsi="宋体"/>
                <w:szCs w:val="21"/>
              </w:rPr>
              <w:t>级标准排入</w:t>
            </w:r>
            <w:r>
              <w:rPr>
                <w:rFonts w:hint="eastAsia" w:ascii="宋体" w:hAnsi="宋体"/>
                <w:szCs w:val="21"/>
              </w:rPr>
              <w:t>鼻湖</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Align w:val="center"/>
          </w:tcPr>
          <w:p>
            <w:pPr>
              <w:pStyle w:val="41"/>
              <w:rPr>
                <w:rFonts w:ascii="宋体" w:hAnsi="宋体"/>
                <w:szCs w:val="21"/>
              </w:rPr>
            </w:pPr>
            <w:r>
              <w:rPr>
                <w:rFonts w:hint="eastAsia" w:ascii="宋体" w:hAnsi="宋体"/>
                <w:szCs w:val="21"/>
              </w:rPr>
              <w:t>地下水及土壤环境</w:t>
            </w:r>
          </w:p>
        </w:tc>
        <w:tc>
          <w:tcPr>
            <w:tcW w:w="1636" w:type="pct"/>
            <w:vAlign w:val="center"/>
          </w:tcPr>
          <w:p>
            <w:pPr>
              <w:pStyle w:val="41"/>
              <w:rPr>
                <w:rFonts w:ascii="宋体" w:hAnsi="宋体"/>
                <w:szCs w:val="21"/>
              </w:rPr>
            </w:pPr>
            <w:r>
              <w:rPr>
                <w:rFonts w:hint="eastAsia" w:ascii="宋体" w:hAnsi="宋体"/>
                <w:szCs w:val="21"/>
              </w:rPr>
              <w:t>/</w:t>
            </w:r>
          </w:p>
        </w:tc>
        <w:tc>
          <w:tcPr>
            <w:tcW w:w="1081" w:type="pct"/>
            <w:vAlign w:val="center"/>
          </w:tcPr>
          <w:p>
            <w:pPr>
              <w:pStyle w:val="41"/>
              <w:rPr>
                <w:rFonts w:ascii="宋体" w:hAnsi="宋体"/>
                <w:szCs w:val="21"/>
              </w:rPr>
            </w:pPr>
            <w:r>
              <w:rPr>
                <w:rFonts w:hint="eastAsia" w:ascii="宋体" w:hAnsi="宋体"/>
                <w:szCs w:val="21"/>
              </w:rPr>
              <w:t>/</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Align w:val="center"/>
          </w:tcPr>
          <w:p>
            <w:pPr>
              <w:pStyle w:val="41"/>
              <w:rPr>
                <w:rFonts w:ascii="宋体" w:hAnsi="宋体"/>
                <w:szCs w:val="21"/>
              </w:rPr>
            </w:pPr>
            <w:r>
              <w:rPr>
                <w:rFonts w:hint="eastAsia" w:ascii="宋体" w:hAnsi="宋体"/>
                <w:szCs w:val="21"/>
              </w:rPr>
              <w:t>声环境</w:t>
            </w:r>
          </w:p>
        </w:tc>
        <w:tc>
          <w:tcPr>
            <w:tcW w:w="1636" w:type="pct"/>
            <w:vAlign w:val="center"/>
          </w:tcPr>
          <w:p>
            <w:pPr>
              <w:pStyle w:val="41"/>
              <w:rPr>
                <w:rFonts w:ascii="宋体" w:hAnsi="宋体"/>
                <w:szCs w:val="21"/>
              </w:rPr>
            </w:pPr>
            <w:r>
              <w:rPr>
                <w:rFonts w:hint="eastAsia" w:ascii="宋体" w:hAnsi="宋体"/>
                <w:szCs w:val="21"/>
              </w:rPr>
              <w:t>围挡、合理安排施工时间、采用低噪声施工机械设备</w:t>
            </w:r>
          </w:p>
        </w:tc>
        <w:tc>
          <w:tcPr>
            <w:tcW w:w="1081" w:type="pct"/>
            <w:vAlign w:val="center"/>
          </w:tcPr>
          <w:p>
            <w:pPr>
              <w:pStyle w:val="41"/>
              <w:rPr>
                <w:rFonts w:ascii="宋体" w:hAnsi="宋体"/>
                <w:szCs w:val="21"/>
              </w:rPr>
            </w:pPr>
            <w:r>
              <w:rPr>
                <w:rFonts w:hint="eastAsia" w:ascii="宋体" w:hAnsi="宋体"/>
                <w:szCs w:val="21"/>
              </w:rPr>
              <w:t>达（</w:t>
            </w:r>
            <w:r>
              <w:rPr>
                <w:rFonts w:ascii="宋体" w:hAnsi="宋体"/>
                <w:szCs w:val="21"/>
              </w:rPr>
              <w:t>GB12523 - 2011</w:t>
            </w:r>
            <w:r>
              <w:rPr>
                <w:rFonts w:hint="eastAsia" w:ascii="宋体" w:hAnsi="宋体"/>
                <w:szCs w:val="21"/>
              </w:rPr>
              <w:t>）</w:t>
            </w:r>
            <w:r>
              <w:rPr>
                <w:rFonts w:ascii="宋体" w:hAnsi="宋体"/>
                <w:szCs w:val="21"/>
              </w:rPr>
              <w:t>中标准限值要求</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Align w:val="center"/>
          </w:tcPr>
          <w:p>
            <w:pPr>
              <w:pStyle w:val="41"/>
              <w:rPr>
                <w:rFonts w:ascii="宋体" w:hAnsi="宋体"/>
                <w:szCs w:val="21"/>
              </w:rPr>
            </w:pPr>
            <w:r>
              <w:rPr>
                <w:rFonts w:hint="eastAsia" w:ascii="宋体" w:hAnsi="宋体"/>
                <w:szCs w:val="21"/>
              </w:rPr>
              <w:t>振动</w:t>
            </w:r>
          </w:p>
        </w:tc>
        <w:tc>
          <w:tcPr>
            <w:tcW w:w="1636" w:type="pct"/>
            <w:vAlign w:val="center"/>
          </w:tcPr>
          <w:p>
            <w:pPr>
              <w:pStyle w:val="41"/>
              <w:rPr>
                <w:rFonts w:ascii="宋体" w:hAnsi="宋体"/>
                <w:szCs w:val="21"/>
              </w:rPr>
            </w:pPr>
            <w:r>
              <w:rPr>
                <w:rFonts w:hint="eastAsia" w:ascii="宋体" w:hAnsi="宋体"/>
                <w:szCs w:val="21"/>
              </w:rPr>
              <w:t>/</w:t>
            </w:r>
          </w:p>
        </w:tc>
        <w:tc>
          <w:tcPr>
            <w:tcW w:w="1081" w:type="pct"/>
            <w:vAlign w:val="center"/>
          </w:tcPr>
          <w:p>
            <w:pPr>
              <w:pStyle w:val="41"/>
              <w:rPr>
                <w:rFonts w:ascii="宋体" w:hAnsi="宋体"/>
                <w:szCs w:val="21"/>
              </w:rPr>
            </w:pPr>
            <w:r>
              <w:rPr>
                <w:rFonts w:hint="eastAsia" w:ascii="宋体" w:hAnsi="宋体"/>
                <w:szCs w:val="21"/>
              </w:rPr>
              <w:t>/</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Align w:val="center"/>
          </w:tcPr>
          <w:p>
            <w:pPr>
              <w:pStyle w:val="41"/>
              <w:rPr>
                <w:rFonts w:ascii="宋体" w:hAnsi="宋体"/>
                <w:szCs w:val="21"/>
              </w:rPr>
            </w:pPr>
            <w:r>
              <w:rPr>
                <w:rFonts w:hint="eastAsia" w:ascii="宋体" w:hAnsi="宋体"/>
                <w:szCs w:val="21"/>
              </w:rPr>
              <w:t>大气环境</w:t>
            </w:r>
          </w:p>
        </w:tc>
        <w:tc>
          <w:tcPr>
            <w:tcW w:w="1636" w:type="pct"/>
            <w:vAlign w:val="center"/>
          </w:tcPr>
          <w:p>
            <w:pPr>
              <w:pStyle w:val="41"/>
              <w:rPr>
                <w:rFonts w:ascii="宋体" w:hAnsi="宋体"/>
                <w:szCs w:val="21"/>
              </w:rPr>
            </w:pPr>
            <w:r>
              <w:rPr>
                <w:rFonts w:hint="eastAsia" w:ascii="宋体" w:hAnsi="宋体"/>
                <w:szCs w:val="21"/>
              </w:rPr>
              <w:t>施工道路加强洒水，施工场地设置围挡、定期喷洒除臭剂等</w:t>
            </w:r>
          </w:p>
        </w:tc>
        <w:tc>
          <w:tcPr>
            <w:tcW w:w="1081" w:type="pct"/>
            <w:vAlign w:val="center"/>
          </w:tcPr>
          <w:p>
            <w:pPr>
              <w:pStyle w:val="41"/>
              <w:rPr>
                <w:rFonts w:ascii="宋体" w:hAnsi="宋体"/>
                <w:szCs w:val="21"/>
              </w:rPr>
            </w:pPr>
            <w:r>
              <w:rPr>
                <w:rFonts w:hint="eastAsia" w:ascii="宋体" w:hAnsi="宋体"/>
                <w:szCs w:val="21"/>
              </w:rPr>
              <w:t>达（</w:t>
            </w:r>
            <w:r>
              <w:rPr>
                <w:rFonts w:ascii="宋体" w:hAnsi="宋体"/>
                <w:szCs w:val="21"/>
              </w:rPr>
              <w:t>GB16297-1996</w:t>
            </w:r>
            <w:r>
              <w:rPr>
                <w:rFonts w:hint="eastAsia" w:ascii="宋体" w:hAnsi="宋体"/>
                <w:szCs w:val="21"/>
              </w:rPr>
              <w:t>）</w:t>
            </w:r>
            <w:r>
              <w:rPr>
                <w:rFonts w:ascii="宋体" w:hAnsi="宋体"/>
                <w:szCs w:val="21"/>
              </w:rPr>
              <w:t>中的无组织排放浓度监控限值、《恶具污染物排放标准》</w:t>
            </w:r>
          </w:p>
          <w:p>
            <w:pPr>
              <w:pStyle w:val="41"/>
              <w:rPr>
                <w:rFonts w:ascii="宋体" w:hAnsi="宋体"/>
                <w:szCs w:val="21"/>
              </w:rPr>
            </w:pPr>
            <w:r>
              <w:rPr>
                <w:rFonts w:ascii="宋体" w:hAnsi="宋体"/>
                <w:szCs w:val="21"/>
              </w:rPr>
              <w:t>(GB14554-93</w:t>
            </w:r>
            <w:r>
              <w:rPr>
                <w:rFonts w:hint="eastAsia" w:ascii="宋体" w:hAnsi="宋体"/>
                <w:szCs w:val="21"/>
              </w:rPr>
              <w:t>）</w:t>
            </w:r>
            <w:r>
              <w:rPr>
                <w:rFonts w:ascii="宋体" w:hAnsi="宋体"/>
                <w:szCs w:val="21"/>
              </w:rPr>
              <w:t>限值</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Align w:val="center"/>
          </w:tcPr>
          <w:p>
            <w:pPr>
              <w:pStyle w:val="41"/>
              <w:rPr>
                <w:rFonts w:ascii="宋体" w:hAnsi="宋体"/>
                <w:szCs w:val="21"/>
              </w:rPr>
            </w:pPr>
            <w:r>
              <w:rPr>
                <w:rFonts w:hint="eastAsia" w:ascii="宋体" w:hAnsi="宋体"/>
                <w:szCs w:val="21"/>
              </w:rPr>
              <w:t>固体废物</w:t>
            </w:r>
          </w:p>
        </w:tc>
        <w:tc>
          <w:tcPr>
            <w:tcW w:w="1636" w:type="pct"/>
            <w:vAlign w:val="center"/>
          </w:tcPr>
          <w:p>
            <w:pPr>
              <w:pStyle w:val="41"/>
              <w:rPr>
                <w:rFonts w:ascii="宋体" w:hAnsi="宋体"/>
                <w:szCs w:val="21"/>
              </w:rPr>
            </w:pPr>
            <w:r>
              <w:rPr>
                <w:rFonts w:hint="eastAsia" w:ascii="宋体" w:hAnsi="宋体"/>
                <w:szCs w:val="21"/>
              </w:rPr>
              <w:t>淤泥干化后委托水泥厂进行协同处置资源化利用</w:t>
            </w:r>
          </w:p>
        </w:tc>
        <w:tc>
          <w:tcPr>
            <w:tcW w:w="1081" w:type="pct"/>
            <w:vAlign w:val="center"/>
          </w:tcPr>
          <w:p>
            <w:pPr>
              <w:pStyle w:val="41"/>
              <w:rPr>
                <w:rFonts w:ascii="宋体" w:hAnsi="宋体"/>
                <w:szCs w:val="21"/>
              </w:rPr>
            </w:pPr>
            <w:r>
              <w:rPr>
                <w:rFonts w:hint="eastAsia" w:ascii="宋体" w:hAnsi="宋体"/>
                <w:szCs w:val="21"/>
              </w:rPr>
              <w:t>调查施工期固废处置去向，确保处理率</w:t>
            </w:r>
          </w:p>
          <w:p>
            <w:pPr>
              <w:pStyle w:val="41"/>
              <w:rPr>
                <w:rFonts w:ascii="宋体" w:hAnsi="宋体"/>
                <w:szCs w:val="21"/>
              </w:rPr>
            </w:pPr>
            <w:r>
              <w:rPr>
                <w:rFonts w:ascii="宋体" w:hAnsi="宋体"/>
                <w:szCs w:val="21"/>
              </w:rPr>
              <w:t>100%</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Align w:val="center"/>
          </w:tcPr>
          <w:p>
            <w:pPr>
              <w:pStyle w:val="41"/>
              <w:rPr>
                <w:rFonts w:ascii="宋体" w:hAnsi="宋体"/>
                <w:szCs w:val="21"/>
              </w:rPr>
            </w:pPr>
            <w:r>
              <w:rPr>
                <w:rFonts w:hint="eastAsia" w:ascii="宋体" w:hAnsi="宋体"/>
                <w:szCs w:val="21"/>
              </w:rPr>
              <w:t>电磁环境</w:t>
            </w:r>
          </w:p>
        </w:tc>
        <w:tc>
          <w:tcPr>
            <w:tcW w:w="1636" w:type="pct"/>
            <w:vAlign w:val="center"/>
          </w:tcPr>
          <w:p>
            <w:pPr>
              <w:pStyle w:val="41"/>
              <w:rPr>
                <w:rFonts w:ascii="宋体" w:hAnsi="宋体"/>
                <w:szCs w:val="21"/>
              </w:rPr>
            </w:pPr>
            <w:r>
              <w:rPr>
                <w:rFonts w:hint="eastAsia" w:ascii="宋体" w:hAnsi="宋体"/>
                <w:szCs w:val="21"/>
              </w:rPr>
              <w:t>/</w:t>
            </w:r>
          </w:p>
        </w:tc>
        <w:tc>
          <w:tcPr>
            <w:tcW w:w="1081" w:type="pct"/>
            <w:vAlign w:val="center"/>
          </w:tcPr>
          <w:p>
            <w:pPr>
              <w:pStyle w:val="41"/>
              <w:rPr>
                <w:rFonts w:ascii="宋体" w:hAnsi="宋体"/>
                <w:szCs w:val="21"/>
              </w:rPr>
            </w:pPr>
            <w:r>
              <w:rPr>
                <w:rFonts w:hint="eastAsia" w:ascii="宋体" w:hAnsi="宋体"/>
                <w:szCs w:val="21"/>
              </w:rPr>
              <w:t>/</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Align w:val="center"/>
          </w:tcPr>
          <w:p>
            <w:pPr>
              <w:pStyle w:val="41"/>
              <w:rPr>
                <w:rFonts w:ascii="宋体" w:hAnsi="宋体"/>
                <w:szCs w:val="21"/>
              </w:rPr>
            </w:pPr>
            <w:r>
              <w:rPr>
                <w:rFonts w:hint="eastAsia" w:ascii="宋体" w:hAnsi="宋体"/>
                <w:szCs w:val="21"/>
              </w:rPr>
              <w:t>环境风险</w:t>
            </w:r>
          </w:p>
        </w:tc>
        <w:tc>
          <w:tcPr>
            <w:tcW w:w="1636" w:type="pct"/>
            <w:vAlign w:val="center"/>
          </w:tcPr>
          <w:p>
            <w:pPr>
              <w:pStyle w:val="41"/>
              <w:rPr>
                <w:rFonts w:ascii="宋体" w:hAnsi="宋体"/>
                <w:szCs w:val="21"/>
              </w:rPr>
            </w:pPr>
            <w:r>
              <w:rPr>
                <w:rFonts w:hint="eastAsia" w:ascii="宋体" w:hAnsi="宋体"/>
                <w:szCs w:val="21"/>
              </w:rPr>
              <w:t>/</w:t>
            </w:r>
          </w:p>
        </w:tc>
        <w:tc>
          <w:tcPr>
            <w:tcW w:w="1081" w:type="pct"/>
            <w:vAlign w:val="center"/>
          </w:tcPr>
          <w:p>
            <w:pPr>
              <w:pStyle w:val="41"/>
              <w:rPr>
                <w:rFonts w:ascii="宋体" w:hAnsi="宋体"/>
                <w:szCs w:val="21"/>
              </w:rPr>
            </w:pPr>
            <w:r>
              <w:rPr>
                <w:rFonts w:hint="eastAsia" w:ascii="宋体" w:hAnsi="宋体"/>
                <w:szCs w:val="21"/>
              </w:rPr>
              <w:t>/</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Merge w:val="restart"/>
            <w:vAlign w:val="center"/>
          </w:tcPr>
          <w:p>
            <w:pPr>
              <w:pStyle w:val="41"/>
              <w:rPr>
                <w:rFonts w:ascii="宋体" w:hAnsi="宋体"/>
                <w:szCs w:val="21"/>
              </w:rPr>
            </w:pPr>
            <w:r>
              <w:rPr>
                <w:rFonts w:hint="eastAsia" w:ascii="宋体" w:hAnsi="宋体"/>
                <w:szCs w:val="21"/>
              </w:rPr>
              <w:t>环境监测</w:t>
            </w:r>
          </w:p>
        </w:tc>
        <w:tc>
          <w:tcPr>
            <w:tcW w:w="1636" w:type="pct"/>
            <w:vAlign w:val="center"/>
          </w:tcPr>
          <w:p>
            <w:pPr>
              <w:pStyle w:val="41"/>
              <w:rPr>
                <w:rFonts w:ascii="宋体" w:hAnsi="宋体"/>
                <w:szCs w:val="21"/>
              </w:rPr>
            </w:pPr>
            <w:r>
              <w:rPr>
                <w:rFonts w:hint="eastAsia" w:ascii="宋体" w:hAnsi="宋体"/>
                <w:szCs w:val="21"/>
              </w:rPr>
              <w:t>废气监测点位：污泥干化场；</w:t>
            </w:r>
            <w:r>
              <w:rPr>
                <w:rFonts w:ascii="宋体" w:hAnsi="宋体"/>
                <w:szCs w:val="21"/>
              </w:rPr>
              <w:t>监测项目</w:t>
            </w:r>
            <w:r>
              <w:rPr>
                <w:rFonts w:hint="eastAsia" w:ascii="宋体" w:hAnsi="宋体"/>
                <w:szCs w:val="21"/>
              </w:rPr>
              <w:t>：</w:t>
            </w:r>
            <w:r>
              <w:rPr>
                <w:rFonts w:ascii="宋体" w:hAnsi="宋体"/>
                <w:szCs w:val="21"/>
              </w:rPr>
              <w:t xml:space="preserve"> TSP、H</w:t>
            </w:r>
            <w:r>
              <w:rPr>
                <w:rFonts w:ascii="宋体" w:hAnsi="宋体"/>
                <w:szCs w:val="21"/>
                <w:vertAlign w:val="subscript"/>
              </w:rPr>
              <w:t>2</w:t>
            </w:r>
            <w:r>
              <w:rPr>
                <w:rFonts w:ascii="宋体" w:hAnsi="宋体"/>
                <w:szCs w:val="21"/>
              </w:rPr>
              <w:t>S、NH</w:t>
            </w:r>
            <w:r>
              <w:rPr>
                <w:rFonts w:ascii="宋体" w:hAnsi="宋体"/>
                <w:szCs w:val="21"/>
                <w:vertAlign w:val="subscript"/>
              </w:rPr>
              <w:t>3</w:t>
            </w:r>
            <w:r>
              <w:rPr>
                <w:rFonts w:ascii="宋体" w:hAnsi="宋体"/>
                <w:szCs w:val="21"/>
              </w:rPr>
              <w:t>、臭气浓度</w:t>
            </w:r>
            <w:r>
              <w:rPr>
                <w:rFonts w:hint="eastAsia" w:ascii="宋体" w:hAnsi="宋体"/>
                <w:szCs w:val="21"/>
              </w:rPr>
              <w:t>；</w:t>
            </w:r>
            <w:r>
              <w:rPr>
                <w:rFonts w:ascii="宋体" w:hAnsi="宋体"/>
                <w:szCs w:val="21"/>
              </w:rPr>
              <w:t>随机抽样，1天1次</w:t>
            </w:r>
          </w:p>
        </w:tc>
        <w:tc>
          <w:tcPr>
            <w:tcW w:w="1081" w:type="pct"/>
            <w:vAlign w:val="center"/>
          </w:tcPr>
          <w:p>
            <w:pPr>
              <w:pStyle w:val="41"/>
              <w:rPr>
                <w:rFonts w:ascii="宋体" w:hAnsi="宋体"/>
                <w:szCs w:val="21"/>
              </w:rPr>
            </w:pPr>
            <w:r>
              <w:rPr>
                <w:rFonts w:hint="eastAsia" w:ascii="宋体" w:hAnsi="宋体"/>
                <w:szCs w:val="21"/>
              </w:rPr>
              <w:t>满足大气污染物综合排放标准</w:t>
            </w:r>
            <w:r>
              <w:rPr>
                <w:rFonts w:ascii="宋体" w:hAnsi="宋体"/>
                <w:szCs w:val="21"/>
              </w:rPr>
              <w:t>GB16297-1996</w:t>
            </w:r>
            <w:r>
              <w:rPr>
                <w:rFonts w:hint="eastAsia" w:ascii="宋体" w:hAnsi="宋体"/>
                <w:szCs w:val="21"/>
              </w:rPr>
              <w:t>）</w:t>
            </w:r>
            <w:r>
              <w:rPr>
                <w:rFonts w:ascii="宋体" w:hAnsi="宋体"/>
                <w:szCs w:val="21"/>
              </w:rPr>
              <w:t>中无组织排放标准、《恶具污染物排放标准》GB14554-93</w:t>
            </w:r>
            <w:r>
              <w:rPr>
                <w:rFonts w:hint="eastAsia" w:ascii="宋体" w:hAnsi="宋体"/>
                <w:szCs w:val="21"/>
              </w:rPr>
              <w:t>）</w:t>
            </w:r>
            <w:r>
              <w:rPr>
                <w:rFonts w:ascii="宋体" w:hAnsi="宋体"/>
                <w:szCs w:val="21"/>
              </w:rPr>
              <w:t>限值</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Merge w:val="continue"/>
            <w:vAlign w:val="center"/>
          </w:tcPr>
          <w:p>
            <w:pPr>
              <w:pStyle w:val="41"/>
              <w:rPr>
                <w:rFonts w:ascii="宋体" w:hAnsi="宋体"/>
                <w:szCs w:val="21"/>
              </w:rPr>
            </w:pPr>
          </w:p>
        </w:tc>
        <w:tc>
          <w:tcPr>
            <w:tcW w:w="1636" w:type="pct"/>
            <w:vAlign w:val="center"/>
          </w:tcPr>
          <w:p>
            <w:pPr>
              <w:pStyle w:val="41"/>
              <w:rPr>
                <w:rFonts w:ascii="宋体" w:hAnsi="宋体"/>
                <w:szCs w:val="21"/>
              </w:rPr>
            </w:pPr>
            <w:r>
              <w:rPr>
                <w:rFonts w:hint="eastAsia" w:ascii="宋体" w:hAnsi="宋体"/>
                <w:szCs w:val="21"/>
              </w:rPr>
              <w:t>废水监测点位：污水处理设施</w:t>
            </w:r>
            <w:r>
              <w:rPr>
                <w:rFonts w:ascii="宋体" w:hAnsi="宋体"/>
                <w:szCs w:val="21"/>
              </w:rPr>
              <w:t>出水口，随机抽样监测，1天，一天两次</w:t>
            </w:r>
            <w:r>
              <w:rPr>
                <w:rFonts w:hint="eastAsia" w:ascii="宋体" w:hAnsi="宋体"/>
                <w:szCs w:val="21"/>
              </w:rPr>
              <w:t>；</w:t>
            </w:r>
            <w:r>
              <w:rPr>
                <w:rFonts w:ascii="宋体" w:hAnsi="宋体"/>
                <w:szCs w:val="21"/>
              </w:rPr>
              <w:t>监测因子为 PH、SS、TN、TP、COD、NH-N</w:t>
            </w:r>
          </w:p>
        </w:tc>
        <w:tc>
          <w:tcPr>
            <w:tcW w:w="1081" w:type="pct"/>
            <w:vAlign w:val="center"/>
          </w:tcPr>
          <w:p>
            <w:pPr>
              <w:pStyle w:val="41"/>
              <w:rPr>
                <w:rFonts w:ascii="宋体" w:hAnsi="宋体"/>
                <w:szCs w:val="21"/>
              </w:rPr>
            </w:pPr>
            <w:r>
              <w:rPr>
                <w:rFonts w:hint="eastAsia" w:ascii="宋体" w:hAnsi="宋体"/>
                <w:szCs w:val="21"/>
              </w:rPr>
              <w:t>满足GB</w:t>
            </w:r>
            <w:r>
              <w:rPr>
                <w:rFonts w:ascii="宋体" w:hAnsi="宋体"/>
                <w:szCs w:val="21"/>
              </w:rPr>
              <w:t>8978-2012</w:t>
            </w:r>
            <w:r>
              <w:rPr>
                <w:rFonts w:hint="eastAsia" w:ascii="宋体" w:hAnsi="宋体"/>
                <w:szCs w:val="21"/>
              </w:rPr>
              <w:t>中一级标准</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Merge w:val="continue"/>
            <w:vAlign w:val="center"/>
          </w:tcPr>
          <w:p>
            <w:pPr>
              <w:pStyle w:val="41"/>
              <w:rPr>
                <w:rFonts w:ascii="宋体" w:hAnsi="宋体"/>
                <w:szCs w:val="21"/>
              </w:rPr>
            </w:pPr>
          </w:p>
        </w:tc>
        <w:tc>
          <w:tcPr>
            <w:tcW w:w="1636" w:type="pct"/>
            <w:vAlign w:val="center"/>
          </w:tcPr>
          <w:p>
            <w:pPr>
              <w:pStyle w:val="41"/>
              <w:rPr>
                <w:rFonts w:ascii="宋体" w:hAnsi="宋体"/>
                <w:szCs w:val="21"/>
              </w:rPr>
            </w:pPr>
            <w:r>
              <w:rPr>
                <w:rFonts w:hint="eastAsia" w:ascii="宋体" w:hAnsi="宋体"/>
                <w:szCs w:val="21"/>
              </w:rPr>
              <w:t>噪声监测施工场地四周</w:t>
            </w:r>
            <w:r>
              <w:rPr>
                <w:rFonts w:ascii="宋体" w:hAnsi="宋体"/>
                <w:szCs w:val="21"/>
              </w:rPr>
              <w:t>Leq(A)，随机抽取2天，昼夜间各一次</w:t>
            </w:r>
          </w:p>
        </w:tc>
        <w:tc>
          <w:tcPr>
            <w:tcW w:w="1081" w:type="pct"/>
            <w:vAlign w:val="center"/>
          </w:tcPr>
          <w:p>
            <w:pPr>
              <w:pStyle w:val="41"/>
              <w:rPr>
                <w:rFonts w:ascii="宋体" w:hAnsi="宋体"/>
                <w:szCs w:val="21"/>
              </w:rPr>
            </w:pPr>
            <w:r>
              <w:rPr>
                <w:rFonts w:hint="eastAsia" w:ascii="宋体" w:hAnsi="宋体"/>
                <w:szCs w:val="21"/>
              </w:rPr>
              <w:t>满足《建筑施工场界环境噪声排放标准》</w:t>
            </w:r>
            <w:r>
              <w:rPr>
                <w:rFonts w:ascii="宋体" w:hAnsi="宋体"/>
                <w:szCs w:val="21"/>
              </w:rPr>
              <w:t>(GB12523-2011</w:t>
            </w:r>
            <w:r>
              <w:rPr>
                <w:rFonts w:hint="eastAsia" w:ascii="宋体" w:hAnsi="宋体"/>
                <w:szCs w:val="21"/>
              </w:rPr>
              <w:t>）</w:t>
            </w:r>
            <w:r>
              <w:rPr>
                <w:rFonts w:ascii="宋体" w:hAnsi="宋体"/>
                <w:szCs w:val="21"/>
              </w:rPr>
              <w:t>表1</w:t>
            </w:r>
            <w:r>
              <w:rPr>
                <w:rFonts w:hint="eastAsia" w:ascii="宋体" w:hAnsi="宋体"/>
                <w:szCs w:val="21"/>
              </w:rPr>
              <w:t>标准</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Merge w:val="continue"/>
            <w:vAlign w:val="center"/>
          </w:tcPr>
          <w:p>
            <w:pPr>
              <w:pStyle w:val="41"/>
              <w:rPr>
                <w:rFonts w:ascii="宋体" w:hAnsi="宋体"/>
                <w:szCs w:val="21"/>
              </w:rPr>
            </w:pPr>
          </w:p>
        </w:tc>
        <w:tc>
          <w:tcPr>
            <w:tcW w:w="1636" w:type="pct"/>
            <w:vAlign w:val="center"/>
          </w:tcPr>
          <w:p>
            <w:pPr>
              <w:pStyle w:val="41"/>
              <w:rPr>
                <w:rFonts w:ascii="宋体" w:hAnsi="宋体"/>
                <w:szCs w:val="21"/>
              </w:rPr>
            </w:pPr>
            <w:r>
              <w:rPr>
                <w:rFonts w:hint="eastAsia" w:ascii="宋体" w:hAnsi="宋体"/>
                <w:szCs w:val="21"/>
              </w:rPr>
              <w:t>鼻湖水质监测，随机抽样监测，</w:t>
            </w:r>
            <w:r>
              <w:rPr>
                <w:rFonts w:ascii="宋体" w:hAnsi="宋体"/>
                <w:szCs w:val="21"/>
              </w:rPr>
              <w:t>1天，一天两次</w:t>
            </w:r>
            <w:r>
              <w:rPr>
                <w:rFonts w:hint="eastAsia" w:ascii="宋体" w:hAnsi="宋体"/>
                <w:szCs w:val="21"/>
              </w:rPr>
              <w:t>；</w:t>
            </w:r>
            <w:r>
              <w:rPr>
                <w:rFonts w:ascii="宋体" w:hAnsi="宋体"/>
                <w:szCs w:val="21"/>
              </w:rPr>
              <w:t>监测因子为 PH、SS、TN、TP、COD、NH</w:t>
            </w:r>
            <w:r>
              <w:rPr>
                <w:rFonts w:ascii="宋体" w:hAnsi="宋体"/>
                <w:szCs w:val="21"/>
                <w:vertAlign w:val="subscript"/>
              </w:rPr>
              <w:t>3</w:t>
            </w:r>
            <w:r>
              <w:rPr>
                <w:rFonts w:ascii="宋体" w:hAnsi="宋体"/>
                <w:szCs w:val="21"/>
              </w:rPr>
              <w:t>-N</w:t>
            </w:r>
          </w:p>
        </w:tc>
        <w:tc>
          <w:tcPr>
            <w:tcW w:w="1081" w:type="pct"/>
            <w:vAlign w:val="center"/>
          </w:tcPr>
          <w:p>
            <w:pPr>
              <w:pStyle w:val="41"/>
              <w:rPr>
                <w:rFonts w:ascii="宋体" w:hAnsi="宋体"/>
                <w:szCs w:val="21"/>
              </w:rPr>
            </w:pPr>
            <w:r>
              <w:rPr>
                <w:rFonts w:hint="eastAsia" w:ascii="宋体" w:hAnsi="宋体"/>
                <w:szCs w:val="21"/>
              </w:rPr>
              <w:t>水质有所改善；不恶化</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pct"/>
            <w:vAlign w:val="center"/>
          </w:tcPr>
          <w:p>
            <w:pPr>
              <w:pStyle w:val="41"/>
              <w:rPr>
                <w:rFonts w:ascii="宋体" w:hAnsi="宋体"/>
                <w:szCs w:val="21"/>
              </w:rPr>
            </w:pPr>
            <w:r>
              <w:rPr>
                <w:rFonts w:hint="eastAsia" w:ascii="宋体" w:hAnsi="宋体"/>
                <w:szCs w:val="21"/>
              </w:rPr>
              <w:t>其他</w:t>
            </w:r>
          </w:p>
        </w:tc>
        <w:tc>
          <w:tcPr>
            <w:tcW w:w="1636" w:type="pct"/>
            <w:vAlign w:val="center"/>
          </w:tcPr>
          <w:p>
            <w:pPr>
              <w:pStyle w:val="41"/>
              <w:rPr>
                <w:rFonts w:ascii="宋体" w:hAnsi="宋体"/>
                <w:szCs w:val="21"/>
              </w:rPr>
            </w:pPr>
            <w:r>
              <w:rPr>
                <w:rFonts w:hint="eastAsia" w:ascii="宋体" w:hAnsi="宋体"/>
                <w:szCs w:val="21"/>
              </w:rPr>
              <w:t>/</w:t>
            </w:r>
          </w:p>
        </w:tc>
        <w:tc>
          <w:tcPr>
            <w:tcW w:w="1081" w:type="pct"/>
            <w:vAlign w:val="center"/>
          </w:tcPr>
          <w:p>
            <w:pPr>
              <w:pStyle w:val="41"/>
              <w:rPr>
                <w:rFonts w:ascii="宋体" w:hAnsi="宋体"/>
                <w:szCs w:val="21"/>
              </w:rPr>
            </w:pPr>
            <w:r>
              <w:rPr>
                <w:rFonts w:hint="eastAsia" w:ascii="宋体" w:hAnsi="宋体"/>
                <w:szCs w:val="21"/>
              </w:rPr>
              <w:t>/</w:t>
            </w:r>
          </w:p>
        </w:tc>
        <w:tc>
          <w:tcPr>
            <w:tcW w:w="500" w:type="pct"/>
            <w:vAlign w:val="center"/>
          </w:tcPr>
          <w:p>
            <w:pPr>
              <w:pStyle w:val="41"/>
              <w:rPr>
                <w:rFonts w:ascii="宋体" w:hAnsi="宋体"/>
                <w:szCs w:val="21"/>
              </w:rPr>
            </w:pPr>
            <w:r>
              <w:rPr>
                <w:rFonts w:hint="eastAsia" w:ascii="宋体" w:hAnsi="宋体"/>
                <w:szCs w:val="21"/>
              </w:rPr>
              <w:t>/</w:t>
            </w:r>
          </w:p>
        </w:tc>
        <w:tc>
          <w:tcPr>
            <w:tcW w:w="445" w:type="pct"/>
            <w:vAlign w:val="center"/>
          </w:tcPr>
          <w:p>
            <w:pPr>
              <w:pStyle w:val="41"/>
              <w:rPr>
                <w:rFonts w:ascii="宋体" w:hAnsi="宋体"/>
                <w:szCs w:val="21"/>
              </w:rPr>
            </w:pPr>
            <w:r>
              <w:rPr>
                <w:rFonts w:hint="eastAsia" w:ascii="宋体" w:hAnsi="宋体"/>
                <w:szCs w:val="21"/>
              </w:rPr>
              <w:t>/</w:t>
            </w:r>
          </w:p>
        </w:tc>
      </w:tr>
    </w:tbl>
    <w:p>
      <w:pPr>
        <w:pStyle w:val="34"/>
        <w:ind w:firstLine="0" w:firstLineChars="0"/>
        <w:sectPr>
          <w:pgSz w:w="11906" w:h="16838"/>
          <w:pgMar w:top="1440" w:right="1800" w:bottom="1440" w:left="1800" w:header="851" w:footer="992" w:gutter="0"/>
          <w:cols w:space="425" w:num="1"/>
          <w:docGrid w:type="lines" w:linePitch="312" w:charSpace="0"/>
        </w:sectPr>
      </w:pPr>
    </w:p>
    <w:p>
      <w:pPr>
        <w:pStyle w:val="36"/>
      </w:pPr>
      <w:bookmarkStart w:id="11" w:name="_Toc149605115"/>
      <w:r>
        <w:rPr>
          <w:rFonts w:hint="eastAsia"/>
        </w:rPr>
        <w:t>七、结论</w:t>
      </w:r>
      <w:bookmarkEnd w:id="11"/>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6" w:hRule="atLeast"/>
        </w:trPr>
        <w:tc>
          <w:tcPr>
            <w:tcW w:w="8522" w:type="dxa"/>
          </w:tcPr>
          <w:p>
            <w:pPr>
              <w:pStyle w:val="34"/>
              <w:ind w:firstLine="480"/>
            </w:pPr>
            <w:r>
              <w:rPr>
                <w:rFonts w:hint="eastAsia"/>
              </w:rPr>
              <w:t>本项目是国家鼓励类建设项目，符合规划要求，</w:t>
            </w:r>
            <w:r>
              <w:t>与区域环境有良好的相容性可改善</w:t>
            </w:r>
            <w:r>
              <w:rPr>
                <w:rFonts w:hint="eastAsia"/>
              </w:rPr>
              <w:t>鼻湖</w:t>
            </w:r>
            <w:r>
              <w:t>水环境质量及生态条件，改善周边居民生活环境</w:t>
            </w:r>
            <w:r>
              <w:rPr>
                <w:rFonts w:hint="eastAsia"/>
              </w:rPr>
              <w:t>；</w:t>
            </w:r>
            <w:r>
              <w:t>通过严格落实本报告提出的各项环保措施，确保项目臭气及噪声对周边影响在可控范围内，可有效减小项目施工期对环境产生的不利影响，且项目营运期无污染物排放，对区域环境有改善的作用，从环境保护方面分析，本项目建设可行。</w:t>
            </w:r>
          </w:p>
        </w:tc>
      </w:tr>
    </w:tbl>
    <w:p>
      <w:pPr>
        <w:pStyle w:val="34"/>
        <w:ind w:firstLine="0" w:firstLineChars="0"/>
        <w:sectPr>
          <w:pgSz w:w="11906" w:h="16838"/>
          <w:pgMar w:top="1440" w:right="1800" w:bottom="1440" w:left="1800" w:header="851" w:footer="992" w:gutter="0"/>
          <w:cols w:space="425" w:num="1"/>
          <w:docGrid w:type="lines" w:linePitch="312" w:charSpace="0"/>
        </w:sectPr>
      </w:pPr>
    </w:p>
    <w:p>
      <w:pPr>
        <w:pStyle w:val="36"/>
      </w:pPr>
      <w:bookmarkStart w:id="12" w:name="_bookmark7"/>
      <w:bookmarkEnd w:id="12"/>
    </w:p>
    <w:sectPr>
      <w:head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524607"/>
      <w:docPartObj>
        <w:docPartGallery w:val="autotext"/>
      </w:docPartObj>
    </w:sdtPr>
    <w:sdtContent>
      <w:p>
        <w:pPr>
          <w:pStyle w:val="21"/>
          <w:jc w:val="center"/>
        </w:pPr>
        <w:r>
          <w:fldChar w:fldCharType="begin"/>
        </w:r>
        <w:r>
          <w:instrText xml:space="preserve">PAGE   \* MERGEFORMAT</w:instrText>
        </w:r>
        <w:r>
          <w:fldChar w:fldCharType="separate"/>
        </w:r>
        <w:r>
          <w:rPr>
            <w:lang w:val="zh-CN"/>
          </w:rPr>
          <w:t>2</w:t>
        </w:r>
        <w:r>
          <w:fldChar w:fldCharType="end"/>
        </w:r>
      </w:p>
    </w:sdtContent>
  </w:sdt>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89927"/>
    <w:multiLevelType w:val="singleLevel"/>
    <w:tmpl w:val="59B899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AF536B"/>
    <w:rsid w:val="00005A87"/>
    <w:rsid w:val="000537BA"/>
    <w:rsid w:val="000763DA"/>
    <w:rsid w:val="00093AA5"/>
    <w:rsid w:val="000E0BB6"/>
    <w:rsid w:val="000E1D30"/>
    <w:rsid w:val="001449EE"/>
    <w:rsid w:val="0016558E"/>
    <w:rsid w:val="00180D82"/>
    <w:rsid w:val="001845DD"/>
    <w:rsid w:val="001923C2"/>
    <w:rsid w:val="001A319F"/>
    <w:rsid w:val="001A4C91"/>
    <w:rsid w:val="001A6ECD"/>
    <w:rsid w:val="001B52F2"/>
    <w:rsid w:val="001D7392"/>
    <w:rsid w:val="001E630F"/>
    <w:rsid w:val="001F0D43"/>
    <w:rsid w:val="00226FC1"/>
    <w:rsid w:val="00263121"/>
    <w:rsid w:val="00272B70"/>
    <w:rsid w:val="002B2F82"/>
    <w:rsid w:val="002D26A0"/>
    <w:rsid w:val="002E580C"/>
    <w:rsid w:val="002F131D"/>
    <w:rsid w:val="00305A46"/>
    <w:rsid w:val="0034060F"/>
    <w:rsid w:val="003668FA"/>
    <w:rsid w:val="00372423"/>
    <w:rsid w:val="00396407"/>
    <w:rsid w:val="003A0BA6"/>
    <w:rsid w:val="003D2C8C"/>
    <w:rsid w:val="00412B91"/>
    <w:rsid w:val="00417550"/>
    <w:rsid w:val="00434240"/>
    <w:rsid w:val="00476878"/>
    <w:rsid w:val="00482F1D"/>
    <w:rsid w:val="004A0576"/>
    <w:rsid w:val="004A5A7F"/>
    <w:rsid w:val="004B1F5A"/>
    <w:rsid w:val="00500B17"/>
    <w:rsid w:val="005100EE"/>
    <w:rsid w:val="00526E44"/>
    <w:rsid w:val="00535FFE"/>
    <w:rsid w:val="005821B9"/>
    <w:rsid w:val="005B3E7D"/>
    <w:rsid w:val="005C4093"/>
    <w:rsid w:val="0060336D"/>
    <w:rsid w:val="00606950"/>
    <w:rsid w:val="00610065"/>
    <w:rsid w:val="00643EFB"/>
    <w:rsid w:val="00663D0F"/>
    <w:rsid w:val="006671F1"/>
    <w:rsid w:val="00681832"/>
    <w:rsid w:val="00695D12"/>
    <w:rsid w:val="006A2316"/>
    <w:rsid w:val="006B0D17"/>
    <w:rsid w:val="006B4146"/>
    <w:rsid w:val="006C2391"/>
    <w:rsid w:val="006E77C3"/>
    <w:rsid w:val="006F3E93"/>
    <w:rsid w:val="007036F6"/>
    <w:rsid w:val="007203F0"/>
    <w:rsid w:val="007367C9"/>
    <w:rsid w:val="007B5E81"/>
    <w:rsid w:val="007C5E4C"/>
    <w:rsid w:val="007C5EB4"/>
    <w:rsid w:val="007E0A0A"/>
    <w:rsid w:val="008112DE"/>
    <w:rsid w:val="00816E84"/>
    <w:rsid w:val="008219DA"/>
    <w:rsid w:val="00860536"/>
    <w:rsid w:val="00870C57"/>
    <w:rsid w:val="00876861"/>
    <w:rsid w:val="00880A12"/>
    <w:rsid w:val="00880DAC"/>
    <w:rsid w:val="008B58B6"/>
    <w:rsid w:val="008B72AE"/>
    <w:rsid w:val="008D097B"/>
    <w:rsid w:val="008D1FFE"/>
    <w:rsid w:val="008D3145"/>
    <w:rsid w:val="008D6676"/>
    <w:rsid w:val="009015A0"/>
    <w:rsid w:val="00910EE1"/>
    <w:rsid w:val="00913F17"/>
    <w:rsid w:val="00926761"/>
    <w:rsid w:val="009A37F0"/>
    <w:rsid w:val="009D30AD"/>
    <w:rsid w:val="009E0457"/>
    <w:rsid w:val="00A04A89"/>
    <w:rsid w:val="00A22036"/>
    <w:rsid w:val="00A24EB9"/>
    <w:rsid w:val="00A5352F"/>
    <w:rsid w:val="00A65163"/>
    <w:rsid w:val="00A807A3"/>
    <w:rsid w:val="00AE1824"/>
    <w:rsid w:val="00AE4835"/>
    <w:rsid w:val="00AF536B"/>
    <w:rsid w:val="00AF7389"/>
    <w:rsid w:val="00B27FB7"/>
    <w:rsid w:val="00B5691A"/>
    <w:rsid w:val="00BA1CAA"/>
    <w:rsid w:val="00BA7B55"/>
    <w:rsid w:val="00BD2801"/>
    <w:rsid w:val="00BF78B6"/>
    <w:rsid w:val="00C1395F"/>
    <w:rsid w:val="00C96864"/>
    <w:rsid w:val="00CA6A37"/>
    <w:rsid w:val="00CB3489"/>
    <w:rsid w:val="00CE6573"/>
    <w:rsid w:val="00CE766F"/>
    <w:rsid w:val="00CF1AC7"/>
    <w:rsid w:val="00CF578B"/>
    <w:rsid w:val="00D03D86"/>
    <w:rsid w:val="00D32150"/>
    <w:rsid w:val="00D61333"/>
    <w:rsid w:val="00D64E25"/>
    <w:rsid w:val="00DD54E5"/>
    <w:rsid w:val="00DE324D"/>
    <w:rsid w:val="00E94183"/>
    <w:rsid w:val="00E96D53"/>
    <w:rsid w:val="00EB44A4"/>
    <w:rsid w:val="00EB4915"/>
    <w:rsid w:val="00EB5AAC"/>
    <w:rsid w:val="00EC227B"/>
    <w:rsid w:val="00EE08C7"/>
    <w:rsid w:val="00EF6515"/>
    <w:rsid w:val="00F17E5D"/>
    <w:rsid w:val="00F43012"/>
    <w:rsid w:val="00FA4293"/>
    <w:rsid w:val="00FF2238"/>
    <w:rsid w:val="21521285"/>
    <w:rsid w:val="259B08DA"/>
    <w:rsid w:val="31370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iPriority="0" w:semiHidden="0" w:name="heading 2"/>
    <w:lsdException w:uiPriority="99" w:semiHidden="0" w:name="heading 3"/>
    <w:lsdException w:uiPriority="99" w:semiHidden="0" w:name="heading 4"/>
    <w:lsdException w:uiPriority="0" w:semiHidden="0" w:name="heading 5"/>
    <w:lsdException w:uiPriority="9" w:semiHidden="0" w:name="heading 6"/>
    <w:lsdException w:uiPriority="0" w:semiHidden="0" w:name="heading 7"/>
    <w:lsdException w:uiPriority="0" w:semiHidden="0" w:name="heading 8"/>
    <w:lsdException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0" w:semiHidden="0"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0"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uiPriority w:val="0"/>
    <w:pPr>
      <w:keepNext/>
      <w:keepLines/>
      <w:spacing w:before="340" w:after="330" w:line="578" w:lineRule="auto"/>
      <w:outlineLvl w:val="0"/>
    </w:pPr>
    <w:rPr>
      <w:b/>
      <w:bCs/>
      <w:kern w:val="44"/>
      <w:sz w:val="44"/>
      <w:szCs w:val="44"/>
    </w:rPr>
  </w:style>
  <w:style w:type="paragraph" w:styleId="3">
    <w:name w:val="heading 2"/>
    <w:basedOn w:val="1"/>
    <w:next w:val="1"/>
    <w:link w:val="48"/>
    <w:unhideWhenUs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5"/>
    <w:unhideWhenUsed/>
    <w:uiPriority w:val="99"/>
    <w:pPr>
      <w:keepNext/>
      <w:keepLines/>
      <w:spacing w:before="260" w:after="260" w:line="416" w:lineRule="auto"/>
      <w:outlineLvl w:val="2"/>
    </w:pPr>
    <w:rPr>
      <w:b/>
      <w:bCs/>
      <w:sz w:val="32"/>
      <w:szCs w:val="32"/>
    </w:rPr>
  </w:style>
  <w:style w:type="paragraph" w:styleId="5">
    <w:name w:val="heading 4"/>
    <w:basedOn w:val="1"/>
    <w:next w:val="1"/>
    <w:link w:val="51"/>
    <w:unhideWhenUsed/>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2"/>
    <w:unhideWhenUsed/>
    <w:uiPriority w:val="0"/>
    <w:pPr>
      <w:keepNext/>
      <w:keepLines/>
      <w:spacing w:before="280" w:after="290" w:line="372" w:lineRule="auto"/>
      <w:ind w:left="1008" w:hanging="1008"/>
      <w:outlineLvl w:val="4"/>
    </w:pPr>
    <w:rPr>
      <w:rFonts w:ascii="Times New Roman" w:hAnsi="Times New Roman" w:eastAsia="宋体" w:cs="Times New Roman"/>
      <w:b/>
      <w:sz w:val="28"/>
      <w:szCs w:val="21"/>
    </w:rPr>
  </w:style>
  <w:style w:type="paragraph" w:styleId="7">
    <w:name w:val="heading 6"/>
    <w:basedOn w:val="1"/>
    <w:next w:val="1"/>
    <w:link w:val="63"/>
    <w:unhideWhenUsed/>
    <w:uiPriority w:val="9"/>
    <w:pPr>
      <w:keepNext/>
      <w:keepLines/>
      <w:spacing w:before="240" w:after="64" w:line="317" w:lineRule="auto"/>
      <w:ind w:left="1151" w:hanging="1151"/>
      <w:outlineLvl w:val="5"/>
    </w:pPr>
    <w:rPr>
      <w:rFonts w:ascii="Arial" w:hAnsi="Arial" w:eastAsia="黑体" w:cs="Times New Roman"/>
      <w:b/>
      <w:sz w:val="24"/>
      <w:szCs w:val="21"/>
    </w:rPr>
  </w:style>
  <w:style w:type="paragraph" w:styleId="8">
    <w:name w:val="heading 7"/>
    <w:basedOn w:val="1"/>
    <w:next w:val="1"/>
    <w:link w:val="64"/>
    <w:unhideWhenUsed/>
    <w:uiPriority w:val="0"/>
    <w:pPr>
      <w:keepNext/>
      <w:keepLines/>
      <w:spacing w:before="240" w:after="64" w:line="317" w:lineRule="auto"/>
      <w:ind w:left="1296" w:hanging="1296"/>
      <w:outlineLvl w:val="6"/>
    </w:pPr>
    <w:rPr>
      <w:rFonts w:ascii="Times New Roman" w:hAnsi="Times New Roman" w:eastAsia="宋体" w:cs="Times New Roman"/>
      <w:b/>
      <w:sz w:val="24"/>
      <w:szCs w:val="21"/>
    </w:rPr>
  </w:style>
  <w:style w:type="paragraph" w:styleId="9">
    <w:name w:val="heading 8"/>
    <w:basedOn w:val="1"/>
    <w:next w:val="1"/>
    <w:link w:val="65"/>
    <w:unhideWhenUsed/>
    <w:uiPriority w:val="0"/>
    <w:pPr>
      <w:keepNext/>
      <w:keepLines/>
      <w:spacing w:before="240" w:after="64" w:line="317" w:lineRule="auto"/>
      <w:ind w:left="1440" w:hanging="1440"/>
      <w:outlineLvl w:val="7"/>
    </w:pPr>
    <w:rPr>
      <w:rFonts w:ascii="Arial" w:hAnsi="Arial" w:eastAsia="黑体" w:cs="Times New Roman"/>
      <w:sz w:val="24"/>
      <w:szCs w:val="21"/>
    </w:rPr>
  </w:style>
  <w:style w:type="paragraph" w:styleId="10">
    <w:name w:val="heading 9"/>
    <w:basedOn w:val="1"/>
    <w:next w:val="1"/>
    <w:link w:val="66"/>
    <w:unhideWhenUsed/>
    <w:uiPriority w:val="0"/>
    <w:pPr>
      <w:keepNext/>
      <w:keepLines/>
      <w:spacing w:before="240" w:after="64" w:line="317" w:lineRule="auto"/>
      <w:ind w:left="1583" w:hanging="1583"/>
      <w:outlineLvl w:val="8"/>
    </w:pPr>
    <w:rPr>
      <w:rFonts w:ascii="Arial" w:hAnsi="Arial" w:eastAsia="黑体" w:cs="Times New Roman"/>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table of authorities"/>
    <w:basedOn w:val="1"/>
    <w:next w:val="1"/>
    <w:uiPriority w:val="0"/>
    <w:pPr>
      <w:ind w:left="420" w:leftChars="200"/>
    </w:pPr>
    <w:rPr>
      <w:rFonts w:ascii="Calibri" w:hAnsi="Calibri" w:eastAsia="宋体" w:cs="Times New Roman"/>
      <w:szCs w:val="24"/>
    </w:rPr>
  </w:style>
  <w:style w:type="paragraph" w:styleId="12">
    <w:name w:val="Normal Indent"/>
    <w:basedOn w:val="1"/>
    <w:next w:val="13"/>
    <w:link w:val="57"/>
    <w:qFormat/>
    <w:uiPriority w:val="0"/>
    <w:pPr>
      <w:ind w:firstLine="420"/>
    </w:pPr>
    <w:rPr>
      <w:rFonts w:ascii="Times New Roman" w:hAnsi="Times New Roman" w:eastAsia="宋体" w:cs="Times New Roman"/>
      <w:sz w:val="28"/>
      <w:szCs w:val="20"/>
    </w:rPr>
  </w:style>
  <w:style w:type="paragraph" w:styleId="13">
    <w:name w:val="Body Text First Indent 2"/>
    <w:basedOn w:val="14"/>
    <w:link w:val="61"/>
    <w:unhideWhenUsed/>
    <w:uiPriority w:val="0"/>
    <w:pPr>
      <w:ind w:firstLine="420" w:firstLineChars="200"/>
    </w:pPr>
  </w:style>
  <w:style w:type="paragraph" w:styleId="14">
    <w:name w:val="Body Text Indent"/>
    <w:basedOn w:val="1"/>
    <w:link w:val="60"/>
    <w:semiHidden/>
    <w:unhideWhenUsed/>
    <w:qFormat/>
    <w:uiPriority w:val="0"/>
    <w:pPr>
      <w:spacing w:after="120"/>
      <w:ind w:left="420" w:leftChars="200"/>
    </w:pPr>
  </w:style>
  <w:style w:type="paragraph" w:styleId="15">
    <w:name w:val="annotation text"/>
    <w:basedOn w:val="1"/>
    <w:link w:val="70"/>
    <w:semiHidden/>
    <w:qFormat/>
    <w:uiPriority w:val="0"/>
    <w:pPr>
      <w:jc w:val="left"/>
    </w:pPr>
    <w:rPr>
      <w:rFonts w:ascii="Times New Roman" w:hAnsi="Times New Roman" w:eastAsia="宋体" w:cs="Times New Roman"/>
      <w:kern w:val="0"/>
      <w:sz w:val="24"/>
      <w:szCs w:val="20"/>
    </w:rPr>
  </w:style>
  <w:style w:type="paragraph" w:styleId="16">
    <w:name w:val="Body Text"/>
    <w:basedOn w:val="1"/>
    <w:next w:val="1"/>
    <w:link w:val="55"/>
    <w:qFormat/>
    <w:uiPriority w:val="0"/>
    <w:pPr>
      <w:widowControl/>
      <w:snapToGrid w:val="0"/>
      <w:spacing w:before="60" w:after="160" w:line="259" w:lineRule="auto"/>
      <w:ind w:right="113"/>
    </w:pPr>
    <w:rPr>
      <w:rFonts w:ascii="Times New Roman" w:hAnsi="Times New Roman" w:eastAsia="宋体" w:cs="Times New Roman"/>
      <w:kern w:val="0"/>
      <w:sz w:val="18"/>
      <w:szCs w:val="20"/>
    </w:rPr>
  </w:style>
  <w:style w:type="paragraph" w:styleId="17">
    <w:name w:val="Plain Text"/>
    <w:basedOn w:val="1"/>
    <w:next w:val="1"/>
    <w:link w:val="56"/>
    <w:qFormat/>
    <w:uiPriority w:val="0"/>
    <w:rPr>
      <w:rFonts w:ascii="宋体" w:hAnsi="Courier New" w:eastAsia="宋体" w:cs="Courier New"/>
      <w:szCs w:val="21"/>
    </w:rPr>
  </w:style>
  <w:style w:type="paragraph" w:styleId="18">
    <w:name w:val="Date"/>
    <w:basedOn w:val="1"/>
    <w:next w:val="1"/>
    <w:link w:val="83"/>
    <w:uiPriority w:val="0"/>
    <w:pPr>
      <w:ind w:left="100" w:leftChars="2500"/>
    </w:pPr>
    <w:rPr>
      <w:rFonts w:ascii="Times New Roman" w:hAnsi="Times New Roman" w:eastAsia="宋体" w:cs="Times New Roman"/>
      <w:kern w:val="0"/>
      <w:sz w:val="24"/>
      <w:szCs w:val="20"/>
    </w:rPr>
  </w:style>
  <w:style w:type="paragraph" w:styleId="19">
    <w:name w:val="Body Text Indent 2"/>
    <w:basedOn w:val="1"/>
    <w:next w:val="1"/>
    <w:link w:val="72"/>
    <w:uiPriority w:val="0"/>
    <w:pPr>
      <w:spacing w:line="360" w:lineRule="exact"/>
      <w:ind w:firstLine="420" w:firstLineChars="200"/>
    </w:pPr>
    <w:rPr>
      <w:rFonts w:ascii="仿宋_GB2312" w:hAnsi="Calibri" w:eastAsia="仿宋_GB2312" w:cs="Times New Roman"/>
      <w:szCs w:val="24"/>
    </w:rPr>
  </w:style>
  <w:style w:type="paragraph" w:styleId="20">
    <w:name w:val="Balloon Text"/>
    <w:basedOn w:val="1"/>
    <w:link w:val="73"/>
    <w:semiHidden/>
    <w:qFormat/>
    <w:uiPriority w:val="0"/>
    <w:rPr>
      <w:rFonts w:ascii="Calibri" w:hAnsi="Calibri" w:eastAsia="宋体" w:cs="Times New Roman"/>
      <w:sz w:val="18"/>
      <w:szCs w:val="18"/>
    </w:rPr>
  </w:style>
  <w:style w:type="paragraph" w:styleId="21">
    <w:name w:val="footer"/>
    <w:basedOn w:val="1"/>
    <w:link w:val="53"/>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uiPriority w:val="0"/>
    <w:pP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Normal (Web)"/>
    <w:basedOn w:val="1"/>
    <w:link w:val="5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25">
    <w:name w:val="annotation subject"/>
    <w:basedOn w:val="15"/>
    <w:next w:val="15"/>
    <w:link w:val="74"/>
    <w:semiHidden/>
    <w:qFormat/>
    <w:uiPriority w:val="0"/>
    <w:rPr>
      <w:b/>
      <w:bCs/>
    </w:rPr>
  </w:style>
  <w:style w:type="paragraph" w:styleId="26">
    <w:name w:val="Body Text First Indent"/>
    <w:basedOn w:val="16"/>
    <w:next w:val="1"/>
    <w:link w:val="75"/>
    <w:qFormat/>
    <w:uiPriority w:val="0"/>
    <w:pPr>
      <w:widowControl w:val="0"/>
      <w:snapToGrid/>
      <w:spacing w:before="0" w:after="120" w:line="240" w:lineRule="auto"/>
      <w:ind w:right="0" w:firstLine="420" w:firstLineChars="100"/>
    </w:pPr>
    <w:rPr>
      <w:rFonts w:ascii="Calibri" w:hAnsi="Calibri"/>
      <w:kern w:val="2"/>
      <w:sz w:val="21"/>
      <w:szCs w:val="24"/>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uiPriority w:val="0"/>
    <w:rPr>
      <w:b/>
    </w:rPr>
  </w:style>
  <w:style w:type="character" w:styleId="31">
    <w:name w:val="page number"/>
    <w:basedOn w:val="29"/>
    <w:uiPriority w:val="0"/>
  </w:style>
  <w:style w:type="character" w:styleId="32">
    <w:name w:val="Hyperlink"/>
    <w:basedOn w:val="29"/>
    <w:unhideWhenUsed/>
    <w:qFormat/>
    <w:uiPriority w:val="99"/>
    <w:rPr>
      <w:color w:val="0563C1" w:themeColor="hyperlink"/>
      <w:u w:val="single"/>
    </w:rPr>
  </w:style>
  <w:style w:type="character" w:styleId="33">
    <w:name w:val="annotation reference"/>
    <w:basedOn w:val="29"/>
    <w:semiHidden/>
    <w:qFormat/>
    <w:uiPriority w:val="0"/>
    <w:rPr>
      <w:sz w:val="21"/>
    </w:rPr>
  </w:style>
  <w:style w:type="paragraph" w:customStyle="1" w:styleId="34">
    <w:name w:val="正文-易恒"/>
    <w:basedOn w:val="1"/>
    <w:link w:val="35"/>
    <w:qFormat/>
    <w:uiPriority w:val="0"/>
    <w:pPr>
      <w:spacing w:line="360" w:lineRule="auto"/>
      <w:ind w:firstLine="200" w:firstLineChars="200"/>
    </w:pPr>
    <w:rPr>
      <w:rFonts w:ascii="Times New Roman" w:hAnsi="Times New Roman" w:eastAsia="宋体" w:cs="Times New Roman"/>
      <w:sz w:val="24"/>
      <w:szCs w:val="24"/>
    </w:rPr>
  </w:style>
  <w:style w:type="character" w:customStyle="1" w:styleId="35">
    <w:name w:val="正文-易恒 字符"/>
    <w:basedOn w:val="29"/>
    <w:link w:val="34"/>
    <w:uiPriority w:val="0"/>
    <w:rPr>
      <w:rFonts w:ascii="Times New Roman" w:hAnsi="Times New Roman" w:eastAsia="宋体" w:cs="Times New Roman"/>
      <w:sz w:val="24"/>
      <w:szCs w:val="24"/>
    </w:rPr>
  </w:style>
  <w:style w:type="paragraph" w:customStyle="1" w:styleId="36">
    <w:name w:val="标题1-易恒"/>
    <w:basedOn w:val="2"/>
    <w:next w:val="34"/>
    <w:link w:val="37"/>
    <w:qFormat/>
    <w:uiPriority w:val="0"/>
    <w:pPr>
      <w:spacing w:before="0" w:after="0" w:line="360" w:lineRule="auto"/>
    </w:pPr>
    <w:rPr>
      <w:rFonts w:ascii="Times New Roman" w:hAnsi="Times New Roman" w:eastAsia="宋体"/>
      <w:sz w:val="28"/>
    </w:rPr>
  </w:style>
  <w:style w:type="character" w:customStyle="1" w:styleId="37">
    <w:name w:val="标题1-易恒 字符"/>
    <w:basedOn w:val="38"/>
    <w:link w:val="36"/>
    <w:qFormat/>
    <w:uiPriority w:val="0"/>
    <w:rPr>
      <w:rFonts w:ascii="Times New Roman" w:hAnsi="Times New Roman" w:eastAsia="宋体"/>
      <w:kern w:val="44"/>
      <w:sz w:val="28"/>
      <w:szCs w:val="44"/>
    </w:rPr>
  </w:style>
  <w:style w:type="character" w:customStyle="1" w:styleId="38">
    <w:name w:val="标题 1 字符"/>
    <w:basedOn w:val="29"/>
    <w:link w:val="2"/>
    <w:qFormat/>
    <w:uiPriority w:val="0"/>
    <w:rPr>
      <w:b/>
      <w:bCs/>
      <w:kern w:val="44"/>
      <w:sz w:val="44"/>
      <w:szCs w:val="44"/>
    </w:rPr>
  </w:style>
  <w:style w:type="paragraph" w:customStyle="1" w:styleId="39">
    <w:name w:val="表头-易恒"/>
    <w:basedOn w:val="34"/>
    <w:next w:val="34"/>
    <w:link w:val="40"/>
    <w:qFormat/>
    <w:uiPriority w:val="0"/>
    <w:pPr>
      <w:spacing w:before="50" w:beforeLines="50" w:line="240" w:lineRule="auto"/>
      <w:ind w:firstLine="0" w:firstLineChars="0"/>
      <w:jc w:val="center"/>
    </w:pPr>
    <w:rPr>
      <w:b/>
    </w:rPr>
  </w:style>
  <w:style w:type="character" w:customStyle="1" w:styleId="40">
    <w:name w:val="表头-易恒 字符"/>
    <w:basedOn w:val="35"/>
    <w:link w:val="39"/>
    <w:uiPriority w:val="0"/>
    <w:rPr>
      <w:rFonts w:ascii="Times New Roman" w:hAnsi="Times New Roman" w:eastAsia="宋体" w:cs="Times New Roman"/>
      <w:b/>
      <w:sz w:val="24"/>
      <w:szCs w:val="24"/>
    </w:rPr>
  </w:style>
  <w:style w:type="paragraph" w:customStyle="1" w:styleId="41">
    <w:name w:val="表格-易恒"/>
    <w:basedOn w:val="34"/>
    <w:link w:val="42"/>
    <w:uiPriority w:val="1"/>
    <w:pPr>
      <w:spacing w:line="240" w:lineRule="auto"/>
      <w:ind w:firstLine="0" w:firstLineChars="0"/>
      <w:jc w:val="center"/>
    </w:pPr>
    <w:rPr>
      <w:sz w:val="21"/>
    </w:rPr>
  </w:style>
  <w:style w:type="character" w:customStyle="1" w:styleId="42">
    <w:name w:val="表格-易恒 字符"/>
    <w:basedOn w:val="35"/>
    <w:link w:val="41"/>
    <w:qFormat/>
    <w:uiPriority w:val="1"/>
    <w:rPr>
      <w:rFonts w:ascii="Times New Roman" w:hAnsi="Times New Roman" w:eastAsia="宋体" w:cs="Times New Roman"/>
      <w:sz w:val="24"/>
      <w:szCs w:val="24"/>
    </w:rPr>
  </w:style>
  <w:style w:type="paragraph" w:customStyle="1" w:styleId="43">
    <w:name w:val="标题3-易恒"/>
    <w:basedOn w:val="4"/>
    <w:next w:val="34"/>
    <w:link w:val="44"/>
    <w:qFormat/>
    <w:uiPriority w:val="0"/>
    <w:pPr>
      <w:spacing w:before="0" w:after="0" w:line="360" w:lineRule="auto"/>
    </w:pPr>
    <w:rPr>
      <w:rFonts w:ascii="Times New Roman" w:hAnsi="Times New Roman" w:eastAsia="宋体"/>
      <w:sz w:val="24"/>
    </w:rPr>
  </w:style>
  <w:style w:type="character" w:customStyle="1" w:styleId="44">
    <w:name w:val="标题3-易恒 字符"/>
    <w:basedOn w:val="45"/>
    <w:link w:val="43"/>
    <w:qFormat/>
    <w:uiPriority w:val="0"/>
    <w:rPr>
      <w:rFonts w:ascii="Times New Roman" w:hAnsi="Times New Roman" w:eastAsia="宋体"/>
      <w:sz w:val="24"/>
      <w:szCs w:val="32"/>
    </w:rPr>
  </w:style>
  <w:style w:type="character" w:customStyle="1" w:styleId="45">
    <w:name w:val="标题 3 字符"/>
    <w:basedOn w:val="29"/>
    <w:link w:val="4"/>
    <w:uiPriority w:val="9"/>
    <w:rPr>
      <w:b/>
      <w:bCs/>
      <w:sz w:val="32"/>
      <w:szCs w:val="32"/>
    </w:rPr>
  </w:style>
  <w:style w:type="paragraph" w:customStyle="1" w:styleId="46">
    <w:name w:val="标题2-易恒"/>
    <w:basedOn w:val="3"/>
    <w:next w:val="34"/>
    <w:link w:val="47"/>
    <w:qFormat/>
    <w:uiPriority w:val="0"/>
    <w:pPr>
      <w:spacing w:before="0" w:after="0" w:line="360" w:lineRule="auto"/>
    </w:pPr>
    <w:rPr>
      <w:rFonts w:ascii="Times New Roman" w:hAnsi="Times New Roman" w:eastAsia="宋体"/>
      <w:sz w:val="24"/>
    </w:rPr>
  </w:style>
  <w:style w:type="character" w:customStyle="1" w:styleId="47">
    <w:name w:val="标题2-易恒 字符"/>
    <w:basedOn w:val="48"/>
    <w:link w:val="46"/>
    <w:uiPriority w:val="0"/>
    <w:rPr>
      <w:rFonts w:ascii="Times New Roman" w:hAnsi="Times New Roman" w:eastAsia="宋体" w:cstheme="majorBidi"/>
      <w:sz w:val="24"/>
      <w:szCs w:val="32"/>
    </w:rPr>
  </w:style>
  <w:style w:type="character" w:customStyle="1" w:styleId="48">
    <w:name w:val="标题 2 字符"/>
    <w:basedOn w:val="29"/>
    <w:link w:val="3"/>
    <w:semiHidden/>
    <w:qFormat/>
    <w:uiPriority w:val="9"/>
    <w:rPr>
      <w:rFonts w:asciiTheme="majorHAnsi" w:hAnsiTheme="majorHAnsi" w:eastAsiaTheme="majorEastAsia" w:cstheme="majorBidi"/>
      <w:b/>
      <w:bCs/>
      <w:sz w:val="32"/>
      <w:szCs w:val="32"/>
    </w:rPr>
  </w:style>
  <w:style w:type="paragraph" w:customStyle="1" w:styleId="49">
    <w:name w:val="标题4-易恒"/>
    <w:basedOn w:val="5"/>
    <w:next w:val="34"/>
    <w:link w:val="50"/>
    <w:qFormat/>
    <w:uiPriority w:val="0"/>
    <w:pPr>
      <w:spacing w:before="0" w:after="0" w:line="360" w:lineRule="auto"/>
    </w:pPr>
    <w:rPr>
      <w:rFonts w:ascii="Times New Roman" w:hAnsi="Times New Roman" w:eastAsia="宋体"/>
      <w:sz w:val="24"/>
    </w:rPr>
  </w:style>
  <w:style w:type="character" w:customStyle="1" w:styleId="50">
    <w:name w:val="标题4-易恒 字符"/>
    <w:basedOn w:val="51"/>
    <w:link w:val="49"/>
    <w:uiPriority w:val="0"/>
    <w:rPr>
      <w:rFonts w:ascii="Times New Roman" w:hAnsi="Times New Roman" w:eastAsia="宋体" w:cstheme="majorBidi"/>
      <w:sz w:val="24"/>
      <w:szCs w:val="28"/>
    </w:rPr>
  </w:style>
  <w:style w:type="character" w:customStyle="1" w:styleId="51">
    <w:name w:val="标题 4 字符"/>
    <w:basedOn w:val="29"/>
    <w:link w:val="5"/>
    <w:semiHidden/>
    <w:qFormat/>
    <w:uiPriority w:val="9"/>
    <w:rPr>
      <w:rFonts w:asciiTheme="majorHAnsi" w:hAnsiTheme="majorHAnsi" w:eastAsiaTheme="majorEastAsia" w:cstheme="majorBidi"/>
      <w:b/>
      <w:bCs/>
      <w:sz w:val="28"/>
      <w:szCs w:val="28"/>
    </w:rPr>
  </w:style>
  <w:style w:type="character" w:customStyle="1" w:styleId="52">
    <w:name w:val="页眉 字符"/>
    <w:basedOn w:val="29"/>
    <w:link w:val="22"/>
    <w:qFormat/>
    <w:uiPriority w:val="0"/>
    <w:rPr>
      <w:sz w:val="18"/>
      <w:szCs w:val="18"/>
    </w:rPr>
  </w:style>
  <w:style w:type="character" w:customStyle="1" w:styleId="53">
    <w:name w:val="页脚 字符"/>
    <w:basedOn w:val="29"/>
    <w:link w:val="21"/>
    <w:qFormat/>
    <w:uiPriority w:val="99"/>
    <w:rPr>
      <w:sz w:val="18"/>
      <w:szCs w:val="18"/>
    </w:rPr>
  </w:style>
  <w:style w:type="character" w:customStyle="1" w:styleId="54">
    <w:name w:val="普通(网站) 字符"/>
    <w:link w:val="24"/>
    <w:qFormat/>
    <w:locked/>
    <w:uiPriority w:val="0"/>
    <w:rPr>
      <w:rFonts w:ascii="宋体" w:hAnsi="宋体" w:eastAsia="宋体" w:cs="Times New Roman"/>
      <w:kern w:val="0"/>
      <w:sz w:val="24"/>
      <w:szCs w:val="24"/>
    </w:rPr>
  </w:style>
  <w:style w:type="character" w:customStyle="1" w:styleId="55">
    <w:name w:val="正文文本 字符"/>
    <w:basedOn w:val="29"/>
    <w:link w:val="16"/>
    <w:qFormat/>
    <w:uiPriority w:val="0"/>
    <w:rPr>
      <w:rFonts w:ascii="Times New Roman" w:hAnsi="Times New Roman" w:eastAsia="宋体" w:cs="Times New Roman"/>
      <w:kern w:val="0"/>
      <w:sz w:val="18"/>
      <w:szCs w:val="20"/>
    </w:rPr>
  </w:style>
  <w:style w:type="character" w:customStyle="1" w:styleId="56">
    <w:name w:val="纯文本 字符"/>
    <w:basedOn w:val="29"/>
    <w:link w:val="17"/>
    <w:qFormat/>
    <w:uiPriority w:val="0"/>
    <w:rPr>
      <w:rFonts w:ascii="宋体" w:hAnsi="Courier New" w:eastAsia="宋体" w:cs="Courier New"/>
      <w:szCs w:val="21"/>
    </w:rPr>
  </w:style>
  <w:style w:type="character" w:customStyle="1" w:styleId="57">
    <w:name w:val="正文缩进 字符"/>
    <w:link w:val="12"/>
    <w:qFormat/>
    <w:uiPriority w:val="0"/>
    <w:rPr>
      <w:rFonts w:ascii="Times New Roman" w:hAnsi="Times New Roman" w:eastAsia="宋体" w:cs="Times New Roman"/>
      <w:sz w:val="28"/>
      <w:szCs w:val="20"/>
    </w:rPr>
  </w:style>
  <w:style w:type="paragraph" w:customStyle="1" w:styleId="58">
    <w:name w:val="样式6"/>
    <w:basedOn w:val="1"/>
    <w:qFormat/>
    <w:uiPriority w:val="0"/>
    <w:rPr>
      <w:rFonts w:ascii="黑体" w:hAnsi="Times New Roman" w:eastAsia="黑体" w:cs="Times New Roman"/>
      <w:szCs w:val="21"/>
    </w:rPr>
  </w:style>
  <w:style w:type="paragraph" w:customStyle="1" w:styleId="59">
    <w:name w:val="表格文字"/>
    <w:next w:val="1"/>
    <w:link w:val="68"/>
    <w:uiPriority w:val="0"/>
    <w:pPr>
      <w:snapToGrid w:val="0"/>
      <w:jc w:val="center"/>
    </w:pPr>
    <w:rPr>
      <w:rFonts w:ascii="Times New Roman" w:hAnsi="Times New Roman" w:eastAsia="宋体" w:cs="Times New Roman"/>
      <w:kern w:val="44"/>
      <w:sz w:val="21"/>
      <w:lang w:val="en-US" w:eastAsia="zh-CN" w:bidi="ar-SA"/>
    </w:rPr>
  </w:style>
  <w:style w:type="character" w:customStyle="1" w:styleId="60">
    <w:name w:val="正文文本缩进 字符"/>
    <w:basedOn w:val="29"/>
    <w:link w:val="14"/>
    <w:semiHidden/>
    <w:qFormat/>
    <w:uiPriority w:val="0"/>
  </w:style>
  <w:style w:type="character" w:customStyle="1" w:styleId="61">
    <w:name w:val="正文文本首行缩进 2 字符"/>
    <w:basedOn w:val="60"/>
    <w:link w:val="13"/>
    <w:semiHidden/>
    <w:qFormat/>
    <w:uiPriority w:val="99"/>
  </w:style>
  <w:style w:type="character" w:customStyle="1" w:styleId="62">
    <w:name w:val="标题 5 字符"/>
    <w:basedOn w:val="29"/>
    <w:link w:val="6"/>
    <w:uiPriority w:val="0"/>
    <w:rPr>
      <w:rFonts w:ascii="Times New Roman" w:hAnsi="Times New Roman" w:eastAsia="宋体" w:cs="Times New Roman"/>
      <w:b/>
      <w:sz w:val="28"/>
      <w:szCs w:val="21"/>
    </w:rPr>
  </w:style>
  <w:style w:type="character" w:customStyle="1" w:styleId="63">
    <w:name w:val="标题 6 字符"/>
    <w:basedOn w:val="29"/>
    <w:link w:val="7"/>
    <w:uiPriority w:val="0"/>
    <w:rPr>
      <w:rFonts w:ascii="Arial" w:hAnsi="Arial" w:eastAsia="黑体" w:cs="Times New Roman"/>
      <w:b/>
      <w:sz w:val="24"/>
      <w:szCs w:val="21"/>
    </w:rPr>
  </w:style>
  <w:style w:type="character" w:customStyle="1" w:styleId="64">
    <w:name w:val="标题 7 字符"/>
    <w:basedOn w:val="29"/>
    <w:link w:val="8"/>
    <w:uiPriority w:val="0"/>
    <w:rPr>
      <w:rFonts w:ascii="Times New Roman" w:hAnsi="Times New Roman" w:eastAsia="宋体" w:cs="Times New Roman"/>
      <w:b/>
      <w:sz w:val="24"/>
      <w:szCs w:val="21"/>
    </w:rPr>
  </w:style>
  <w:style w:type="character" w:customStyle="1" w:styleId="65">
    <w:name w:val="标题 8 字符"/>
    <w:basedOn w:val="29"/>
    <w:link w:val="9"/>
    <w:uiPriority w:val="0"/>
    <w:rPr>
      <w:rFonts w:ascii="Arial" w:hAnsi="Arial" w:eastAsia="黑体" w:cs="Times New Roman"/>
      <w:sz w:val="24"/>
      <w:szCs w:val="21"/>
    </w:rPr>
  </w:style>
  <w:style w:type="character" w:customStyle="1" w:styleId="66">
    <w:name w:val="标题 9 字符"/>
    <w:basedOn w:val="29"/>
    <w:link w:val="10"/>
    <w:uiPriority w:val="0"/>
    <w:rPr>
      <w:rFonts w:ascii="Arial" w:hAnsi="Arial" w:eastAsia="黑体" w:cs="Times New Roman"/>
      <w:szCs w:val="21"/>
    </w:rPr>
  </w:style>
  <w:style w:type="paragraph" w:customStyle="1" w:styleId="67">
    <w:name w:val="1正文"/>
    <w:basedOn w:val="1"/>
    <w:uiPriority w:val="0"/>
    <w:pPr>
      <w:spacing w:line="360" w:lineRule="auto"/>
      <w:ind w:firstLine="198" w:firstLineChars="200"/>
    </w:pPr>
    <w:rPr>
      <w:rFonts w:ascii="Times New Roman" w:hAnsi="Times New Roman" w:eastAsia="宋体" w:cs="Times New Roman"/>
      <w:sz w:val="24"/>
      <w:szCs w:val="21"/>
    </w:rPr>
  </w:style>
  <w:style w:type="character" w:customStyle="1" w:styleId="68">
    <w:name w:val="表格文字 Char Char"/>
    <w:link w:val="59"/>
    <w:qFormat/>
    <w:locked/>
    <w:uiPriority w:val="0"/>
    <w:rPr>
      <w:rFonts w:ascii="Times New Roman" w:hAnsi="Times New Roman" w:eastAsia="宋体" w:cs="Times New Roman"/>
      <w:kern w:val="44"/>
      <w:szCs w:val="20"/>
    </w:rPr>
  </w:style>
  <w:style w:type="paragraph" w:customStyle="1" w:styleId="69">
    <w:name w:val="样式 样式 首行缩进:  2 字符1 + 首行缩进:  2 字符"/>
    <w:basedOn w:val="1"/>
    <w:uiPriority w:val="0"/>
    <w:pPr>
      <w:tabs>
        <w:tab w:val="left" w:pos="720"/>
      </w:tabs>
      <w:spacing w:line="360" w:lineRule="auto"/>
    </w:pPr>
    <w:rPr>
      <w:rFonts w:ascii="宋体" w:hAnsi="宋体" w:eastAsia="宋体" w:cs="宋体"/>
      <w:color w:val="000000"/>
      <w:szCs w:val="24"/>
    </w:rPr>
  </w:style>
  <w:style w:type="character" w:customStyle="1" w:styleId="70">
    <w:name w:val="批注文字 字符"/>
    <w:basedOn w:val="29"/>
    <w:link w:val="15"/>
    <w:semiHidden/>
    <w:qFormat/>
    <w:uiPriority w:val="0"/>
    <w:rPr>
      <w:rFonts w:ascii="Times New Roman" w:hAnsi="Times New Roman" w:eastAsia="宋体" w:cs="Times New Roman"/>
      <w:kern w:val="0"/>
      <w:sz w:val="24"/>
      <w:szCs w:val="20"/>
    </w:rPr>
  </w:style>
  <w:style w:type="character" w:customStyle="1" w:styleId="71">
    <w:name w:val="日期 字符"/>
    <w:basedOn w:val="29"/>
    <w:semiHidden/>
    <w:qFormat/>
    <w:uiPriority w:val="0"/>
  </w:style>
  <w:style w:type="character" w:customStyle="1" w:styleId="72">
    <w:name w:val="正文文本缩进 2 字符"/>
    <w:basedOn w:val="29"/>
    <w:link w:val="19"/>
    <w:uiPriority w:val="0"/>
    <w:rPr>
      <w:rFonts w:ascii="仿宋_GB2312" w:hAnsi="Calibri" w:eastAsia="仿宋_GB2312" w:cs="Times New Roman"/>
      <w:szCs w:val="24"/>
    </w:rPr>
  </w:style>
  <w:style w:type="character" w:customStyle="1" w:styleId="73">
    <w:name w:val="批注框文本 字符"/>
    <w:basedOn w:val="29"/>
    <w:link w:val="20"/>
    <w:semiHidden/>
    <w:qFormat/>
    <w:uiPriority w:val="0"/>
    <w:rPr>
      <w:rFonts w:ascii="Calibri" w:hAnsi="Calibri" w:eastAsia="宋体" w:cs="Times New Roman"/>
      <w:sz w:val="18"/>
      <w:szCs w:val="18"/>
    </w:rPr>
  </w:style>
  <w:style w:type="character" w:customStyle="1" w:styleId="74">
    <w:name w:val="批注主题 字符"/>
    <w:basedOn w:val="70"/>
    <w:link w:val="25"/>
    <w:semiHidden/>
    <w:qFormat/>
    <w:uiPriority w:val="0"/>
    <w:rPr>
      <w:rFonts w:ascii="Times New Roman" w:hAnsi="Times New Roman" w:eastAsia="宋体" w:cs="Times New Roman"/>
      <w:b/>
      <w:bCs/>
      <w:kern w:val="0"/>
      <w:sz w:val="24"/>
      <w:szCs w:val="20"/>
    </w:rPr>
  </w:style>
  <w:style w:type="character" w:customStyle="1" w:styleId="75">
    <w:name w:val="正文文本首行缩进 字符"/>
    <w:basedOn w:val="55"/>
    <w:link w:val="26"/>
    <w:qFormat/>
    <w:uiPriority w:val="0"/>
    <w:rPr>
      <w:rFonts w:ascii="Calibri" w:hAnsi="Calibri" w:eastAsia="宋体" w:cs="Times New Roman"/>
      <w:kern w:val="0"/>
      <w:sz w:val="18"/>
      <w:szCs w:val="24"/>
    </w:rPr>
  </w:style>
  <w:style w:type="paragraph" w:customStyle="1" w:styleId="76">
    <w:name w:val="Default2"/>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77">
    <w:name w:val="正文首行缩进1"/>
    <w:basedOn w:val="1"/>
    <w:uiPriority w:val="99"/>
    <w:pPr>
      <w:spacing w:after="120"/>
      <w:ind w:firstLine="420" w:firstLineChars="100"/>
    </w:pPr>
    <w:rPr>
      <w:rFonts w:ascii="Calibri" w:hAnsi="Calibri" w:eastAsia="宋体" w:cs="Times New Roman"/>
      <w:szCs w:val="24"/>
    </w:rPr>
  </w:style>
  <w:style w:type="paragraph" w:customStyle="1" w:styleId="78">
    <w:name w:val="xl27"/>
    <w:basedOn w:val="11"/>
    <w:next w:val="19"/>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79">
    <w:name w:val="lh-正文-报告表"/>
    <w:basedOn w:val="1"/>
    <w:uiPriority w:val="0"/>
    <w:pPr>
      <w:spacing w:line="360" w:lineRule="auto"/>
      <w:ind w:firstLine="480" w:firstLineChars="200"/>
    </w:pPr>
    <w:rPr>
      <w:rFonts w:ascii="Times New Roman" w:hAnsi="Times New Roman" w:eastAsia="宋体" w:cs="Times New Roman"/>
      <w:kern w:val="0"/>
      <w:sz w:val="24"/>
      <w:szCs w:val="24"/>
    </w:rPr>
  </w:style>
  <w:style w:type="character" w:customStyle="1" w:styleId="80">
    <w:name w:val="正文文本 字符1"/>
    <w:basedOn w:val="29"/>
    <w:semiHidden/>
    <w:qFormat/>
    <w:uiPriority w:val="0"/>
    <w:rPr>
      <w:rFonts w:ascii="Times New Roman" w:hAnsi="Times New Roman" w:eastAsia="宋体" w:cs="Times New Roman"/>
      <w:sz w:val="24"/>
      <w:szCs w:val="24"/>
    </w:rPr>
  </w:style>
  <w:style w:type="character" w:customStyle="1" w:styleId="81">
    <w:name w:val="表格 Char"/>
    <w:link w:val="82"/>
    <w:qFormat/>
    <w:locked/>
    <w:uiPriority w:val="0"/>
    <w:rPr>
      <w:rFonts w:ascii="宋体"/>
    </w:rPr>
  </w:style>
  <w:style w:type="paragraph" w:customStyle="1" w:styleId="82">
    <w:name w:val="表格"/>
    <w:basedOn w:val="1"/>
    <w:next w:val="1"/>
    <w:link w:val="81"/>
    <w:uiPriority w:val="0"/>
    <w:pPr>
      <w:adjustRightInd w:val="0"/>
      <w:snapToGrid w:val="0"/>
      <w:spacing w:beforeLines="10" w:afterLines="10" w:line="259" w:lineRule="auto"/>
      <w:jc w:val="center"/>
    </w:pPr>
    <w:rPr>
      <w:rFonts w:ascii="宋体"/>
    </w:rPr>
  </w:style>
  <w:style w:type="character" w:customStyle="1" w:styleId="83">
    <w:name w:val="日期 字符1"/>
    <w:link w:val="18"/>
    <w:qFormat/>
    <w:locked/>
    <w:uiPriority w:val="0"/>
    <w:rPr>
      <w:rFonts w:ascii="Times New Roman" w:hAnsi="Times New Roman" w:eastAsia="宋体" w:cs="Times New Roman"/>
      <w:kern w:val="0"/>
      <w:sz w:val="24"/>
      <w:szCs w:val="20"/>
    </w:rPr>
  </w:style>
  <w:style w:type="character" w:customStyle="1" w:styleId="84">
    <w:name w:val="普通(网站) Char"/>
    <w:locked/>
    <w:uiPriority w:val="0"/>
    <w:rPr>
      <w:rFonts w:ascii="宋体" w:hAnsi="宋体" w:eastAsia="宋体"/>
      <w:sz w:val="24"/>
    </w:rPr>
  </w:style>
  <w:style w:type="character" w:customStyle="1" w:styleId="85">
    <w:name w:val="批注文字 字符1"/>
    <w:basedOn w:val="29"/>
    <w:semiHidden/>
    <w:qFormat/>
    <w:uiPriority w:val="0"/>
    <w:rPr>
      <w:rFonts w:ascii="Times New Roman" w:hAnsi="Times New Roman" w:eastAsia="宋体" w:cs="Times New Roman"/>
      <w:sz w:val="24"/>
      <w:szCs w:val="24"/>
    </w:rPr>
  </w:style>
  <w:style w:type="paragraph" w:customStyle="1" w:styleId="86">
    <w:name w:val="普通(网站)1"/>
    <w:basedOn w:val="1"/>
    <w:uiPriority w:val="0"/>
    <w:pPr>
      <w:widowControl/>
      <w:spacing w:before="100" w:beforeAutospacing="1" w:after="100" w:afterAutospacing="1"/>
      <w:jc w:val="left"/>
    </w:pPr>
    <w:rPr>
      <w:rFonts w:hint="eastAsia" w:ascii="宋体" w:hAnsi="宋体" w:eastAsia="宋体" w:cs="Times New Roman"/>
      <w:sz w:val="24"/>
      <w:szCs w:val="20"/>
    </w:rPr>
  </w:style>
  <w:style w:type="paragraph" w:customStyle="1" w:styleId="87">
    <w:name w:val="普通(网站)2"/>
    <w:basedOn w:val="1"/>
    <w:uiPriority w:val="0"/>
    <w:pPr>
      <w:widowControl/>
      <w:spacing w:before="100" w:beforeAutospacing="1" w:after="100" w:afterAutospacing="1"/>
      <w:jc w:val="left"/>
    </w:pPr>
    <w:rPr>
      <w:rFonts w:ascii="宋体" w:hAnsi="宋体" w:eastAsia="宋体" w:cs="Times New Roman"/>
      <w:sz w:val="24"/>
      <w:szCs w:val="20"/>
    </w:rPr>
  </w:style>
  <w:style w:type="paragraph" w:customStyle="1" w:styleId="88">
    <w:name w:val="表头"/>
    <w:basedOn w:val="1"/>
    <w:uiPriority w:val="0"/>
    <w:pPr>
      <w:spacing w:before="120" w:after="120" w:line="360" w:lineRule="auto"/>
      <w:ind w:firstLine="425"/>
      <w:jc w:val="center"/>
    </w:pPr>
    <w:rPr>
      <w:rFonts w:ascii="Calibri" w:hAnsi="Calibri" w:eastAsia="楷体_GB2312" w:cs="Times New Roman"/>
      <w:sz w:val="24"/>
      <w:szCs w:val="20"/>
    </w:rPr>
  </w:style>
  <w:style w:type="paragraph" w:customStyle="1" w:styleId="89">
    <w:name w:val="表格内容"/>
    <w:basedOn w:val="1"/>
    <w:link w:val="92"/>
    <w:uiPriority w:val="0"/>
    <w:pPr>
      <w:widowControl/>
      <w:jc w:val="center"/>
    </w:pPr>
    <w:rPr>
      <w:rFonts w:ascii="Calibri" w:hAnsi="Calibri" w:eastAsia="宋体" w:cs="宋体"/>
      <w:kern w:val="0"/>
      <w:szCs w:val="20"/>
    </w:rPr>
  </w:style>
  <w:style w:type="paragraph" w:customStyle="1" w:styleId="90">
    <w:name w:val="表文字"/>
    <w:basedOn w:val="1"/>
    <w:uiPriority w:val="0"/>
    <w:pPr>
      <w:overflowPunct w:val="0"/>
      <w:autoSpaceDE w:val="0"/>
      <w:autoSpaceDN w:val="0"/>
      <w:adjustRightInd w:val="0"/>
      <w:spacing w:line="240" w:lineRule="atLeast"/>
      <w:jc w:val="center"/>
      <w:textAlignment w:val="baseline"/>
    </w:pPr>
    <w:rPr>
      <w:rFonts w:ascii="Calibri" w:hAnsi="Calibri" w:eastAsia="宋体" w:cs="Times New Roman"/>
      <w:kern w:val="0"/>
      <w:sz w:val="24"/>
      <w:szCs w:val="24"/>
    </w:rPr>
  </w:style>
  <w:style w:type="paragraph" w:customStyle="1" w:styleId="91">
    <w:name w:val="表字居中"/>
    <w:basedOn w:val="1"/>
    <w:uiPriority w:val="0"/>
    <w:pPr>
      <w:spacing w:line="400" w:lineRule="exact"/>
      <w:jc w:val="center"/>
    </w:pPr>
    <w:rPr>
      <w:rFonts w:ascii="Times New Roman" w:hAnsi="Times New Roman" w:eastAsia="宋体" w:cs="Times New Roman"/>
      <w:szCs w:val="21"/>
    </w:rPr>
  </w:style>
  <w:style w:type="character" w:customStyle="1" w:styleId="92">
    <w:name w:val="表格内容 Char"/>
    <w:basedOn w:val="29"/>
    <w:link w:val="89"/>
    <w:qFormat/>
    <w:uiPriority w:val="0"/>
    <w:rPr>
      <w:rFonts w:ascii="Calibri" w:hAnsi="Calibri" w:eastAsia="宋体" w:cs="宋体"/>
      <w:kern w:val="0"/>
      <w:szCs w:val="20"/>
    </w:rPr>
  </w:style>
  <w:style w:type="character" w:customStyle="1" w:styleId="93">
    <w:name w:val="表字体 Char"/>
    <w:link w:val="94"/>
    <w:qFormat/>
    <w:uiPriority w:val="0"/>
    <w:rPr>
      <w:rFonts w:ascii="Times New Roman" w:hAnsi="Times New Roman"/>
    </w:rPr>
  </w:style>
  <w:style w:type="paragraph" w:customStyle="1" w:styleId="94">
    <w:name w:val="表字体"/>
    <w:basedOn w:val="1"/>
    <w:next w:val="1"/>
    <w:link w:val="93"/>
    <w:uiPriority w:val="0"/>
    <w:pPr>
      <w:jc w:val="center"/>
    </w:pPr>
    <w:rPr>
      <w:rFonts w:ascii="Times New Roman" w:hAnsi="Times New Roman"/>
    </w:rPr>
  </w:style>
  <w:style w:type="paragraph" w:customStyle="1" w:styleId="95">
    <w:name w:val="Table Paragraph"/>
    <w:basedOn w:val="1"/>
    <w:uiPriority w:val="1"/>
    <w:pPr>
      <w:widowControl/>
      <w:jc w:val="left"/>
    </w:pPr>
    <w:rPr>
      <w:rFonts w:ascii="Calibri" w:hAnsi="Calibri" w:eastAsia="宋体" w:cs="宋体"/>
      <w:kern w:val="0"/>
      <w:sz w:val="22"/>
    </w:rPr>
  </w:style>
  <w:style w:type="paragraph" w:customStyle="1" w:styleId="96">
    <w:name w:val="Char Char Char Char Char Char Char Char Char Char"/>
    <w:basedOn w:val="1"/>
    <w:uiPriority w:val="0"/>
    <w:pPr>
      <w:widowControl/>
      <w:spacing w:after="160" w:line="240" w:lineRule="exact"/>
      <w:jc w:val="left"/>
    </w:pPr>
    <w:rPr>
      <w:rFonts w:ascii="Times New Roman" w:hAnsi="Times New Roman" w:eastAsia="宋体" w:cs="Times New Roman"/>
      <w:szCs w:val="24"/>
    </w:rPr>
  </w:style>
  <w:style w:type="character" w:customStyle="1" w:styleId="97">
    <w:name w:val="正文首行缩进 Char"/>
    <w:basedOn w:val="55"/>
    <w:uiPriority w:val="0"/>
    <w:rPr>
      <w:rFonts w:ascii="Times New Roman" w:hAnsi="Times New Roman" w:eastAsia="宋体" w:cs="Times New Roman"/>
      <w:kern w:val="2"/>
      <w:sz w:val="21"/>
      <w:szCs w:val="24"/>
    </w:rPr>
  </w:style>
  <w:style w:type="paragraph" w:customStyle="1" w:styleId="98">
    <w:name w:val="正文001"/>
    <w:basedOn w:val="1"/>
    <w:uiPriority w:val="0"/>
    <w:pPr>
      <w:spacing w:before="60" w:line="460" w:lineRule="exact"/>
      <w:ind w:firstLine="482"/>
    </w:pPr>
    <w:rPr>
      <w:rFonts w:ascii="Times New Roman" w:hAnsi="Times New Roman" w:eastAsia="宋体" w:cs="Times New Roman"/>
      <w:sz w:val="24"/>
      <w:szCs w:val="20"/>
    </w:rPr>
  </w:style>
  <w:style w:type="paragraph" w:customStyle="1" w:styleId="99">
    <w:name w:val="标题003"/>
    <w:basedOn w:val="1"/>
    <w:uiPriority w:val="0"/>
    <w:pPr>
      <w:spacing w:before="120" w:line="440" w:lineRule="exact"/>
      <w:outlineLvl w:val="2"/>
    </w:pPr>
    <w:rPr>
      <w:rFonts w:ascii="Times New Roman" w:hAnsi="Times New Roman" w:eastAsia="宋体" w:cs="Times New Roman"/>
      <w:b/>
      <w:sz w:val="27"/>
      <w:szCs w:val="20"/>
    </w:rPr>
  </w:style>
  <w:style w:type="character" w:customStyle="1" w:styleId="100">
    <w:name w:val="正文1 Char"/>
    <w:link w:val="101"/>
    <w:qFormat/>
    <w:locked/>
    <w:uiPriority w:val="0"/>
    <w:rPr>
      <w:sz w:val="24"/>
    </w:rPr>
  </w:style>
  <w:style w:type="paragraph" w:customStyle="1" w:styleId="101">
    <w:name w:val="正文1"/>
    <w:basedOn w:val="1"/>
    <w:link w:val="100"/>
    <w:uiPriority w:val="0"/>
    <w:pPr>
      <w:spacing w:line="360" w:lineRule="auto"/>
      <w:ind w:firstLine="723" w:firstLineChars="200"/>
    </w:pPr>
    <w:rPr>
      <w:sz w:val="24"/>
    </w:rPr>
  </w:style>
  <w:style w:type="character" w:customStyle="1" w:styleId="102">
    <w:name w:val="表标题 Char"/>
    <w:link w:val="103"/>
    <w:qFormat/>
    <w:uiPriority w:val="0"/>
    <w:rPr>
      <w:b/>
    </w:rPr>
  </w:style>
  <w:style w:type="paragraph" w:customStyle="1" w:styleId="103">
    <w:name w:val="表标题"/>
    <w:basedOn w:val="1"/>
    <w:link w:val="102"/>
    <w:uiPriority w:val="0"/>
    <w:pPr>
      <w:jc w:val="center"/>
    </w:pPr>
    <w:rPr>
      <w:b/>
    </w:rPr>
  </w:style>
  <w:style w:type="paragraph" w:customStyle="1" w:styleId="104">
    <w:name w:val="样式 首行缩进:  2 字符"/>
    <w:basedOn w:val="1"/>
    <w:uiPriority w:val="0"/>
    <w:pPr>
      <w:spacing w:line="500" w:lineRule="exact"/>
      <w:ind w:firstLine="480" w:firstLineChars="200"/>
    </w:pPr>
    <w:rPr>
      <w:rFonts w:ascii="Times New Roman" w:hAnsi="Times New Roman" w:eastAsia="宋体" w:cs="Times New Roman"/>
      <w:sz w:val="24"/>
      <w:szCs w:val="24"/>
    </w:rPr>
  </w:style>
  <w:style w:type="paragraph" w:customStyle="1" w:styleId="105">
    <w:name w:val="WPSOffice手动目录 1"/>
    <w:uiPriority w:val="0"/>
    <w:rPr>
      <w:rFonts w:ascii="Calibri" w:hAnsi="Calibri" w:eastAsia="宋体" w:cs="Times New Roman"/>
      <w:lang w:val="en-US" w:eastAsia="zh-CN" w:bidi="ar-SA"/>
    </w:rPr>
  </w:style>
  <w:style w:type="table" w:customStyle="1" w:styleId="10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07">
    <w:name w:val="table caption"/>
    <w:uiPriority w:val="0"/>
    <w:pPr>
      <w:spacing w:before="120" w:after="120"/>
      <w:jc w:val="center"/>
    </w:pPr>
    <w:rPr>
      <w:rFonts w:ascii="Times New Roman" w:hAnsi="Times New Roman" w:eastAsia="黑体" w:cs="Times New Roman"/>
      <w:b/>
      <w:kern w:val="2"/>
      <w:sz w:val="24"/>
      <w:szCs w:val="24"/>
      <w:lang w:val="en-US" w:eastAsia="zh-CN" w:bidi="ar-SA"/>
    </w:rPr>
  </w:style>
  <w:style w:type="paragraph" w:customStyle="1" w:styleId="108">
    <w:name w:val="正文文字"/>
    <w:basedOn w:val="1"/>
    <w:uiPriority w:val="0"/>
    <w:pPr>
      <w:spacing w:line="560" w:lineRule="exact"/>
      <w:ind w:firstLine="200"/>
    </w:pPr>
    <w:rPr>
      <w:rFonts w:ascii="Times New Roman" w:hAnsi="Times New Roman" w:eastAsia="宋体" w:cs="Times New Roman"/>
      <w:szCs w:val="20"/>
    </w:rPr>
  </w:style>
  <w:style w:type="paragraph" w:customStyle="1" w:styleId="109">
    <w:name w:val="Table Text"/>
    <w:basedOn w:val="1"/>
    <w:semiHidden/>
    <w:qFormat/>
    <w:uiPriority w:val="0"/>
    <w:rPr>
      <w:rFonts w:ascii="宋体" w:hAnsi="宋体" w:eastAsia="宋体" w:cs="宋体"/>
      <w:szCs w:val="21"/>
      <w:lang w:eastAsia="en-US"/>
    </w:rPr>
  </w:style>
  <w:style w:type="paragraph" w:customStyle="1" w:styleId="110">
    <w:name w:val="表"/>
    <w:basedOn w:val="1"/>
    <w:uiPriority w:val="0"/>
    <w:pPr>
      <w:kinsoku w:val="0"/>
      <w:adjustRightInd w:val="0"/>
      <w:snapToGrid w:val="0"/>
      <w:jc w:val="center"/>
    </w:pPr>
    <w:rPr>
      <w:rFonts w:ascii="Calibri" w:hAnsi="Calibri" w:eastAsia="楷体" w:cs="Times New Roman"/>
      <w:spacing w:val="2"/>
      <w:kern w:val="0"/>
      <w:szCs w:val="20"/>
    </w:rPr>
  </w:style>
  <w:style w:type="paragraph" w:customStyle="1" w:styleId="111">
    <w:name w:val="正文正式用"/>
    <w:basedOn w:val="16"/>
    <w:uiPriority w:val="0"/>
    <w:pPr>
      <w:spacing w:after="0" w:line="360" w:lineRule="auto"/>
      <w:ind w:firstLine="200" w:firstLineChars="200"/>
    </w:pPr>
    <w:rPr>
      <w:rFonts w:ascii="Calibri" w:hAnsi="Calibri"/>
      <w:color w:val="000000"/>
      <w:sz w:val="24"/>
    </w:rPr>
  </w:style>
  <w:style w:type="paragraph" w:customStyle="1" w:styleId="112">
    <w:name w:val="LNY正文样式"/>
    <w:basedOn w:val="113"/>
    <w:uiPriority w:val="0"/>
    <w:pPr>
      <w:ind w:firstLine="480"/>
    </w:pPr>
    <w:rPr>
      <w:rFonts w:cs="Calibri"/>
      <w:color w:val="000000"/>
    </w:rPr>
  </w:style>
  <w:style w:type="paragraph" w:styleId="113">
    <w:name w:val="List Paragraph"/>
    <w:basedOn w:val="1"/>
    <w:uiPriority w:val="0"/>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F534C-C5B0-4A68-B1D0-7E8A3E7276D1}">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61353</Words>
  <Characters>70512</Characters>
  <Lines>547</Lines>
  <Paragraphs>154</Paragraphs>
  <TotalTime>0</TotalTime>
  <ScaleCrop>false</ScaleCrop>
  <LinksUpToDate>false</LinksUpToDate>
  <CharactersWithSpaces>71590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2023-06-11T01:04:00Z</dcterms:created>
  <dc:creator>wenzhiliang</dc:creator>
  <cp:lastModifiedBy>钟雷</cp:lastModifiedBy>
  <cp:lastPrinted>2023-10-09T14:22:00Z</cp:lastPrinted>
  <dcterms:modified xsi:type="dcterms:W3CDTF">2023-11-08T01:50:13Z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31FF4FEB78884120AD577A9305E66855_13</vt:lpwstr>
  </property>
</Properties>
</file>