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adjustRightInd w:val="0"/>
        <w:spacing w:line="600" w:lineRule="exact"/>
        <w:ind w:right="77" w:rightChars="32"/>
        <w:jc w:val="both"/>
        <w:textAlignment w:val="top"/>
        <w:rPr>
          <w:rFonts w:hint="default" w:ascii="仿宋_GB2312" w:eastAsia="仿宋_GB2312"/>
          <w:sz w:val="32"/>
          <w:szCs w:val="32"/>
          <w:lang w:val="en-US" w:eastAsia="zh-CN"/>
        </w:rPr>
      </w:pPr>
    </w:p>
    <w:p>
      <w:pPr>
        <w:pStyle w:val="11"/>
        <w:adjustRightInd w:val="0"/>
        <w:spacing w:line="600" w:lineRule="exact"/>
        <w:ind w:right="77" w:rightChars="32"/>
        <w:jc w:val="both"/>
        <w:textAlignment w:val="top"/>
        <w:rPr>
          <w:rFonts w:hint="eastAsia" w:ascii="仿宋_GB2312" w:eastAsia="仿宋_GB2312"/>
          <w:sz w:val="32"/>
          <w:szCs w:val="32"/>
          <w:lang w:val="en-US" w:eastAsia="zh-CN"/>
        </w:rPr>
      </w:pPr>
    </w:p>
    <w:p>
      <w:pPr>
        <w:pStyle w:val="11"/>
        <w:adjustRightInd w:val="0"/>
        <w:spacing w:line="600" w:lineRule="exact"/>
        <w:ind w:right="77" w:rightChars="32"/>
        <w:jc w:val="both"/>
        <w:textAlignment w:val="top"/>
        <w:rPr>
          <w:rFonts w:hint="eastAsia" w:ascii="仿宋_GB2312" w:eastAsia="仿宋_GB2312"/>
          <w:sz w:val="32"/>
          <w:szCs w:val="32"/>
          <w:lang w:val="en-US" w:eastAsia="zh-CN"/>
        </w:rPr>
      </w:pPr>
    </w:p>
    <w:p>
      <w:pPr>
        <w:pStyle w:val="11"/>
        <w:adjustRightInd w:val="0"/>
        <w:spacing w:line="600" w:lineRule="exact"/>
        <w:ind w:right="77" w:rightChars="32"/>
        <w:jc w:val="right"/>
        <w:textAlignment w:val="top"/>
        <w:rPr>
          <w:rFonts w:hint="eastAsia" w:ascii="仿宋_GB2312" w:eastAsia="仿宋_GB2312"/>
          <w:sz w:val="32"/>
          <w:szCs w:val="32"/>
        </w:rPr>
      </w:pPr>
      <w:r>
        <w:rPr>
          <w:rFonts w:hint="eastAsia" w:ascii="仿宋_GB2312" w:eastAsia="仿宋_GB2312"/>
          <w:sz w:val="32"/>
          <w:szCs w:val="32"/>
          <w:lang w:val="en-US" w:eastAsia="zh-CN"/>
        </w:rPr>
        <w:t>岳</w:t>
      </w:r>
      <w:r>
        <w:rPr>
          <w:rFonts w:hint="eastAsia" w:ascii="仿宋_GB2312" w:eastAsia="仿宋_GB2312"/>
          <w:sz w:val="32"/>
          <w:szCs w:val="32"/>
        </w:rPr>
        <w:t>湘阴环评</w:t>
      </w:r>
      <w:r>
        <w:rPr>
          <w:rFonts w:hint="eastAsia" w:ascii="仿宋_GB2312" w:eastAsia="仿宋_GB2312"/>
          <w:sz w:val="32"/>
          <w:szCs w:val="32"/>
          <w:lang w:val="en-US" w:eastAsia="zh-CN"/>
        </w:rPr>
        <w:t>〔2024〕</w:t>
      </w:r>
      <w:r>
        <w:rPr>
          <w:rFonts w:hint="eastAsia" w:ascii="仿宋_GB2312" w:eastAsia="仿宋_GB2312"/>
          <w:sz w:val="32"/>
          <w:szCs w:val="32"/>
          <w:highlight w:val="none"/>
          <w:lang w:val="en-US" w:eastAsia="zh-CN"/>
        </w:rPr>
        <w:t>08</w:t>
      </w:r>
      <w:r>
        <w:rPr>
          <w:rFonts w:hint="eastAsia" w:ascii="仿宋_GB2312" w:eastAsia="仿宋_GB2312"/>
          <w:sz w:val="32"/>
          <w:szCs w:val="32"/>
        </w:rPr>
        <w:t>号</w:t>
      </w:r>
    </w:p>
    <w:p>
      <w:pPr>
        <w:spacing w:line="600" w:lineRule="exact"/>
        <w:ind w:left="-408" w:leftChars="-170" w:right="-382" w:rightChars="-159"/>
        <w:jc w:val="center"/>
        <w:rPr>
          <w:rFonts w:hint="default" w:ascii="方正小标宋_GBK" w:hAnsi="方正小标宋_GBK" w:eastAsia="方正小标宋_GBK" w:cs="方正小标宋_GBK"/>
          <w:bCs/>
          <w:sz w:val="44"/>
          <w:szCs w:val="44"/>
          <w:lang w:val="en-US" w:eastAsia="zh-CN"/>
        </w:rPr>
      </w:pPr>
      <w:r>
        <w:rPr>
          <w:rFonts w:hint="default" w:ascii="方正小标宋_GBK" w:hAnsi="方正小标宋_GBK" w:eastAsia="方正小标宋_GBK" w:cs="方正小标宋_GBK"/>
          <w:bCs/>
          <w:sz w:val="44"/>
          <w:szCs w:val="44"/>
          <w:lang w:val="en-US" w:eastAsia="zh-CN"/>
        </w:rPr>
        <w:t>关于中国石化销售股份有限公司湖南岳阳湘阴石油分公司水上加油站建设项目环境影响</w:t>
      </w:r>
    </w:p>
    <w:p>
      <w:pPr>
        <w:spacing w:line="600" w:lineRule="exact"/>
        <w:ind w:left="-408" w:leftChars="-170" w:right="-382" w:rightChars="-159"/>
        <w:jc w:val="center"/>
        <w:rPr>
          <w:rFonts w:hint="default" w:ascii="方正小标宋_GBK" w:hAnsi="方正小标宋_GBK" w:eastAsia="方正小标宋_GBK" w:cs="方正小标宋_GBK"/>
          <w:bCs/>
          <w:sz w:val="44"/>
          <w:szCs w:val="44"/>
          <w:lang w:val="en-US" w:eastAsia="zh-CN"/>
        </w:rPr>
      </w:pPr>
      <w:r>
        <w:rPr>
          <w:rFonts w:hint="default" w:ascii="方正小标宋_GBK" w:hAnsi="方正小标宋_GBK" w:eastAsia="方正小标宋_GBK" w:cs="方正小标宋_GBK"/>
          <w:bCs/>
          <w:sz w:val="44"/>
          <w:szCs w:val="44"/>
          <w:lang w:val="en-US" w:eastAsia="zh-CN"/>
        </w:rPr>
        <w:t>报告表的批复</w:t>
      </w:r>
    </w:p>
    <w:p>
      <w:pPr>
        <w:spacing w:line="240" w:lineRule="auto"/>
        <w:jc w:val="center"/>
        <w:rPr>
          <w:rFonts w:hint="default" w:ascii="方正小标宋简体" w:hAns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77" w:rightChars="32"/>
        <w:textAlignment w:val="auto"/>
        <w:rPr>
          <w:rFonts w:hint="default" w:ascii="仿宋_GB2312" w:hAnsi="仿宋" w:eastAsia="仿宋_GB2312" w:cs="仿宋"/>
          <w:sz w:val="32"/>
          <w:szCs w:val="32"/>
          <w:lang w:val="en-US" w:eastAsia="zh-CN"/>
        </w:rPr>
      </w:pPr>
      <w:bookmarkStart w:id="0" w:name="_GoBack"/>
      <w:r>
        <w:rPr>
          <w:rFonts w:hint="eastAsia" w:ascii="仿宋_GB2312" w:hAnsi="仿宋" w:eastAsia="仿宋_GB2312" w:cs="仿宋"/>
          <w:sz w:val="32"/>
          <w:szCs w:val="32"/>
          <w:lang w:val="en-US" w:eastAsia="zh-CN"/>
        </w:rPr>
        <w:t>中国石化销售股份有限公司湖南岳阳湘阴石油分公司</w:t>
      </w:r>
      <w:r>
        <w:rPr>
          <w:rFonts w:hint="default" w:ascii="仿宋_GB2312" w:hAnsi="仿宋" w:eastAsia="仿宋_GB2312" w:cs="仿宋"/>
          <w:sz w:val="32"/>
          <w:szCs w:val="32"/>
          <w:lang w:val="en-US" w:eastAsia="zh-CN"/>
        </w:rPr>
        <w:t>：</w:t>
      </w:r>
    </w:p>
    <w:bookmarkEnd w:id="0"/>
    <w:p>
      <w:pPr>
        <w:keepNext w:val="0"/>
        <w:keepLines w:val="0"/>
        <w:pageBreakBefore w:val="0"/>
        <w:widowControl w:val="0"/>
        <w:kinsoku/>
        <w:wordWrap/>
        <w:overflowPunct/>
        <w:topLinePunct w:val="0"/>
        <w:autoSpaceDE/>
        <w:autoSpaceDN/>
        <w:bidi w:val="0"/>
        <w:adjustRightInd/>
        <w:snapToGrid/>
        <w:spacing w:line="560" w:lineRule="exact"/>
        <w:ind w:right="77" w:rightChars="32" w:firstLine="640" w:firstLineChars="200"/>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你</w:t>
      </w:r>
      <w:r>
        <w:rPr>
          <w:rFonts w:hint="eastAsia" w:ascii="仿宋_GB2312" w:hAnsi="仿宋" w:eastAsia="仿宋_GB2312" w:cs="仿宋"/>
          <w:sz w:val="32"/>
          <w:szCs w:val="32"/>
          <w:lang w:val="en-US" w:eastAsia="zh-CN"/>
        </w:rPr>
        <w:t>公司</w:t>
      </w:r>
      <w:r>
        <w:rPr>
          <w:rFonts w:hint="default" w:ascii="仿宋_GB2312" w:hAnsi="仿宋" w:eastAsia="仿宋_GB2312" w:cs="仿宋"/>
          <w:sz w:val="32"/>
          <w:szCs w:val="32"/>
          <w:lang w:val="en-US" w:eastAsia="zh-CN"/>
        </w:rPr>
        <w:t>《关于申请“</w:t>
      </w:r>
      <w:r>
        <w:rPr>
          <w:rFonts w:hint="eastAsia" w:ascii="仿宋_GB2312" w:hAnsi="仿宋" w:eastAsia="仿宋_GB2312" w:cs="仿宋"/>
          <w:sz w:val="32"/>
          <w:szCs w:val="32"/>
          <w:lang w:val="en-US" w:eastAsia="zh-CN"/>
        </w:rPr>
        <w:t>中国石化销售股份有限公司湖南岳阳湘阴石油分公司水上加油站建设项目</w:t>
      </w:r>
      <w:r>
        <w:rPr>
          <w:rFonts w:hint="default" w:ascii="仿宋_GB2312" w:hAnsi="仿宋" w:eastAsia="仿宋_GB2312" w:cs="仿宋"/>
          <w:sz w:val="32"/>
          <w:szCs w:val="32"/>
          <w:lang w:val="en-US" w:eastAsia="zh-CN"/>
        </w:rPr>
        <w:t>”批复的报告》及有关附件已收悉。根据国家环境保护有关法律、法规、政策和项目所在地环境功能区划的要求，经研究，现批复如下：</w:t>
      </w:r>
    </w:p>
    <w:p>
      <w:pPr>
        <w:keepNext w:val="0"/>
        <w:keepLines w:val="0"/>
        <w:pageBreakBefore w:val="0"/>
        <w:widowControl w:val="0"/>
        <w:kinsoku/>
        <w:wordWrap/>
        <w:overflowPunct/>
        <w:topLinePunct w:val="0"/>
        <w:autoSpaceDE/>
        <w:autoSpaceDN/>
        <w:bidi w:val="0"/>
        <w:adjustRightInd/>
        <w:snapToGrid/>
        <w:spacing w:line="560" w:lineRule="exact"/>
        <w:ind w:right="77" w:rightChars="32" w:firstLine="640" w:firstLineChars="200"/>
        <w:textAlignment w:val="auto"/>
        <w:rPr>
          <w:rFonts w:hint="eastAsia" w:ascii="仿宋_GB2312" w:hAnsi="仿宋" w:eastAsia="仿宋_GB2312" w:cs="仿宋"/>
          <w:kern w:val="2"/>
          <w:sz w:val="32"/>
          <w:szCs w:val="32"/>
          <w:lang w:val="en-US" w:eastAsia="zh-CN" w:bidi="ar-SA"/>
        </w:rPr>
      </w:pPr>
      <w:r>
        <w:rPr>
          <w:rFonts w:hint="eastAsia" w:ascii="仿宋_GB2312" w:hAnsi="仿宋" w:eastAsia="仿宋_GB2312" w:cs="仿宋"/>
          <w:kern w:val="2"/>
          <w:sz w:val="32"/>
          <w:szCs w:val="32"/>
          <w:lang w:val="en-US" w:eastAsia="zh-CN" w:bidi="ar-SA"/>
        </w:rPr>
        <w:t>一、原则同意该项目建设。中国石化销售股份有限公司湖南岳阳湘阴石油分公司拟投资1100万元(其中环保投资20万元)，选址于湖南省岳阳市湘阴县金港混凝土码头附近（其地理中心坐标: 东经 112度50分49.055秒，北纬28度48分27.970秒）建设水上加油站，该项目建设内容为:趸船1艘，船无动力，船尺总长×型宽×型深=76m×12.8m×2.85m，趸船靠水侧采用锚链系固，靠岸侧设2个地牛系固。本项目泊位长度140米，前沿线位于右岸边滩，布置于18米等高线附近，距大堤堤顶外边线约260米。水上加油站不设置接岸设施，不设单独锚地；陆域侧不设储罐，利用加油船为趸船进行补给，船员乘坐工作艇上下趸船。水上加油站为过往船舶提供加注柴油服务，0#柴油加油量为8000t/a，趸船最大储存量为800t。项目前沿停泊水域不占用主航道。</w:t>
      </w:r>
    </w:p>
    <w:p>
      <w:pPr>
        <w:keepNext w:val="0"/>
        <w:keepLines w:val="0"/>
        <w:pageBreakBefore w:val="0"/>
        <w:widowControl w:val="0"/>
        <w:kinsoku/>
        <w:wordWrap/>
        <w:overflowPunct/>
        <w:topLinePunct w:val="0"/>
        <w:autoSpaceDE/>
        <w:autoSpaceDN/>
        <w:bidi w:val="0"/>
        <w:adjustRightInd/>
        <w:snapToGrid/>
        <w:spacing w:line="560" w:lineRule="exact"/>
        <w:ind w:right="77" w:rightChars="32" w:firstLine="640" w:firstLineChars="200"/>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该项目符合国家产业政策</w:t>
      </w:r>
      <w:r>
        <w:rPr>
          <w:rFonts w:hint="eastAsia" w:ascii="仿宋_GB2312" w:hAnsi="仿宋" w:eastAsia="仿宋_GB2312" w:cs="仿宋"/>
          <w:sz w:val="32"/>
          <w:szCs w:val="32"/>
          <w:lang w:val="en-US" w:eastAsia="zh-CN"/>
        </w:rPr>
        <w:t>、</w:t>
      </w:r>
      <w:r>
        <w:rPr>
          <w:rFonts w:hint="default" w:ascii="仿宋_GB2312" w:hAnsi="仿宋" w:eastAsia="仿宋_GB2312" w:cs="仿宋"/>
          <w:sz w:val="32"/>
          <w:szCs w:val="32"/>
          <w:lang w:val="en-US" w:eastAsia="zh-CN"/>
        </w:rPr>
        <w:t>符合《岳阳市成品油零售体系“十四五”发展规划》</w:t>
      </w:r>
      <w:r>
        <w:rPr>
          <w:rFonts w:hint="eastAsia" w:ascii="仿宋_GB2312" w:hAnsi="仿宋" w:eastAsia="仿宋_GB2312" w:cs="仿宋"/>
          <w:sz w:val="32"/>
          <w:szCs w:val="32"/>
          <w:lang w:val="en-US" w:eastAsia="zh-CN"/>
        </w:rPr>
        <w:t>、</w:t>
      </w:r>
      <w:r>
        <w:rPr>
          <w:rFonts w:hint="default" w:ascii="仿宋_GB2312" w:hAnsi="仿宋" w:eastAsia="仿宋_GB2312" w:cs="仿宋"/>
          <w:sz w:val="32"/>
          <w:szCs w:val="32"/>
          <w:lang w:val="en-US" w:eastAsia="zh-CN"/>
        </w:rPr>
        <w:t>符合湘阴县总体规划要求，根据《湖南省交通运输厅关于中国石化销售股份有限公司湖南岳阳石油分公司水上加油站移址工程航道通航条件影响评价的审核意见》 (湘交函 (202</w:t>
      </w:r>
      <w:r>
        <w:rPr>
          <w:rFonts w:hint="eastAsia" w:ascii="仿宋_GB2312" w:hAnsi="仿宋" w:eastAsia="仿宋_GB2312" w:cs="仿宋"/>
          <w:sz w:val="32"/>
          <w:szCs w:val="32"/>
          <w:lang w:val="en-US" w:eastAsia="zh-CN"/>
        </w:rPr>
        <w:t>3</w:t>
      </w:r>
      <w:r>
        <w:rPr>
          <w:rFonts w:hint="default" w:ascii="仿宋_GB2312" w:hAnsi="仿宋" w:eastAsia="仿宋_GB2312" w:cs="仿宋"/>
          <w:sz w:val="32"/>
          <w:szCs w:val="32"/>
          <w:lang w:val="en-US" w:eastAsia="zh-CN"/>
        </w:rPr>
        <w:t>) 2</w:t>
      </w:r>
      <w:r>
        <w:rPr>
          <w:rFonts w:hint="eastAsia" w:ascii="仿宋_GB2312" w:hAnsi="仿宋" w:eastAsia="仿宋_GB2312" w:cs="仿宋"/>
          <w:sz w:val="32"/>
          <w:szCs w:val="32"/>
          <w:lang w:val="en-US" w:eastAsia="zh-CN"/>
        </w:rPr>
        <w:t>73</w:t>
      </w:r>
      <w:r>
        <w:rPr>
          <w:rFonts w:hint="default" w:ascii="仿宋_GB2312" w:hAnsi="仿宋" w:eastAsia="仿宋_GB2312" w:cs="仿宋"/>
          <w:sz w:val="32"/>
          <w:szCs w:val="32"/>
          <w:lang w:val="en-US" w:eastAsia="zh-CN"/>
        </w:rPr>
        <w:t>号)</w:t>
      </w:r>
      <w:r>
        <w:rPr>
          <w:rFonts w:hint="eastAsia" w:ascii="仿宋_GB2312" w:hAnsi="仿宋" w:eastAsia="仿宋_GB2312" w:cs="仿宋"/>
          <w:sz w:val="32"/>
          <w:szCs w:val="32"/>
          <w:lang w:val="en-US" w:eastAsia="zh-CN"/>
        </w:rPr>
        <w:t>、</w:t>
      </w:r>
      <w:r>
        <w:rPr>
          <w:rFonts w:hint="default" w:ascii="仿宋_GB2312" w:hAnsi="仿宋" w:eastAsia="仿宋_GB2312" w:cs="仿宋"/>
          <w:sz w:val="32"/>
          <w:szCs w:val="32"/>
          <w:lang w:val="en-US" w:eastAsia="zh-CN"/>
        </w:rPr>
        <w:t>《湘阴县人民政府关于同意中石化湘阴石油分公司和湖南博瑞达公司柴油船重新选址靠泊的批复》 (湘阴政函 (2021) 109号)、湘阴县商务粮食局、湖南省湘阴县地方海事处</w:t>
      </w:r>
      <w:r>
        <w:rPr>
          <w:rFonts w:hint="eastAsia" w:ascii="仿宋_GB2312" w:hAnsi="仿宋" w:eastAsia="仿宋_GB2312" w:cs="仿宋"/>
          <w:sz w:val="32"/>
          <w:szCs w:val="32"/>
          <w:lang w:val="en-US" w:eastAsia="zh-CN"/>
        </w:rPr>
        <w:t>、</w:t>
      </w:r>
      <w:r>
        <w:rPr>
          <w:rFonts w:hint="default" w:ascii="仿宋_GB2312" w:hAnsi="仿宋" w:eastAsia="仿宋_GB2312" w:cs="仿宋"/>
          <w:sz w:val="32"/>
          <w:szCs w:val="32"/>
          <w:lang w:val="en-US" w:eastAsia="zh-CN"/>
        </w:rPr>
        <w:t>湘阴县水利局</w:t>
      </w:r>
      <w:r>
        <w:rPr>
          <w:rFonts w:hint="eastAsia" w:ascii="仿宋_GB2312" w:hAnsi="仿宋" w:eastAsia="仿宋_GB2312" w:cs="仿宋"/>
          <w:sz w:val="32"/>
          <w:szCs w:val="32"/>
          <w:lang w:val="en-US" w:eastAsia="zh-CN"/>
        </w:rPr>
        <w:t>、</w:t>
      </w:r>
      <w:r>
        <w:rPr>
          <w:rFonts w:hint="default" w:ascii="仿宋_GB2312" w:hAnsi="仿宋" w:eastAsia="仿宋_GB2312" w:cs="仿宋"/>
          <w:sz w:val="32"/>
          <w:szCs w:val="32"/>
          <w:lang w:val="en-US" w:eastAsia="zh-CN"/>
        </w:rPr>
        <w:t>湘阴县林业局等部门意见及湖南</w:t>
      </w:r>
      <w:r>
        <w:rPr>
          <w:rFonts w:hint="eastAsia" w:ascii="仿宋_GB2312" w:hAnsi="仿宋" w:eastAsia="仿宋_GB2312" w:cs="仿宋"/>
          <w:sz w:val="32"/>
          <w:szCs w:val="32"/>
          <w:lang w:val="en-US" w:eastAsia="zh-CN"/>
        </w:rPr>
        <w:t>至中</w:t>
      </w:r>
      <w:r>
        <w:rPr>
          <w:rFonts w:hint="default" w:ascii="仿宋_GB2312" w:hAnsi="仿宋" w:eastAsia="仿宋_GB2312" w:cs="仿宋"/>
          <w:sz w:val="32"/>
          <w:szCs w:val="32"/>
          <w:lang w:val="en-US" w:eastAsia="zh-CN"/>
        </w:rPr>
        <w:t>环保科技有限公司编制的该项目环境影响报告表(报批稿) 基本内容、评价结论及专家评审意见，从环保角度考虑，我局原则同意环境影响报告表所列的建设项目地点、性质、规模、工艺和环境保护对策。</w:t>
      </w:r>
    </w:p>
    <w:p>
      <w:pPr>
        <w:keepNext w:val="0"/>
        <w:keepLines w:val="0"/>
        <w:pageBreakBefore w:val="0"/>
        <w:widowControl w:val="0"/>
        <w:kinsoku/>
        <w:wordWrap/>
        <w:overflowPunct/>
        <w:topLinePunct w:val="0"/>
        <w:autoSpaceDE/>
        <w:autoSpaceDN/>
        <w:bidi w:val="0"/>
        <w:adjustRightInd/>
        <w:snapToGrid/>
        <w:spacing w:line="560" w:lineRule="exact"/>
        <w:ind w:right="77" w:rightChars="32" w:firstLine="640" w:firstLineChars="200"/>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二、项目营运过程中须认真落实环评报告表、专家意见及批复意见中提出的各项污染防治措施，加强环境管理，确保外排污染物长期稳定达标排放，同时建设单位应重点做好</w:t>
      </w:r>
      <w:r>
        <w:rPr>
          <w:rFonts w:hint="eastAsia" w:ascii="仿宋_GB2312" w:hAnsi="仿宋" w:eastAsia="仿宋_GB2312" w:cs="仿宋"/>
          <w:sz w:val="32"/>
          <w:szCs w:val="32"/>
          <w:lang w:val="en-US" w:eastAsia="zh-CN"/>
        </w:rPr>
        <w:t>以下</w:t>
      </w:r>
      <w:r>
        <w:rPr>
          <w:rFonts w:hint="default" w:ascii="仿宋_GB2312" w:hAnsi="仿宋" w:eastAsia="仿宋_GB2312" w:cs="仿宋"/>
          <w:sz w:val="32"/>
          <w:szCs w:val="32"/>
          <w:lang w:val="en-US" w:eastAsia="zh-CN"/>
        </w:rPr>
        <w:t>环保工作：</w:t>
      </w:r>
    </w:p>
    <w:p>
      <w:pPr>
        <w:keepNext w:val="0"/>
        <w:keepLines w:val="0"/>
        <w:pageBreakBefore w:val="0"/>
        <w:widowControl w:val="0"/>
        <w:kinsoku/>
        <w:wordWrap/>
        <w:overflowPunct/>
        <w:topLinePunct w:val="0"/>
        <w:autoSpaceDE/>
        <w:autoSpaceDN/>
        <w:bidi w:val="0"/>
        <w:adjustRightInd/>
        <w:snapToGrid/>
        <w:spacing w:line="560" w:lineRule="exact"/>
        <w:ind w:right="77" w:rightChars="32" w:firstLine="640" w:firstLineChars="200"/>
        <w:textAlignment w:val="auto"/>
        <w:rPr>
          <w:rFonts w:hint="default" w:ascii="仿宋_GB2312" w:hAnsi="仿宋" w:eastAsia="仿宋_GB2312" w:cs="仿宋"/>
          <w:sz w:val="32"/>
          <w:szCs w:val="32"/>
          <w:highlight w:val="none"/>
          <w:lang w:val="en-US" w:eastAsia="zh-CN"/>
        </w:rPr>
      </w:pPr>
      <w:r>
        <w:rPr>
          <w:rFonts w:hint="eastAsia" w:ascii="仿宋_GB2312" w:hAnsi="仿宋" w:eastAsia="仿宋_GB2312" w:cs="仿宋"/>
          <w:sz w:val="32"/>
          <w:szCs w:val="32"/>
          <w:lang w:val="en-US" w:eastAsia="zh-CN"/>
        </w:rPr>
        <w:t>（一）</w:t>
      </w:r>
      <w:r>
        <w:rPr>
          <w:rFonts w:hint="default" w:ascii="仿宋_GB2312" w:hAnsi="仿宋" w:eastAsia="仿宋_GB2312" w:cs="仿宋"/>
          <w:sz w:val="32"/>
          <w:szCs w:val="32"/>
          <w:lang w:val="en-US" w:eastAsia="zh-CN"/>
        </w:rPr>
        <w:t>废</w:t>
      </w:r>
      <w:r>
        <w:rPr>
          <w:rFonts w:hint="default" w:ascii="仿宋_GB2312" w:hAnsi="仿宋" w:eastAsia="仿宋_GB2312" w:cs="仿宋"/>
          <w:sz w:val="32"/>
          <w:szCs w:val="32"/>
          <w:highlight w:val="none"/>
          <w:lang w:val="en-US" w:eastAsia="zh-CN"/>
        </w:rPr>
        <w:t>水污染防治工作。</w:t>
      </w:r>
      <w:r>
        <w:rPr>
          <w:rFonts w:hint="eastAsia" w:ascii="仿宋_GB2312" w:hAnsi="仿宋" w:eastAsia="仿宋_GB2312" w:cs="仿宋"/>
          <w:sz w:val="32"/>
          <w:szCs w:val="32"/>
          <w:highlight w:val="none"/>
          <w:lang w:val="en-US" w:eastAsia="zh-CN"/>
        </w:rPr>
        <w:t>生活污水经趸船自带的生活污水处理装置处理后暂存污水舱后交由有资质的船舶污染物回收企业进行接收处理；甲板冲洗废水、初期雨水、舱底油污水经趸船自带的油污分离设施处理后，废水暂存污水舱、废油暂存污油舱后分别交由有资质的船舶污染物回收企业进行接收处理，项目废水不外排。</w:t>
      </w:r>
    </w:p>
    <w:p>
      <w:pPr>
        <w:keepNext w:val="0"/>
        <w:keepLines w:val="0"/>
        <w:pageBreakBefore w:val="0"/>
        <w:widowControl w:val="0"/>
        <w:kinsoku/>
        <w:wordWrap/>
        <w:overflowPunct/>
        <w:topLinePunct w:val="0"/>
        <w:autoSpaceDE/>
        <w:autoSpaceDN/>
        <w:bidi w:val="0"/>
        <w:adjustRightInd/>
        <w:snapToGrid/>
        <w:spacing w:line="560" w:lineRule="exact"/>
        <w:ind w:right="77" w:rightChars="32" w:firstLine="640" w:firstLineChars="200"/>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（二）</w:t>
      </w:r>
      <w:r>
        <w:rPr>
          <w:rFonts w:hint="default" w:ascii="仿宋_GB2312" w:hAnsi="仿宋" w:eastAsia="仿宋_GB2312" w:cs="仿宋"/>
          <w:sz w:val="32"/>
          <w:szCs w:val="32"/>
          <w:lang w:val="en-US" w:eastAsia="zh-CN"/>
        </w:rPr>
        <w:t>废气污染防治工作。严格按照《水上加油站安全预防污染技术要求》(JTT660-2006) 的相关要求，做好卸油、储油、加油过程中的各项挥发性油气排放控制措施，尽量减少油气的挥发。落实报告表提出的各项废气防治措施，加强管理，确保趸船</w:t>
      </w:r>
      <w:r>
        <w:rPr>
          <w:rFonts w:hint="eastAsia" w:ascii="仿宋_GB2312" w:hAnsi="仿宋" w:eastAsia="仿宋_GB2312" w:cs="仿宋"/>
          <w:sz w:val="32"/>
          <w:szCs w:val="32"/>
          <w:lang w:val="en-US" w:eastAsia="zh-CN"/>
        </w:rPr>
        <w:t>边界</w:t>
      </w:r>
      <w:r>
        <w:rPr>
          <w:rFonts w:hint="default" w:ascii="仿宋_GB2312" w:hAnsi="仿宋" w:eastAsia="仿宋_GB2312" w:cs="仿宋"/>
          <w:sz w:val="32"/>
          <w:szCs w:val="32"/>
          <w:lang w:val="en-US" w:eastAsia="zh-CN"/>
        </w:rPr>
        <w:t>无组织排放</w:t>
      </w:r>
      <w:r>
        <w:rPr>
          <w:rFonts w:hint="eastAsia" w:ascii="仿宋_GB2312" w:hAnsi="仿宋" w:eastAsia="仿宋_GB2312" w:cs="仿宋"/>
          <w:sz w:val="32"/>
          <w:szCs w:val="32"/>
          <w:lang w:val="en-US" w:eastAsia="zh-CN"/>
        </w:rPr>
        <w:t>的废气</w:t>
      </w:r>
      <w:r>
        <w:rPr>
          <w:rFonts w:hint="default" w:ascii="仿宋_GB2312" w:hAnsi="仿宋" w:eastAsia="仿宋_GB2312" w:cs="仿宋"/>
          <w:sz w:val="32"/>
          <w:szCs w:val="32"/>
          <w:lang w:val="en-US" w:eastAsia="zh-CN"/>
        </w:rPr>
        <w:t>满足《大气污染物综合排放标准》(GB16297-1996)表2中无组织排放监控浓度限值要求</w:t>
      </w:r>
      <w:r>
        <w:rPr>
          <w:rFonts w:hint="eastAsia" w:ascii="仿宋_GB2312" w:hAnsi="新宋体" w:eastAsia="仿宋_GB2312" w:cs="Times New Roman"/>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77" w:rightChars="32" w:firstLine="640" w:firstLineChars="200"/>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w:t>
      </w:r>
      <w:r>
        <w:rPr>
          <w:rFonts w:hint="default" w:ascii="仿宋_GB2312" w:hAnsi="仿宋" w:eastAsia="仿宋_GB2312" w:cs="仿宋"/>
          <w:sz w:val="32"/>
          <w:szCs w:val="32"/>
          <w:lang w:val="en-US" w:eastAsia="zh-CN"/>
        </w:rPr>
        <w:t>三</w:t>
      </w:r>
      <w:r>
        <w:rPr>
          <w:rFonts w:hint="eastAsia" w:ascii="仿宋_GB2312" w:hAnsi="仿宋" w:eastAsia="仿宋_GB2312" w:cs="仿宋"/>
          <w:sz w:val="32"/>
          <w:szCs w:val="32"/>
          <w:lang w:val="en-US" w:eastAsia="zh-CN"/>
        </w:rPr>
        <w:t>）</w:t>
      </w:r>
      <w:r>
        <w:rPr>
          <w:rFonts w:hint="default" w:ascii="仿宋_GB2312" w:hAnsi="仿宋" w:eastAsia="仿宋_GB2312" w:cs="仿宋"/>
          <w:sz w:val="32"/>
          <w:szCs w:val="32"/>
          <w:lang w:val="en-US" w:eastAsia="zh-CN"/>
        </w:rPr>
        <w:t>噪声污染防治工作。选用低噪声机械设备，对产生噪声的设备进行合理布局，并做好基础减振、隔声、屏障和降噪等防治措施，确保项目噪声满足《工业企业厂界环境噪声排放标准》 (GB12348-2008)中4类标准要求。</w:t>
      </w:r>
    </w:p>
    <w:p>
      <w:pPr>
        <w:keepNext w:val="0"/>
        <w:keepLines w:val="0"/>
        <w:pageBreakBefore w:val="0"/>
        <w:widowControl w:val="0"/>
        <w:kinsoku/>
        <w:wordWrap/>
        <w:overflowPunct/>
        <w:topLinePunct w:val="0"/>
        <w:autoSpaceDE/>
        <w:autoSpaceDN/>
        <w:bidi w:val="0"/>
        <w:adjustRightInd/>
        <w:snapToGrid/>
        <w:spacing w:line="560" w:lineRule="exact"/>
        <w:ind w:right="77" w:rightChars="32" w:firstLine="640" w:firstLineChars="200"/>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w:t>
      </w:r>
      <w:r>
        <w:rPr>
          <w:rFonts w:hint="default" w:ascii="仿宋_GB2312" w:hAnsi="仿宋" w:eastAsia="仿宋_GB2312" w:cs="仿宋"/>
          <w:sz w:val="32"/>
          <w:szCs w:val="32"/>
          <w:lang w:val="en-US" w:eastAsia="zh-CN"/>
        </w:rPr>
        <w:t>四</w:t>
      </w:r>
      <w:r>
        <w:rPr>
          <w:rFonts w:hint="eastAsia" w:ascii="仿宋_GB2312" w:hAnsi="仿宋" w:eastAsia="仿宋_GB2312" w:cs="仿宋"/>
          <w:sz w:val="32"/>
          <w:szCs w:val="32"/>
          <w:lang w:val="en-US" w:eastAsia="zh-CN"/>
        </w:rPr>
        <w:t>）</w:t>
      </w:r>
      <w:r>
        <w:rPr>
          <w:rFonts w:hint="default" w:ascii="仿宋_GB2312" w:hAnsi="仿宋" w:eastAsia="仿宋_GB2312" w:cs="仿宋"/>
          <w:sz w:val="32"/>
          <w:szCs w:val="32"/>
          <w:lang w:val="en-US" w:eastAsia="zh-CN"/>
        </w:rPr>
        <w:t>固体废物污染防治工作。严格按照《船舶水污染物排放控制标准》 (GB3552-2018)和《危险废物贮存污染控制标准》（GB 18597-2023）</w:t>
      </w:r>
      <w:r>
        <w:rPr>
          <w:rFonts w:hint="eastAsia" w:ascii="仿宋_GB2312" w:hAnsi="仿宋" w:eastAsia="仿宋_GB2312" w:cs="仿宋"/>
          <w:sz w:val="32"/>
          <w:szCs w:val="32"/>
          <w:lang w:val="en-US" w:eastAsia="zh-CN"/>
        </w:rPr>
        <w:t>要求</w:t>
      </w:r>
      <w:r>
        <w:rPr>
          <w:rFonts w:hint="default" w:ascii="仿宋_GB2312" w:hAnsi="仿宋" w:eastAsia="仿宋_GB2312" w:cs="仿宋"/>
          <w:sz w:val="32"/>
          <w:szCs w:val="32"/>
          <w:lang w:val="en-US" w:eastAsia="zh-CN"/>
        </w:rPr>
        <w:t>，设专门污油</w:t>
      </w:r>
      <w:r>
        <w:rPr>
          <w:rFonts w:hint="eastAsia" w:ascii="仿宋_GB2312" w:hAnsi="仿宋" w:eastAsia="仿宋_GB2312" w:cs="仿宋"/>
          <w:sz w:val="32"/>
          <w:szCs w:val="32"/>
          <w:lang w:val="en-US" w:eastAsia="zh-CN"/>
        </w:rPr>
        <w:t>舱</w:t>
      </w:r>
      <w:r>
        <w:rPr>
          <w:rFonts w:hint="default" w:ascii="仿宋_GB2312" w:hAnsi="仿宋" w:eastAsia="仿宋_GB2312" w:cs="仿宋"/>
          <w:sz w:val="32"/>
          <w:szCs w:val="32"/>
          <w:lang w:val="en-US" w:eastAsia="zh-CN"/>
        </w:rPr>
        <w:t>等贮存设施，对贮存设施进行防渗漏处理，防止发生泄漏和污染洞庭湖水质。项目油舱委托有资质的专业单位进行清洗，储油舱清洗废液、跑冒漏滴废柴油、经油水分离设施处理后暂存废油舱的含油废水、沾染废油的抹布及手套、沾染废油的空桶等危险废物交由有资质单位安全处置，落实转移联单制度并规范建立台帐。生活垃圾交由有资质船舶污染物回收企业进行接收处理。</w:t>
      </w:r>
    </w:p>
    <w:p>
      <w:pPr>
        <w:keepNext w:val="0"/>
        <w:keepLines w:val="0"/>
        <w:pageBreakBefore w:val="0"/>
        <w:widowControl w:val="0"/>
        <w:kinsoku/>
        <w:wordWrap/>
        <w:overflowPunct/>
        <w:topLinePunct w:val="0"/>
        <w:autoSpaceDE/>
        <w:autoSpaceDN/>
        <w:bidi w:val="0"/>
        <w:adjustRightInd/>
        <w:snapToGrid/>
        <w:spacing w:line="560" w:lineRule="exact"/>
        <w:ind w:right="77" w:rightChars="32"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五）环境管理和风险防范工作。严格油品使用、贮存中的安全管理，加强对卸油、储油和加油设备的维护管理，避免跑、冒、滴、漏，杜绝风险事故的发生。加强环境风险管理建立健全操作规程和应急处理机制，制定并落实突发环境事件应急预案，严格按照《水上加油站安全预防污染技术要求》(JTT660-2006)的要求，对趸船配备若干灭火及防污染器材等事故应急救援设备，消防设施和吸油泵、围油栏、消油剂、吸油毡、事故废水收集桶等应急物资并组织演练。</w:t>
      </w:r>
    </w:p>
    <w:p>
      <w:pPr>
        <w:keepNext w:val="0"/>
        <w:keepLines w:val="0"/>
        <w:pageBreakBefore w:val="0"/>
        <w:widowControl w:val="0"/>
        <w:kinsoku/>
        <w:wordWrap/>
        <w:overflowPunct/>
        <w:topLinePunct w:val="0"/>
        <w:autoSpaceDE/>
        <w:autoSpaceDN/>
        <w:bidi w:val="0"/>
        <w:adjustRightInd/>
        <w:snapToGrid/>
        <w:spacing w:line="560" w:lineRule="exact"/>
        <w:ind w:right="77" w:rightChars="32"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三、项目建成必须严格执行环境保护“三同时”等相关环境管理制度。项目建成后，须按规定要求及时开展建设项目竣工环境保护验收工作和验收信息报送工作。</w:t>
      </w:r>
    </w:p>
    <w:p>
      <w:pPr>
        <w:keepNext w:val="0"/>
        <w:keepLines w:val="0"/>
        <w:pageBreakBefore w:val="0"/>
        <w:widowControl w:val="0"/>
        <w:kinsoku/>
        <w:wordWrap/>
        <w:overflowPunct/>
        <w:topLinePunct w:val="0"/>
        <w:autoSpaceDE/>
        <w:autoSpaceDN/>
        <w:bidi w:val="0"/>
        <w:adjustRightInd/>
        <w:snapToGrid/>
        <w:spacing w:line="560" w:lineRule="exact"/>
        <w:ind w:right="77" w:rightChars="32"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四、该项目在启动生产设施或者发生实际排污之前须按《固定污染源排污许可分类管理名录》申请取得排污许可证或填报排污登记表。</w:t>
      </w:r>
    </w:p>
    <w:p>
      <w:pPr>
        <w:keepNext w:val="0"/>
        <w:keepLines w:val="0"/>
        <w:pageBreakBefore w:val="0"/>
        <w:widowControl w:val="0"/>
        <w:kinsoku/>
        <w:wordWrap/>
        <w:overflowPunct/>
        <w:topLinePunct w:val="0"/>
        <w:autoSpaceDE/>
        <w:autoSpaceDN/>
        <w:bidi w:val="0"/>
        <w:adjustRightInd/>
        <w:snapToGrid/>
        <w:spacing w:line="560" w:lineRule="exact"/>
        <w:ind w:right="77" w:rightChars="32"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五、加强环境监管。由岳阳市湘阴县生态环境保护综合行政执法大队负责该项目日常环境监管。你公司应在收到本批复后7个工作日内，将批复及批准的环评报告文本送至湘阴县文星街道办事处、岳阳市湘阴县生态环境保护综合行政执法大队、湖南至中环保科技有限公司。</w:t>
      </w:r>
    </w:p>
    <w:p>
      <w:pPr>
        <w:keepNext w:val="0"/>
        <w:keepLines w:val="0"/>
        <w:pageBreakBefore w:val="0"/>
        <w:widowControl w:val="0"/>
        <w:kinsoku/>
        <w:wordWrap/>
        <w:overflowPunct/>
        <w:topLinePunct w:val="0"/>
        <w:autoSpaceDE/>
        <w:autoSpaceDN/>
        <w:bidi w:val="0"/>
        <w:adjustRightInd/>
        <w:snapToGrid/>
        <w:spacing w:line="560" w:lineRule="exact"/>
        <w:ind w:right="77" w:rightChars="32" w:firstLine="640" w:firstLineChars="200"/>
        <w:textAlignment w:val="auto"/>
        <w:rPr>
          <w:rFonts w:hint="default" w:ascii="仿宋_GB2312" w:hAnsi="仿宋" w:eastAsia="仿宋_GB2312"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77" w:rightChars="32" w:firstLine="5440" w:firstLineChars="1700"/>
        <w:jc w:val="both"/>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岳阳市生态环境局</w:t>
      </w:r>
    </w:p>
    <w:p>
      <w:pPr>
        <w:keepNext w:val="0"/>
        <w:keepLines w:val="0"/>
        <w:pageBreakBefore w:val="0"/>
        <w:widowControl w:val="0"/>
        <w:kinsoku/>
        <w:wordWrap/>
        <w:overflowPunct/>
        <w:topLinePunct w:val="0"/>
        <w:autoSpaceDE/>
        <w:autoSpaceDN/>
        <w:bidi w:val="0"/>
        <w:adjustRightInd/>
        <w:snapToGrid/>
        <w:spacing w:line="560" w:lineRule="exact"/>
        <w:ind w:right="77" w:rightChars="32" w:firstLine="5440" w:firstLineChars="1700"/>
        <w:jc w:val="both"/>
        <w:textAlignment w:val="auto"/>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t>202</w:t>
      </w:r>
      <w:r>
        <w:rPr>
          <w:rFonts w:hint="default" w:ascii="仿宋_GB2312" w:hAnsi="仿宋" w:eastAsia="仿宋_GB2312" w:cs="仿宋"/>
          <w:sz w:val="32"/>
          <w:szCs w:val="32"/>
          <w:lang w:eastAsia="zh-CN"/>
        </w:rPr>
        <w:t>4</w:t>
      </w:r>
      <w:r>
        <w:rPr>
          <w:rFonts w:hint="default" w:ascii="仿宋_GB2312" w:hAnsi="仿宋" w:eastAsia="仿宋_GB2312" w:cs="仿宋"/>
          <w:sz w:val="32"/>
          <w:szCs w:val="32"/>
          <w:lang w:val="en-US" w:eastAsia="zh-CN"/>
        </w:rPr>
        <w:t>年</w:t>
      </w:r>
      <w:r>
        <w:rPr>
          <w:rFonts w:hint="eastAsia" w:ascii="仿宋_GB2312" w:hAnsi="仿宋" w:eastAsia="仿宋_GB2312" w:cs="仿宋"/>
          <w:sz w:val="32"/>
          <w:szCs w:val="32"/>
          <w:lang w:val="en-US" w:eastAsia="zh-CN"/>
        </w:rPr>
        <w:t>2</w:t>
      </w:r>
      <w:r>
        <w:rPr>
          <w:rFonts w:hint="default" w:ascii="仿宋_GB2312" w:hAnsi="仿宋" w:eastAsia="仿宋_GB2312" w:cs="仿宋"/>
          <w:sz w:val="32"/>
          <w:szCs w:val="32"/>
          <w:lang w:val="en-US" w:eastAsia="zh-CN"/>
        </w:rPr>
        <w:t>月</w:t>
      </w:r>
      <w:r>
        <w:rPr>
          <w:rFonts w:hint="eastAsia" w:ascii="仿宋_GB2312" w:hAnsi="仿宋" w:eastAsia="仿宋_GB2312" w:cs="仿宋"/>
          <w:sz w:val="32"/>
          <w:szCs w:val="32"/>
          <w:lang w:val="en-US" w:eastAsia="zh-CN"/>
        </w:rPr>
        <w:t>26</w:t>
      </w:r>
      <w:r>
        <w:rPr>
          <w:rFonts w:hint="default" w:ascii="仿宋_GB2312" w:hAnsi="仿宋" w:eastAsia="仿宋_GB2312" w:cs="仿宋"/>
          <w:sz w:val="32"/>
          <w:szCs w:val="32"/>
          <w:lang w:val="en-US" w:eastAsia="zh-CN"/>
        </w:rPr>
        <w:t>日</w:t>
      </w:r>
    </w:p>
    <w:sectPr>
      <w:pgSz w:w="11906" w:h="16838"/>
      <w:pgMar w:top="1440" w:right="1587" w:bottom="1497"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auto"/>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xYjE4YTNmYTU3YjhlMGNiNTk5YTYzNzI4MjBiMjEifQ=="/>
  </w:docVars>
  <w:rsids>
    <w:rsidRoot w:val="39871127"/>
    <w:rsid w:val="023C280F"/>
    <w:rsid w:val="03DA4BBB"/>
    <w:rsid w:val="0495013B"/>
    <w:rsid w:val="06B90665"/>
    <w:rsid w:val="08ED730C"/>
    <w:rsid w:val="0A3C61AC"/>
    <w:rsid w:val="0AB35643"/>
    <w:rsid w:val="0C9436F8"/>
    <w:rsid w:val="0DC8196D"/>
    <w:rsid w:val="0E6D02AF"/>
    <w:rsid w:val="10340F65"/>
    <w:rsid w:val="10390CD7"/>
    <w:rsid w:val="10555E3E"/>
    <w:rsid w:val="107D2216"/>
    <w:rsid w:val="11405C66"/>
    <w:rsid w:val="12282C43"/>
    <w:rsid w:val="1230248E"/>
    <w:rsid w:val="163C2D9F"/>
    <w:rsid w:val="180A1847"/>
    <w:rsid w:val="18A83B7C"/>
    <w:rsid w:val="19765953"/>
    <w:rsid w:val="1AB65C88"/>
    <w:rsid w:val="1CDD5F36"/>
    <w:rsid w:val="205F06EE"/>
    <w:rsid w:val="208A4E9B"/>
    <w:rsid w:val="20D50D82"/>
    <w:rsid w:val="227537E8"/>
    <w:rsid w:val="22D43BAA"/>
    <w:rsid w:val="2324091F"/>
    <w:rsid w:val="23971277"/>
    <w:rsid w:val="267E1858"/>
    <w:rsid w:val="2C5E3F2F"/>
    <w:rsid w:val="2C7A76E0"/>
    <w:rsid w:val="2F8A31AE"/>
    <w:rsid w:val="31331914"/>
    <w:rsid w:val="31501751"/>
    <w:rsid w:val="32EB1275"/>
    <w:rsid w:val="34210F50"/>
    <w:rsid w:val="36CA719C"/>
    <w:rsid w:val="373E40BA"/>
    <w:rsid w:val="37A57225"/>
    <w:rsid w:val="386E1A42"/>
    <w:rsid w:val="394919AB"/>
    <w:rsid w:val="39871127"/>
    <w:rsid w:val="3A4C5D67"/>
    <w:rsid w:val="3BC518C9"/>
    <w:rsid w:val="3BCC5BF7"/>
    <w:rsid w:val="3FF57DD8"/>
    <w:rsid w:val="40555745"/>
    <w:rsid w:val="44150F23"/>
    <w:rsid w:val="458C4D3B"/>
    <w:rsid w:val="460038C2"/>
    <w:rsid w:val="481B23A6"/>
    <w:rsid w:val="4B8D02AC"/>
    <w:rsid w:val="4C5F5EB6"/>
    <w:rsid w:val="4DF90E66"/>
    <w:rsid w:val="4E156B2F"/>
    <w:rsid w:val="52CE1B13"/>
    <w:rsid w:val="5335771C"/>
    <w:rsid w:val="5344426B"/>
    <w:rsid w:val="58C1182F"/>
    <w:rsid w:val="59450545"/>
    <w:rsid w:val="5B864C30"/>
    <w:rsid w:val="5C4A6641"/>
    <w:rsid w:val="5F4556F0"/>
    <w:rsid w:val="617C3E5A"/>
    <w:rsid w:val="633E0294"/>
    <w:rsid w:val="635F0597"/>
    <w:rsid w:val="641461CF"/>
    <w:rsid w:val="66821D68"/>
    <w:rsid w:val="671958AB"/>
    <w:rsid w:val="6B5E5730"/>
    <w:rsid w:val="6D8A0BA7"/>
    <w:rsid w:val="6E102C4F"/>
    <w:rsid w:val="720F136D"/>
    <w:rsid w:val="796609D4"/>
    <w:rsid w:val="7ACC5B46"/>
    <w:rsid w:val="7D327004"/>
    <w:rsid w:val="7F2009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eastAsia="宋体" w:asciiTheme="minorAscii" w:hAnsiTheme="minorAscii" w:cstheme="minorBidi"/>
      <w:kern w:val="2"/>
      <w:sz w:val="24"/>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xl27"/>
    <w:basedOn w:val="1"/>
    <w:qFormat/>
    <w:uiPriority w:val="99"/>
    <w:pPr>
      <w:widowControl/>
      <w:pBdr>
        <w:bottom w:val="single" w:color="auto" w:sz="4" w:space="0"/>
        <w:right w:val="single" w:color="auto" w:sz="4" w:space="0"/>
      </w:pBdr>
      <w:spacing w:before="100" w:beforeAutospacing="1" w:after="100" w:afterAutospacing="1"/>
      <w:jc w:val="center"/>
    </w:pPr>
    <w:rPr>
      <w:kern w:val="0"/>
      <w:szCs w:val="21"/>
    </w:rPr>
  </w:style>
  <w:style w:type="paragraph" w:styleId="4">
    <w:name w:val="Body Text Indent"/>
    <w:basedOn w:val="1"/>
    <w:next w:val="5"/>
    <w:qFormat/>
    <w:uiPriority w:val="0"/>
    <w:pPr>
      <w:spacing w:after="120"/>
      <w:ind w:left="420" w:leftChars="200"/>
    </w:pPr>
    <w:rPr>
      <w:kern w:val="0"/>
      <w:sz w:val="24"/>
      <w:szCs w:val="20"/>
    </w:rPr>
  </w:style>
  <w:style w:type="paragraph" w:customStyle="1" w:styleId="5">
    <w:name w:val="样式 正文文本缩进 + 行距: 1.5 倍行距"/>
    <w:basedOn w:val="1"/>
    <w:qFormat/>
    <w:uiPriority w:val="0"/>
    <w:pPr>
      <w:spacing w:after="120" w:line="360" w:lineRule="auto"/>
      <w:ind w:left="90" w:leftChars="32" w:firstLine="560" w:firstLineChars="200"/>
    </w:pPr>
    <w:rPr>
      <w:rFonts w:cs="宋体"/>
    </w:rPr>
  </w:style>
  <w:style w:type="paragraph" w:styleId="6">
    <w:name w:val="Body Text Indent 2"/>
    <w:next w:val="1"/>
    <w:qFormat/>
    <w:uiPriority w:val="0"/>
    <w:pPr>
      <w:widowControl/>
      <w:spacing w:after="120" w:line="480" w:lineRule="auto"/>
      <w:ind w:left="420" w:leftChars="200"/>
      <w:jc w:val="left"/>
    </w:pPr>
    <w:rPr>
      <w:rFonts w:ascii="Calibri" w:hAnsi="Calibri" w:eastAsia="宋体" w:cs="Times New Roman"/>
      <w:kern w:val="2"/>
      <w:sz w:val="21"/>
      <w:szCs w:val="24"/>
      <w:lang w:val="en-US" w:eastAsia="zh-CN" w:bidi="ar-SA"/>
    </w:rPr>
  </w:style>
  <w:style w:type="paragraph" w:styleId="7">
    <w:name w:val="Body Text First Indent 2"/>
    <w:basedOn w:val="4"/>
    <w:next w:val="1"/>
    <w:qFormat/>
    <w:uiPriority w:val="0"/>
    <w:pPr>
      <w:ind w:firstLine="420" w:firstLineChars="200"/>
    </w:pPr>
  </w:style>
  <w:style w:type="character" w:styleId="10">
    <w:name w:val="annotation reference"/>
    <w:semiHidden/>
    <w:qFormat/>
    <w:uiPriority w:val="0"/>
    <w:rPr>
      <w:sz w:val="21"/>
    </w:rPr>
  </w:style>
  <w:style w:type="paragraph" w:customStyle="1" w:styleId="11">
    <w:name w:val="WPS Plain"/>
    <w:qFormat/>
    <w:uiPriority w:val="0"/>
    <w:rPr>
      <w:rFonts w:ascii="Times New Roman" w:hAnsi="Times New Roman" w:eastAsia="宋体" w:cs="Times New Roman"/>
      <w:lang w:val="en-US" w:eastAsia="zh-CN" w:bidi="ar-SA"/>
    </w:rPr>
  </w:style>
  <w:style w:type="character" w:customStyle="1" w:styleId="12">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1446</Words>
  <Characters>1519</Characters>
  <Lines>0</Lines>
  <Paragraphs>0</Paragraphs>
  <TotalTime>35</TotalTime>
  <ScaleCrop>false</ScaleCrop>
  <LinksUpToDate>false</LinksUpToDate>
  <CharactersWithSpaces>1521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2023-01-05T02:00:00Z</dcterms:created>
  <dc:creator>贺玥莹</dc:creator>
  <cp:lastModifiedBy>钟雷</cp:lastModifiedBy>
  <cp:lastPrinted>2024-02-26T05:39:00Z</cp:lastPrinted>
  <dcterms:modified xsi:type="dcterms:W3CDTF">2024-03-05T02:19:34Z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B795BCE1180D4BC3A6E871F40CB939C9_13</vt:lpwstr>
  </property>
</Properties>
</file>