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line="219" w:lineRule="auto"/>
        <w:ind w:firstLine="906" w:firstLineChars="300"/>
        <w:jc w:val="both"/>
        <w:rPr>
          <w:rFonts w:ascii="仿宋_GB2312" w:hAnsi="仿宋_GB2312" w:eastAsia="仿宋_GB2312" w:cs="仿宋_GB2312"/>
          <w:spacing w:val="-9"/>
          <w:kern w:val="2"/>
          <w:sz w:val="32"/>
          <w:szCs w:val="32"/>
          <w:lang w:val="en-US" w:eastAsia="zh-CN" w:bidi="ar-SA"/>
        </w:rPr>
      </w:pPr>
      <w:r>
        <w:rPr>
          <w:rFonts w:hint="eastAsia" w:ascii="仿宋_GB2312" w:hAnsi="仿宋_GB2312" w:eastAsia="仿宋_GB2312" w:cs="仿宋_GB2312"/>
          <w:spacing w:val="-9"/>
          <w:kern w:val="2"/>
          <w:sz w:val="32"/>
          <w:szCs w:val="32"/>
          <w:lang w:val="en-US" w:eastAsia="zh-CN" w:bidi="ar-SA"/>
        </w:rPr>
        <w:t>附件</w:t>
      </w:r>
      <w:r>
        <w:rPr>
          <w:rFonts w:ascii="仿宋_GB2312" w:hAnsi="仿宋_GB2312" w:eastAsia="仿宋_GB2312" w:cs="仿宋_GB2312"/>
          <w:spacing w:val="-9"/>
          <w:kern w:val="2"/>
          <w:sz w:val="32"/>
          <w:szCs w:val="32"/>
          <w:lang w:val="en-US" w:eastAsia="zh-CN" w:bidi="ar-SA"/>
        </w:rPr>
        <w:t>1</w:t>
      </w:r>
    </w:p>
    <w:p>
      <w:pPr>
        <w:widowControl w:val="0"/>
        <w:spacing w:before="120" w:line="219" w:lineRule="auto"/>
        <w:jc w:val="center"/>
        <w:rPr>
          <w:rFonts w:ascii="方正小标宋简体" w:hAnsi="方正小标宋简体" w:eastAsia="方正小标宋简体" w:cs="方正小标宋简体"/>
          <w:spacing w:val="-9"/>
          <w:kern w:val="2"/>
          <w:sz w:val="44"/>
          <w:szCs w:val="44"/>
          <w:lang w:val="en-US" w:eastAsia="zh-CN" w:bidi="ar-SA"/>
        </w:rPr>
      </w:pPr>
      <w:r>
        <w:rPr>
          <w:rFonts w:hint="eastAsia" w:ascii="方正小标宋简体" w:hAnsi="方正小标宋简体" w:eastAsia="方正小标宋简体" w:cs="方正小标宋简体"/>
          <w:spacing w:val="-9"/>
          <w:kern w:val="2"/>
          <w:sz w:val="44"/>
          <w:szCs w:val="44"/>
          <w:lang w:val="en-US" w:eastAsia="zh-CN" w:bidi="ar-SA"/>
        </w:rPr>
        <w:t>报废机动车回收拆解行业监管执法责任清单</w:t>
      </w:r>
    </w:p>
    <w:p>
      <w:pPr>
        <w:widowControl w:val="0"/>
        <w:spacing w:before="120" w:line="219" w:lineRule="auto"/>
        <w:jc w:val="center"/>
        <w:rPr>
          <w:rFonts w:ascii="宋体" w:hAnsi="宋体" w:eastAsia="宋体" w:cs="宋体"/>
          <w:b/>
          <w:bCs/>
          <w:spacing w:val="-9"/>
          <w:kern w:val="2"/>
          <w:sz w:val="10"/>
          <w:szCs w:val="10"/>
          <w:lang w:val="en-US" w:eastAsia="zh-CN" w:bidi="ar-SA"/>
        </w:rPr>
      </w:pPr>
    </w:p>
    <w:tbl>
      <w:tblPr>
        <w:tblStyle w:val="4"/>
        <w:tblW w:w="1530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3521"/>
        <w:gridCol w:w="4977"/>
        <w:gridCol w:w="1982"/>
        <w:gridCol w:w="1985"/>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00" w:type="dxa"/>
          </w:tcPr>
          <w:p>
            <w:pPr>
              <w:widowControl/>
              <w:kinsoku w:val="0"/>
              <w:autoSpaceDE w:val="0"/>
              <w:autoSpaceDN w:val="0"/>
              <w:adjustRightInd w:val="0"/>
              <w:snapToGrid w:val="0"/>
              <w:spacing w:before="152" w:line="221" w:lineRule="auto"/>
              <w:ind w:left="158"/>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5"/>
                <w:kern w:val="0"/>
                <w:sz w:val="28"/>
                <w:szCs w:val="28"/>
                <w:lang w:val="en-US" w:eastAsia="en-US" w:bidi="ar-SA"/>
              </w:rPr>
              <w:t>序号</w:t>
            </w:r>
          </w:p>
        </w:tc>
        <w:tc>
          <w:tcPr>
            <w:tcW w:w="3521" w:type="dxa"/>
          </w:tcPr>
          <w:p>
            <w:pPr>
              <w:widowControl/>
              <w:kinsoku w:val="0"/>
              <w:autoSpaceDE w:val="0"/>
              <w:autoSpaceDN w:val="0"/>
              <w:adjustRightInd w:val="0"/>
              <w:snapToGrid w:val="0"/>
              <w:spacing w:before="151" w:line="219" w:lineRule="auto"/>
              <w:ind w:left="1384"/>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5"/>
                <w:kern w:val="0"/>
                <w:sz w:val="28"/>
                <w:szCs w:val="28"/>
                <w:lang w:val="en-US" w:eastAsia="en-US" w:bidi="ar-SA"/>
              </w:rPr>
              <w:t>执法对象</w:t>
            </w:r>
          </w:p>
        </w:tc>
        <w:tc>
          <w:tcPr>
            <w:tcW w:w="4977" w:type="dxa"/>
          </w:tcPr>
          <w:p>
            <w:pPr>
              <w:widowControl/>
              <w:kinsoku w:val="0"/>
              <w:autoSpaceDE w:val="0"/>
              <w:autoSpaceDN w:val="0"/>
              <w:adjustRightInd w:val="0"/>
              <w:snapToGrid w:val="0"/>
              <w:spacing w:before="151" w:line="219" w:lineRule="auto"/>
              <w:ind w:left="2007"/>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5"/>
                <w:kern w:val="0"/>
                <w:sz w:val="28"/>
                <w:szCs w:val="28"/>
                <w:lang w:val="en-US" w:eastAsia="en-US" w:bidi="ar-SA"/>
              </w:rPr>
              <w:t>执法内容</w:t>
            </w:r>
          </w:p>
        </w:tc>
        <w:tc>
          <w:tcPr>
            <w:tcW w:w="1982" w:type="dxa"/>
          </w:tcPr>
          <w:p>
            <w:pPr>
              <w:widowControl/>
              <w:kinsoku w:val="0"/>
              <w:autoSpaceDE w:val="0"/>
              <w:autoSpaceDN w:val="0"/>
              <w:adjustRightInd w:val="0"/>
              <w:snapToGrid w:val="0"/>
              <w:spacing w:before="149" w:line="219" w:lineRule="auto"/>
              <w:ind w:left="660"/>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2"/>
                <w:kern w:val="0"/>
                <w:sz w:val="28"/>
                <w:szCs w:val="28"/>
                <w:lang w:val="en-US" w:eastAsia="en-US" w:bidi="ar-SA"/>
              </w:rPr>
              <w:t>牵头部门</w:t>
            </w:r>
          </w:p>
        </w:tc>
        <w:tc>
          <w:tcPr>
            <w:tcW w:w="1985" w:type="dxa"/>
          </w:tcPr>
          <w:p>
            <w:pPr>
              <w:widowControl/>
              <w:kinsoku w:val="0"/>
              <w:autoSpaceDE w:val="0"/>
              <w:autoSpaceDN w:val="0"/>
              <w:adjustRightInd w:val="0"/>
              <w:snapToGrid w:val="0"/>
              <w:spacing w:before="151" w:line="219" w:lineRule="auto"/>
              <w:ind w:left="362"/>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2"/>
                <w:kern w:val="0"/>
                <w:sz w:val="28"/>
                <w:szCs w:val="28"/>
                <w:lang w:val="en-US" w:eastAsia="en-US" w:bidi="ar-SA"/>
              </w:rPr>
              <w:t>配合部门</w:t>
            </w:r>
          </w:p>
        </w:tc>
        <w:tc>
          <w:tcPr>
            <w:tcW w:w="1935" w:type="dxa"/>
          </w:tcPr>
          <w:p>
            <w:pPr>
              <w:widowControl/>
              <w:kinsoku w:val="0"/>
              <w:autoSpaceDE w:val="0"/>
              <w:autoSpaceDN w:val="0"/>
              <w:adjustRightInd w:val="0"/>
              <w:snapToGrid w:val="0"/>
              <w:spacing w:before="149" w:line="219" w:lineRule="auto"/>
              <w:ind w:left="583"/>
              <w:jc w:val="left"/>
              <w:textAlignment w:val="baseline"/>
              <w:rPr>
                <w:rFonts w:ascii="黑体" w:hAnsi="黑体" w:eastAsia="黑体" w:cs="黑体"/>
                <w:color w:val="000000"/>
                <w:kern w:val="0"/>
                <w:sz w:val="28"/>
                <w:szCs w:val="28"/>
                <w:lang w:val="en-US" w:eastAsia="en-US" w:bidi="ar-SA"/>
              </w:rPr>
            </w:pPr>
            <w:r>
              <w:rPr>
                <w:rFonts w:hint="eastAsia" w:ascii="黑体" w:hAnsi="黑体" w:eastAsia="黑体" w:cs="黑体"/>
                <w:color w:val="000000"/>
                <w:spacing w:val="-5"/>
                <w:kern w:val="0"/>
                <w:sz w:val="28"/>
                <w:szCs w:val="28"/>
                <w:lang w:val="en-US" w:eastAsia="en-US" w:bidi="ar-SA"/>
              </w:rPr>
              <w:t>执法依据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未取得资质认定，擅自从事报废机动车回收拆解活动的行为。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没收非法回收拆解的报废机动车、报废机动车</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“五大总成”和其他零部件，没收违法所得；违</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法所得在</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万元以上的，并处违法所得</w:t>
            </w:r>
            <w:r>
              <w:rPr>
                <w:rFonts w:ascii="仿宋_GB2312" w:hAnsi="Calibri" w:eastAsia="仿宋_GB2312" w:cs="Times New Roman"/>
                <w:snapToGrid/>
                <w:kern w:val="2"/>
                <w:szCs w:val="21"/>
                <w:lang w:eastAsia="zh-CN"/>
              </w:rPr>
              <w:t>2</w:t>
            </w:r>
            <w:r>
              <w:rPr>
                <w:rFonts w:hint="eastAsia" w:ascii="仿宋_GB2312" w:hAnsi="Calibri" w:eastAsia="仿宋_GB2312" w:cs="Times New Roman"/>
                <w:snapToGrid/>
                <w:kern w:val="2"/>
                <w:szCs w:val="21"/>
                <w:lang w:eastAsia="zh-CN"/>
              </w:rPr>
              <w:t>倍以</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上</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倍以下的罚款；违法所得不足</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万元或者</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没有违法所得的，并处</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10</w:t>
            </w:r>
            <w:r>
              <w:rPr>
                <w:rFonts w:hint="eastAsia" w:ascii="仿宋_GB2312" w:hAnsi="Calibri" w:eastAsia="仿宋_GB2312" w:cs="Times New Roman"/>
                <w:snapToGrid/>
                <w:kern w:val="2"/>
                <w:szCs w:val="21"/>
                <w:lang w:eastAsia="zh-CN"/>
              </w:rPr>
              <w:t>万元以下</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的罚款。</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县商务粮食局、县公安局、县生态环境局、属地乡镇</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2</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机动车生产企业未按照国家有关规定承担生产者责任向回收拆解企业提供相关技术支持的行为。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县工信局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3</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回收拆解企业涂改、出租、出借或者以其他形式非法转让《资质认定书》的行为。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《细则》第四十一条规定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4</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回收拆解企业未按照要求备案分支机构的行为。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《细则》第四十二条规定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5</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回收拆解企业的分支机构对报废机动车进行拆解的行为。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万元罚款；拒不改正或者情</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节严重的，由原发证部门吊销回收拆解企业的</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《资质认定书》。</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《细则》第四十二条规定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900"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6</w:t>
            </w:r>
          </w:p>
        </w:tc>
        <w:tc>
          <w:tcPr>
            <w:tcW w:w="3521"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回收拆解企业违规开具或者发放《报废机动车回收证明》</w:t>
            </w:r>
            <w:r>
              <w:rPr>
                <w:rFonts w:ascii="仿宋_GB2312" w:hAnsi="Calibri" w:eastAsia="仿宋_GB2312" w:cs="Times New Roman"/>
                <w:snapToGrid/>
                <w:kern w:val="2"/>
                <w:szCs w:val="21"/>
                <w:lang w:eastAsia="zh-CN"/>
              </w:rPr>
              <w:t>,</w:t>
            </w:r>
            <w:r>
              <w:rPr>
                <w:rFonts w:hint="eastAsia" w:ascii="仿宋_GB2312" w:hAnsi="Calibri" w:eastAsia="仿宋_GB2312" w:cs="Times New Roman"/>
                <w:snapToGrid/>
                <w:kern w:val="2"/>
                <w:szCs w:val="21"/>
                <w:lang w:eastAsia="zh-CN"/>
              </w:rPr>
              <w:t>或者未按照规定对已出具《报废机动车回收证明》的报废机动车进行拆解的行为。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责令限期改正，整改期间暂停打印《报废机动车回收证明》</w:t>
            </w:r>
            <w:r>
              <w:rPr>
                <w:rFonts w:ascii="仿宋_GB2312" w:hAnsi="Calibri" w:eastAsia="仿宋_GB2312" w:cs="Times New Roman"/>
                <w:snapToGrid/>
                <w:kern w:val="2"/>
                <w:szCs w:val="21"/>
                <w:lang w:eastAsia="zh-CN"/>
              </w:rPr>
              <w:t>;</w:t>
            </w:r>
            <w:r>
              <w:rPr>
                <w:rFonts w:hint="eastAsia" w:ascii="仿宋_GB2312" w:hAnsi="Calibri" w:eastAsia="仿宋_GB2312" w:cs="Times New Roman"/>
                <w:snapToGrid/>
                <w:kern w:val="2"/>
                <w:szCs w:val="21"/>
                <w:lang w:eastAsia="zh-CN"/>
              </w:rPr>
              <w:t>情节严重的，处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1982"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985"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3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《细则》第四十三</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bl>
    <w:p>
      <w:pPr>
        <w:widowControl w:val="0"/>
        <w:spacing w:before="120" w:line="219" w:lineRule="auto"/>
        <w:jc w:val="center"/>
        <w:rPr>
          <w:rFonts w:ascii="方正小标宋简体" w:hAnsi="方正小标宋简体" w:eastAsia="方正小标宋简体" w:cs="方正小标宋简体"/>
          <w:spacing w:val="-9"/>
          <w:kern w:val="2"/>
          <w:sz w:val="44"/>
          <w:szCs w:val="44"/>
          <w:lang w:val="en-US" w:eastAsia="zh-CN" w:bidi="ar-SA"/>
        </w:rPr>
      </w:pPr>
      <w:r>
        <w:rPr>
          <w:rFonts w:hint="eastAsia" w:ascii="方正小标宋简体" w:hAnsi="方正小标宋简体" w:eastAsia="方正小标宋简体" w:cs="方正小标宋简体"/>
          <w:spacing w:val="-9"/>
          <w:kern w:val="2"/>
          <w:sz w:val="44"/>
          <w:szCs w:val="44"/>
          <w:lang w:val="en-US" w:eastAsia="zh-CN" w:bidi="ar-SA"/>
        </w:rPr>
        <w:t>报废机动车回收拆解行业监管执法责任清单</w:t>
      </w:r>
    </w:p>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tbl>
      <w:tblPr>
        <w:tblStyle w:val="4"/>
        <w:tblW w:w="1530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3737"/>
        <w:gridCol w:w="5007"/>
        <w:gridCol w:w="2278"/>
        <w:gridCol w:w="1689"/>
        <w:gridCol w:w="1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7</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回收拆解企业明知或者应当知道回收的机动车为赃物或者用于盗窃、抢劫等犯罪活动的犯罪工具，未向公安机关报告，擅自拆解、改装、拼装、倒卖该机动车的行为。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按照《治安管理处罚法》予以治安管理处罚，构成犯罪的，依法追究刑事责任。被追究刑事责任或者两年内被治安管理处罚两次以上的，由原发证部门吊销《资质认定书》。</w:t>
            </w:r>
          </w:p>
        </w:tc>
        <w:tc>
          <w:tcPr>
            <w:tcW w:w="2278"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县公安机局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5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《细则》第四十三</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8</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回收拆解企业未按照国家有关规定及时向公安机关交通管理部门办理机动车注销登记，并将注销证明转交机动车所有人的行为。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责令改正，可以处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万元以下的罚款。</w:t>
            </w:r>
          </w:p>
        </w:tc>
        <w:tc>
          <w:tcPr>
            <w:tcW w:w="2278"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5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《管理办法》第二十二条规定、《细则》第四十四条规定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9</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回收拆解企业未在其资质认定的拆解经营场地内对回收的报废机动车予以拆解，或者交易报废机动车整车、拼装车的行为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万元罚款；拒不改正或者情节严重的，由原发证部门吊销《资质认定书》。</w:t>
            </w:r>
          </w:p>
        </w:tc>
        <w:tc>
          <w:tcPr>
            <w:tcW w:w="2278"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5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《细则》第四十五</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10</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回收拆解企业未建立生产经营全覆盖的电子监控系统，或者录像保存不足</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年的行为。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责令限期改正，整改期间暂停打印《报废机动车回收证明》</w:t>
            </w:r>
            <w:r>
              <w:rPr>
                <w:rFonts w:ascii="仿宋_GB2312" w:hAnsi="Calibri" w:eastAsia="仿宋_GB2312" w:cs="Times New Roman"/>
                <w:snapToGrid/>
                <w:kern w:val="2"/>
                <w:szCs w:val="21"/>
                <w:lang w:eastAsia="zh-CN"/>
              </w:rPr>
              <w:t>;</w:t>
            </w:r>
            <w:r>
              <w:rPr>
                <w:rFonts w:hint="eastAsia" w:ascii="仿宋_GB2312" w:hAnsi="Calibri" w:eastAsia="仿宋_GB2312" w:cs="Times New Roman"/>
                <w:snapToGrid/>
                <w:kern w:val="2"/>
                <w:szCs w:val="21"/>
                <w:lang w:eastAsia="zh-CN"/>
              </w:rPr>
              <w:t>情节严重的，处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2278"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5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《细则》第四十六</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11</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回收拆解企业违反环境保护法律、法规和强制性标准，污染环境的行为。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责令限期改正，并依法予以处罚；拒不改正或者逾期未改正的，由原发证部门吊销《资质认定书》</w:t>
            </w:r>
          </w:p>
        </w:tc>
        <w:tc>
          <w:tcPr>
            <w:tcW w:w="2278"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县生态环境局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55"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《管理办法》第二十四条规定、《细则》第四十七条规定</w:t>
            </w:r>
          </w:p>
        </w:tc>
      </w:tr>
    </w:tbl>
    <w:p>
      <w:pPr>
        <w:jc w:val="center"/>
        <w:rPr>
          <w:rFonts w:ascii="宋体" w:cs="宋体"/>
        </w:rPr>
        <w:sectPr>
          <w:footerReference r:id="rId5" w:type="default"/>
          <w:pgSz w:w="16820" w:h="11900"/>
          <w:pgMar w:top="1011" w:right="554" w:bottom="1227" w:left="625" w:header="0" w:footer="919" w:gutter="0"/>
          <w:cols w:space="720" w:num="1"/>
        </w:sectPr>
      </w:pPr>
    </w:p>
    <w:p>
      <w:pPr>
        <w:widowControl w:val="0"/>
        <w:spacing w:before="120" w:line="219" w:lineRule="auto"/>
        <w:jc w:val="center"/>
        <w:rPr>
          <w:rFonts w:ascii="方正小标宋简体" w:hAnsi="方正小标宋简体" w:eastAsia="方正小标宋简体" w:cs="方正小标宋简体"/>
          <w:spacing w:val="-9"/>
          <w:kern w:val="2"/>
          <w:sz w:val="44"/>
          <w:szCs w:val="44"/>
          <w:lang w:val="en-US" w:eastAsia="zh-CN" w:bidi="ar-SA"/>
        </w:rPr>
      </w:pPr>
      <w:r>
        <w:rPr>
          <w:rFonts w:hint="eastAsia" w:ascii="方正小标宋简体" w:hAnsi="方正小标宋简体" w:eastAsia="方正小标宋简体" w:cs="方正小标宋简体"/>
          <w:spacing w:val="-9"/>
          <w:kern w:val="2"/>
          <w:sz w:val="44"/>
          <w:szCs w:val="44"/>
          <w:lang w:val="en-US" w:eastAsia="zh-CN" w:bidi="ar-SA"/>
        </w:rPr>
        <w:t>报废机动车回收拆解行业监管执法责任清单</w:t>
      </w:r>
    </w:p>
    <w:p>
      <w:pPr>
        <w:widowControl w:val="0"/>
        <w:kinsoku/>
        <w:autoSpaceDE/>
        <w:autoSpaceDN/>
        <w:adjustRightInd/>
        <w:snapToGrid/>
        <w:spacing w:line="183" w:lineRule="auto"/>
        <w:ind w:firstLine="386" w:firstLineChars="200"/>
        <w:jc w:val="center"/>
        <w:textAlignment w:val="auto"/>
        <w:rPr>
          <w:rFonts w:ascii="Calibri" w:hAnsi="Calibri" w:eastAsia="宋体" w:cs="Times New Roman"/>
          <w:b/>
          <w:bCs/>
          <w:snapToGrid/>
          <w:spacing w:val="-9"/>
          <w:kern w:val="2"/>
          <w:szCs w:val="24"/>
          <w:lang w:eastAsia="zh-CN"/>
        </w:rPr>
      </w:pPr>
    </w:p>
    <w:tbl>
      <w:tblPr>
        <w:tblStyle w:val="4"/>
        <w:tblW w:w="1530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3747"/>
        <w:gridCol w:w="4977"/>
        <w:gridCol w:w="2279"/>
        <w:gridCol w:w="1699"/>
        <w:gridCol w:w="1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12</w:t>
            </w:r>
          </w:p>
        </w:tc>
        <w:tc>
          <w:tcPr>
            <w:tcW w:w="374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回收拆解企业不再符合《细则》第八条规定有关环境保护相关认定条件。</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责令限期改正，并依法予以处罚；拒不改正或者逾期未改正的，由原发证部门撤销《资质认定书》。</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县生态环境局</w:t>
            </w:r>
          </w:p>
        </w:tc>
        <w:tc>
          <w:tcPr>
            <w:tcW w:w="169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6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《细则》第四十七</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13</w:t>
            </w:r>
          </w:p>
        </w:tc>
        <w:tc>
          <w:tcPr>
            <w:tcW w:w="374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回收拆解企业未按照环境保护法律、法规和强制性标准做到：</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建立固体废物管理台账，如实记录报废机动车拆解产物的种类、数量、流向、贮存、利用和处置等信息，并通过“全国固体废物管理信息系统”进行填报；</w:t>
            </w:r>
            <w:r>
              <w:rPr>
                <w:rFonts w:ascii="仿宋_GB2312" w:hAnsi="Calibri" w:eastAsia="仿宋_GB2312" w:cs="Times New Roman"/>
                <w:snapToGrid/>
                <w:kern w:val="2"/>
                <w:szCs w:val="21"/>
                <w:lang w:eastAsia="zh-CN"/>
              </w:rPr>
              <w:t>2.</w:t>
            </w:r>
            <w:r>
              <w:rPr>
                <w:rFonts w:hint="eastAsia" w:ascii="仿宋_GB2312" w:hAnsi="Calibri" w:eastAsia="仿宋_GB2312" w:cs="Times New Roman"/>
                <w:snapToGrid/>
                <w:kern w:val="2"/>
                <w:szCs w:val="21"/>
                <w:lang w:eastAsia="zh-CN"/>
              </w:rPr>
              <w:t>制定危险废物管理计划，按照国家有关规定贮存、运输、转移和利用处置危险废物。</w:t>
            </w:r>
          </w:p>
        </w:tc>
        <w:tc>
          <w:tcPr>
            <w:tcW w:w="4977"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依法处罚</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县生态环境局</w:t>
            </w:r>
          </w:p>
        </w:tc>
        <w:tc>
          <w:tcPr>
            <w:tcW w:w="169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6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《细则》第四十七</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14</w:t>
            </w:r>
          </w:p>
        </w:tc>
        <w:tc>
          <w:tcPr>
            <w:tcW w:w="374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回收拆解企业未按照要求建立报废机动车零部件销售台账并如实记录“五大总成”信息并上传信息系统的行为。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万元以下的罚款；情节严重的，责令停业整顿。</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9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6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《管理办法》第二</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十三条、《细则》</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第四十八条规定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63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15</w:t>
            </w:r>
          </w:p>
        </w:tc>
        <w:tc>
          <w:tcPr>
            <w:tcW w:w="374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未按照国家有关标准和规定要求，对报废新能源汽车的废旧动力蓄电池或者其他类型诸能设施进行拆卸、收集、贮存、运输及回收利用的，或者未将报废新能源汽车车辆识别代号及动力蓄电池编码、数量、型号、流向等信息录入有关平台的行为。</w:t>
            </w:r>
          </w:p>
        </w:tc>
        <w:tc>
          <w:tcPr>
            <w:tcW w:w="497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9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县工信局</w:t>
            </w:r>
          </w:p>
        </w:tc>
        <w:tc>
          <w:tcPr>
            <w:tcW w:w="196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《细则》第四十九</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bl>
    <w:p>
      <w:pPr>
        <w:widowControl w:val="0"/>
        <w:spacing w:before="120" w:line="219" w:lineRule="auto"/>
        <w:jc w:val="center"/>
        <w:rPr>
          <w:rFonts w:hint="eastAsia" w:ascii="方正小标宋简体" w:hAnsi="方正小标宋简体" w:eastAsia="方正小标宋简体" w:cs="方正小标宋简体"/>
          <w:spacing w:val="-9"/>
          <w:kern w:val="2"/>
          <w:sz w:val="44"/>
          <w:szCs w:val="44"/>
          <w:lang w:val="en-US" w:eastAsia="zh-CN" w:bidi="ar-SA"/>
        </w:rPr>
      </w:pPr>
    </w:p>
    <w:p>
      <w:pPr>
        <w:widowControl w:val="0"/>
        <w:spacing w:before="120" w:line="219" w:lineRule="auto"/>
        <w:jc w:val="center"/>
        <w:rPr>
          <w:rFonts w:ascii="方正小标宋简体" w:hAnsi="方正小标宋简体" w:eastAsia="方正小标宋简体" w:cs="方正小标宋简体"/>
          <w:spacing w:val="-9"/>
          <w:kern w:val="2"/>
          <w:sz w:val="44"/>
          <w:szCs w:val="44"/>
          <w:lang w:val="en-US" w:eastAsia="zh-CN" w:bidi="ar-SA"/>
        </w:rPr>
      </w:pPr>
      <w:r>
        <w:rPr>
          <w:rFonts w:hint="eastAsia" w:ascii="方正小标宋简体" w:hAnsi="方正小标宋简体" w:eastAsia="方正小标宋简体" w:cs="方正小标宋简体"/>
          <w:spacing w:val="-9"/>
          <w:kern w:val="2"/>
          <w:sz w:val="44"/>
          <w:szCs w:val="44"/>
          <w:lang w:val="en-US" w:eastAsia="zh-CN" w:bidi="ar-SA"/>
        </w:rPr>
        <w:t>报废机动车回收拆解行业监管执法责任清单</w:t>
      </w:r>
    </w:p>
    <w:p>
      <w:pPr>
        <w:widowControl w:val="0"/>
        <w:kinsoku/>
        <w:autoSpaceDE/>
        <w:autoSpaceDN/>
        <w:adjustRightInd/>
        <w:snapToGrid/>
        <w:spacing w:before="4" w:line="240" w:lineRule="auto"/>
        <w:jc w:val="center"/>
        <w:textAlignment w:val="auto"/>
        <w:rPr>
          <w:rFonts w:ascii="Calibri" w:hAnsi="Calibri" w:eastAsia="宋体" w:cs="Times New Roman"/>
          <w:snapToGrid/>
          <w:kern w:val="2"/>
          <w:szCs w:val="24"/>
          <w:lang w:eastAsia="zh-CN"/>
        </w:rPr>
      </w:pPr>
    </w:p>
    <w:tbl>
      <w:tblPr>
        <w:tblStyle w:val="4"/>
        <w:tblW w:w="1530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737"/>
        <w:gridCol w:w="5007"/>
        <w:gridCol w:w="2279"/>
        <w:gridCol w:w="1689"/>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64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16</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违反《细则》第二十八条、第二十九条规定，回收拆解企业出售的报废机动车“五大总成”及其他零部件不符合相关要求的行为。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责令改正，没收报废机动车“五大总成”和其他</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零部件，没收违法所得；违法所得在</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上的，并处违法所得</w:t>
            </w:r>
            <w:r>
              <w:rPr>
                <w:rFonts w:ascii="仿宋_GB2312" w:hAnsi="Calibri" w:eastAsia="仿宋_GB2312" w:cs="Times New Roman"/>
                <w:snapToGrid/>
                <w:kern w:val="2"/>
                <w:szCs w:val="21"/>
                <w:lang w:eastAsia="zh-CN"/>
              </w:rPr>
              <w:t>2</w:t>
            </w:r>
            <w:r>
              <w:rPr>
                <w:rFonts w:hint="eastAsia" w:ascii="仿宋_GB2312" w:hAnsi="Calibri" w:eastAsia="仿宋_GB2312" w:cs="Times New Roman"/>
                <w:snapToGrid/>
                <w:kern w:val="2"/>
                <w:szCs w:val="21"/>
                <w:lang w:eastAsia="zh-CN"/>
              </w:rPr>
              <w:t>倍以上</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倍以下的罚款；违法所得不足</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万元或者没有违法所得的，并处</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10</w:t>
            </w:r>
            <w:r>
              <w:rPr>
                <w:rFonts w:hint="eastAsia" w:ascii="仿宋_GB2312" w:hAnsi="Calibri" w:eastAsia="仿宋_GB2312" w:cs="Times New Roman"/>
                <w:snapToGrid/>
                <w:kern w:val="2"/>
                <w:szCs w:val="21"/>
                <w:lang w:eastAsia="zh-CN"/>
              </w:rPr>
              <w:t>万元以下的罚款；情节严重的，责令停业整顿直至由原发证部门吊销《资质认定书》。</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4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《管理办法》第二</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十一条、《细则》</w:t>
            </w:r>
          </w:p>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第五十条规定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64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17</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回收拆解企业将报废机动车“五大总成”及其他零部件出售给或者交予《细则》第二十八条、第二十九条规定以外企业处理的行为。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责令改正，并处</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3</w:t>
            </w:r>
            <w:r>
              <w:rPr>
                <w:rFonts w:hint="eastAsia" w:ascii="仿宋_GB2312" w:hAnsi="Calibri" w:eastAsia="仿宋_GB2312" w:cs="Times New Roman"/>
                <w:snapToGrid/>
                <w:kern w:val="2"/>
                <w:szCs w:val="21"/>
                <w:lang w:eastAsia="zh-CN"/>
              </w:rPr>
              <w:t>万元以下的罚款。</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县商务粮食局、县公安局</w:t>
            </w:r>
          </w:p>
        </w:tc>
        <w:tc>
          <w:tcPr>
            <w:tcW w:w="194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《细则》第五十条</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64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18</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机动车维修经营者承修已报废的机动车的行为。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责令改正；有违法所得的，没收违法所得，处违法所得</w:t>
            </w:r>
            <w:r>
              <w:rPr>
                <w:rFonts w:ascii="仿宋_GB2312" w:hAnsi="Calibri" w:eastAsia="仿宋_GB2312" w:cs="Times New Roman"/>
                <w:snapToGrid/>
                <w:kern w:val="2"/>
                <w:szCs w:val="21"/>
                <w:lang w:eastAsia="zh-CN"/>
              </w:rPr>
              <w:t>2</w:t>
            </w:r>
            <w:r>
              <w:rPr>
                <w:rFonts w:hint="eastAsia" w:ascii="仿宋_GB2312" w:hAnsi="Calibri" w:eastAsia="仿宋_GB2312" w:cs="Times New Roman"/>
                <w:snapToGrid/>
                <w:kern w:val="2"/>
                <w:szCs w:val="21"/>
                <w:lang w:eastAsia="zh-CN"/>
              </w:rPr>
              <w:t>倍以上</w:t>
            </w:r>
            <w:r>
              <w:rPr>
                <w:rFonts w:ascii="仿宋_GB2312" w:hAnsi="Calibri" w:eastAsia="仿宋_GB2312" w:cs="Times New Roman"/>
                <w:snapToGrid/>
                <w:kern w:val="2"/>
                <w:szCs w:val="21"/>
                <w:lang w:eastAsia="zh-CN"/>
              </w:rPr>
              <w:t>10</w:t>
            </w:r>
            <w:r>
              <w:rPr>
                <w:rFonts w:hint="eastAsia" w:ascii="仿宋_GB2312" w:hAnsi="Calibri" w:eastAsia="仿宋_GB2312" w:cs="Times New Roman"/>
                <w:snapToGrid/>
                <w:kern w:val="2"/>
                <w:szCs w:val="21"/>
                <w:lang w:eastAsia="zh-CN"/>
              </w:rPr>
              <w:t>倍以下的罚款；没有违法所得或者违法所得不足</w:t>
            </w:r>
            <w:r>
              <w:rPr>
                <w:rFonts w:ascii="仿宋_GB2312" w:hAnsi="Calibri" w:eastAsia="仿宋_GB2312" w:cs="Times New Roman"/>
                <w:snapToGrid/>
                <w:kern w:val="2"/>
                <w:szCs w:val="21"/>
                <w:lang w:eastAsia="zh-CN"/>
              </w:rPr>
              <w:t>1</w:t>
            </w:r>
            <w:r>
              <w:rPr>
                <w:rFonts w:hint="eastAsia" w:ascii="仿宋_GB2312" w:hAnsi="Calibri" w:eastAsia="仿宋_GB2312" w:cs="Times New Roman"/>
                <w:snapToGrid/>
                <w:kern w:val="2"/>
                <w:szCs w:val="21"/>
                <w:lang w:eastAsia="zh-CN"/>
              </w:rPr>
              <w:t>万元的，处</w:t>
            </w:r>
            <w:r>
              <w:rPr>
                <w:rFonts w:ascii="仿宋_GB2312" w:hAnsi="Calibri" w:eastAsia="仿宋_GB2312" w:cs="Times New Roman"/>
                <w:snapToGrid/>
                <w:kern w:val="2"/>
                <w:szCs w:val="21"/>
                <w:lang w:eastAsia="zh-CN"/>
              </w:rPr>
              <w:t>2</w:t>
            </w:r>
            <w:r>
              <w:rPr>
                <w:rFonts w:hint="eastAsia" w:ascii="仿宋_GB2312" w:hAnsi="Calibri" w:eastAsia="仿宋_GB2312" w:cs="Times New Roman"/>
                <w:snapToGrid/>
                <w:kern w:val="2"/>
                <w:szCs w:val="21"/>
                <w:lang w:eastAsia="zh-CN"/>
              </w:rPr>
              <w:t>万元以上</w:t>
            </w:r>
            <w:r>
              <w:rPr>
                <w:rFonts w:ascii="仿宋_GB2312" w:hAnsi="Calibri" w:eastAsia="仿宋_GB2312" w:cs="Times New Roman"/>
                <w:snapToGrid/>
                <w:kern w:val="2"/>
                <w:szCs w:val="21"/>
                <w:lang w:eastAsia="zh-CN"/>
              </w:rPr>
              <w:t>5</w:t>
            </w:r>
            <w:r>
              <w:rPr>
                <w:rFonts w:hint="eastAsia" w:ascii="仿宋_GB2312" w:hAnsi="Calibri" w:eastAsia="仿宋_GB2312" w:cs="Times New Roman"/>
                <w:snapToGrid/>
                <w:kern w:val="2"/>
                <w:szCs w:val="21"/>
                <w:lang w:eastAsia="zh-CN"/>
              </w:rPr>
              <w:t>万元以下的罚款，没收报废机动车；情节严重的，由县级以上道路运输管理机构责令停业整顿；构成犯罪的，依法追究刑事责任。</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县交通局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w:t>
            </w:r>
          </w:p>
        </w:tc>
        <w:tc>
          <w:tcPr>
            <w:tcW w:w="194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《细则》第五十一</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19</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买卖或者伪造、变造《资质认定书》《报废机动车回收证明》的行为。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按照《治安管理处罚法》依法给予治安管理处罚。</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县公安局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tc>
        <w:tc>
          <w:tcPr>
            <w:tcW w:w="194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《细则》第五十二</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644"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ascii="仿宋_GB2312" w:hAnsi="Calibri" w:eastAsia="仿宋_GB2312" w:cs="Times New Roman"/>
                <w:snapToGrid/>
                <w:kern w:val="2"/>
                <w:szCs w:val="21"/>
                <w:lang w:eastAsia="zh-CN"/>
              </w:rPr>
              <w:t>20</w:t>
            </w:r>
          </w:p>
        </w:tc>
        <w:tc>
          <w:tcPr>
            <w:tcW w:w="373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发现在拆解或者处置过程中可能造成环境污染的电器电子等产品，设计使用列入国家禁止使用名录的有毒有害物质的行为。</w:t>
            </w:r>
          </w:p>
        </w:tc>
        <w:tc>
          <w:tcPr>
            <w:tcW w:w="5007"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回收拆解企业有权向市场监管部门进行举报，有关部门应当及时通报市场监管部门。市场监管部门依据《循环经济促进法》第五十一条规定处理。</w:t>
            </w:r>
          </w:p>
        </w:tc>
        <w:tc>
          <w:tcPr>
            <w:tcW w:w="227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县市监局</w:t>
            </w:r>
          </w:p>
        </w:tc>
        <w:tc>
          <w:tcPr>
            <w:tcW w:w="1689" w:type="dxa"/>
            <w:vAlign w:val="center"/>
          </w:tcPr>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县商务粮食局、</w:t>
            </w:r>
          </w:p>
          <w:p>
            <w:pPr>
              <w:widowControl w:val="0"/>
              <w:kinsoku/>
              <w:autoSpaceDE/>
              <w:autoSpaceDN/>
              <w:adjustRightInd/>
              <w:snapToGrid/>
              <w:spacing w:line="240" w:lineRule="auto"/>
              <w:jc w:val="center"/>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县公安局</w:t>
            </w:r>
          </w:p>
        </w:tc>
        <w:tc>
          <w:tcPr>
            <w:tcW w:w="1944" w:type="dxa"/>
            <w:vAlign w:val="center"/>
          </w:tcPr>
          <w:p>
            <w:pPr>
              <w:widowControl w:val="0"/>
              <w:kinsoku/>
              <w:autoSpaceDE/>
              <w:autoSpaceDN/>
              <w:adjustRightInd/>
              <w:snapToGrid/>
              <w:spacing w:line="240" w:lineRule="auto"/>
              <w:jc w:val="both"/>
              <w:textAlignment w:val="auto"/>
              <w:rPr>
                <w:rFonts w:ascii="仿宋_GB2312" w:hAnsi="Calibri" w:eastAsia="仿宋_GB2312" w:cs="Times New Roman"/>
                <w:snapToGrid/>
                <w:kern w:val="2"/>
                <w:szCs w:val="21"/>
                <w:lang w:eastAsia="zh-CN"/>
              </w:rPr>
            </w:pPr>
            <w:r>
              <w:rPr>
                <w:rFonts w:hint="eastAsia" w:ascii="仿宋_GB2312" w:hAnsi="Calibri" w:eastAsia="仿宋_GB2312" w:cs="Times New Roman"/>
                <w:snapToGrid/>
                <w:kern w:val="2"/>
                <w:szCs w:val="21"/>
                <w:lang w:eastAsia="zh-CN"/>
              </w:rPr>
              <w:t>《细则》第五十三</w:t>
            </w:r>
            <w:r>
              <w:rPr>
                <w:rFonts w:ascii="仿宋_GB2312" w:hAnsi="Calibri" w:eastAsia="仿宋_GB2312" w:cs="Times New Roman"/>
                <w:snapToGrid/>
                <w:kern w:val="2"/>
                <w:szCs w:val="21"/>
                <w:lang w:eastAsia="zh-CN"/>
              </w:rPr>
              <w:t xml:space="preserve"> </w:t>
            </w:r>
            <w:r>
              <w:rPr>
                <w:rFonts w:hint="eastAsia" w:ascii="仿宋_GB2312" w:hAnsi="Calibri" w:eastAsia="仿宋_GB2312" w:cs="Times New Roman"/>
                <w:snapToGrid/>
                <w:kern w:val="2"/>
                <w:szCs w:val="21"/>
                <w:lang w:eastAsia="zh-CN"/>
              </w:rPr>
              <w:t>条规定</w:t>
            </w:r>
          </w:p>
        </w:tc>
      </w:tr>
    </w:tbl>
    <w:p>
      <w:pPr>
        <w:rPr>
          <w:rFonts w:ascii="宋体" w:cs="宋体"/>
        </w:rPr>
        <w:sectPr>
          <w:headerReference r:id="rId6" w:type="default"/>
          <w:footerReference r:id="rId7" w:type="default"/>
          <w:pgSz w:w="16820" w:h="11900"/>
          <w:pgMar w:top="1011" w:right="554" w:bottom="1225" w:left="614" w:header="0" w:footer="907" w:gutter="0"/>
          <w:cols w:space="720" w:num="1"/>
        </w:sectPr>
      </w:pPr>
    </w:p>
    <w:p>
      <w:bookmarkStart w:id="0" w:name="_GoBack"/>
      <w:bookmarkEnd w:id="0"/>
    </w:p>
    <w:sectPr>
      <w:headerReference r:id="rId8" w:type="default"/>
      <w:footerReference r:id="rId9"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77" w:lineRule="auto"/>
      <w:ind w:left="1414"/>
      <w:jc w:val="both"/>
      <w:rPr>
        <w:rFonts w:ascii="宋体" w:hAnsi="宋体" w:eastAsia="宋体" w:cs="宋体"/>
        <w:kern w:val="2"/>
        <w:sz w:val="31"/>
        <w:szCs w:val="31"/>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78" w:lineRule="auto"/>
      <w:ind w:left="1424"/>
      <w:jc w:val="both"/>
      <w:rPr>
        <w:rFonts w:ascii="宋体" w:hAnsi="宋体" w:eastAsia="宋体" w:cs="宋体"/>
        <w:kern w:val="2"/>
        <w:sz w:val="32"/>
        <w:szCs w:val="3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13284"/>
      <w:rPr>
        <w:sz w:val="30"/>
        <w:szCs w:val="30"/>
      </w:rPr>
    </w:pPr>
    <w:r>
      <w:rPr>
        <w:spacing w:val="-10"/>
        <w:sz w:val="30"/>
        <w:szCs w:val="3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93" w:lineRule="exact"/>
      <w:ind w:left="5585"/>
      <w:jc w:val="both"/>
      <w:rPr>
        <w:rFonts w:ascii="宋体" w:hAnsi="宋体" w:eastAsia="宋体" w:cs="宋体"/>
        <w:kern w:val="2"/>
        <w:sz w:val="15"/>
        <w:szCs w:val="15"/>
        <w:lang w:val="en-US" w:eastAsia="en-US" w:bidi="ar-SA"/>
      </w:rPr>
    </w:pPr>
    <w:r>
      <w:rPr>
        <w:rFonts w:ascii="宋体" w:hAnsi="宋体" w:eastAsia="宋体" w:cs="宋体"/>
        <w:kern w:val="2"/>
        <w:position w:val="-3"/>
        <w:sz w:val="15"/>
        <w:szCs w:val="15"/>
        <w:lang w:val="en-US" w:eastAsia="en-US" w:bidi="ar-SA"/>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93" w:lineRule="exact"/>
      <w:ind w:left="5585"/>
      <w:rPr>
        <w:sz w:val="15"/>
        <w:szCs w:val="15"/>
      </w:rPr>
    </w:pPr>
    <w:r>
      <w:rPr>
        <w:position w:val="-3"/>
        <w:sz w:val="15"/>
        <w:szCs w:val="15"/>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OTVlZGE1NzE0ZThiZDQxYTM2NWQ1N2EwZGI5NDMifQ=="/>
    <w:docVar w:name="KSO_WPS_MARK_KEY" w:val="9562813f-99c3-46cf-84fc-bc3d244e4bea"/>
  </w:docVars>
  <w:rsids>
    <w:rsidRoot w:val="38414F6A"/>
    <w:rsid w:val="014D1F33"/>
    <w:rsid w:val="02571C51"/>
    <w:rsid w:val="04461020"/>
    <w:rsid w:val="04C66110"/>
    <w:rsid w:val="072163DE"/>
    <w:rsid w:val="07B40FAC"/>
    <w:rsid w:val="088F7690"/>
    <w:rsid w:val="0B357684"/>
    <w:rsid w:val="0B3A3EBE"/>
    <w:rsid w:val="0DFC1E8C"/>
    <w:rsid w:val="0EBD2952"/>
    <w:rsid w:val="113A4C18"/>
    <w:rsid w:val="11716160"/>
    <w:rsid w:val="127E28E2"/>
    <w:rsid w:val="15297246"/>
    <w:rsid w:val="17B92661"/>
    <w:rsid w:val="183B3351"/>
    <w:rsid w:val="1D13244B"/>
    <w:rsid w:val="1FF70178"/>
    <w:rsid w:val="208B1571"/>
    <w:rsid w:val="214445A3"/>
    <w:rsid w:val="239006C7"/>
    <w:rsid w:val="2499461A"/>
    <w:rsid w:val="25E877BF"/>
    <w:rsid w:val="26862B41"/>
    <w:rsid w:val="2A2E29C2"/>
    <w:rsid w:val="2AB53BA0"/>
    <w:rsid w:val="2AD91217"/>
    <w:rsid w:val="2ED81174"/>
    <w:rsid w:val="2EF0518E"/>
    <w:rsid w:val="2F6A2714"/>
    <w:rsid w:val="2FD66FEA"/>
    <w:rsid w:val="2FD7047A"/>
    <w:rsid w:val="3057719A"/>
    <w:rsid w:val="30F658E4"/>
    <w:rsid w:val="36196C83"/>
    <w:rsid w:val="36BE6EA2"/>
    <w:rsid w:val="379579C1"/>
    <w:rsid w:val="37AA0860"/>
    <w:rsid w:val="38414F6A"/>
    <w:rsid w:val="3CA73211"/>
    <w:rsid w:val="3D9C2824"/>
    <w:rsid w:val="3EE6343A"/>
    <w:rsid w:val="3F1D5574"/>
    <w:rsid w:val="44071B29"/>
    <w:rsid w:val="45F261D2"/>
    <w:rsid w:val="48073196"/>
    <w:rsid w:val="499E33D4"/>
    <w:rsid w:val="4C9B2DBD"/>
    <w:rsid w:val="4CBB6E24"/>
    <w:rsid w:val="4DC40DEA"/>
    <w:rsid w:val="4E5B2D9E"/>
    <w:rsid w:val="4FDA48F5"/>
    <w:rsid w:val="4FF550BD"/>
    <w:rsid w:val="50597F0F"/>
    <w:rsid w:val="51A64A84"/>
    <w:rsid w:val="522D01E0"/>
    <w:rsid w:val="53FA3C53"/>
    <w:rsid w:val="563665FD"/>
    <w:rsid w:val="58684797"/>
    <w:rsid w:val="586B2361"/>
    <w:rsid w:val="5B583A26"/>
    <w:rsid w:val="5BF65C6D"/>
    <w:rsid w:val="5E515E4C"/>
    <w:rsid w:val="5F58537A"/>
    <w:rsid w:val="616A32A2"/>
    <w:rsid w:val="62B32B7E"/>
    <w:rsid w:val="62EC0759"/>
    <w:rsid w:val="64665A47"/>
    <w:rsid w:val="69BA7640"/>
    <w:rsid w:val="69D23E98"/>
    <w:rsid w:val="6BC93D43"/>
    <w:rsid w:val="6C8859AD"/>
    <w:rsid w:val="6DF4662F"/>
    <w:rsid w:val="6F2914EE"/>
    <w:rsid w:val="6F4D6A39"/>
    <w:rsid w:val="70D6480D"/>
    <w:rsid w:val="70E852C8"/>
    <w:rsid w:val="72CE4243"/>
    <w:rsid w:val="73185EE0"/>
    <w:rsid w:val="76442B95"/>
    <w:rsid w:val="7A1A2F1C"/>
    <w:rsid w:val="7B24258E"/>
    <w:rsid w:val="7F4E1F44"/>
    <w:rsid w:val="7FC1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19"/>
      <w:szCs w:val="11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2528</Words>
  <Characters>2544</Characters>
  <Lines>0</Lines>
  <Paragraphs>0</Paragraphs>
  <TotalTime>2</TotalTime>
  <ScaleCrop>false</ScaleCrop>
  <LinksUpToDate>false</LinksUpToDate>
  <CharactersWithSpaces>2591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2024-03-05T08:16:00Z</dcterms:created>
  <dc:creator>彭珍珍</dc:creator>
  <cp:lastModifiedBy>吴鑫</cp:lastModifiedBy>
  <dcterms:modified xsi:type="dcterms:W3CDTF">2024-03-27T07:41:52Z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A92BC7CF795D4B9DB8D4DB8E6F55D50E_13</vt:lpwstr>
  </property>
</Properties>
</file>