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附件二：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第三方机构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登记</w:t>
      </w:r>
      <w:r>
        <w:rPr>
          <w:rFonts w:hint="eastAsia" w:ascii="Times New Roman" w:hAnsi="Times New Roman" w:eastAsia="方正小标宋_GBK"/>
          <w:sz w:val="36"/>
          <w:szCs w:val="36"/>
        </w:rPr>
        <w:t>材料清单</w:t>
      </w:r>
    </w:p>
    <w:p>
      <w:pPr>
        <w:rPr>
          <w:rFonts w:ascii="Times New Roman" w:hAnsi="Times New Roman"/>
        </w:rPr>
      </w:pP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一、单位概况</w:t>
      </w:r>
    </w:p>
    <w:p>
      <w:pPr>
        <w:ind w:firstLine="716" w:firstLineChars="2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营业执照、办公场所证明、单位资质、单位简介、法人情况等方面介绍及有关证明文件。</w:t>
      </w: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二、业务负责人情况</w:t>
      </w:r>
    </w:p>
    <w:p>
      <w:pPr>
        <w:ind w:firstLine="716" w:firstLineChars="2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业务负责人个人情况、单位任职、专业、学历、职称、工作经历、研究能力、社会风险评估培训、劳动合同、社保缴纳等方面介绍及有关证明文件。</w:t>
      </w: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三、主要评估人员情况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ind w:firstLine="716" w:firstLineChars="2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主要评估人员个人情况、专业、学历、职称、工作经历、研究能力、社会风险评估培训、劳动合同、社保缴纳等方面介绍及有关证明文件。</w:t>
      </w: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四、管理制度</w:t>
      </w:r>
    </w:p>
    <w:p>
      <w:pPr>
        <w:ind w:firstLine="716" w:firstLineChars="2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业务管理、质量控制、人员培训、档案管理、保密规定等管理制度。</w:t>
      </w: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五、业务开展情况</w:t>
      </w: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六、其他情况</w:t>
      </w:r>
    </w:p>
    <w:p>
      <w:pPr>
        <w:ind w:firstLine="716" w:firstLineChars="224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七、联系人、联系方式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YTI0OWRhY2E3YmFiMzFmNTk4NzUwZmQ5YTAxYzYifQ=="/>
  </w:docVars>
  <w:rsids>
    <w:rsidRoot w:val="073701FE"/>
    <w:rsid w:val="073701FE"/>
    <w:rsid w:val="76C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2024-06-04T03:56:00Z</dcterms:created>
  <dc:creator>赵丽</dc:creator>
  <cp:lastModifiedBy>程振宇</cp:lastModifiedBy>
  <dcterms:modified xsi:type="dcterms:W3CDTF">2024-07-05T04:46:37Z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DFA5F547041C495FBF7A53D030C157A7_13</vt:lpwstr>
  </property>
</Properties>
</file>