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新宋体" w:eastAsia="仿宋_GB2312"/>
          <w:bCs/>
          <w:sz w:val="32"/>
          <w:szCs w:val="32"/>
        </w:rPr>
      </w:pPr>
      <w:r>
        <w:rPr>
          <w:rFonts w:hint="eastAsia" w:ascii="仿宋_GB2312" w:hAnsi="新宋体" w:eastAsia="仿宋_GB2312"/>
          <w:bCs/>
          <w:sz w:val="32"/>
          <w:szCs w:val="32"/>
        </w:rPr>
        <w:t xml:space="preserve">        </w:t>
      </w:r>
      <w:bookmarkStart w:id="0" w:name="_GoBack"/>
      <w:bookmarkEnd w:id="0"/>
    </w:p>
    <w:p>
      <w:pPr>
        <w:rPr>
          <w:rFonts w:hint="eastAsia" w:ascii="仿宋_GB2312" w:hAnsi="新宋体" w:eastAsia="仿宋_GB2312"/>
          <w:bCs/>
          <w:sz w:val="32"/>
          <w:szCs w:val="32"/>
          <w:lang w:val="en-US" w:eastAsia="zh-CN"/>
        </w:rPr>
      </w:pPr>
      <w:r>
        <w:rPr>
          <w:rFonts w:hint="eastAsia"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新宋体" w:eastAsia="仿宋_GB2312"/>
          <w:bCs/>
          <w:sz w:val="32"/>
          <w:szCs w:val="32"/>
        </w:rPr>
      </w:pPr>
      <w:r>
        <w:rPr>
          <w:rFonts w:hint="eastAsia" w:ascii="仿宋_GB2312" w:hAnsi="新宋体" w:eastAsia="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hAnsi="新宋体" w:eastAsia="仿宋_GB2312"/>
          <w:bCs/>
          <w:sz w:val="32"/>
          <w:szCs w:val="32"/>
        </w:rPr>
      </w:pPr>
      <w:r>
        <w:rPr>
          <w:rFonts w:hint="eastAsia" w:ascii="仿宋_GB2312" w:hAnsi="新宋体" w:eastAsia="仿宋_GB2312"/>
          <w:bCs/>
          <w:sz w:val="32"/>
          <w:szCs w:val="32"/>
        </w:rPr>
        <w:t>岳湘阴环评〔2024〕22号</w:t>
      </w:r>
    </w:p>
    <w:p>
      <w:pPr>
        <w:spacing w:line="600" w:lineRule="exact"/>
        <w:ind w:left="-357" w:leftChars="-170" w:right="-334" w:rightChars="-159" w:firstLine="0" w:firstLineChars="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关于湖南可孚医疗设备有限公司医疗护理用品建设项目变动环境影响报告表的批复</w:t>
      </w:r>
    </w:p>
    <w:p>
      <w:pPr>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湖南可孚医疗设备有限公司：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你公司《关于湖南可孚医疗设备有限公司医疗护理用品建设项目变动环境影响报告表”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湖南可孚医疗设备有限公司位于岳阳市湘阴县金龙新区金凤大道与机场路交汇处西南侧（其地理中心坐标为：112度55分43.36秒，28度31分24.72秒），于2021年5月17日报批了《湖南可孚医疗设备有限公司医疗护理用品建设项目环境影响报告表》，并取得岳阳市生态环境局湘阴分局的批复(湘阴环评批【2021】37号)。由于公司发展需求，拟投资12800万元（其中环保投资235万元）对其生产内容进行变动，本次项目变动内容主要为：1#车间新增轮椅、护理床、牵引椅、助行器、拐杖及其他同类康复器具生产线；2#车间新增成人纸尿裤、医用垫巾生产线；3#车间新增创可贴、无菌敷贴、洗鼻盐、鼻腔喷雾、小苏打生产线，原6#生产车间口罩生产线搬至本车间；6#生产车间新增棉片生产线，新增熔喷布机1台，原3#车间棉球、棉片、棉卷生产线、PE/TPE手套生产线、牙线生产线搬至本生产车间；新建13#-16#车间，13#和14#车间新增碘伏生产线，原3#车间酒精湿巾、酒精消毒片、酒精凝胶生产线搬至13#和14#车间；淘汰CPE手套、防护服、隔离衣、酒精棉签、碘伏棉签生产线。其他配套环保设施，其他辅助、公用工程均依托厂区现有。（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该项目符合国家产业政策，符合《湖南湘阴高新区近期规划（2020-2025）》要求，根据湖南隆宇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项目营运过程中须认真落实环评报告表、专家意见及批复意见中提出的各项污染防治措施，做好“以新带老”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加强施工期间环境管理，明确有关环保责任。制定好扬尘控制方案，扬尘控制与治理措施严格按照《岳阳市扬尘污染防治条例》（2019年第3号）执行。限定施工场、物料场所，在进行施工时，应进行洒水防尘，对出入的渣土运输车辆实施蓬覆式遮盖处理，防止物料散落、扬尘污染；施工废水回用于洒水降尘，不外排；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1.废水污染防治工作。建设好雨污分流、污污分流。生活废水经现有化粪池处理满足《污水综合排放标准》（GB8978-1996）三级标准和园区污水处理厂的进水水质要求后进入湘阴县第三污水处理厂进行深度处理，达标后最终排入湘江；生产废水经自建污水处理设备处理满足《污水综合排放标准》（GB8978-1996）三级标准和园区污水处理厂的进水水质要求后进入湘阴县第三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2.废气污染防治工作。合理布局生产车间，做好车间通风、防尘及作业人员的劳保措施，最大限度的降低生产过程无组织排放废气的产生。确保厂界非甲烷总烃、颗粒物满足《合成树脂工业污染物排放标准》（GB31572-2015） 表9企业边界大气污染物浓度限值要求；厂房外挥发性有机废气满足《挥发性有机物无组织排放控制标准》（GB 37822-2019）表A.1厂区内VOCs无组织排放限值。项目熔喷布生产线熔融、熔喷工序产生的废气经处理达到《合成树脂工业污染物排放标准》（GB31572-2015） 表4大气污染物排放限值要求后分别通过15m高排气筒（2#、6#、7#、8#）高空排放；环氧乙烷灭菌工序产生的废气经处理达到《大气污染物综合排放标准》（GB 16297-1996）表2新污染源大气污染物排放限值要求后通过15m高排气筒（3#）高空排放；PVC手套生产线烘干塑化工序产生的废气经处理达到《大气污染物综合排放标准》（GB 16297-1996）表2新污染源大气污染物排放限值要求后通过15m高排气筒（4#）高空排放；PE/TPE手套边角料回收造粒、牙线棒生产线注塑、TPE手套生产线流延、PE手套生产线吹膜等工序产生的有机废气经处理达到《合成树脂工业污染物排放标准》（GB31572-2015） 表4大气污染物排放限值要求后通过15m高排气筒（9#）高空排放；轮椅、护理床、拐杖等塑料件注塑工序产生的有机废气经处理达到《合成树脂工业污染物排放标准》（GB31572-2015） 表4大气污染物排放限值要求后通过15m高排气筒（10#）高空排放；环氧树脂喷粉固化工艺产生的废气经处理后，其中颗粒物、SO2、NOx满足《湖南省工业炉窑大气污染综合治理实施方案》（湘环发【2020】6号）中相关排放限值要求、非甲烷总烃满足《合成树脂工业污染物排放标准》（GB31572-2015） 表4大气污染物排放限值要求后通过15m高排气筒（11#）高空排放.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3.噪声污染防治工作。优化平面布局，选用低噪声设备，对高噪声设备采取隔声、消音、减振等降噪措施，厂界四周噪声须满足《工业企业厂界环境噪声排放标准》（GB12348-2008）3类标准限值的要求。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4.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废活性炭、磷化沉渣、废水处理污泥、废水处理油泥、脱脂剂包装、磷化剂包装、废矿物油及含有抹布及劳保用品等危险废物经收集后暂存于危废暂存间，委托有危废资质的单位进行处置；静电喷涂粉尘经收集后回用于生产，边角料及不合格产品和环氧乙烷吸附废液经收集后综合利用；生活垃圾收集后交由园区环卫部门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5.加强环境风险防范工作。强化公司现场管理，创造良好的公司营运环境，加强环境管理，确保各项污染防治设施正常运行，严格按照《突发环境事件应急预案管理暂行办法》要求制定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6.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7. 该项目污染物排放总量控制指标为：该项目扩建后污染物排放总量控制指标为：SO2≤0.2t/a，NOX≤1.2t/a，COD≤0.6t/a，NH3-N≤0.1t/a，VOCs≤7.3t/a，原项目已有总量指标：SO2≤0.1t/a、NOX≤0.2t/a、COD≤1t/a、NH3-N≤0.1t/a，本次扩建项目需要购买总量：SO2≤0.1t/a、NOX≤1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8.其余按原环评批复执行。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四、该项目在启动生产设施或者发生实际排污之前需按《固定污染源排污许可分类管理名录》申请变更排污许可证或者排污登记表。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五、加强环境监管。由岳阳市湘阴县生态环境保护综合行政执法大队负责该项目环境监管。你公司应在收到本批复后7个工作日内，将批复及批准的环评报告文本送至南湘阴高新技术产业开发区管理委员会、岳阳市湘阴县生态环境保护综合行政执法大队、湖南隆宇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rPr>
      </w:pPr>
      <w:r>
        <w:rPr>
          <w:rFonts w:hint="eastAsia" w:ascii="仿宋_GB2312" w:hAnsi="Times New Roman" w:eastAsia="仿宋_GB2312" w:cs="Times New Roman"/>
          <w:b w:val="0"/>
          <w:bCs w:val="0"/>
          <w:sz w:val="32"/>
          <w:szCs w:val="32"/>
          <w:u w:val="none" w:color="auto"/>
          <w:lang w:val="en-US" w:eastAsia="zh-CN"/>
        </w:rPr>
        <w:t xml:space="preserve">                             2024年9月6日    </w:t>
      </w:r>
      <w:r>
        <w:rPr>
          <w:rFonts w:hint="eastAsia" w:ascii="仿宋_GB2312" w:hAnsi="新宋体" w:eastAsia="仿宋_GB2312"/>
          <w:bCs/>
          <w:sz w:val="32"/>
          <w:szCs w:val="32"/>
        </w:rPr>
        <w:t xml:space="preserve">      </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427461F"/>
    <w:rsid w:val="3427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2024-09-06T06:59:00Z</dcterms:created>
  <dc:creator>十指紧扣*^_^*</dc:creator>
  <cp:lastModifiedBy>十指紧扣*^_^*</cp:lastModifiedBy>
  <cp:lastPrinted>2024-09-06T07:02:10Z</cp:lastPrinted>
  <dcterms:modified xsi:type="dcterms:W3CDTF">2024-09-06T07:03:47Z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3BF81EF0D2A748E38F141EFDA1E9C3DD_11</vt:lpwstr>
  </property>
</Properties>
</file>