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adjustRightInd w:val="0"/>
        <w:spacing w:line="600" w:lineRule="exact"/>
        <w:ind w:right="67" w:rightChars="32"/>
        <w:jc w:val="both"/>
        <w:textAlignment w:val="top"/>
        <w:rPr>
          <w:rFonts w:ascii="仿宋_GB2312" w:eastAsia="仿宋_GB2312"/>
          <w:color w:val="0000FF"/>
          <w:sz w:val="32"/>
          <w:szCs w:val="32"/>
        </w:rPr>
      </w:pPr>
      <w:bookmarkStart w:id="0" w:name="OLE_LINK4"/>
    </w:p>
    <w:p>
      <w:pPr>
        <w:pStyle w:val="39"/>
        <w:adjustRightInd w:val="0"/>
        <w:spacing w:line="600" w:lineRule="exact"/>
        <w:ind w:right="67" w:rightChars="32"/>
        <w:jc w:val="both"/>
        <w:textAlignment w:val="top"/>
        <w:rPr>
          <w:rFonts w:ascii="仿宋_GB2312" w:eastAsia="仿宋_GB2312"/>
          <w:color w:val="0000FF"/>
          <w:sz w:val="32"/>
          <w:szCs w:val="32"/>
        </w:rPr>
      </w:pPr>
    </w:p>
    <w:p>
      <w:pPr>
        <w:pStyle w:val="39"/>
        <w:adjustRightInd w:val="0"/>
        <w:spacing w:line="600" w:lineRule="exact"/>
        <w:ind w:right="67" w:rightChars="32"/>
        <w:jc w:val="both"/>
        <w:textAlignment w:val="top"/>
        <w:rPr>
          <w:rFonts w:ascii="仿宋_GB2312" w:eastAsia="仿宋_GB2312"/>
          <w:color w:val="0000FF"/>
          <w:sz w:val="32"/>
          <w:szCs w:val="32"/>
        </w:rPr>
      </w:pPr>
    </w:p>
    <w:bookmarkEnd w:id="0"/>
    <w:p>
      <w:pPr>
        <w:spacing w:line="600" w:lineRule="exact"/>
        <w:ind w:left="-357" w:leftChars="-170" w:firstLine="640" w:firstLineChars="200"/>
        <w:jc w:val="right"/>
        <w:rPr>
          <w:rFonts w:ascii="仿宋_GB2312" w:hAnsi="新宋体" w:eastAsia="仿宋_GB2312"/>
          <w:bCs/>
          <w:color w:val="auto"/>
          <w:sz w:val="32"/>
          <w:szCs w:val="32"/>
        </w:rPr>
      </w:pPr>
      <w:r>
        <w:rPr>
          <w:rFonts w:hint="eastAsia" w:ascii="仿宋_GB2312" w:hAnsi="新宋体" w:eastAsia="仿宋_GB2312"/>
          <w:bCs/>
          <w:color w:val="auto"/>
          <w:sz w:val="32"/>
          <w:szCs w:val="32"/>
        </w:rPr>
        <w:t>岳湘阴环评〔2024</w:t>
      </w:r>
      <w:r>
        <w:rPr>
          <w:rFonts w:hint="default" w:ascii="仿宋_GB2312" w:hAnsi="新宋体" w:eastAsia="仿宋_GB2312" w:cs="Times New Roman"/>
          <w:bCs/>
          <w:color w:val="auto"/>
          <w:kern w:val="2"/>
          <w:sz w:val="32"/>
          <w:szCs w:val="32"/>
          <w:lang w:val="en-US" w:eastAsia="zh-CN" w:bidi="ar-SA"/>
        </w:rPr>
        <w:t>〕</w:t>
      </w:r>
      <w:r>
        <w:rPr>
          <w:rFonts w:hint="eastAsia" w:ascii="仿宋_GB2312" w:hAnsi="新宋体" w:eastAsia="仿宋_GB2312"/>
          <w:bCs/>
          <w:color w:val="auto"/>
          <w:sz w:val="32"/>
          <w:szCs w:val="32"/>
          <w:lang w:val="en-US" w:eastAsia="zh-CN"/>
        </w:rPr>
        <w:t>25</w:t>
      </w:r>
      <w:r>
        <w:rPr>
          <w:rFonts w:hint="eastAsia" w:ascii="仿宋_GB2312" w:hAnsi="新宋体" w:eastAsia="仿宋_GB2312"/>
          <w:bCs/>
          <w:color w:val="auto"/>
          <w:sz w:val="32"/>
          <w:szCs w:val="32"/>
        </w:rPr>
        <w:t>号</w:t>
      </w:r>
    </w:p>
    <w:p>
      <w:pPr>
        <w:spacing w:line="600" w:lineRule="exact"/>
        <w:ind w:left="-357" w:leftChars="-170" w:right="-334" w:rightChars="-159"/>
        <w:jc w:val="center"/>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关于</w:t>
      </w:r>
      <w:r>
        <w:rPr>
          <w:rFonts w:hint="eastAsia" w:ascii="方正小标宋_GBK" w:hAnsi="方正小标宋_GBK" w:eastAsia="方正小标宋_GBK" w:cs="方正小标宋_GBK"/>
          <w:bCs/>
          <w:color w:val="auto"/>
          <w:sz w:val="44"/>
          <w:szCs w:val="44"/>
          <w:lang w:eastAsia="zh-CN"/>
        </w:rPr>
        <w:t>建华建材（湖南）有限公司锅炉改建项目</w:t>
      </w:r>
      <w:r>
        <w:rPr>
          <w:rFonts w:hint="eastAsia" w:ascii="方正小标宋_GBK" w:hAnsi="方正小标宋_GBK" w:eastAsia="方正小标宋_GBK" w:cs="方正小标宋_GBK"/>
          <w:bCs/>
          <w:color w:val="auto"/>
          <w:sz w:val="44"/>
          <w:szCs w:val="44"/>
        </w:rPr>
        <w:t>环境影响报告表的批复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新宋体" w:eastAsia="仿宋_GB2312"/>
          <w:bCs/>
          <w:color w:val="0000FF"/>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auto"/>
          <w:sz w:val="32"/>
          <w:szCs w:val="32"/>
        </w:rPr>
      </w:pPr>
      <w:r>
        <w:rPr>
          <w:rFonts w:hint="eastAsia" w:ascii="仿宋_GB2312" w:eastAsia="仿宋_GB2312"/>
          <w:color w:val="auto"/>
          <w:sz w:val="32"/>
          <w:szCs w:val="32"/>
          <w:lang w:eastAsia="zh-CN"/>
        </w:rPr>
        <w:t>建华建材（湖南）有限公司</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你</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《关于申请“</w:t>
      </w:r>
      <w:r>
        <w:rPr>
          <w:rFonts w:hint="eastAsia" w:ascii="仿宋_GB2312" w:eastAsia="仿宋_GB2312"/>
          <w:color w:val="auto"/>
          <w:sz w:val="32"/>
          <w:szCs w:val="32"/>
          <w:lang w:eastAsia="zh-CN"/>
        </w:rPr>
        <w:t>建华建材（湖南）有限公司锅炉改建项目</w:t>
      </w:r>
      <w:r>
        <w:rPr>
          <w:rFonts w:hint="eastAsia" w:ascii="仿宋_GB2312" w:eastAsia="仿宋_GB2312"/>
          <w:color w:val="auto"/>
          <w:sz w:val="32"/>
          <w:szCs w:val="32"/>
        </w:rPr>
        <w:t>”批复的报告》及有关附件已收悉。根据国家环境保护有关法律、法规、政策和项目所在地环境功能区划的要求，经研究，批复如下：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w:t>
      </w:r>
      <w:r>
        <w:rPr>
          <w:rFonts w:hint="eastAsia" w:ascii="仿宋_GB2312" w:eastAsia="仿宋_GB2312"/>
          <w:color w:val="auto"/>
          <w:sz w:val="32"/>
          <w:szCs w:val="32"/>
          <w:lang w:eastAsia="zh-CN"/>
        </w:rPr>
        <w:t>建华建材（湖南）有限公司</w:t>
      </w:r>
      <w:r>
        <w:rPr>
          <w:rFonts w:hint="eastAsia" w:ascii="仿宋_GB2312" w:eastAsia="仿宋_GB2312"/>
          <w:color w:val="auto"/>
          <w:sz w:val="32"/>
          <w:szCs w:val="32"/>
        </w:rPr>
        <w:t>位于湖南省岳阳市湘阴县湘阴高新技术产业开发区（湘阴高新技术产业开发区临港片区</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rPr>
        <w:t>其地理中心坐标为：东经112度52分5.372秒，</w:t>
      </w:r>
      <w:r>
        <w:rPr>
          <w:rFonts w:hint="eastAsia" w:ascii="仿宋_GB2312" w:hAnsi="仿宋_GB2312" w:eastAsia="仿宋_GB2312" w:cs="仿宋_GB2312"/>
          <w:color w:val="auto"/>
          <w:sz w:val="32"/>
          <w:szCs w:val="32"/>
          <w:lang w:eastAsia="zh-CN"/>
        </w:rPr>
        <w:t>北纬</w:t>
      </w:r>
      <w:r>
        <w:rPr>
          <w:rFonts w:hint="eastAsia" w:ascii="仿宋_GB2312" w:hAnsi="仿宋_GB2312" w:eastAsia="仿宋_GB2312" w:cs="仿宋_GB2312"/>
          <w:color w:val="auto"/>
          <w:sz w:val="32"/>
          <w:szCs w:val="32"/>
        </w:rPr>
        <w:t>28度41分43.074 秒）。</w:t>
      </w:r>
      <w:r>
        <w:rPr>
          <w:rFonts w:hint="eastAsia" w:ascii="仿宋_GB2312" w:hAnsi="仿宋_GB2312" w:eastAsia="仿宋_GB2312" w:cs="仿宋_GB2312"/>
          <w:color w:val="auto"/>
          <w:sz w:val="32"/>
          <w:szCs w:val="32"/>
          <w:lang w:val="en-US" w:eastAsia="zh-CN"/>
        </w:rPr>
        <w:t>因公司生产需求，</w:t>
      </w:r>
      <w:r>
        <w:rPr>
          <w:rFonts w:hint="eastAsia" w:ascii="仿宋_GB2312" w:eastAsia="仿宋_GB2312"/>
          <w:color w:val="auto"/>
          <w:sz w:val="32"/>
          <w:szCs w:val="32"/>
        </w:rPr>
        <w:t>拟投资</w:t>
      </w:r>
      <w:r>
        <w:rPr>
          <w:rFonts w:hint="eastAsia" w:ascii="仿宋_GB2312" w:eastAsia="仿宋_GB2312"/>
          <w:color w:val="auto"/>
          <w:sz w:val="32"/>
          <w:szCs w:val="32"/>
          <w:lang w:val="en-US" w:eastAsia="zh-CN"/>
        </w:rPr>
        <w:t>500</w:t>
      </w:r>
      <w:r>
        <w:rPr>
          <w:rFonts w:hint="eastAsia" w:ascii="仿宋_GB2312" w:eastAsia="仿宋_GB2312"/>
          <w:color w:val="auto"/>
          <w:sz w:val="32"/>
          <w:szCs w:val="32"/>
        </w:rPr>
        <w:t>万元（环保投资</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进行</w:t>
      </w:r>
      <w:r>
        <w:rPr>
          <w:rFonts w:hint="eastAsia" w:ascii="仿宋_GB2312" w:eastAsia="仿宋_GB2312"/>
          <w:color w:val="auto"/>
          <w:sz w:val="32"/>
          <w:szCs w:val="32"/>
          <w:lang w:eastAsia="zh-CN"/>
        </w:rPr>
        <w:t>“锅炉改建项目”</w:t>
      </w:r>
      <w:r>
        <w:rPr>
          <w:rFonts w:hint="eastAsia" w:ascii="仿宋_GB2312" w:eastAsia="仿宋_GB2312"/>
          <w:color w:val="auto"/>
          <w:sz w:val="32"/>
          <w:szCs w:val="32"/>
        </w:rPr>
        <w:t>，</w:t>
      </w:r>
      <w:r>
        <w:rPr>
          <w:rFonts w:hint="eastAsia" w:ascii="仿宋_GB2312" w:eastAsia="仿宋_GB2312"/>
          <w:color w:val="auto"/>
          <w:sz w:val="32"/>
          <w:szCs w:val="32"/>
          <w:lang w:eastAsia="zh-CN"/>
        </w:rPr>
        <w:t>项目在现有厂区内进行改建，不新增用地</w:t>
      </w:r>
      <w:r>
        <w:rPr>
          <w:rFonts w:hint="eastAsia" w:ascii="仿宋_GB2312" w:eastAsia="仿宋_GB2312"/>
          <w:color w:val="auto"/>
          <w:sz w:val="32"/>
          <w:szCs w:val="32"/>
        </w:rPr>
        <w:t>。建设单位拟采用1台25t/h的生物质链条</w:t>
      </w:r>
      <w:r>
        <w:rPr>
          <w:rFonts w:hint="eastAsia" w:ascii="仿宋_GB2312" w:eastAsia="仿宋_GB2312"/>
          <w:color w:val="auto"/>
          <w:sz w:val="32"/>
          <w:szCs w:val="32"/>
          <w:lang w:val="en-US" w:eastAsia="zh-CN"/>
        </w:rPr>
        <w:t>炉排</w:t>
      </w:r>
      <w:r>
        <w:rPr>
          <w:rFonts w:hint="eastAsia" w:ascii="仿宋_GB2312" w:eastAsia="仿宋_GB2312"/>
          <w:color w:val="auto"/>
          <w:sz w:val="32"/>
          <w:szCs w:val="32"/>
        </w:rPr>
        <w:t>锅炉替代厂区现有25t/h链条式燃煤锅炉</w:t>
      </w:r>
      <w:r>
        <w:rPr>
          <w:rFonts w:hint="eastAsia" w:ascii="仿宋_GB2312" w:eastAsia="仿宋_GB2312"/>
          <w:color w:val="auto"/>
          <w:sz w:val="32"/>
          <w:szCs w:val="32"/>
          <w:lang w:eastAsia="zh-CN"/>
        </w:rPr>
        <w:t>，项目建成后，现有燃煤锅炉将进行拆除</w:t>
      </w:r>
      <w:r>
        <w:rPr>
          <w:rFonts w:hint="eastAsia" w:ascii="仿宋_GB2312" w:eastAsia="仿宋_GB2312"/>
          <w:color w:val="auto"/>
          <w:sz w:val="32"/>
          <w:szCs w:val="32"/>
        </w:rPr>
        <w:t>。</w:t>
      </w:r>
      <w:r>
        <w:rPr>
          <w:rFonts w:hint="eastAsia" w:ascii="仿宋_GB2312" w:eastAsia="仿宋_GB2312"/>
          <w:color w:val="auto"/>
          <w:sz w:val="32"/>
          <w:szCs w:val="32"/>
          <w:lang w:eastAsia="zh-CN"/>
        </w:rPr>
        <w:t>锅炉房、燃料暂存区和</w:t>
      </w:r>
      <w:r>
        <w:rPr>
          <w:rFonts w:hint="eastAsia" w:ascii="仿宋_GB2312" w:eastAsia="仿宋_GB2312"/>
          <w:color w:val="auto"/>
          <w:sz w:val="32"/>
          <w:szCs w:val="32"/>
        </w:rPr>
        <w:t>配套给排水、供电、环保</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部分</w:t>
      </w:r>
      <w:r>
        <w:rPr>
          <w:rFonts w:hint="eastAsia" w:ascii="仿宋_GB2312" w:eastAsia="仿宋_GB2312"/>
          <w:color w:val="auto"/>
          <w:sz w:val="32"/>
          <w:szCs w:val="32"/>
          <w:lang w:eastAsia="zh-CN"/>
        </w:rPr>
        <w:t>）</w:t>
      </w:r>
      <w:r>
        <w:rPr>
          <w:rFonts w:hint="eastAsia" w:ascii="仿宋_GB2312" w:eastAsia="仿宋_GB2312"/>
          <w:color w:val="auto"/>
          <w:sz w:val="32"/>
          <w:szCs w:val="32"/>
        </w:rPr>
        <w:t>等配套设施</w:t>
      </w:r>
      <w:r>
        <w:rPr>
          <w:rFonts w:hint="eastAsia" w:ascii="仿宋_GB2312" w:eastAsia="仿宋_GB2312"/>
          <w:color w:val="auto"/>
          <w:sz w:val="32"/>
          <w:szCs w:val="32"/>
          <w:lang w:eastAsia="zh-CN"/>
        </w:rPr>
        <w:t>依托现有工程</w:t>
      </w:r>
      <w:r>
        <w:rPr>
          <w:rFonts w:hint="eastAsia" w:ascii="仿宋_GB2312" w:eastAsia="仿宋_GB2312"/>
          <w:color w:val="auto"/>
          <w:sz w:val="32"/>
          <w:szCs w:val="32"/>
        </w:rPr>
        <w:t>。（详见该建设项目环境影响报告表）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该项目符合国家产业政策，</w:t>
      </w:r>
      <w:r>
        <w:rPr>
          <w:rFonts w:hint="default" w:ascii="仿宋_GB2312" w:hAnsi="Times New Roman" w:eastAsia="仿宋_GB2312" w:cs="Times New Roman"/>
          <w:b w:val="0"/>
          <w:bCs w:val="0"/>
          <w:sz w:val="32"/>
          <w:szCs w:val="32"/>
          <w:u w:val="none" w:color="auto"/>
          <w:lang w:val="en-US" w:eastAsia="zh-CN"/>
        </w:rPr>
        <w:t>符合《湖南湘阴高新区近期规划（2020-2025）》要求，</w:t>
      </w:r>
      <w:r>
        <w:rPr>
          <w:rFonts w:hint="eastAsia" w:ascii="仿宋_GB2312" w:eastAsia="仿宋_GB2312"/>
          <w:color w:val="auto"/>
          <w:sz w:val="32"/>
          <w:szCs w:val="32"/>
        </w:rPr>
        <w:t>根据湘阴高新技术产业开发区行政审批服务中心《关于建华建材（湖南）有限公司</w:t>
      </w:r>
      <w:r>
        <w:rPr>
          <w:rFonts w:hint="eastAsia" w:ascii="仿宋_GB2312" w:eastAsia="仿宋_GB2312"/>
          <w:color w:val="auto"/>
          <w:sz w:val="32"/>
          <w:szCs w:val="32"/>
          <w:lang w:val="en-US" w:eastAsia="zh-CN"/>
        </w:rPr>
        <w:t>锅炉改建</w:t>
      </w:r>
      <w:r>
        <w:rPr>
          <w:rFonts w:hint="eastAsia" w:ascii="仿宋_GB2312" w:eastAsia="仿宋_GB2312"/>
          <w:color w:val="auto"/>
          <w:sz w:val="32"/>
          <w:szCs w:val="32"/>
        </w:rPr>
        <w:t>项目备案的证明》（湘阴高新审〔2024〕</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号）</w:t>
      </w:r>
      <w:r>
        <w:rPr>
          <w:rFonts w:hint="eastAsia" w:ascii="仿宋_GB2312" w:eastAsia="仿宋_GB2312"/>
          <w:color w:val="auto"/>
          <w:sz w:val="32"/>
          <w:szCs w:val="32"/>
          <w:lang w:eastAsia="zh-CN"/>
        </w:rPr>
        <w:t>及</w:t>
      </w:r>
      <w:r>
        <w:rPr>
          <w:rFonts w:hint="eastAsia" w:ascii="仿宋_GB2312" w:eastAsia="仿宋_GB2312"/>
          <w:color w:val="auto"/>
          <w:sz w:val="32"/>
          <w:szCs w:val="32"/>
        </w:rPr>
        <w:t>湖南万泓技术服务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仿宋_GB2312" w:hAnsi="Times New Roman" w:eastAsia="仿宋_GB2312" w:cs="Times New Roman"/>
          <w:b w:val="0"/>
          <w:bCs w:val="0"/>
          <w:snapToGrid/>
          <w:kern w:val="2"/>
          <w:sz w:val="32"/>
          <w:szCs w:val="32"/>
          <w:u w:val="none" w:color="auto"/>
          <w:lang w:val="en-US" w:eastAsia="zh-CN"/>
        </w:rPr>
      </w:pPr>
      <w:r>
        <w:rPr>
          <w:rFonts w:hint="eastAsia" w:ascii="仿宋_GB2312" w:eastAsia="仿宋_GB2312"/>
          <w:color w:val="auto"/>
          <w:sz w:val="32"/>
          <w:szCs w:val="32"/>
        </w:rPr>
        <w:t>二、</w:t>
      </w:r>
      <w:r>
        <w:rPr>
          <w:rFonts w:hint="eastAsia" w:ascii="仿宋_GB2312" w:hAnsi="新宋体" w:eastAsia="仿宋_GB2312" w:cs="Times New Roman"/>
          <w:bCs/>
          <w:color w:val="auto"/>
          <w:sz w:val="32"/>
          <w:szCs w:val="32"/>
          <w:lang w:eastAsia="zh-CN"/>
        </w:rPr>
        <w:t>项目营运过程中须认真落实环评报告表、专家意见及批复意见中提出的各项污染防治措施，做好“以新带老”污染治理工作，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（一）废水污染防治工作。建设好雨污分流系统。项目</w:t>
      </w:r>
      <w:r>
        <w:rPr>
          <w:rFonts w:hint="eastAsia" w:ascii="仿宋_GB2312" w:eastAsia="仿宋_GB2312"/>
          <w:color w:val="auto"/>
          <w:sz w:val="32"/>
          <w:szCs w:val="32"/>
          <w:lang w:eastAsia="zh-CN"/>
        </w:rPr>
        <w:t>锅炉运行产生的锅炉排水和软水制备反冲洗废水依托厂区现有废水沉淀池处理后回用于生产</w:t>
      </w:r>
      <w:bookmarkStart w:id="1" w:name="_GoBack"/>
      <w:bookmarkEnd w:id="1"/>
      <w:r>
        <w:rPr>
          <w:rFonts w:hint="eastAsia" w:ascii="仿宋_GB2312" w:eastAsia="仿宋_GB2312"/>
          <w:color w:val="auto"/>
          <w:sz w:val="32"/>
          <w:szCs w:val="32"/>
          <w:lang w:eastAsia="zh-CN"/>
        </w:rPr>
        <w:t>和降尘用水，不外排</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（二）废气污染防治工作。严格控制项目废气的污染，加强日常监管。</w:t>
      </w:r>
      <w:r>
        <w:rPr>
          <w:rFonts w:hint="eastAsia" w:ascii="仿宋_GB2312" w:eastAsia="仿宋_GB2312"/>
          <w:color w:val="auto"/>
          <w:sz w:val="32"/>
          <w:szCs w:val="32"/>
          <w:lang w:eastAsia="zh-CN"/>
        </w:rPr>
        <w:t>生物质燃料卸料和进料产生的</w:t>
      </w:r>
      <w:r>
        <w:rPr>
          <w:rFonts w:hint="eastAsia" w:ascii="仿宋_GB2312" w:eastAsia="仿宋_GB2312"/>
          <w:color w:val="auto"/>
          <w:sz w:val="32"/>
          <w:szCs w:val="32"/>
          <w:lang w:val="en-US" w:eastAsia="zh-CN"/>
        </w:rPr>
        <w:t>颗粒物</w:t>
      </w:r>
      <w:r>
        <w:rPr>
          <w:rFonts w:hint="eastAsia" w:ascii="仿宋_GB2312" w:eastAsia="仿宋_GB2312"/>
          <w:color w:val="auto"/>
          <w:sz w:val="32"/>
          <w:szCs w:val="32"/>
        </w:rPr>
        <w:t>经围墙阻挡、自然沉降后</w:t>
      </w:r>
      <w:r>
        <w:rPr>
          <w:rFonts w:hint="eastAsia" w:ascii="仿宋_GB2312" w:eastAsia="仿宋_GB2312"/>
          <w:color w:val="auto"/>
          <w:sz w:val="32"/>
          <w:szCs w:val="32"/>
          <w:lang w:eastAsia="zh-CN"/>
        </w:rPr>
        <w:t>呈无组织排放</w:t>
      </w:r>
      <w:r>
        <w:rPr>
          <w:rFonts w:hint="eastAsia" w:ascii="仿宋_GB2312" w:eastAsia="仿宋_GB2312"/>
          <w:color w:val="auto"/>
          <w:sz w:val="32"/>
          <w:szCs w:val="32"/>
        </w:rPr>
        <w:t>，确保</w:t>
      </w:r>
      <w:r>
        <w:rPr>
          <w:rFonts w:hint="eastAsia" w:ascii="仿宋_GB2312" w:eastAsia="仿宋_GB2312"/>
          <w:color w:val="auto"/>
          <w:sz w:val="32"/>
          <w:szCs w:val="32"/>
          <w:lang w:val="en-US" w:eastAsia="zh-CN"/>
        </w:rPr>
        <w:t>厂界颗粒物</w:t>
      </w:r>
      <w:r>
        <w:rPr>
          <w:rFonts w:hint="eastAsia" w:ascii="仿宋_GB2312" w:eastAsia="仿宋_GB2312"/>
          <w:color w:val="auto"/>
          <w:sz w:val="32"/>
          <w:szCs w:val="32"/>
          <w:lang w:eastAsia="zh-CN"/>
        </w:rPr>
        <w:t>满足《大气污染物综合排放标准》（GB16297-1996）表2中新污染源大气污染物排放限值无组织浓度限值</w:t>
      </w:r>
      <w:r>
        <w:rPr>
          <w:rFonts w:hint="eastAsia" w:ascii="仿宋_GB2312" w:eastAsia="仿宋_GB2312"/>
          <w:color w:val="auto"/>
          <w:sz w:val="32"/>
          <w:szCs w:val="32"/>
          <w:lang w:val="en-US" w:eastAsia="zh-CN"/>
        </w:rPr>
        <w:t>要求</w:t>
      </w:r>
      <w:r>
        <w:rPr>
          <w:rFonts w:hint="eastAsia" w:ascii="仿宋_GB2312" w:eastAsia="仿宋_GB2312"/>
          <w:color w:val="auto"/>
          <w:sz w:val="32"/>
          <w:szCs w:val="32"/>
          <w:lang w:eastAsia="zh-CN"/>
        </w:rPr>
        <w:t>。</w:t>
      </w:r>
      <w:r>
        <w:rPr>
          <w:rFonts w:hint="eastAsia" w:ascii="仿宋_GB2312" w:eastAsia="仿宋_GB2312"/>
          <w:color w:val="auto"/>
          <w:sz w:val="32"/>
          <w:szCs w:val="32"/>
        </w:rPr>
        <w:t>锅炉废气经处理后</w:t>
      </w:r>
      <w:r>
        <w:rPr>
          <w:rFonts w:hint="eastAsia" w:ascii="仿宋_GB2312" w:eastAsia="仿宋_GB2312"/>
          <w:color w:val="auto"/>
          <w:sz w:val="32"/>
          <w:szCs w:val="32"/>
          <w:lang w:eastAsia="zh-CN"/>
        </w:rPr>
        <w:t>满足</w:t>
      </w:r>
      <w:r>
        <w:rPr>
          <w:rFonts w:hint="eastAsia" w:ascii="仿宋_GB2312" w:eastAsia="仿宋_GB2312"/>
          <w:color w:val="auto"/>
          <w:sz w:val="32"/>
          <w:szCs w:val="32"/>
        </w:rPr>
        <w:t>《锅炉大气污染物排放标准》（GB13271-2014）中表3</w:t>
      </w:r>
      <w:r>
        <w:rPr>
          <w:rFonts w:hint="eastAsia" w:ascii="仿宋_GB2312" w:eastAsia="仿宋_GB2312"/>
          <w:color w:val="auto"/>
          <w:sz w:val="32"/>
          <w:szCs w:val="32"/>
          <w:lang w:val="en-US" w:eastAsia="zh-CN"/>
        </w:rPr>
        <w:t>中大气污染物特别限值</w:t>
      </w:r>
      <w:r>
        <w:rPr>
          <w:rFonts w:hint="eastAsia" w:ascii="仿宋_GB2312" w:eastAsia="仿宋_GB2312"/>
          <w:color w:val="auto"/>
          <w:sz w:val="32"/>
          <w:szCs w:val="32"/>
        </w:rPr>
        <w:t>燃煤锅炉</w:t>
      </w:r>
      <w:r>
        <w:rPr>
          <w:rFonts w:hint="eastAsia" w:ascii="仿宋_GB2312" w:eastAsia="仿宋_GB2312"/>
          <w:color w:val="auto"/>
          <w:sz w:val="32"/>
          <w:szCs w:val="32"/>
          <w:lang w:val="en-US" w:eastAsia="zh-CN"/>
        </w:rPr>
        <w:t>标准要求后通过1根</w:t>
      </w:r>
      <w:r>
        <w:rPr>
          <w:rFonts w:hint="eastAsia" w:ascii="仿宋_GB2312" w:eastAsia="仿宋_GB2312"/>
          <w:color w:val="auto"/>
          <w:sz w:val="32"/>
          <w:szCs w:val="32"/>
        </w:rPr>
        <w:t>50m</w:t>
      </w:r>
      <w:r>
        <w:rPr>
          <w:rFonts w:hint="eastAsia" w:ascii="仿宋_GB2312" w:eastAsia="仿宋_GB2312"/>
          <w:color w:val="auto"/>
          <w:sz w:val="32"/>
          <w:szCs w:val="32"/>
          <w:lang w:eastAsia="zh-CN"/>
        </w:rPr>
        <w:t>高的烟囱</w:t>
      </w:r>
      <w:r>
        <w:rPr>
          <w:rFonts w:hint="eastAsia" w:ascii="仿宋_GB2312" w:eastAsia="仿宋_GB2312"/>
          <w:color w:val="auto"/>
          <w:sz w:val="32"/>
          <w:szCs w:val="32"/>
          <w:lang w:val="en-US" w:eastAsia="zh-CN"/>
        </w:rPr>
        <w:t>高空</w:t>
      </w:r>
      <w:r>
        <w:rPr>
          <w:rFonts w:hint="eastAsia" w:ascii="仿宋_GB2312" w:eastAsia="仿宋_GB2312"/>
          <w:color w:val="auto"/>
          <w:sz w:val="32"/>
          <w:szCs w:val="32"/>
        </w:rPr>
        <w:t>排放</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（三）噪声污染防治工作。选用低噪声设备，合理布局，并做好基础减振、隔音和降噪等防治措施，厂界噪声满足《工业企业厂界环境噪声排放标准》（GB12348-2008）中</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0000FF"/>
          <w:sz w:val="32"/>
          <w:szCs w:val="32"/>
        </w:rPr>
      </w:pPr>
      <w:r>
        <w:rPr>
          <w:rFonts w:hint="eastAsia" w:ascii="仿宋_GB2312" w:eastAsia="仿宋_GB2312"/>
          <w:color w:val="auto"/>
          <w:sz w:val="32"/>
          <w:szCs w:val="32"/>
        </w:rPr>
        <w:t>（四）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炉渣、布袋除尘器收集的粉尘</w:t>
      </w:r>
      <w:r>
        <w:rPr>
          <w:rFonts w:hint="eastAsia" w:ascii="仿宋_GB2312" w:eastAsia="仿宋_GB2312"/>
          <w:color w:val="auto"/>
          <w:sz w:val="32"/>
          <w:szCs w:val="32"/>
          <w:lang w:eastAsia="zh-CN"/>
        </w:rPr>
        <w:t>、</w:t>
      </w:r>
      <w:r>
        <w:rPr>
          <w:rFonts w:hint="eastAsia" w:ascii="仿宋_GB2312" w:eastAsia="仿宋_GB2312"/>
          <w:color w:val="auto"/>
          <w:sz w:val="32"/>
          <w:szCs w:val="32"/>
        </w:rPr>
        <w:t>废布袋</w:t>
      </w:r>
      <w:r>
        <w:rPr>
          <w:rFonts w:hint="eastAsia" w:ascii="仿宋_GB2312" w:eastAsia="仿宋_GB2312"/>
          <w:color w:val="auto"/>
          <w:sz w:val="32"/>
          <w:szCs w:val="32"/>
          <w:lang w:eastAsia="zh-CN"/>
        </w:rPr>
        <w:t>、</w:t>
      </w:r>
      <w:r>
        <w:rPr>
          <w:rFonts w:hint="eastAsia" w:ascii="仿宋_GB2312" w:eastAsia="仿宋_GB2312"/>
          <w:color w:val="auto"/>
          <w:sz w:val="32"/>
          <w:szCs w:val="32"/>
        </w:rPr>
        <w:t>废包装袋和废树脂经分类收集后综合利用；废润滑油及其包装物</w:t>
      </w:r>
      <w:r>
        <w:rPr>
          <w:rFonts w:hint="eastAsia" w:ascii="仿宋_GB2312" w:hAnsi="新宋体" w:eastAsia="仿宋_GB2312" w:cs="Times New Roman"/>
          <w:bCs/>
          <w:sz w:val="32"/>
          <w:szCs w:val="32"/>
          <w:lang w:val="en-US" w:eastAsia="zh-CN"/>
        </w:rPr>
        <w:t>等危险废物委托有资质单位规范处置；</w:t>
      </w:r>
      <w:r>
        <w:rPr>
          <w:rFonts w:hint="default" w:ascii="仿宋_GB2312" w:hAnsi="Times New Roman" w:eastAsia="仿宋_GB2312" w:cs="Times New Roman"/>
          <w:b w:val="0"/>
          <w:bCs w:val="0"/>
          <w:snapToGrid/>
          <w:kern w:val="2"/>
          <w:sz w:val="32"/>
          <w:szCs w:val="32"/>
          <w:u w:val="none" w:color="auto"/>
          <w:lang w:val="en-US" w:eastAsia="zh-CN"/>
        </w:rPr>
        <w:t>生活垃圾收集后交由</w:t>
      </w:r>
      <w:r>
        <w:rPr>
          <w:rFonts w:hint="eastAsia" w:ascii="仿宋_GB2312" w:eastAsia="仿宋_GB2312" w:cs="Times New Roman"/>
          <w:b w:val="0"/>
          <w:bCs w:val="0"/>
          <w:snapToGrid/>
          <w:kern w:val="2"/>
          <w:sz w:val="32"/>
          <w:szCs w:val="32"/>
          <w:u w:val="none" w:color="auto"/>
          <w:lang w:val="en-US" w:eastAsia="zh-CN"/>
        </w:rPr>
        <w:t>当地</w:t>
      </w:r>
      <w:r>
        <w:rPr>
          <w:rFonts w:hint="default" w:ascii="仿宋_GB2312" w:hAnsi="Times New Roman" w:eastAsia="仿宋_GB2312" w:cs="Times New Roman"/>
          <w:b w:val="0"/>
          <w:bCs w:val="0"/>
          <w:snapToGrid/>
          <w:kern w:val="2"/>
          <w:sz w:val="32"/>
          <w:szCs w:val="32"/>
          <w:u w:val="none" w:color="auto"/>
          <w:lang w:val="en-US" w:eastAsia="zh-CN"/>
        </w:rPr>
        <w:t>环卫部门处置</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cs="仿宋"/>
          <w:color w:val="auto"/>
          <w:sz w:val="32"/>
          <w:szCs w:val="32"/>
        </w:rPr>
      </w:pPr>
      <w:r>
        <w:rPr>
          <w:rFonts w:ascii="仿宋_GB2312" w:hAnsi="仿宋" w:eastAsia="仿宋_GB2312" w:cs="仿宋"/>
          <w:color w:val="auto"/>
          <w:sz w:val="32"/>
          <w:szCs w:val="32"/>
        </w:rPr>
        <w:t>（五）做好环境管理工作。设置专门环保机构，配备专职环保管理人员，加强生产设备和污防设施的检修、保养及</w:t>
      </w:r>
      <w:r>
        <w:rPr>
          <w:rFonts w:hint="eastAsia" w:ascii="仿宋_GB2312" w:hAnsi="仿宋" w:eastAsia="仿宋_GB2312" w:cs="仿宋"/>
          <w:color w:val="auto"/>
          <w:sz w:val="32"/>
          <w:szCs w:val="32"/>
        </w:rPr>
        <w:t>员工</w:t>
      </w:r>
      <w:r>
        <w:rPr>
          <w:rFonts w:ascii="仿宋_GB2312" w:hAnsi="仿宋" w:eastAsia="仿宋_GB2312" w:cs="仿宋"/>
          <w:color w:val="auto"/>
          <w:sz w:val="32"/>
          <w:szCs w:val="32"/>
        </w:rPr>
        <w:t>、管理人员培训工作，建立健全污染防治设施运行管理台帐。加强日常监管，确保各污染防治设施的正常运行，各类污染物稳定达标排放。并做好运营期环境监测工作，定期向社会公开企业环境信息。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color w:val="auto"/>
          <w:sz w:val="32"/>
          <w:szCs w:val="32"/>
          <w:lang w:eastAsia="zh-CN"/>
        </w:rPr>
      </w:pPr>
      <w:r>
        <w:rPr>
          <w:rFonts w:hint="eastAsia" w:ascii="仿宋_GB2312" w:hAnsi="新宋体" w:eastAsia="仿宋_GB2312"/>
          <w:bCs/>
          <w:color w:val="auto"/>
          <w:sz w:val="32"/>
          <w:szCs w:val="32"/>
        </w:rPr>
        <w:t>（</w:t>
      </w:r>
      <w:r>
        <w:rPr>
          <w:rFonts w:hint="eastAsia" w:ascii="仿宋_GB2312" w:hAnsi="新宋体" w:eastAsia="仿宋_GB2312"/>
          <w:bCs/>
          <w:color w:val="auto"/>
          <w:sz w:val="32"/>
          <w:szCs w:val="32"/>
          <w:lang w:val="en-US" w:eastAsia="zh-CN"/>
        </w:rPr>
        <w:t>六</w:t>
      </w:r>
      <w:r>
        <w:rPr>
          <w:rFonts w:hint="eastAsia" w:ascii="仿宋_GB2312" w:hAnsi="新宋体" w:eastAsia="仿宋_GB2312"/>
          <w:bCs/>
          <w:color w:val="auto"/>
          <w:sz w:val="32"/>
          <w:szCs w:val="32"/>
        </w:rPr>
        <w:t>）加强环境风险防范工作。强化</w:t>
      </w:r>
      <w:r>
        <w:rPr>
          <w:rFonts w:hint="eastAsia" w:ascii="仿宋_GB2312" w:hAnsi="新宋体" w:eastAsia="仿宋_GB2312"/>
          <w:bCs/>
          <w:color w:val="auto"/>
          <w:sz w:val="32"/>
          <w:szCs w:val="32"/>
          <w:lang w:val="en-US" w:eastAsia="zh-CN"/>
        </w:rPr>
        <w:t>单位</w:t>
      </w:r>
      <w:r>
        <w:rPr>
          <w:rFonts w:hint="eastAsia" w:ascii="仿宋_GB2312" w:hAnsi="新宋体" w:eastAsia="仿宋_GB2312"/>
          <w:bCs/>
          <w:color w:val="auto"/>
          <w:sz w:val="32"/>
          <w:szCs w:val="32"/>
        </w:rPr>
        <w:t>现场管理，创造良好的</w:t>
      </w:r>
      <w:r>
        <w:rPr>
          <w:rFonts w:hint="eastAsia" w:ascii="仿宋_GB2312" w:hAnsi="新宋体" w:eastAsia="仿宋_GB2312"/>
          <w:bCs/>
          <w:color w:val="auto"/>
          <w:sz w:val="32"/>
          <w:szCs w:val="32"/>
          <w:lang w:val="en-US" w:eastAsia="zh-CN"/>
        </w:rPr>
        <w:t>单位</w:t>
      </w:r>
      <w:r>
        <w:rPr>
          <w:rFonts w:hint="eastAsia" w:ascii="仿宋_GB2312" w:hAnsi="新宋体" w:eastAsia="仿宋_GB2312"/>
          <w:bCs/>
          <w:color w:val="auto"/>
          <w:sz w:val="32"/>
          <w:szCs w:val="32"/>
        </w:rPr>
        <w:t>营运环境，加强环境管理，确保各项污染防治设施正常运行，严格按照《突发环境事件应急预案管理暂行办法》要求</w:t>
      </w:r>
      <w:r>
        <w:rPr>
          <w:rFonts w:hint="eastAsia" w:ascii="仿宋_GB2312" w:hAnsi="新宋体" w:eastAsia="仿宋_GB2312"/>
          <w:bCs/>
          <w:color w:val="auto"/>
          <w:sz w:val="32"/>
          <w:szCs w:val="32"/>
          <w:lang w:val="en-US" w:eastAsia="zh-CN"/>
        </w:rPr>
        <w:t>修定</w:t>
      </w:r>
      <w:r>
        <w:rPr>
          <w:rFonts w:hint="eastAsia" w:ascii="仿宋_GB2312" w:hAnsi="新宋体" w:eastAsia="仿宋_GB2312"/>
          <w:bCs/>
          <w:color w:val="auto"/>
          <w:sz w:val="32"/>
          <w:szCs w:val="32"/>
        </w:rPr>
        <w:t>突发环境事件应急预案，对管理人员进行应急培训并定期演练，杜绝环境风险事故发生，实行有序、整洁、安全生产</w:t>
      </w:r>
      <w:r>
        <w:rPr>
          <w:rFonts w:hint="eastAsia" w:ascii="仿宋_GB2312" w:hAnsi="新宋体" w:eastAsia="仿宋_GB2312"/>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bCs/>
          <w:color w:val="auto"/>
          <w:sz w:val="32"/>
          <w:szCs w:val="32"/>
          <w:lang w:val="en-US" w:eastAsia="zh-CN"/>
        </w:rPr>
      </w:pPr>
      <w:r>
        <w:rPr>
          <w:rFonts w:hint="eastAsia" w:ascii="仿宋_GB2312" w:hAnsi="新宋体" w:eastAsia="仿宋_GB2312"/>
          <w:bCs/>
          <w:color w:val="auto"/>
          <w:sz w:val="32"/>
          <w:szCs w:val="32"/>
        </w:rPr>
        <w:t>（</w:t>
      </w:r>
      <w:r>
        <w:rPr>
          <w:rFonts w:hint="eastAsia" w:ascii="仿宋_GB2312" w:hAnsi="新宋体" w:eastAsia="仿宋_GB2312"/>
          <w:bCs/>
          <w:color w:val="auto"/>
          <w:sz w:val="32"/>
          <w:szCs w:val="32"/>
          <w:lang w:val="en-US" w:eastAsia="zh-CN"/>
        </w:rPr>
        <w:t>七</w:t>
      </w:r>
      <w:r>
        <w:rPr>
          <w:rFonts w:hint="eastAsia" w:ascii="仿宋_GB2312" w:hAnsi="新宋体" w:eastAsia="仿宋_GB2312"/>
          <w:bCs/>
          <w:color w:val="auto"/>
          <w:sz w:val="32"/>
          <w:szCs w:val="32"/>
        </w:rPr>
        <w:t>）</w:t>
      </w:r>
      <w:r>
        <w:rPr>
          <w:rFonts w:hint="eastAsia" w:ascii="仿宋_GB2312" w:hAnsi="新宋体" w:eastAsia="仿宋_GB2312"/>
          <w:bCs/>
          <w:color w:val="auto"/>
          <w:sz w:val="32"/>
          <w:szCs w:val="32"/>
          <w:lang w:val="en-US" w:eastAsia="zh-CN"/>
        </w:rPr>
        <w:t>该项目扩建后污染物排放总量控制指标为：SO</w:t>
      </w:r>
      <w:r>
        <w:rPr>
          <w:rFonts w:hint="eastAsia" w:ascii="仿宋_GB2312" w:hAnsi="新宋体" w:eastAsia="仿宋_GB2312"/>
          <w:bCs/>
          <w:color w:val="auto"/>
          <w:sz w:val="32"/>
          <w:szCs w:val="32"/>
          <w:vertAlign w:val="subscript"/>
          <w:lang w:val="en-US" w:eastAsia="zh-CN"/>
        </w:rPr>
        <w:t>2</w:t>
      </w:r>
      <w:r>
        <w:rPr>
          <w:rFonts w:hint="eastAsia" w:ascii="仿宋_GB2312" w:hAnsi="新宋体" w:eastAsia="仿宋_GB2312"/>
          <w:bCs/>
          <w:color w:val="auto"/>
          <w:sz w:val="32"/>
          <w:szCs w:val="32"/>
          <w:lang w:val="en-US" w:eastAsia="zh-CN"/>
        </w:rPr>
        <w:t>≤27.2t/a、NO</w:t>
      </w:r>
      <w:r>
        <w:rPr>
          <w:rFonts w:hint="eastAsia" w:ascii="仿宋_GB2312" w:hAnsi="新宋体" w:eastAsia="仿宋_GB2312"/>
          <w:bCs/>
          <w:color w:val="auto"/>
          <w:sz w:val="32"/>
          <w:szCs w:val="32"/>
          <w:vertAlign w:val="subscript"/>
          <w:lang w:val="en-US" w:eastAsia="zh-CN"/>
        </w:rPr>
        <w:t>X</w:t>
      </w:r>
      <w:r>
        <w:rPr>
          <w:rFonts w:hint="eastAsia" w:ascii="仿宋_GB2312" w:hAnsi="新宋体" w:eastAsia="仿宋_GB2312"/>
          <w:bCs/>
          <w:color w:val="auto"/>
          <w:sz w:val="32"/>
          <w:szCs w:val="32"/>
          <w:lang w:val="en-US" w:eastAsia="zh-CN"/>
        </w:rPr>
        <w:t>≤21t/a</w:t>
      </w:r>
      <w:r>
        <w:rPr>
          <w:rFonts w:hint="eastAsia" w:ascii="仿宋_GB2312" w:hAnsi="新宋体" w:eastAsia="仿宋_GB2312"/>
          <w:bCs/>
          <w:color w:val="auto"/>
          <w:sz w:val="32"/>
          <w:szCs w:val="32"/>
          <w:lang w:eastAsia="zh-CN"/>
        </w:rPr>
        <w:t>，</w:t>
      </w:r>
      <w:r>
        <w:rPr>
          <w:rFonts w:hint="eastAsia" w:ascii="仿宋_GB2312" w:hAnsi="新宋体" w:eastAsia="仿宋_GB2312"/>
          <w:bCs/>
          <w:color w:val="auto"/>
          <w:sz w:val="32"/>
          <w:szCs w:val="32"/>
          <w:lang w:val="en-US" w:eastAsia="zh-CN"/>
        </w:rPr>
        <w:t>原项目已有总量指标：SO</w:t>
      </w:r>
      <w:r>
        <w:rPr>
          <w:rFonts w:hint="eastAsia" w:ascii="仿宋_GB2312" w:hAnsi="新宋体" w:eastAsia="仿宋_GB2312"/>
          <w:bCs/>
          <w:color w:val="auto"/>
          <w:sz w:val="32"/>
          <w:szCs w:val="32"/>
          <w:vertAlign w:val="subscript"/>
          <w:lang w:val="en-US" w:eastAsia="zh-CN"/>
        </w:rPr>
        <w:t>2</w:t>
      </w:r>
      <w:r>
        <w:rPr>
          <w:rFonts w:hint="eastAsia" w:ascii="仿宋_GB2312" w:hAnsi="新宋体" w:eastAsia="仿宋_GB2312"/>
          <w:bCs/>
          <w:color w:val="auto"/>
          <w:sz w:val="32"/>
          <w:szCs w:val="32"/>
          <w:lang w:val="en-US" w:eastAsia="zh-CN"/>
        </w:rPr>
        <w:t>≤64t/a、NO</w:t>
      </w:r>
      <w:r>
        <w:rPr>
          <w:rFonts w:hint="eastAsia" w:ascii="仿宋_GB2312" w:hAnsi="新宋体" w:eastAsia="仿宋_GB2312"/>
          <w:bCs/>
          <w:color w:val="auto"/>
          <w:sz w:val="32"/>
          <w:szCs w:val="32"/>
          <w:vertAlign w:val="subscript"/>
          <w:lang w:val="en-US" w:eastAsia="zh-CN"/>
        </w:rPr>
        <w:t>X</w:t>
      </w:r>
      <w:r>
        <w:rPr>
          <w:rFonts w:hint="eastAsia" w:ascii="仿宋_GB2312" w:hAnsi="新宋体" w:eastAsia="仿宋_GB2312"/>
          <w:bCs/>
          <w:color w:val="auto"/>
          <w:sz w:val="32"/>
          <w:szCs w:val="32"/>
          <w:lang w:val="en-US" w:eastAsia="zh-CN"/>
        </w:rPr>
        <w:t>≤24t/a，该项目无需购买总量</w:t>
      </w:r>
      <w:r>
        <w:rPr>
          <w:rFonts w:hint="default" w:ascii="仿宋_GB2312" w:hAnsi="新宋体" w:eastAsia="仿宋_GB2312"/>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三、</w:t>
      </w:r>
      <w:r>
        <w:rPr>
          <w:rFonts w:ascii="仿宋_GB2312" w:hAnsi="新宋体" w:eastAsia="仿宋_GB2312"/>
          <w:bCs/>
          <w:color w:val="auto"/>
          <w:sz w:val="32"/>
          <w:szCs w:val="32"/>
        </w:rPr>
        <w:t>项目建设必须严格执行环境保护“三同时”等相关环境管理制度。</w:t>
      </w:r>
      <w:r>
        <w:rPr>
          <w:rFonts w:hint="eastAsia" w:ascii="仿宋_GB2312" w:eastAsia="仿宋_GB2312"/>
          <w:color w:val="auto"/>
          <w:sz w:val="32"/>
          <w:szCs w:val="32"/>
        </w:rPr>
        <w:t>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四、加强环境监管。由岳阳市湘阴县生态环境保护综合行政执法大队负责该项目环境监管。你单位应在收到本批复后7个工作日内，将批复及批准的环评报告文本送至湖南湘阴高新技术产业开发区管理委员会、岳阳市湘阴县生态环境保护综合行政执法大队、湖南万泓技术服务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0000FF"/>
          <w:sz w:val="32"/>
          <w:szCs w:val="32"/>
        </w:rPr>
        <w:t xml:space="preserve">                              </w:t>
      </w:r>
      <w:r>
        <w:rPr>
          <w:rFonts w:hint="eastAsia" w:ascii="仿宋_GB2312" w:eastAsia="仿宋_GB2312"/>
          <w:color w:val="auto"/>
          <w:sz w:val="32"/>
          <w:szCs w:val="32"/>
        </w:rPr>
        <w:t>2024年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日</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xYjE4YTNmYTU3YjhlMGNiNTk5YTYzNzI4MjBiMjEifQ=="/>
  </w:docVars>
  <w:rsids>
    <w:rsidRoot w:val="0068539A"/>
    <w:rsid w:val="00001EE6"/>
    <w:rsid w:val="0068539A"/>
    <w:rsid w:val="006E095C"/>
    <w:rsid w:val="008A1AFF"/>
    <w:rsid w:val="009D49D0"/>
    <w:rsid w:val="009E1C70"/>
    <w:rsid w:val="00BB582C"/>
    <w:rsid w:val="00BE4FFD"/>
    <w:rsid w:val="00C06A4E"/>
    <w:rsid w:val="00CA7E7D"/>
    <w:rsid w:val="03DD6186"/>
    <w:rsid w:val="063D115E"/>
    <w:rsid w:val="065B567D"/>
    <w:rsid w:val="06930D7E"/>
    <w:rsid w:val="06957FBA"/>
    <w:rsid w:val="06DF1684"/>
    <w:rsid w:val="09BD2F54"/>
    <w:rsid w:val="09F84285"/>
    <w:rsid w:val="0C46547E"/>
    <w:rsid w:val="0CCA6ED0"/>
    <w:rsid w:val="0E3E3C91"/>
    <w:rsid w:val="0E9D21B1"/>
    <w:rsid w:val="1075552C"/>
    <w:rsid w:val="107820F3"/>
    <w:rsid w:val="107A6B0B"/>
    <w:rsid w:val="110F1C95"/>
    <w:rsid w:val="13372CB9"/>
    <w:rsid w:val="134D73D3"/>
    <w:rsid w:val="144B2C98"/>
    <w:rsid w:val="15197D03"/>
    <w:rsid w:val="18D23815"/>
    <w:rsid w:val="1ABC39E3"/>
    <w:rsid w:val="1B130D94"/>
    <w:rsid w:val="1B1D2FEC"/>
    <w:rsid w:val="1B7A20B5"/>
    <w:rsid w:val="1C593BC9"/>
    <w:rsid w:val="1C5F759C"/>
    <w:rsid w:val="1D3D44B8"/>
    <w:rsid w:val="1D623E20"/>
    <w:rsid w:val="1E6A10F9"/>
    <w:rsid w:val="20CA082F"/>
    <w:rsid w:val="21A23896"/>
    <w:rsid w:val="2277734E"/>
    <w:rsid w:val="22FB1D2D"/>
    <w:rsid w:val="244403F2"/>
    <w:rsid w:val="283C1B4B"/>
    <w:rsid w:val="28DA2B24"/>
    <w:rsid w:val="2A954815"/>
    <w:rsid w:val="2C356A40"/>
    <w:rsid w:val="2C445FA9"/>
    <w:rsid w:val="2D126EBD"/>
    <w:rsid w:val="2D64774A"/>
    <w:rsid w:val="2DE03FF9"/>
    <w:rsid w:val="2EBC4A66"/>
    <w:rsid w:val="2F3740ED"/>
    <w:rsid w:val="31537991"/>
    <w:rsid w:val="316B62D0"/>
    <w:rsid w:val="32783F0E"/>
    <w:rsid w:val="32BF0260"/>
    <w:rsid w:val="32D305D1"/>
    <w:rsid w:val="33C148CD"/>
    <w:rsid w:val="342B39EB"/>
    <w:rsid w:val="344572AC"/>
    <w:rsid w:val="391F374D"/>
    <w:rsid w:val="399428F2"/>
    <w:rsid w:val="3A6B7341"/>
    <w:rsid w:val="3ABD5DEE"/>
    <w:rsid w:val="3B48286B"/>
    <w:rsid w:val="3C542B0D"/>
    <w:rsid w:val="3D0A4BEF"/>
    <w:rsid w:val="3D233B23"/>
    <w:rsid w:val="3D8F762C"/>
    <w:rsid w:val="3DC428BC"/>
    <w:rsid w:val="3F46769F"/>
    <w:rsid w:val="3F5F0DCC"/>
    <w:rsid w:val="4068306E"/>
    <w:rsid w:val="40716E79"/>
    <w:rsid w:val="40A11D0E"/>
    <w:rsid w:val="416C0BB2"/>
    <w:rsid w:val="42552DB0"/>
    <w:rsid w:val="42BF46CD"/>
    <w:rsid w:val="42CF5442"/>
    <w:rsid w:val="42F205FF"/>
    <w:rsid w:val="4433501C"/>
    <w:rsid w:val="449A4ED7"/>
    <w:rsid w:val="47B45127"/>
    <w:rsid w:val="47F5796A"/>
    <w:rsid w:val="49BB5BEF"/>
    <w:rsid w:val="4B46598C"/>
    <w:rsid w:val="4BA803F5"/>
    <w:rsid w:val="4CFD2D35"/>
    <w:rsid w:val="4F9A5ACE"/>
    <w:rsid w:val="50190775"/>
    <w:rsid w:val="50C22148"/>
    <w:rsid w:val="5362532D"/>
    <w:rsid w:val="53D31D87"/>
    <w:rsid w:val="53E67D0C"/>
    <w:rsid w:val="54363BAA"/>
    <w:rsid w:val="54A60BCF"/>
    <w:rsid w:val="55947215"/>
    <w:rsid w:val="581C6D6F"/>
    <w:rsid w:val="5A207DC2"/>
    <w:rsid w:val="5AB11263"/>
    <w:rsid w:val="5B8D0D0C"/>
    <w:rsid w:val="5CB26A7D"/>
    <w:rsid w:val="5D5E7965"/>
    <w:rsid w:val="5E1C257C"/>
    <w:rsid w:val="5E8D26AE"/>
    <w:rsid w:val="5EF8626D"/>
    <w:rsid w:val="5F6366B5"/>
    <w:rsid w:val="5FEC718A"/>
    <w:rsid w:val="62FF5A4C"/>
    <w:rsid w:val="631C4748"/>
    <w:rsid w:val="633D65A7"/>
    <w:rsid w:val="63AD4A3F"/>
    <w:rsid w:val="63B70D7D"/>
    <w:rsid w:val="64C6740E"/>
    <w:rsid w:val="66EC3434"/>
    <w:rsid w:val="69EA2B06"/>
    <w:rsid w:val="6BEE5558"/>
    <w:rsid w:val="6D7D3037"/>
    <w:rsid w:val="70640A07"/>
    <w:rsid w:val="70D74514"/>
    <w:rsid w:val="747550E2"/>
    <w:rsid w:val="7564748C"/>
    <w:rsid w:val="77575D33"/>
    <w:rsid w:val="78083900"/>
    <w:rsid w:val="789E20B4"/>
    <w:rsid w:val="7A2C215F"/>
    <w:rsid w:val="7B115E66"/>
    <w:rsid w:val="7C91122A"/>
    <w:rsid w:val="7DB26EA6"/>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4"/>
    <w:qFormat/>
    <w:uiPriority w:val="0"/>
    <w:pPr>
      <w:keepNext/>
      <w:keepLines/>
      <w:spacing w:before="480" w:after="600" w:line="576" w:lineRule="auto"/>
      <w:jc w:val="center"/>
      <w:outlineLvl w:val="0"/>
    </w:pPr>
    <w:rPr>
      <w:b/>
      <w:kern w:val="44"/>
      <w:sz w:val="36"/>
      <w:szCs w:val="44"/>
    </w:rPr>
  </w:style>
  <w:style w:type="paragraph" w:styleId="5">
    <w:name w:val="heading 2"/>
    <w:basedOn w:val="1"/>
    <w:next w:val="1"/>
    <w:link w:val="32"/>
    <w:semiHidden/>
    <w:unhideWhenUsed/>
    <w:qFormat/>
    <w:uiPriority w:val="0"/>
    <w:pPr>
      <w:keepNext/>
      <w:keepLines/>
      <w:spacing w:before="20" w:after="20" w:line="415" w:lineRule="auto"/>
      <w:outlineLvl w:val="1"/>
    </w:pPr>
    <w:rPr>
      <w:rFonts w:ascii="Cambria" w:hAnsi="Cambria"/>
      <w:b/>
      <w:sz w:val="32"/>
      <w:szCs w:val="32"/>
    </w:rPr>
  </w:style>
  <w:style w:type="paragraph" w:styleId="6">
    <w:name w:val="heading 3"/>
    <w:basedOn w:val="1"/>
    <w:next w:val="1"/>
    <w:link w:val="33"/>
    <w:semiHidden/>
    <w:unhideWhenUsed/>
    <w:qFormat/>
    <w:uiPriority w:val="0"/>
    <w:pPr>
      <w:keepNext/>
      <w:keepLines/>
      <w:spacing w:before="140" w:after="140"/>
      <w:outlineLvl w:val="2"/>
    </w:pPr>
    <w:rPr>
      <w:b/>
      <w:sz w:val="24"/>
      <w:szCs w:val="32"/>
    </w:rPr>
  </w:style>
  <w:style w:type="paragraph" w:styleId="7">
    <w:name w:val="heading 4"/>
    <w:basedOn w:val="1"/>
    <w:next w:val="1"/>
    <w:semiHidden/>
    <w:unhideWhenUsed/>
    <w:qFormat/>
    <w:uiPriority w:val="0"/>
    <w:pPr>
      <w:keepNext/>
      <w:keepLines/>
      <w:spacing w:before="40" w:after="50" w:line="372" w:lineRule="auto"/>
      <w:outlineLvl w:val="3"/>
    </w:pPr>
    <w:rPr>
      <w:b/>
      <w:sz w:val="28"/>
      <w:szCs w:val="21"/>
    </w:rPr>
  </w:style>
  <w:style w:type="paragraph" w:styleId="8">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Body Text Indent 2"/>
    <w:next w:val="1"/>
    <w:qFormat/>
    <w:uiPriority w:val="0"/>
    <w:pPr>
      <w:spacing w:after="120" w:line="480" w:lineRule="auto"/>
      <w:ind w:left="420" w:leftChars="200"/>
    </w:pPr>
    <w:rPr>
      <w:rFonts w:ascii="Calibri" w:hAnsi="Calibri" w:eastAsia="宋体" w:cs="Times New Roman"/>
      <w:kern w:val="2"/>
      <w:sz w:val="21"/>
      <w:szCs w:val="24"/>
      <w:lang w:val="en-US" w:eastAsia="zh-CN" w:bidi="ar-SA"/>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link w:val="36"/>
    <w:qFormat/>
    <w:uiPriority w:val="0"/>
    <w:rPr>
      <w:sz w:val="28"/>
    </w:rPr>
  </w:style>
  <w:style w:type="paragraph" w:styleId="18">
    <w:name w:val="Title"/>
    <w:basedOn w:val="1"/>
    <w:qFormat/>
    <w:uiPriority w:val="0"/>
    <w:pPr>
      <w:spacing w:before="240" w:after="60"/>
      <w:jc w:val="center"/>
      <w:outlineLvl w:val="0"/>
    </w:pPr>
    <w:rPr>
      <w:rFonts w:ascii="Arial" w:hAnsi="Arial"/>
      <w:b/>
      <w:sz w:val="32"/>
    </w:rPr>
  </w:style>
  <w:style w:type="paragraph" w:styleId="19">
    <w:name w:val="Body Text First Indent"/>
    <w:basedOn w:val="2"/>
    <w:link w:val="34"/>
    <w:qFormat/>
    <w:uiPriority w:val="0"/>
    <w:pPr>
      <w:ind w:firstLine="480"/>
      <w:jc w:val="left"/>
    </w:pPr>
  </w:style>
  <w:style w:type="paragraph" w:customStyle="1" w:styleId="22">
    <w:name w:val="正文1"/>
    <w:basedOn w:val="1"/>
    <w:link w:val="23"/>
    <w:qFormat/>
    <w:uiPriority w:val="0"/>
    <w:pPr>
      <w:spacing w:line="360" w:lineRule="auto"/>
      <w:ind w:firstLine="480" w:firstLineChars="200"/>
    </w:pPr>
    <w:rPr>
      <w:sz w:val="24"/>
    </w:rPr>
  </w:style>
  <w:style w:type="character" w:customStyle="1" w:styleId="23">
    <w:name w:val="正文1 Char"/>
    <w:link w:val="22"/>
    <w:qFormat/>
    <w:uiPriority w:val="0"/>
    <w:rPr>
      <w:rFonts w:ascii="Times New Roman" w:hAnsi="Times New Roman" w:eastAsia="宋体"/>
      <w:sz w:val="24"/>
    </w:rPr>
  </w:style>
  <w:style w:type="character" w:customStyle="1" w:styleId="24">
    <w:name w:val="标题 1 字符"/>
    <w:link w:val="4"/>
    <w:qFormat/>
    <w:uiPriority w:val="0"/>
    <w:rPr>
      <w:rFonts w:ascii="Times New Roman" w:hAnsi="Times New Roman" w:eastAsia="宋体" w:cs="Times New Roman"/>
      <w:b/>
      <w:bCs/>
      <w:kern w:val="44"/>
      <w:sz w:val="36"/>
      <w:szCs w:val="32"/>
    </w:rPr>
  </w:style>
  <w:style w:type="paragraph" w:customStyle="1" w:styleId="25">
    <w:name w:val="表字体"/>
    <w:next w:val="1"/>
    <w:qFormat/>
    <w:uiPriority w:val="0"/>
    <w:pPr>
      <w:jc w:val="center"/>
    </w:pPr>
    <w:rPr>
      <w:rFonts w:hint="eastAsia" w:ascii="Arial" w:hAnsi="Arial" w:cs="Arial" w:eastAsiaTheme="minorEastAsia"/>
      <w:sz w:val="21"/>
      <w:lang w:val="en-US" w:eastAsia="zh-CN" w:bidi="ar-SA"/>
    </w:rPr>
  </w:style>
  <w:style w:type="paragraph" w:customStyle="1" w:styleId="26">
    <w:name w:val="表图标题"/>
    <w:basedOn w:val="1"/>
    <w:link w:val="27"/>
    <w:qFormat/>
    <w:uiPriority w:val="0"/>
    <w:pPr>
      <w:jc w:val="center"/>
    </w:pPr>
    <w:rPr>
      <w:b/>
      <w:bCs/>
    </w:rPr>
  </w:style>
  <w:style w:type="character" w:customStyle="1" w:styleId="27">
    <w:name w:val="表图标题 Char"/>
    <w:link w:val="26"/>
    <w:qFormat/>
    <w:uiPriority w:val="0"/>
    <w:rPr>
      <w:rFonts w:ascii="Times New Roman" w:hAnsi="Times New Roman" w:eastAsia="宋体"/>
      <w:b/>
      <w:bCs/>
      <w:sz w:val="21"/>
    </w:rPr>
  </w:style>
  <w:style w:type="paragraph" w:customStyle="1" w:styleId="28">
    <w:name w:val="表格内容"/>
    <w:basedOn w:val="1"/>
    <w:next w:val="1"/>
    <w:link w:val="29"/>
    <w:qFormat/>
    <w:uiPriority w:val="0"/>
    <w:pPr>
      <w:jc w:val="center"/>
    </w:pPr>
    <w:rPr>
      <w:szCs w:val="20"/>
      <w:lang w:val="zh-CN" w:bidi="zh-CN"/>
    </w:rPr>
  </w:style>
  <w:style w:type="character" w:customStyle="1" w:styleId="29">
    <w:name w:val="表格内容 Char"/>
    <w:link w:val="28"/>
    <w:qFormat/>
    <w:uiPriority w:val="0"/>
    <w:rPr>
      <w:rFonts w:ascii="Times New Roman" w:hAnsi="Times New Roman" w:eastAsia="宋体" w:cs="Times New Roman"/>
      <w:sz w:val="21"/>
      <w:szCs w:val="20"/>
      <w:lang w:val="zh-CN" w:bidi="zh-CN"/>
    </w:rPr>
  </w:style>
  <w:style w:type="paragraph" w:customStyle="1" w:styleId="30">
    <w:name w:val="验收正文"/>
    <w:basedOn w:val="1"/>
    <w:link w:val="31"/>
    <w:qFormat/>
    <w:uiPriority w:val="0"/>
    <w:pPr>
      <w:spacing w:line="360" w:lineRule="auto"/>
      <w:ind w:firstLine="960" w:firstLineChars="200"/>
    </w:pPr>
    <w:rPr>
      <w:kern w:val="0"/>
      <w:sz w:val="24"/>
      <w:szCs w:val="28"/>
    </w:rPr>
  </w:style>
  <w:style w:type="character" w:customStyle="1" w:styleId="31">
    <w:name w:val="验收正文 Char"/>
    <w:link w:val="30"/>
    <w:qFormat/>
    <w:uiPriority w:val="0"/>
    <w:rPr>
      <w:rFonts w:ascii="Times New Roman" w:hAnsi="Times New Roman" w:eastAsia="宋体" w:cs="Times New Roman"/>
      <w:sz w:val="24"/>
      <w:szCs w:val="28"/>
    </w:rPr>
  </w:style>
  <w:style w:type="character" w:customStyle="1" w:styleId="32">
    <w:name w:val="标题 2 字符"/>
    <w:link w:val="5"/>
    <w:qFormat/>
    <w:uiPriority w:val="9"/>
    <w:rPr>
      <w:rFonts w:ascii="Cambria" w:hAnsi="Cambria" w:eastAsia="宋体" w:cs="Times New Roman"/>
      <w:b/>
      <w:sz w:val="28"/>
    </w:rPr>
  </w:style>
  <w:style w:type="character" w:customStyle="1" w:styleId="33">
    <w:name w:val="标题 3 字符"/>
    <w:link w:val="6"/>
    <w:qFormat/>
    <w:uiPriority w:val="9"/>
    <w:rPr>
      <w:rFonts w:ascii="Times New Roman" w:hAnsi="Times New Roman" w:eastAsia="宋体" w:cs="Times New Roman"/>
      <w:b/>
      <w:sz w:val="24"/>
    </w:rPr>
  </w:style>
  <w:style w:type="character" w:customStyle="1" w:styleId="34">
    <w:name w:val="正文文本首行缩进 字符"/>
    <w:link w:val="19"/>
    <w:qFormat/>
    <w:uiPriority w:val="0"/>
    <w:rPr>
      <w:rFonts w:ascii="Times New Roman" w:hAnsi="Times New Roman" w:eastAsia="宋体"/>
      <w:sz w:val="24"/>
      <w:szCs w:val="20"/>
    </w:rPr>
  </w:style>
  <w:style w:type="paragraph" w:customStyle="1" w:styleId="35">
    <w:name w:val="表文字"/>
    <w:basedOn w:val="26"/>
    <w:qFormat/>
    <w:uiPriority w:val="0"/>
    <w:pPr>
      <w:widowControl/>
      <w:textAlignment w:val="baseline"/>
    </w:pPr>
    <w:rPr>
      <w:b w:val="0"/>
      <w:color w:val="000000"/>
      <w:kern w:val="0"/>
      <w:szCs w:val="21"/>
      <w:u w:color="000000"/>
    </w:rPr>
  </w:style>
  <w:style w:type="character" w:customStyle="1" w:styleId="36">
    <w:name w:val="TOC 2 字符"/>
    <w:link w:val="17"/>
    <w:qFormat/>
    <w:uiPriority w:val="0"/>
    <w:rPr>
      <w:rFonts w:ascii="Times New Roman" w:hAnsi="Times New Roman" w:eastAsia="宋体" w:cs="Times New Roman"/>
      <w:sz w:val="28"/>
      <w:szCs w:val="24"/>
    </w:rPr>
  </w:style>
  <w:style w:type="paragraph" w:customStyle="1" w:styleId="37">
    <w:name w:val="表标题"/>
    <w:basedOn w:val="1"/>
    <w:link w:val="38"/>
    <w:qFormat/>
    <w:uiPriority w:val="0"/>
    <w:pPr>
      <w:spacing w:after="20" w:afterLines="20" w:line="360" w:lineRule="auto"/>
      <w:jc w:val="center"/>
    </w:pPr>
    <w:rPr>
      <w:rFonts w:ascii="Calibri" w:hAnsi="Calibri"/>
      <w:b/>
      <w:kern w:val="0"/>
    </w:rPr>
  </w:style>
  <w:style w:type="character" w:customStyle="1" w:styleId="38">
    <w:name w:val="表标题 Char"/>
    <w:link w:val="37"/>
    <w:qFormat/>
    <w:uiPriority w:val="0"/>
    <w:rPr>
      <w:rFonts w:ascii="Calibri" w:hAnsi="Calibri" w:eastAsia="宋体"/>
      <w:b/>
      <w:kern w:val="0"/>
      <w:sz w:val="21"/>
    </w:rPr>
  </w:style>
  <w:style w:type="paragraph" w:customStyle="1" w:styleId="39">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1968</Words>
  <Characters>2105</Characters>
  <Lines>15</Lines>
  <Paragraphs>4</Paragraphs>
  <TotalTime>22</TotalTime>
  <ScaleCrop>false</ScaleCrop>
  <LinksUpToDate>false</LinksUpToDate>
  <CharactersWithSpaces>2200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2024-06-25T13:29:00Z</dcterms:created>
  <dc:creator>Administrator</dc:creator>
  <cp:lastModifiedBy>十指紧扣*^_^*</cp:lastModifiedBy>
  <cp:lastPrinted>2024-09-14T01:16:08Z</cp:lastPrinted>
  <dcterms:modified xsi:type="dcterms:W3CDTF">2024-09-14T01:25:49Z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E07F8B34E3224CF3B2D0919FA7262D45_13</vt:lpwstr>
  </property>
</Properties>
</file>